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themeColor="text1"/>
          <w:sz w:val="32"/>
          <w:szCs w:val="22"/>
          <w:highlight w:val="none"/>
          <w14:textFill>
            <w14:solidFill>
              <w14:schemeClr w14:val="tx1"/>
            </w14:solidFill>
          </w14:textFill>
        </w:rPr>
      </w:pPr>
      <w:r>
        <w:rPr>
          <w:rFonts w:hint="eastAsia" w:ascii="宋体" w:hAnsi="宋体"/>
          <w:color w:val="000000" w:themeColor="text1"/>
          <w:sz w:val="32"/>
          <w:szCs w:val="22"/>
          <w:highlight w:val="none"/>
          <w14:textFill>
            <w14:solidFill>
              <w14:schemeClr w14:val="tx1"/>
            </w14:solidFill>
          </w14:textFill>
        </w:rPr>
      </w:r>
      <w:r/>
    </w:p>
    <w:p>
      <w:pPr>
        <w:spacing w:line="360" w:lineRule="auto"/>
        <w:tabs>
          <w:tab w:val="left" w:pos="7039" w:leader="none"/>
        </w:tabs>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ab/>
      </w:r>
      <w:r/>
    </w:p>
    <w:p>
      <w:pPr>
        <w:spacing w:line="360" w:lineRule="auto"/>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r>
      <w:r/>
    </w:p>
    <w:p>
      <w:pPr>
        <w:jc w:val="center"/>
        <w:spacing w:line="360" w:lineRule="auto"/>
        <w:rPr>
          <w:rFonts w:hint="eastAsia" w:ascii="宋体" w:hAnsi="宋体"/>
          <w:color w:val="000000" w:themeColor="text1"/>
          <w:highlight w:val="none"/>
          <w14:textFill>
            <w14:solidFill>
              <w14:schemeClr w14:val="tx1"/>
            </w14:solidFill>
          </w14:textFill>
        </w:rPr>
      </w:pPr>
      <w:r>
        <w:rPr>
          <w:color w:val="000000" w:themeColor="text1"/>
          <w:sz w:val="28"/>
          <w:szCs w:val="36"/>
          <w:highlight w:val="none"/>
          <w14:textFill>
            <w14:solidFill>
              <w14:schemeClr w14:val="tx1"/>
            </w14:solidFill>
          </w14:textFill>
        </w:rPr>
        <mc:AlternateContent>
          <mc:Choice Requires="wpg">
            <w:drawing>
              <wp:inline xmlns:wp="http://schemas.openxmlformats.org/drawingml/2006/wordprocessingDrawing" distT="0" distB="0" distL="0" distR="0">
                <wp:extent cx="1440180" cy="1529080"/>
                <wp:effectExtent l="0" t="0" r="7620" b="762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2"/>
                        <a:stretch/>
                      </pic:blipFill>
                      <pic:spPr bwMode="auto">
                        <a:xfrm>
                          <a:off x="0" y="0"/>
                          <a:ext cx="1440180" cy="1529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4pt;height:120.4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center"/>
        <w:spacing w:line="360" w:lineRule="auto"/>
        <w:rPr>
          <w:rFonts w:hint="eastAsia" w:ascii="宋体" w:hAnsi="宋体" w:cs="宋体"/>
          <w:color w:val="000000" w:themeColor="text1"/>
          <w:sz w:val="72"/>
          <w:highlight w:val="none"/>
          <w14:textFill>
            <w14:solidFill>
              <w14:schemeClr w14:val="tx1"/>
            </w14:solidFill>
          </w14:textFill>
        </w:rPr>
      </w:pPr>
      <w:r>
        <w:rPr>
          <w:rFonts w:hint="eastAsia" w:ascii="宋体" w:hAnsi="宋体" w:cs="宋体"/>
          <w:color w:val="000000" w:themeColor="text1"/>
          <w:sz w:val="72"/>
          <w:highlight w:val="none"/>
          <w14:textFill>
            <w14:solidFill>
              <w14:schemeClr w14:val="tx1"/>
            </w14:solidFill>
          </w14:textFill>
        </w:rPr>
        <w:t xml:space="preserve">昆山市政府采购</w:t>
      </w:r>
      <w:r/>
    </w:p>
    <w:p>
      <w:pPr>
        <w:jc w:val="center"/>
        <w:spacing w:line="360" w:lineRule="auto"/>
        <w:rPr>
          <w:rFonts w:hint="eastAsia" w:ascii="宋体" w:hAnsi="宋体" w:cs="宋体"/>
          <w:color w:val="000000" w:themeColor="text1"/>
          <w:sz w:val="72"/>
          <w:highlight w:val="none"/>
          <w14:textFill>
            <w14:solidFill>
              <w14:schemeClr w14:val="tx1"/>
            </w14:solidFill>
          </w14:textFill>
        </w:rPr>
      </w:pPr>
      <w:r>
        <w:rPr>
          <w:rFonts w:hint="eastAsia" w:ascii="宋体" w:hAnsi="宋体" w:cs="宋体"/>
          <w:color w:val="000000" w:themeColor="text1"/>
          <w:sz w:val="72"/>
          <w:highlight w:val="none"/>
          <w14:textFill>
            <w14:solidFill>
              <w14:schemeClr w14:val="tx1"/>
            </w14:solidFill>
          </w14:textFill>
        </w:rPr>
        <w:t xml:space="preserve">招标文件</w:t>
      </w:r>
      <w:r/>
    </w:p>
    <w:p>
      <w:pPr>
        <w:spacing w:line="360" w:lineRule="auto"/>
        <w:rPr>
          <w:rFonts w:hint="eastAsia" w:ascii="宋体" w:hAnsi="宋体"/>
          <w:color w:val="000000" w:themeColor="text1"/>
          <w:sz w:val="48"/>
          <w:szCs w:val="20"/>
          <w:highlight w:val="none"/>
          <w14:textFill>
            <w14:solidFill>
              <w14:schemeClr w14:val="tx1"/>
            </w14:solidFill>
          </w14:textFill>
        </w:rPr>
      </w:pPr>
      <w:r>
        <w:rPr>
          <w:rFonts w:hint="eastAsia" w:ascii="宋体" w:hAnsi="宋体"/>
          <w:color w:val="000000" w:themeColor="text1"/>
          <w:sz w:val="48"/>
          <w:szCs w:val="20"/>
          <w:highlight w:val="none"/>
          <w14:textFill>
            <w14:solidFill>
              <w14:schemeClr w14:val="tx1"/>
            </w14:solidFill>
          </w14:textFill>
        </w:rPr>
      </w:r>
      <w:r/>
    </w:p>
    <w:p>
      <w:pPr>
        <w:ind w:firstLine="819"/>
        <w:spacing w:line="360" w:lineRule="auto"/>
        <w:rPr>
          <w:rFonts w:ascii="宋体"/>
          <w:b/>
          <w:bCs/>
          <w:color w:val="000000" w:themeColor="text1"/>
          <w:sz w:val="30"/>
          <w:szCs w:val="30"/>
          <w:highlight w:val="none"/>
          <w:lang w:val="zh-CN"/>
          <w14:textFill>
            <w14:solidFill>
              <w14:schemeClr w14:val="tx1"/>
            </w14:solidFill>
          </w14:textFill>
        </w:rPr>
      </w:pPr>
      <w:r>
        <w:rPr>
          <w:rFonts w:hint="eastAsia" w:ascii="宋体"/>
          <w:color w:val="000000" w:themeColor="text1"/>
          <w:sz w:val="30"/>
          <w:szCs w:val="30"/>
          <w:highlight w:val="none"/>
          <w:lang w:val="zh-CN"/>
          <w14:textFill>
            <w14:solidFill>
              <w14:schemeClr w14:val="tx1"/>
            </w14:solidFill>
          </w14:textFill>
        </w:rPr>
        <w:t xml:space="preserve">项目编号：JSZC-320583-SZRY-G2026-0001</w:t>
      </w:r>
      <w:r/>
    </w:p>
    <w:p>
      <w:pPr>
        <w:ind w:firstLine="819"/>
        <w:spacing w:line="360" w:lineRule="auto"/>
        <w:rPr>
          <w:rFonts w:ascii="宋体"/>
          <w:color w:val="000000" w:themeColor="text1"/>
          <w:sz w:val="30"/>
          <w:szCs w:val="30"/>
          <w:highlight w:val="none"/>
          <w:lang w:val="zh-CN"/>
          <w14:textFill>
            <w14:solidFill>
              <w14:schemeClr w14:val="tx1"/>
            </w14:solidFill>
          </w14:textFill>
        </w:rPr>
      </w:pPr>
      <w:r>
        <w:rPr>
          <w:rFonts w:hint="eastAsia" w:ascii="宋体"/>
          <w:color w:val="000000" w:themeColor="text1"/>
          <w:sz w:val="30"/>
          <w:szCs w:val="30"/>
          <w:highlight w:val="none"/>
          <w:lang w:val="zh-CN"/>
          <w14:textFill>
            <w14:solidFill>
              <w14:schemeClr w14:val="tx1"/>
            </w14:solidFill>
          </w14:textFill>
        </w:rPr>
        <w:t xml:space="preserve">项目名称：</w:t>
      </w:r>
      <w:r>
        <w:rPr>
          <w:rFonts w:hint="eastAsia" w:ascii="宋体" w:hAnsi="宋体" w:cs="宋体"/>
          <w:color w:val="000000" w:themeColor="text1"/>
          <w:sz w:val="30"/>
          <w:szCs w:val="30"/>
          <w:highlight w:val="none"/>
          <w14:textFill>
            <w14:solidFill>
              <w14:schemeClr w14:val="tx1"/>
            </w14:solidFill>
          </w14:textFill>
        </w:rPr>
        <w:t xml:space="preserve">昆山市城市污水收集处理设施改造工程质量检测项目三标</w:t>
      </w:r>
      <w:r/>
    </w:p>
    <w:p>
      <w:pPr>
        <w:ind w:firstLine="819"/>
        <w:spacing w:line="360" w:lineRule="auto"/>
        <w:rPr>
          <w:rFonts w:hint="eastAsia" w:ascii="宋体" w:hAnsi="宋体"/>
          <w:color w:val="000000" w:themeColor="text1"/>
          <w:sz w:val="30"/>
          <w:szCs w:val="30"/>
          <w:highlight w:val="none"/>
          <w:lang w:val="zh-CN"/>
          <w14:textFill>
            <w14:solidFill>
              <w14:schemeClr w14:val="tx1"/>
            </w14:solidFill>
          </w14:textFill>
        </w:rPr>
      </w:pPr>
      <w:r>
        <w:rPr>
          <w:rFonts w:hint="eastAsia" w:ascii="宋体"/>
          <w:color w:val="000000" w:themeColor="text1"/>
          <w:sz w:val="30"/>
          <w:szCs w:val="30"/>
          <w:highlight w:val="none"/>
          <w:lang w:val="zh-CN"/>
          <w14:textFill>
            <w14:solidFill>
              <w14:schemeClr w14:val="tx1"/>
            </w14:solidFill>
          </w14:textFill>
        </w:rPr>
        <w:t xml:space="preserve">采购单位：昆山市水务局</w:t>
      </w:r>
      <w:r/>
    </w:p>
    <w:p>
      <w:pPr>
        <w:spacing w:line="360" w:lineRule="auto"/>
        <w:rPr>
          <w:rFonts w:hint="eastAsia" w:ascii="宋体" w:hAnsi="宋体"/>
          <w:color w:val="000000" w:themeColor="text1"/>
          <w:sz w:val="30"/>
          <w:szCs w:val="30"/>
          <w:highlight w:val="none"/>
          <w:lang w:val="zh-CN"/>
          <w14:textFill>
            <w14:solidFill>
              <w14:schemeClr w14:val="tx1"/>
            </w14:solidFill>
          </w14:textFill>
        </w:rPr>
      </w:pPr>
      <w:r>
        <w:rPr>
          <w:rFonts w:hint="eastAsia" w:ascii="宋体" w:hAnsi="宋体"/>
          <w:color w:val="000000" w:themeColor="text1"/>
          <w:sz w:val="30"/>
          <w:szCs w:val="30"/>
          <w:highlight w:val="none"/>
          <w:lang w:val="zh-CN"/>
          <w14:textFill>
            <w14:solidFill>
              <w14:schemeClr w14:val="tx1"/>
            </w14:solidFill>
          </w14:textFill>
        </w:rPr>
      </w:r>
      <w:r/>
    </w:p>
    <w:p>
      <w:pPr>
        <w:rPr>
          <w:rFonts w:eastAsia="等线"/>
          <w:color w:val="000000" w:themeColor="text1"/>
          <w:highlight w:val="none"/>
          <w:lang w:val="zh-CN"/>
          <w14:textFill>
            <w14:solidFill>
              <w14:schemeClr w14:val="tx1"/>
            </w14:solidFill>
          </w14:textFill>
        </w:rPr>
      </w:pPr>
      <w:r>
        <w:rPr>
          <w:rFonts w:eastAsia="等线"/>
          <w:color w:val="000000" w:themeColor="text1"/>
          <w:highlight w:val="none"/>
          <w:lang w:val="zh-CN"/>
          <w14:textFill>
            <w14:solidFill>
              <w14:schemeClr w14:val="tx1"/>
            </w14:solidFill>
          </w14:textFill>
        </w:rPr>
      </w:r>
      <w:r/>
    </w:p>
    <w:p>
      <w:pPr>
        <w:pStyle w:val="762"/>
        <w:rPr>
          <w:rFonts w:hint="eastAsia" w:eastAsia="等线"/>
          <w:color w:val="000000" w:themeColor="text1"/>
          <w:highlight w:val="none"/>
          <w:lang w:val="zh-CN"/>
          <w14:textFill>
            <w14:solidFill>
              <w14:schemeClr w14:val="tx1"/>
            </w14:solidFill>
          </w14:textFill>
        </w:rPr>
      </w:pPr>
      <w:r>
        <w:rPr>
          <w:rFonts w:hint="eastAsia" w:eastAsia="等线"/>
          <w:color w:val="000000" w:themeColor="text1"/>
          <w:highlight w:val="none"/>
          <w:lang w:val="zh-CN"/>
          <w14:textFill>
            <w14:solidFill>
              <w14:schemeClr w14:val="tx1"/>
            </w14:solidFill>
          </w14:textFill>
        </w:rPr>
      </w:r>
      <w:r/>
    </w:p>
    <w:p>
      <w:pPr>
        <w:pStyle w:val="957"/>
        <w:ind w:firstLine="420"/>
        <w:spacing w:line="360" w:lineRule="auto"/>
        <w:rPr>
          <w:rFonts w:eastAsia="等线"/>
          <w:color w:val="000000" w:themeColor="text1"/>
          <w:highlight w:val="none"/>
          <w:lang w:val="zh-CN"/>
          <w14:textFill>
            <w14:solidFill>
              <w14:schemeClr w14:val="tx1"/>
            </w14:solidFill>
          </w14:textFill>
        </w:rPr>
      </w:pPr>
      <w:r>
        <w:rPr>
          <w:rFonts w:eastAsia="等线"/>
          <w:color w:val="000000" w:themeColor="text1"/>
          <w:highlight w:val="none"/>
          <w:lang w:val="zh-CN"/>
          <w14:textFill>
            <w14:solidFill>
              <w14:schemeClr w14:val="tx1"/>
            </w14:solidFill>
          </w14:textFill>
        </w:rPr>
      </w:r>
      <w:r/>
    </w:p>
    <w:p>
      <w:pPr>
        <w:jc w:val="center"/>
        <w:spacing w:line="360" w:lineRule="auto"/>
        <w:rPr>
          <w:rFonts w:hint="eastAsia" w:ascii="宋体" w:hAnsi="宋体"/>
          <w:color w:val="000000" w:themeColor="text1"/>
          <w:sz w:val="30"/>
          <w:szCs w:val="30"/>
          <w:highlight w:val="none"/>
          <w:lang w:val="zh-CN"/>
          <w14:textFill>
            <w14:solidFill>
              <w14:schemeClr w14:val="tx1"/>
            </w14:solidFill>
          </w14:textFill>
        </w:rPr>
      </w:pPr>
      <w:r>
        <w:rPr>
          <w:rFonts w:hint="eastAsia" w:ascii="宋体" w:hAnsi="宋体"/>
          <w:color w:val="000000" w:themeColor="text1"/>
          <w:sz w:val="30"/>
          <w:szCs w:val="30"/>
          <w:highlight w:val="none"/>
          <w:lang w:val="zh-CN"/>
          <w14:textFill>
            <w14:solidFill>
              <w14:schemeClr w14:val="tx1"/>
            </w14:solidFill>
          </w14:textFill>
        </w:rPr>
        <w:t xml:space="preserve">苏州润禹工程咨询管理有限公司</w:t>
      </w:r>
      <w:r/>
    </w:p>
    <w:p>
      <w:pPr>
        <w:pStyle w:val="768"/>
        <w:jc w:val="center"/>
        <w:spacing w:line="360" w:lineRule="auto"/>
        <w:rPr>
          <w:rFonts w:eastAsia="宋体"/>
          <w:color w:val="000000" w:themeColor="text1"/>
          <w:sz w:val="30"/>
          <w:szCs w:val="30"/>
          <w:highlight w:val="none"/>
          <w14:textFill>
            <w14:solidFill>
              <w14:schemeClr w14:val="tx1"/>
            </w14:solidFill>
          </w14:textFill>
        </w:rPr>
      </w:pPr>
      <w:r>
        <w:rPr>
          <w:rFonts w:eastAsia="宋体"/>
          <w:color w:val="000000" w:themeColor="text1"/>
          <w:sz w:val="30"/>
          <w:szCs w:val="30"/>
          <w:highlight w:val="none"/>
          <w:lang w:val="zh-CN"/>
          <w14:textFill>
            <w14:solidFill>
              <w14:schemeClr w14:val="tx1"/>
            </w14:solidFill>
          </w14:textFill>
        </w:rPr>
        <w:t xml:space="preserve">二〇二</w:t>
      </w:r>
      <w:r>
        <w:rPr>
          <w:rFonts w:hint="eastAsia" w:eastAsia="宋体"/>
          <w:color w:val="000000" w:themeColor="text1"/>
          <w:sz w:val="30"/>
          <w:szCs w:val="30"/>
          <w:highlight w:val="none"/>
          <w:lang w:val="en-US" w:eastAsia="zh-CN"/>
          <w14:textFill>
            <w14:solidFill>
              <w14:schemeClr w14:val="tx1"/>
            </w14:solidFill>
          </w14:textFill>
        </w:rPr>
        <w:t xml:space="preserve">六</w:t>
      </w:r>
      <w:r>
        <w:rPr>
          <w:rFonts w:eastAsia="宋体"/>
          <w:color w:val="000000" w:themeColor="text1"/>
          <w:sz w:val="30"/>
          <w:szCs w:val="30"/>
          <w:highlight w:val="none"/>
          <w:lang w:val="zh-CN"/>
          <w14:textFill>
            <w14:solidFill>
              <w14:schemeClr w14:val="tx1"/>
            </w14:solidFill>
          </w14:textFill>
        </w:rPr>
        <w:t xml:space="preserve">年</w:t>
      </w:r>
      <w:r>
        <w:rPr>
          <w:rFonts w:hint="eastAsia" w:eastAsia="宋体"/>
          <w:color w:val="000000" w:themeColor="text1"/>
          <w:sz w:val="30"/>
          <w:szCs w:val="30"/>
          <w:highlight w:val="none"/>
          <w:lang w:val="en-US" w:eastAsia="zh-CN"/>
          <w14:textFill>
            <w14:solidFill>
              <w14:schemeClr w14:val="tx1"/>
            </w14:solidFill>
          </w14:textFill>
        </w:rPr>
        <w:t xml:space="preserve">一</w:t>
      </w:r>
      <w:r>
        <w:rPr>
          <w:rFonts w:eastAsia="宋体"/>
          <w:color w:val="000000" w:themeColor="text1"/>
          <w:sz w:val="30"/>
          <w:szCs w:val="30"/>
          <w:highlight w:val="none"/>
          <w:lang w:val="zh-CN"/>
          <w14:textFill>
            <w14:solidFill>
              <w14:schemeClr w14:val="tx1"/>
            </w14:solidFill>
          </w14:textFill>
        </w:rPr>
        <w:t xml:space="preserve">月</w:t>
      </w:r>
      <w:r/>
    </w:p>
    <w:p>
      <w:pPr>
        <w:pStyle w:val="755"/>
        <w:ind w:firstLine="0"/>
        <w:spacing w:line="360" w:lineRule="auto"/>
        <w:rPr>
          <w:rFonts w:hint="eastAsia" w:ascii="宋体" w:hAnsi="宋体" w:eastAsia="宋体"/>
          <w:b/>
          <w:color w:val="000000" w:themeColor="text1"/>
          <w:sz w:val="44"/>
          <w:szCs w:val="44"/>
          <w:highlight w:val="none"/>
          <w14:textFill>
            <w14:solidFill>
              <w14:schemeClr w14:val="tx1"/>
            </w14:solidFill>
          </w14:textFill>
        </w:rPr>
      </w:pPr>
      <w:r>
        <w:rPr>
          <w:rFonts w:hint="eastAsia" w:ascii="宋体" w:hAnsi="宋体" w:eastAsia="宋体"/>
          <w:b/>
          <w:color w:val="000000" w:themeColor="text1"/>
          <w:sz w:val="44"/>
          <w:szCs w:val="44"/>
          <w:highlight w:val="none"/>
          <w14:textFill>
            <w14:solidFill>
              <w14:schemeClr w14:val="tx1"/>
            </w14:solidFill>
          </w14:textFill>
        </w:rPr>
      </w:r>
      <w:r/>
    </w:p>
    <w:p>
      <w:pPr>
        <w:pStyle w:val="755"/>
        <w:ind w:firstLine="0"/>
        <w:jc w:val="center"/>
        <w:spacing w:line="360" w:lineRule="auto"/>
        <w:rPr>
          <w:rFonts w:hint="eastAsia" w:ascii="宋体" w:hAnsi="宋体" w:eastAsia="宋体"/>
          <w:b/>
          <w:color w:val="000000" w:themeColor="text1"/>
          <w:sz w:val="44"/>
          <w:szCs w:val="44"/>
          <w:highlight w:val="none"/>
          <w14:textFill>
            <w14:solidFill>
              <w14:schemeClr w14:val="tx1"/>
            </w14:solidFill>
          </w14:textFill>
        </w:rPr>
      </w:pPr>
      <w:r>
        <w:rPr>
          <w:rFonts w:hint="eastAsia" w:ascii="宋体" w:hAnsi="宋体" w:eastAsia="宋体"/>
          <w:b/>
          <w:color w:val="000000" w:themeColor="text1"/>
          <w:sz w:val="44"/>
          <w:szCs w:val="44"/>
          <w:highlight w:val="none"/>
          <w14:textFill>
            <w14:solidFill>
              <w14:schemeClr w14:val="tx1"/>
            </w14:solidFill>
          </w14:textFill>
        </w:rPr>
        <w:t xml:space="preserve">目   录</w:t>
      </w:r>
      <w:r/>
    </w:p>
    <w:p>
      <w:pPr>
        <w:pStyle w:val="755"/>
        <w:ind w:firstLine="0"/>
        <w:jc w:val="center"/>
        <w:spacing w:line="360" w:lineRule="auto"/>
        <w:rPr>
          <w:rFonts w:hint="eastAsia" w:ascii="宋体" w:hAnsi="宋体" w:eastAsia="宋体"/>
          <w:color w:val="000000" w:themeColor="text1"/>
          <w:sz w:val="30"/>
          <w:highlight w:val="none"/>
          <w14:textFill>
            <w14:solidFill>
              <w14:schemeClr w14:val="tx1"/>
            </w14:solidFill>
          </w14:textFill>
        </w:rPr>
      </w:pPr>
      <w:r>
        <w:rPr>
          <w:rFonts w:hint="eastAsia" w:ascii="宋体" w:hAnsi="宋体" w:eastAsia="宋体"/>
          <w:color w:val="000000" w:themeColor="text1"/>
          <w:sz w:val="30"/>
          <w:highlight w:val="none"/>
          <w14:textFill>
            <w14:solidFill>
              <w14:schemeClr w14:val="tx1"/>
            </w14:solidFill>
          </w14:textFill>
        </w:rPr>
      </w:r>
      <w:r/>
    </w:p>
    <w:p>
      <w:pPr>
        <w:pStyle w:val="755"/>
        <w:ind w:firstLine="0"/>
        <w:spacing w:line="360" w:lineRule="auto"/>
        <w:rPr>
          <w:rFonts w:hint="eastAsia" w:ascii="宋体" w:hAnsi="宋体" w:eastAsia="宋体"/>
          <w:color w:val="000000" w:themeColor="text1"/>
          <w:sz w:val="28"/>
          <w:highlight w:val="none"/>
          <w14:textFill>
            <w14:solidFill>
              <w14:schemeClr w14:val="tx1"/>
            </w14:solidFill>
          </w14:textFill>
        </w:rPr>
      </w:pPr>
      <w:r>
        <w:rPr>
          <w:rFonts w:hint="eastAsia" w:ascii="宋体" w:hAnsi="宋体" w:eastAsia="宋体"/>
          <w:color w:val="000000" w:themeColor="text1"/>
          <w:sz w:val="28"/>
          <w:highlight w:val="none"/>
          <w14:textFill>
            <w14:solidFill>
              <w14:schemeClr w14:val="tx1"/>
            </w14:solidFill>
          </w14:textFill>
        </w:rPr>
        <w:t xml:space="preserve">第一章：投标邀请函</w:t>
      </w:r>
      <w:r/>
    </w:p>
    <w:p>
      <w:pPr>
        <w:pStyle w:val="755"/>
        <w:ind w:firstLine="0"/>
        <w:spacing w:line="360" w:lineRule="auto"/>
        <w:rPr>
          <w:rFonts w:hint="eastAsia" w:ascii="宋体" w:hAnsi="宋体" w:eastAsia="宋体"/>
          <w:bCs/>
          <w:color w:val="000000" w:themeColor="text1"/>
          <w:sz w:val="28"/>
          <w:highlight w:val="none"/>
          <w14:textFill>
            <w14:solidFill>
              <w14:schemeClr w14:val="tx1"/>
            </w14:solidFill>
          </w14:textFill>
        </w:rPr>
      </w:pPr>
      <w:r>
        <w:rPr>
          <w:rFonts w:hint="eastAsia" w:ascii="宋体" w:hAnsi="宋体" w:eastAsia="宋体"/>
          <w:bCs/>
          <w:color w:val="000000" w:themeColor="text1"/>
          <w:sz w:val="28"/>
          <w:highlight w:val="none"/>
          <w14:textFill>
            <w14:solidFill>
              <w14:schemeClr w14:val="tx1"/>
            </w14:solidFill>
          </w14:textFill>
        </w:rPr>
        <w:t xml:space="preserve">第二章：投标人须知</w:t>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t xml:space="preserve">第三章：投标文件格式</w:t>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t xml:space="preserve">第四章：招标书</w:t>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t xml:space="preserve">第五章：采购合同</w:t>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t xml:space="preserve">第六章：评标方法、评分标准</w:t>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pStyle w:val="990"/>
        <w:spacing w:line="360" w:lineRule="auto"/>
        <w:rPr>
          <w:rFonts w:hAnsi="宋体" w:eastAsia="宋体"/>
          <w:bCs/>
          <w:color w:val="000000" w:themeColor="text1"/>
          <w:highlight w:val="none"/>
          <w14:textFill>
            <w14:solidFill>
              <w14:schemeClr w14:val="tx1"/>
            </w14:solidFill>
          </w14:textFill>
        </w:rPr>
      </w:pPr>
      <w:r>
        <w:rPr>
          <w:rFonts w:hAnsi="宋体" w:eastAsia="宋体"/>
          <w:bCs/>
          <w:color w:val="000000" w:themeColor="text1"/>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pStyle w:val="990"/>
        <w:spacing w:line="360" w:lineRule="auto"/>
        <w:rPr>
          <w:rFonts w:hAnsi="宋体" w:eastAsia="宋体"/>
          <w:bCs/>
          <w:color w:val="000000" w:themeColor="text1"/>
          <w:highlight w:val="none"/>
          <w14:textFill>
            <w14:solidFill>
              <w14:schemeClr w14:val="tx1"/>
            </w14:solidFill>
          </w14:textFill>
        </w:rPr>
      </w:pPr>
      <w:r>
        <w:rPr>
          <w:rFonts w:hAnsi="宋体" w:eastAsia="宋体"/>
          <w:bCs/>
          <w:color w:val="000000" w:themeColor="text1"/>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spacing w:line="360" w:lineRule="auto"/>
        <w:rPr>
          <w:rFonts w:hint="eastAsia" w:ascii="宋体" w:hAnsi="宋体"/>
          <w:bCs/>
          <w:color w:val="000000" w:themeColor="text1"/>
          <w:sz w:val="28"/>
          <w:szCs w:val="20"/>
          <w:highlight w:val="none"/>
          <w14:textFill>
            <w14:solidFill>
              <w14:schemeClr w14:val="tx1"/>
            </w14:solidFill>
          </w14:textFill>
        </w:rPr>
      </w:pPr>
      <w:r>
        <w:rPr>
          <w:rFonts w:hint="eastAsia" w:ascii="宋体" w:hAnsi="宋体"/>
          <w:bCs/>
          <w:color w:val="000000" w:themeColor="text1"/>
          <w:sz w:val="28"/>
          <w:szCs w:val="20"/>
          <w:highlight w:val="none"/>
          <w14:textFill>
            <w14:solidFill>
              <w14:schemeClr w14:val="tx1"/>
            </w14:solidFill>
          </w14:textFill>
        </w:rPr>
      </w:r>
      <w:r/>
    </w:p>
    <w:p>
      <w:pPr>
        <w:pStyle w:val="957"/>
        <w:ind w:firstLine="0"/>
        <w:spacing w:line="360" w:lineRule="auto"/>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p>
      <w:pPr>
        <w:pStyle w:val="743"/>
        <w:jc w:val="center"/>
        <w:spacing w:before="0" w:after="0" w:line="360" w:lineRule="auto"/>
        <w:rPr>
          <w:rFonts w:hint="eastAsia" w:ascii="宋体" w:hAnsi="宋体" w:eastAsia="宋体"/>
          <w:b w:val="0"/>
          <w:color w:val="000000" w:themeColor="text1"/>
          <w:sz w:val="32"/>
          <w:szCs w:val="32"/>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br w:type="page" w:clear="all"/>
      </w:r>
      <w:r>
        <w:rPr>
          <w:rFonts w:hint="eastAsia" w:ascii="宋体" w:hAnsi="宋体" w:eastAsia="宋体"/>
          <w:color w:val="000000" w:themeColor="text1"/>
          <w:highlight w:val="none"/>
          <w14:textFill>
            <w14:solidFill>
              <w14:schemeClr w14:val="tx1"/>
            </w14:solidFill>
          </w14:textFill>
        </w:rPr>
        <w:t xml:space="preserve">第一章  投标邀请函</w:t>
      </w:r>
      <w:r/>
    </w:p>
    <w:p>
      <w:pPr>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w:t>
      </w:r>
      <w:r/>
    </w:p>
    <w:p>
      <w:pPr>
        <w:keepLines/>
        <w:keepNext/>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项目概况</w:t>
      </w:r>
      <w:r/>
    </w:p>
    <w:p>
      <w:pPr>
        <w:ind w:firstLine="482"/>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昆山市城市污水收集处理设施改造工程质量检测项目三标采购项目的潜在供应商应在“苏采云”系统获取采购文件，并于2026年</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月10</w:t>
      </w:r>
      <w:r>
        <w:rPr>
          <w:rFonts w:hint="eastAsia" w:ascii="宋体" w:hAnsi="宋体" w:cs="宋体"/>
          <w:color w:val="000000" w:themeColor="text1"/>
          <w:sz w:val="24"/>
          <w:highlight w:val="none"/>
          <w14:textFill>
            <w14:solidFill>
              <w14:schemeClr w14:val="tx1"/>
            </w14:solidFill>
          </w14:textFill>
        </w:rPr>
        <w:t xml:space="preserve">日13点30分（北京时间）前递交投标文件。</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一、项目基本情况</w:t>
      </w:r>
      <w:r/>
    </w:p>
    <w:p>
      <w:pPr>
        <w:ind w:firstLine="482"/>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1、项目名称：昆山市城市污水收集处理设施改造工程质量检测项目三标</w:t>
      </w:r>
      <w:r/>
    </w:p>
    <w:p>
      <w:pPr>
        <w:ind w:firstLine="482"/>
        <w:jc w:val="left"/>
        <w:spacing w:line="360" w:lineRule="auto"/>
        <w:shd w:val="clear" w:color="auto" w:fill="ffffff"/>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2、项目编号：</w:t>
      </w:r>
      <w:r>
        <w:rPr>
          <w:rFonts w:hint="eastAsia" w:ascii="宋体" w:hAnsi="宋体" w:cs="宋体"/>
          <w:color w:val="000000" w:themeColor="text1"/>
          <w:sz w:val="24"/>
          <w:highlight w:val="none"/>
          <w:lang w:eastAsia="zh-CN"/>
          <w14:textFill>
            <w14:solidFill>
              <w14:schemeClr w14:val="tx1"/>
            </w14:solidFill>
          </w14:textFill>
        </w:rPr>
        <w:t xml:space="preserve">JSZC-320583-SZRY-G2026-0001</w:t>
      </w:r>
      <w:r/>
    </w:p>
    <w:p>
      <w:pPr>
        <w:ind w:firstLine="482"/>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3、采购预算：1000万元</w:t>
      </w:r>
      <w:r/>
    </w:p>
    <w:p>
      <w:pPr>
        <w:ind w:firstLine="482"/>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4、最高限价（如有）：人民币玖佰玖拾万元整（¥9900000.00元）</w:t>
      </w:r>
      <w:r/>
    </w:p>
    <w:p>
      <w:pPr>
        <w:ind w:firstLine="482"/>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5、采购需求：昆山市城市污水收集处理设施改造工程质量检测项目三标（具体详见招标文采购需求）。</w:t>
      </w:r>
      <w:r/>
    </w:p>
    <w:p>
      <w:pPr>
        <w:ind w:firstLine="482"/>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6、合同履行期限：按项目工期（具体根据实际情况按采购人要求实施）</w:t>
      </w:r>
      <w:r/>
    </w:p>
    <w:p>
      <w:pPr>
        <w:ind w:firstLine="482"/>
        <w:jc w:val="left"/>
        <w:spacing w:line="360" w:lineRule="auto"/>
        <w:shd w:val="clear" w:color="auto" w:fill="ffffff"/>
        <w:widowControl/>
        <w:rPr>
          <w:rFonts w:hint="eastAsia" w:eastAsia="宋体" w:asciiTheme="minorEastAsia" w:hAnsiTheme="minorEastAsia" w:cstheme="minorEastAsia"/>
          <w:b/>
          <w:bCs/>
          <w:color w:val="000000" w:themeColor="text1"/>
          <w:szCs w:val="21"/>
          <w:highlight w:val="none"/>
          <w:shd w:val="clear" w:color="auto" w:fill="ffffff"/>
          <w:lang w:eastAsia="zh-CN"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7、本项目（是/否）接受联合体：</w:t>
      </w:r>
      <w:r>
        <w:rPr>
          <w:rFonts w:hint="eastAsia" w:ascii="宋体" w:hAnsi="宋体" w:cs="宋体"/>
          <w:color w:val="000000" w:themeColor="text1"/>
          <w:sz w:val="24"/>
          <w:highlight w:val="none"/>
          <w:lang w:val="en-US" w:eastAsia="zh-CN"/>
          <w14:textFill>
            <w14:solidFill>
              <w14:schemeClr w14:val="tx1"/>
            </w14:solidFill>
          </w14:textFill>
        </w:rPr>
        <w:t xml:space="preserve">是</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二、投标人资格要求</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1、一般资格条件要求：</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（1）具有独立承担民事责任的能力；</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（2）具有良好的商业信誉和健全的财务会计制度；</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（3）具有履行合同所必需的设备和专业技术能力；</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（4）具有依法缴纳税收和社会保障资金的良好记录；</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（5）参加采购活动近三年内，在经营活动中没有重大违法记录；</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（6）法律、行政法规规定的其他条件。</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2、落实政府采购政策需满足的资格要求：本项目专门面向中小企业采购。残疾人福利性单位、监狱企业视同小型、微型企业。所属行业为其他未列明行业。</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（1）未被“信用中国”网站或“中国政府采购网”网站列入失信被执行人、重大税收违法案件当事人名单、政府采购严重失信行为记录名单；</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本项目接受联合体，如为联合体投标需满足以下条件；</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①联合体各方应按格式签订联合体协议书</w:t>
      </w:r>
      <w:bookmarkStart w:id="139" w:name="_GoBack"/>
      <w:r/>
      <w:bookmarkEnd w:id="139"/>
      <w:r>
        <w:rPr>
          <w:rFonts w:hint="eastAsia" w:ascii="宋体" w:hAnsi="宋体" w:cs="宋体"/>
          <w:color w:val="000000" w:themeColor="text1"/>
          <w:sz w:val="24"/>
          <w:highlight w:val="none"/>
          <w:lang w:val="en-US" w:eastAsia="zh-CN"/>
          <w14:textFill>
            <w14:solidFill>
              <w14:schemeClr w14:val="tx1"/>
            </w14:solidFill>
          </w14:textFill>
        </w:rPr>
        <w:t xml:space="preserve">，明确联合体牵头人和各方权利义务；</w:t>
      </w:r>
      <w:r/>
    </w:p>
    <w:p>
      <w:pPr>
        <w:ind w:firstLine="480"/>
        <w:jc w:val="left"/>
        <w:spacing w:line="360" w:lineRule="auto"/>
        <w:shd w:val="clear" w:color="auto" w:fill="ffffff"/>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②联合体各成员单位应当具备与联合体协议中约定的分工相适应的资质和能力；</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③联合体各方不得再以各自名义单独或参加其他联合体在同一标段中投标；</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④联合体各方必须指定牵头人，授权其代表所有联合体成员负责投标和合同实施阶段的主办、协调工作，并应当向招标人提交由所有联合体成员法定代表人签署的授权书；</w:t>
      </w:r>
      <w:r/>
    </w:p>
    <w:p>
      <w:pPr>
        <w:ind w:firstLine="480"/>
        <w:jc w:val="left"/>
        <w:spacing w:line="360" w:lineRule="auto"/>
        <w:shd w:val="clear" w:color="auto" w:fill="ffffff"/>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⑤联合体最多只能由两家单位组成（含牵头单位）；</w:t>
      </w:r>
      <w:r/>
    </w:p>
    <w:p>
      <w:pPr>
        <w:ind w:firstLine="480"/>
        <w:jc w:val="left"/>
        <w:spacing w:line="360" w:lineRule="auto"/>
        <w:shd w:val="clear" w:color="auto" w:fill="ffffff"/>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项目负责人须为联合体牵头人单位的员工。</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三、获取招标文件</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1、时间：自招标文件公告发布之日起5个工作日</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shd w:val="clear" w:color="auto" w:fill="ffffff"/>
          <w:lang w:bidi="ar"/>
          <w14:textFill>
            <w14:solidFill>
              <w14:schemeClr w14:val="tx1"/>
            </w14:solidFill>
          </w14:textFill>
        </w:rPr>
        <w:t xml:space="preserve">2、地点：</w:t>
      </w:r>
      <w:r>
        <w:rPr>
          <w:rFonts w:hint="eastAsia" w:ascii="宋体" w:hAnsi="宋体" w:cs="宋体"/>
          <w:color w:val="000000" w:themeColor="text1"/>
          <w:sz w:val="24"/>
          <w:highlight w:val="none"/>
          <w14:textFill>
            <w14:solidFill>
              <w14:schemeClr w14:val="tx1"/>
            </w14:solidFill>
          </w14:textFill>
        </w:rPr>
        <w:t xml:space="preserve">“苏采云”系统</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shd w:val="clear" w:color="auto" w:fill="ffffff"/>
          <w:lang w:bidi="ar"/>
          <w14:textFill>
            <w14:solidFill>
              <w14:schemeClr w14:val="tx1"/>
            </w14:solidFill>
          </w14:textFill>
        </w:rPr>
        <w:t xml:space="preserve">3、方式：</w:t>
      </w:r>
      <w:r>
        <w:rPr>
          <w:rFonts w:hint="eastAsia" w:ascii="宋体" w:hAnsi="宋体" w:cs="宋体"/>
          <w:color w:val="000000" w:themeColor="text1"/>
          <w:sz w:val="24"/>
          <w:highlight w:val="none"/>
          <w14:textFill>
            <w14:solidFill>
              <w14:schemeClr w14:val="tx1"/>
            </w14:solidFill>
          </w14:textFill>
        </w:rPr>
        <w:t xml:space="preserve">供应商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4、售价：0.00元</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shd w:val="clear" w:color="auto" w:fill="ffffff"/>
          <w:lang w:bidi="ar"/>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四、提交投标文件截止时间、开标时间和地点</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1、提交投标文件截止时间：2026年</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月10</w:t>
      </w:r>
      <w:r>
        <w:rPr>
          <w:rFonts w:hint="eastAsia" w:ascii="宋体" w:hAnsi="宋体" w:cs="宋体"/>
          <w:color w:val="000000" w:themeColor="text1"/>
          <w:sz w:val="24"/>
          <w:highlight w:val="none"/>
          <w14:textFill>
            <w14:solidFill>
              <w14:schemeClr w14:val="tx1"/>
            </w14:solidFill>
          </w14:textFill>
        </w:rPr>
        <w:t xml:space="preserve">日13点30分（北京时间）；</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2、开标时间：2026年</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日13点30分（北京时间）；</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shd w:val="clear" w:color="auto" w:fill="ffffff"/>
          <w:lang w:bidi="ar"/>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开标地点：“苏采云”系统。本项目采用电子招投标形式，请供应商按照《苏采云系统供应商操作手册》进行制作、上传电子响应文件。电子响应文件制作完成后请于响应文件提交截止时间前成功上传至“苏采云”系统，否则视为放弃参加该采购项目。</w:t>
      </w:r>
      <w:r>
        <w:rPr>
          <w:rFonts w:hint="eastAsia" w:ascii="宋体" w:hAnsi="宋体" w:cs="宋体"/>
          <w:b/>
          <w:color w:val="000000" w:themeColor="text1"/>
          <w:sz w:val="24"/>
          <w:highlight w:val="none"/>
          <w14:textFill>
            <w14:solidFill>
              <w14:schemeClr w14:val="tx1"/>
            </w14:solidFill>
          </w14:textFill>
        </w:rPr>
        <w:t xml:space="preserve">供应商应充分考虑到网络环境、网络带宽等风险因素，如因供应商自身原因造成的电子投标文件上传不成功由供应商自行承担全部责任。</w:t>
      </w:r>
      <w:r/>
    </w:p>
    <w:p>
      <w:pPr>
        <w:ind w:firstLine="482"/>
        <w:keepLines/>
        <w:keepNext/>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五、</w:t>
      </w:r>
      <w:r>
        <w:rPr>
          <w:rFonts w:hint="eastAsia" w:ascii="宋体" w:hAnsi="宋体" w:cs="宋体"/>
          <w:b/>
          <w:color w:val="000000" w:themeColor="text1"/>
          <w:sz w:val="24"/>
          <w:highlight w:val="none"/>
          <w14:textFill>
            <w14:solidFill>
              <w14:schemeClr w14:val="tx1"/>
            </w14:solidFill>
          </w14:textFill>
        </w:rPr>
        <w:t xml:space="preserve">公告期限</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自本公告发布之日起5个工作日。</w:t>
      </w:r>
      <w:r/>
    </w:p>
    <w:p>
      <w:pPr>
        <w:ind w:firstLine="482"/>
        <w:keepLines/>
        <w:keepNext/>
        <w:spacing w:line="400" w:lineRule="exact"/>
        <w:rPr>
          <w:rFonts w:hint="eastAsia" w:ascii="宋体" w:hAnsi="宋体" w:cs="宋体"/>
          <w:b/>
          <w:color w:val="000000" w:themeColor="text1"/>
          <w:sz w:val="24"/>
          <w:highlight w:val="none"/>
          <w14:textFill>
            <w14:solidFill>
              <w14:schemeClr w14:val="tx1"/>
            </w14:solidFill>
          </w14:textFill>
        </w:rPr>
      </w:pPr>
      <w:r/>
      <w:bookmarkStart w:id="0" w:name="_Toc35393795"/>
      <w:r/>
      <w:bookmarkStart w:id="1" w:name="_Toc35393626"/>
      <w:r>
        <w:rPr>
          <w:rFonts w:hint="eastAsia" w:ascii="宋体" w:hAnsi="宋体" w:cs="宋体"/>
          <w:b/>
          <w:color w:val="000000" w:themeColor="text1"/>
          <w:sz w:val="24"/>
          <w:highlight w:val="none"/>
          <w14:textFill>
            <w14:solidFill>
              <w14:schemeClr w14:val="tx1"/>
            </w14:solidFill>
          </w14:textFill>
        </w:rPr>
        <w:t xml:space="preserve">六、其他补充事宜</w:t>
      </w:r>
      <w:bookmarkEnd w:id="0"/>
      <w:r/>
      <w:bookmarkEnd w:id="1"/>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1、根据苏州市财政局《关于深入开展苏州市政府采购合同信用融资业务的通知》相关要求，本项目支持政府采购合同信用融资。</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2、CA办理：“苏采云”系统使用江苏省电子政务证书认证中心CA证书和方正国际软件（北京）有限公司电子签章。供应商通过“苏采云”系统参与政府采购项目，需要办理上述CA数字证书和电子签章。</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在“苏采云”系统中操作参与项目后，必须在“已参与项目”界面中下载电子采购文件（后缀名为“.kedt”）并导入政府采购客户端工具后方可进行响应文件制作和提交（具体详见《苏采云系统供应商操作手册》）。</w:t>
      </w:r>
      <w:r/>
    </w:p>
    <w:p>
      <w:pPr>
        <w:ind w:firstLine="480"/>
        <w:spacing w:line="40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highlight w:val="none"/>
          <w14:textFill>
            <w14:solidFill>
              <w14:schemeClr w14:val="tx1"/>
            </w14:solidFill>
          </w14:textFill>
        </w:rPr>
        <w:t xml:space="preserve">本项目为不见面开标项目，开启阶段供应商在【供应商解密】环节必须使用 CA证书解密电子投标文件，如在系统规定的解密时间（投标文件提交截止时间后30分钟)内未能完成解密的视为放弃参与本项目。请供应商确保电脑、系统及其他设备（视频输入输出设备等）无误，且开启直至项目结束始终保持系统在线状态。</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5、在系统操作过程中如有疑问，请按以下方式联系：</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注册咨询：18261002950；</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签章使用问题：025-83633811、025-83633812、15380932027、15371015030；</w:t>
      </w:r>
      <w:r/>
    </w:p>
    <w:p>
      <w:pPr>
        <w:ind w:firstLine="480"/>
        <w:jc w:val="left"/>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系统使用指导与咨询：联系电话：18261002950；QQ：3048755361、1315179389、895706745。</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6、本项目获取采购文件截止日期之后仍可以下载采购文件，但截止日期之后下载的采购文件，视为非有效方式且不作为供应商权益受到损害的证明材料和依据。</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7、本次采购的相关信息刊登在苏州政府采购网、江苏政府采购网</w:t>
      </w:r>
      <w:r>
        <w:rPr>
          <w:rFonts w:hint="eastAsia" w:ascii="宋体" w:hAnsi="宋体" w:cs="宋体"/>
          <w:color w:val="000000" w:themeColor="text1"/>
          <w:sz w:val="24"/>
          <w:highlight w:val="none"/>
          <w:lang w:val="zh-CN"/>
          <w14:textFill>
            <w14:solidFill>
              <w14:schemeClr w14:val="tx1"/>
            </w14:solidFill>
          </w14:textFill>
        </w:rPr>
        <w:t xml:space="preserve">、中国政府采购网上发布，成交公告亦是刊登在此媒体，敬请各供应商注意</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8、政府采购监管处电话：</w:t>
      </w:r>
      <w:r>
        <w:rPr>
          <w:rFonts w:hint="eastAsia" w:asciiTheme="minorEastAsia" w:hAnsiTheme="minorEastAsia" w:eastAsiaTheme="minorEastAsia" w:cstheme="minorEastAsia"/>
          <w:color w:val="000000" w:themeColor="text1"/>
          <w:szCs w:val="21"/>
          <w:highlight w:val="none"/>
          <w:shd w:val="clear" w:color="auto" w:fill="ffffff"/>
          <w:lang w:bidi="ar"/>
          <w14:textFill>
            <w14:solidFill>
              <w14:schemeClr w14:val="tx1"/>
            </w14:solidFill>
          </w14:textFill>
        </w:rPr>
        <w:t xml:space="preserve">0512-57310854</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七、联系事项</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1、采购人：昆山市水务局</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地址：苏州市昆山市玉山镇鹿城路535号5楼 </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联系人：张工            联系电话：0512-55250850</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2、招标代理机构：苏州润禹工程咨询管理有限公司</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地址：苏州市吴中区重楼路9号 </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联系人：孙佳        联系电话：0512-65857193  </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3、昆山市政府采购监督电话：0512-57310854</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shd w:val="clear" w:color="auto" w:fill="ffffff"/>
          <w:lang w:bidi="ar"/>
          <w14:textFill>
            <w14:solidFill>
              <w14:schemeClr w14:val="tx1"/>
            </w14:solidFill>
          </w14:textFill>
        </w:rPr>
        <w:t xml:space="preserve">七、其他</w:t>
      </w:r>
      <w:r/>
    </w:p>
    <w:p>
      <w:pPr>
        <w:ind w:firstLine="480"/>
        <w:jc w:val="lef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本项目获取招标文件截止日期之后仍可下载招标文件，但截止日期之后下载的招标文件，视为非有效方式且不作为供应商权益受到损害的证明材料和依据。</w:t>
      </w:r>
      <w:r/>
    </w:p>
    <w:p>
      <w:pPr>
        <w:ind w:firstLine="480"/>
        <w:jc w:val="righ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苏州润禹工程咨询管理有限公司</w:t>
      </w:r>
      <w:r/>
    </w:p>
    <w:p>
      <w:pPr>
        <w:ind w:firstLine="480"/>
        <w:jc w:val="right"/>
        <w:spacing w:line="360" w:lineRule="auto"/>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202</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日</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p>
    <w:p>
      <w:pPr>
        <w:pStyle w:val="743"/>
        <w:jc w:val="center"/>
        <w:spacing w:before="0" w:after="0"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第二章  投标人须知</w:t>
      </w:r>
      <w:r/>
    </w:p>
    <w:p>
      <w:pPr>
        <w:ind w:firstLine="327"/>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2" w:name="_Toc513029203"/>
      <w:r/>
      <w:bookmarkStart w:id="3" w:name="_Toc20823275"/>
      <w:r/>
      <w:bookmarkStart w:id="4" w:name="_Toc120614214"/>
      <w:r/>
      <w:bookmarkStart w:id="5" w:name="_Toc16938519"/>
      <w:r>
        <w:rPr>
          <w:rFonts w:hint="eastAsia" w:ascii="Times New Roman" w:hAnsi="Times New Roman"/>
          <w:b/>
          <w:bCs/>
          <w:color w:val="000000" w:themeColor="text1"/>
          <w:szCs w:val="21"/>
          <w:highlight w:val="none"/>
          <w14:textFill>
            <w14:solidFill>
              <w14:schemeClr w14:val="tx1"/>
            </w14:solidFill>
          </w14:textFill>
        </w:rPr>
        <w:t xml:space="preserve">一、总则</w:t>
      </w:r>
      <w:bookmarkEnd w:id="2"/>
      <w:r/>
      <w:bookmarkEnd w:id="3"/>
      <w:r/>
      <w:bookmarkEnd w:id="4"/>
      <w:r/>
      <w:bookmarkEnd w:id="5"/>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6" w:name="_Hlt16619475"/>
      <w:r/>
      <w:bookmarkEnd w:id="6"/>
      <w:r/>
      <w:bookmarkStart w:id="7" w:name="_Toc458694821"/>
      <w:r/>
      <w:bookmarkStart w:id="8" w:name="_Toc513029204"/>
      <w:r/>
      <w:bookmarkStart w:id="9" w:name="_Toc16938520"/>
      <w:r/>
      <w:bookmarkStart w:id="10" w:name="_Toc20823276"/>
      <w:r>
        <w:rPr>
          <w:rFonts w:hint="eastAsia" w:ascii="宋体" w:hAnsi="宋体" w:eastAsia="黑体" w:cs="Arial"/>
          <w:b/>
          <w:bCs/>
          <w:color w:val="000000" w:themeColor="text1"/>
          <w:szCs w:val="21"/>
          <w:highlight w:val="none"/>
          <w14:textFill>
            <w14:solidFill>
              <w14:schemeClr w14:val="tx1"/>
            </w14:solidFill>
          </w14:textFill>
        </w:rPr>
        <w:t xml:space="preserve">1</w:t>
      </w:r>
      <w:bookmarkEnd w:id="7"/>
      <w:r>
        <w:rPr>
          <w:rFonts w:hint="eastAsia" w:ascii="宋体" w:hAnsi="宋体" w:eastAsia="黑体" w:cs="Arial"/>
          <w:b/>
          <w:bCs/>
          <w:color w:val="000000" w:themeColor="text1"/>
          <w:szCs w:val="21"/>
          <w:highlight w:val="none"/>
          <w14:textFill>
            <w14:solidFill>
              <w14:schemeClr w14:val="tx1"/>
            </w14:solidFill>
          </w14:textFill>
        </w:rPr>
        <w:t xml:space="preserve">、</w:t>
      </w:r>
      <w:r>
        <w:rPr>
          <w:rFonts w:hint="eastAsia" w:ascii="Arial" w:hAnsi="Arial" w:eastAsia="黑体" w:cs="Arial"/>
          <w:color w:val="000000" w:themeColor="text1"/>
          <w:szCs w:val="21"/>
          <w:highlight w:val="none"/>
          <w14:textFill>
            <w14:solidFill>
              <w14:schemeClr w14:val="tx1"/>
            </w14:solidFill>
          </w14:textFill>
        </w:rPr>
        <w:t xml:space="preserve">招标方式</w:t>
      </w:r>
      <w:bookmarkEnd w:id="8"/>
      <w:r/>
      <w:bookmarkEnd w:id="9"/>
      <w:r/>
      <w:bookmarkEnd w:id="10"/>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 本次招标采取公开招标方式，本招标文件仅适用于招标公告中所述项目。</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11" w:name="_Toc20823277"/>
      <w:r/>
      <w:bookmarkStart w:id="12" w:name="_Toc16938521"/>
      <w:r/>
      <w:bookmarkStart w:id="13" w:name="_Toc513029205"/>
      <w:r>
        <w:rPr>
          <w:rFonts w:hint="eastAsia" w:ascii="宋体" w:hAnsi="宋体" w:eastAsia="黑体" w:cs="Arial"/>
          <w:b/>
          <w:bCs/>
          <w:color w:val="000000" w:themeColor="text1"/>
          <w:szCs w:val="21"/>
          <w:highlight w:val="none"/>
          <w14:textFill>
            <w14:solidFill>
              <w14:schemeClr w14:val="tx1"/>
            </w14:solidFill>
          </w14:textFill>
        </w:rPr>
        <w:t xml:space="preserve">2、</w:t>
      </w:r>
      <w:r>
        <w:rPr>
          <w:rFonts w:hint="eastAsia" w:ascii="Arial" w:hAnsi="Arial" w:eastAsia="黑体" w:cs="Arial"/>
          <w:color w:val="000000" w:themeColor="text1"/>
          <w:szCs w:val="21"/>
          <w:highlight w:val="none"/>
          <w14:textFill>
            <w14:solidFill>
              <w14:schemeClr w14:val="tx1"/>
            </w14:solidFill>
          </w14:textFill>
        </w:rPr>
        <w:t xml:space="preserve">合格的投标人</w:t>
      </w:r>
      <w:bookmarkEnd w:id="11"/>
      <w:r/>
      <w:bookmarkEnd w:id="12"/>
      <w:r/>
      <w:bookmarkEnd w:id="13"/>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2.1满足招标公告中供应商的资格要求的规定。</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 满足本文件实质性要求和条件的规定。</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14" w:name="_Toc20823278"/>
      <w:r/>
      <w:bookmarkStart w:id="15" w:name="_Toc16938522"/>
      <w:r/>
      <w:bookmarkStart w:id="16" w:name="_Toc513029206"/>
      <w:r>
        <w:rPr>
          <w:rFonts w:hint="eastAsia" w:ascii="宋体" w:hAnsi="宋体" w:eastAsia="黑体" w:cs="Arial"/>
          <w:b/>
          <w:bCs/>
          <w:color w:val="000000" w:themeColor="text1"/>
          <w:szCs w:val="21"/>
          <w:highlight w:val="none"/>
          <w14:textFill>
            <w14:solidFill>
              <w14:schemeClr w14:val="tx1"/>
            </w14:solidFill>
          </w14:textFill>
        </w:rPr>
        <w:t xml:space="preserve">3、</w:t>
      </w:r>
      <w:r>
        <w:rPr>
          <w:rFonts w:hint="eastAsia" w:ascii="Arial" w:hAnsi="Arial" w:eastAsia="黑体" w:cs="Arial"/>
          <w:color w:val="000000" w:themeColor="text1"/>
          <w:szCs w:val="21"/>
          <w:highlight w:val="none"/>
          <w14:textFill>
            <w14:solidFill>
              <w14:schemeClr w14:val="tx1"/>
            </w14:solidFill>
          </w14:textFill>
        </w:rPr>
        <w:t xml:space="preserve">适用法律</w:t>
      </w:r>
      <w:bookmarkEnd w:id="14"/>
      <w:r/>
      <w:bookmarkEnd w:id="15"/>
      <w:r/>
      <w:bookmarkEnd w:id="16"/>
      <w:r/>
      <w:r/>
    </w:p>
    <w:p>
      <w:pPr>
        <w:ind w:firstLine="367"/>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Cs w:val="21"/>
          <w:highlight w:val="none"/>
          <w14:textFill>
            <w14:solidFill>
              <w14:schemeClr w14:val="tx1"/>
            </w14:solidFill>
          </w14:textFill>
        </w:rPr>
        <w:t xml:space="preserve">。</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17" w:name="_Toc16938523"/>
      <w:r/>
      <w:bookmarkStart w:id="18" w:name="_Toc20823279"/>
      <w:r/>
      <w:bookmarkStart w:id="19" w:name="_Toc513029207"/>
      <w:r/>
      <w:bookmarkStart w:id="20" w:name="_Toc462564067"/>
      <w:r>
        <w:rPr>
          <w:rFonts w:hint="eastAsia" w:ascii="宋体" w:hAnsi="宋体" w:eastAsia="黑体" w:cs="Arial"/>
          <w:b/>
          <w:bCs/>
          <w:color w:val="000000" w:themeColor="text1"/>
          <w:szCs w:val="21"/>
          <w:highlight w:val="none"/>
          <w14:textFill>
            <w14:solidFill>
              <w14:schemeClr w14:val="tx1"/>
            </w14:solidFill>
          </w14:textFill>
        </w:rPr>
        <w:t xml:space="preserve">4、</w:t>
      </w:r>
      <w:r>
        <w:rPr>
          <w:rFonts w:hint="eastAsia" w:ascii="Arial" w:hAnsi="Arial" w:eastAsia="黑体" w:cs="Arial"/>
          <w:color w:val="000000" w:themeColor="text1"/>
          <w:szCs w:val="21"/>
          <w:highlight w:val="none"/>
          <w14:textFill>
            <w14:solidFill>
              <w14:schemeClr w14:val="tx1"/>
            </w14:solidFill>
          </w14:textFill>
        </w:rPr>
        <w:t xml:space="preserve">投标费用</w:t>
      </w:r>
      <w:bookmarkEnd w:id="17"/>
      <w:r/>
      <w:bookmarkEnd w:id="18"/>
      <w:r/>
      <w:bookmarkEnd w:id="19"/>
      <w:r/>
      <w:bookmarkEnd w:id="20"/>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4.1</w:t>
      </w:r>
      <w:r>
        <w:rPr>
          <w:rFonts w:hint="eastAsia" w:ascii="宋体" w:hAnsi="宋体"/>
          <w:color w:val="000000" w:themeColor="text1"/>
          <w:szCs w:val="21"/>
          <w:highlight w:val="none"/>
          <w14:textFill>
            <w14:solidFill>
              <w14:schemeClr w14:val="tx1"/>
            </w14:solidFill>
          </w14:textFill>
        </w:rPr>
        <w:t xml:space="preserve"> 投标人应自行承担所有与参加投标有关的费用，无论投标过程中的做法和结果如何，苏州润禹工程咨询管理有限公司在任何情况下均无义务和责任承担这些费用。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中标单位须向招标代理机构缴纳中标服务费：以差额累进法的七折收费（按预算金额100万元以下，收取1.5%；100-500万元，收取1.1%；500-1000万元，收取0.8%；1000-5000万元，收取0.5%，5000-10000万元，收取0.25%；若不足3000元按3000元计）。</w:t>
      </w:r>
      <w:r/>
    </w:p>
    <w:p>
      <w:pPr>
        <w:ind w:firstLine="422"/>
        <w:keepLines/>
        <w:keepNext/>
        <w:spacing w:line="360" w:lineRule="auto"/>
        <w:rPr>
          <w:rFonts w:hint="eastAsia" w:ascii="黑体" w:hAnsi="宋体" w:eastAsia="黑体" w:cs="Arial"/>
          <w:color w:val="000000" w:themeColor="text1"/>
          <w:szCs w:val="21"/>
          <w:highlight w:val="none"/>
          <w14:textFill>
            <w14:solidFill>
              <w14:schemeClr w14:val="tx1"/>
            </w14:solidFill>
          </w14:textFill>
        </w:rPr>
        <w:outlineLvl w:val="3"/>
      </w:pPr>
      <w:r>
        <w:rPr>
          <w:rFonts w:hint="eastAsia" w:ascii="宋体" w:hAnsi="宋体" w:eastAsia="黑体" w:cs="Arial"/>
          <w:b/>
          <w:bCs/>
          <w:color w:val="000000" w:themeColor="text1"/>
          <w:szCs w:val="21"/>
          <w:highlight w:val="none"/>
          <w14:textFill>
            <w14:solidFill>
              <w14:schemeClr w14:val="tx1"/>
            </w14:solidFill>
          </w14:textFill>
        </w:rPr>
        <w:t xml:space="preserve">5、</w:t>
      </w:r>
      <w:r>
        <w:rPr>
          <w:rFonts w:hint="eastAsia" w:ascii="黑体" w:hAnsi="宋体" w:eastAsia="黑体" w:cs="Arial"/>
          <w:color w:val="000000" w:themeColor="text1"/>
          <w:szCs w:val="21"/>
          <w:highlight w:val="none"/>
          <w14:textFill>
            <w14:solidFill>
              <w14:schemeClr w14:val="tx1"/>
            </w14:solidFill>
          </w14:textFill>
        </w:rPr>
        <w:t xml:space="preserve">招标文件的约束力</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5.1</w:t>
      </w:r>
      <w:r>
        <w:rPr>
          <w:rFonts w:hint="eastAsia" w:ascii="宋体" w:hAnsi="宋体"/>
          <w:color w:val="000000" w:themeColor="text1"/>
          <w:szCs w:val="21"/>
          <w:highlight w:val="none"/>
          <w14:textFill>
            <w14:solidFill>
              <w14:schemeClr w14:val="tx1"/>
            </w14:solidFill>
          </w14:textFill>
        </w:rPr>
        <w:t xml:space="preserve"> 投标人一旦参加本项目采购活动，即被认为接受了本招标文件的规定和约束。</w:t>
      </w:r>
      <w:r/>
    </w:p>
    <w:p>
      <w:pPr>
        <w:ind w:firstLine="211"/>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21" w:name="_Toc120614215"/>
      <w:r/>
      <w:bookmarkStart w:id="22" w:name="_Toc20823281"/>
      <w:r/>
      <w:bookmarkStart w:id="23" w:name="_Toc16938525"/>
      <w:r/>
      <w:bookmarkStart w:id="24" w:name="_Toc513029209"/>
      <w:r>
        <w:rPr>
          <w:rFonts w:hint="eastAsia" w:ascii="Times New Roman" w:hAnsi="Times New Roman"/>
          <w:b/>
          <w:bCs/>
          <w:color w:val="000000" w:themeColor="text1"/>
          <w:szCs w:val="21"/>
          <w:highlight w:val="none"/>
          <w14:textFill>
            <w14:solidFill>
              <w14:schemeClr w14:val="tx1"/>
            </w14:solidFill>
          </w14:textFill>
        </w:rPr>
        <w:t xml:space="preserve">二、招标文件</w:t>
      </w:r>
      <w:bookmarkEnd w:id="21"/>
      <w:r/>
      <w:bookmarkEnd w:id="22"/>
      <w:r/>
      <w:bookmarkEnd w:id="23"/>
      <w:r/>
      <w:bookmarkEnd w:id="24"/>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25" w:name="_Toc513029210"/>
      <w:r/>
      <w:bookmarkStart w:id="26" w:name="_Toc16938526"/>
      <w:r/>
      <w:bookmarkStart w:id="27" w:name="_Toc20823282"/>
      <w:r>
        <w:rPr>
          <w:rFonts w:hint="eastAsia" w:ascii="Arial" w:hAnsi="Arial" w:eastAsia="黑体" w:cs="Arial"/>
          <w:color w:val="000000" w:themeColor="text1"/>
          <w:szCs w:val="21"/>
          <w:highlight w:val="none"/>
          <w14:textFill>
            <w14:solidFill>
              <w14:schemeClr w14:val="tx1"/>
            </w14:solidFill>
          </w14:textFill>
        </w:rPr>
        <w:t xml:space="preserve">6、招标文件构成</w:t>
      </w:r>
      <w:bookmarkEnd w:id="25"/>
      <w:r/>
      <w:bookmarkEnd w:id="26"/>
      <w:r/>
      <w:bookmarkEnd w:id="27"/>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6.1</w:t>
      </w:r>
      <w:r>
        <w:rPr>
          <w:rFonts w:hint="eastAsia" w:ascii="宋体" w:hAnsi="宋体"/>
          <w:color w:val="000000" w:themeColor="text1"/>
          <w:szCs w:val="21"/>
          <w:highlight w:val="none"/>
          <w14:textFill>
            <w14:solidFill>
              <w14:schemeClr w14:val="tx1"/>
            </w14:solidFill>
          </w14:textFill>
        </w:rPr>
        <w:t xml:space="preserve"> 招标文件由以下部分组成：</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（1）投标邀请函</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（2）投标人须知</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（3）投标文件格式</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（4）招标书</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（5）采购合同</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（6）评标方法、评分标准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请仔细检查招标文件是否齐全，如有缺漏请立即与招标代理机构联系解决。</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6.2</w:t>
      </w:r>
      <w:r>
        <w:rPr>
          <w:rFonts w:hint="eastAsia" w:ascii="宋体" w:hAnsi="宋体"/>
          <w:color w:val="000000" w:themeColor="text1"/>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28" w:name="_Toc513029211"/>
      <w:r/>
      <w:bookmarkStart w:id="29" w:name="_Toc462564070"/>
      <w:r/>
      <w:bookmarkStart w:id="30" w:name="_Toc20823283"/>
      <w:r/>
      <w:bookmarkStart w:id="31" w:name="_Toc16938527"/>
      <w:r>
        <w:rPr>
          <w:rFonts w:hint="eastAsia" w:ascii="Arial" w:hAnsi="Arial" w:eastAsia="黑体" w:cs="Arial"/>
          <w:color w:val="000000" w:themeColor="text1"/>
          <w:szCs w:val="21"/>
          <w:highlight w:val="none"/>
          <w14:textFill>
            <w14:solidFill>
              <w14:schemeClr w14:val="tx1"/>
            </w14:solidFill>
          </w14:textFill>
        </w:rPr>
        <w:t xml:space="preserve">7、招标文件的澄清</w:t>
      </w:r>
      <w:bookmarkEnd w:id="28"/>
      <w:r/>
      <w:bookmarkEnd w:id="29"/>
      <w:r/>
      <w:bookmarkEnd w:id="30"/>
      <w:r/>
      <w:bookmarkEnd w:id="31"/>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7.1</w:t>
      </w:r>
      <w:r>
        <w:rPr>
          <w:rFonts w:hint="eastAsia" w:ascii="宋体" w:hAnsi="宋体"/>
          <w:color w:val="000000" w:themeColor="text1"/>
          <w:szCs w:val="21"/>
          <w:highlight w:val="none"/>
          <w14:textFill>
            <w14:solidFill>
              <w14:schemeClr w14:val="tx1"/>
            </w14:solidFill>
          </w14:textFill>
        </w:rPr>
        <w:t xml:space="preserve"> 任何要求对招标文件进行澄清的投标人，应在投标截止期</w:t>
      </w:r>
      <w:r>
        <w:rPr>
          <w:rFonts w:hint="eastAsia" w:ascii="仿宋_GB2312" w:hAnsi="仿宋_GB2312"/>
          <w:b/>
          <w:color w:val="000000" w:themeColor="text1"/>
          <w:szCs w:val="21"/>
          <w:highlight w:val="none"/>
          <w14:textFill>
            <w14:solidFill>
              <w14:schemeClr w14:val="tx1"/>
            </w14:solidFill>
          </w14:textFill>
        </w:rPr>
        <w:t xml:space="preserve">十日</w:t>
      </w:r>
      <w:r>
        <w:rPr>
          <w:rFonts w:hint="eastAsia" w:ascii="仿宋_GB2312" w:hAnsi="仿宋_GB2312"/>
          <w:color w:val="000000" w:themeColor="text1"/>
          <w:szCs w:val="21"/>
          <w:highlight w:val="none"/>
          <w14:textFill>
            <w14:solidFill>
              <w14:schemeClr w14:val="tx1"/>
            </w14:solidFill>
          </w14:textFill>
        </w:rPr>
        <w:t xml:space="preserve">前</w:t>
      </w:r>
      <w:r>
        <w:rPr>
          <w:rFonts w:hint="eastAsia" w:ascii="宋体" w:hAnsi="宋体"/>
          <w:color w:val="000000" w:themeColor="text1"/>
          <w:szCs w:val="21"/>
          <w:highlight w:val="none"/>
          <w14:textFill>
            <w14:solidFill>
              <w14:schemeClr w14:val="tx1"/>
            </w14:solidFill>
          </w14:textFill>
        </w:rPr>
        <w:t xml:space="preserve">按招标公告中的通讯地址，以书面形式通知招标代理机构。</w:t>
      </w:r>
      <w:r/>
    </w:p>
    <w:p>
      <w:pPr>
        <w:ind w:firstLine="420"/>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32" w:name="_Toc462564071"/>
      <w:r/>
      <w:bookmarkStart w:id="33" w:name="_Toc513029212"/>
      <w:r/>
      <w:bookmarkStart w:id="34" w:name="_Toc16938528"/>
      <w:r/>
      <w:bookmarkStart w:id="35" w:name="_Toc20823284"/>
      <w:r>
        <w:rPr>
          <w:rFonts w:hint="eastAsia" w:ascii="Arial" w:hAnsi="Arial" w:eastAsia="黑体" w:cs="Arial"/>
          <w:color w:val="000000" w:themeColor="text1"/>
          <w:szCs w:val="21"/>
          <w:highlight w:val="none"/>
          <w14:textFill>
            <w14:solidFill>
              <w14:schemeClr w14:val="tx1"/>
            </w14:solidFill>
          </w14:textFill>
        </w:rPr>
        <w:t xml:space="preserve">8、招标文件的修改</w:t>
      </w:r>
      <w:bookmarkEnd w:id="32"/>
      <w:r/>
      <w:bookmarkEnd w:id="33"/>
      <w:r/>
      <w:bookmarkEnd w:id="34"/>
      <w:r/>
      <w:bookmarkEnd w:id="35"/>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8.1</w:t>
      </w:r>
      <w:r>
        <w:rPr>
          <w:rFonts w:hint="eastAsia" w:ascii="宋体" w:hAnsi="宋体"/>
          <w:color w:val="000000" w:themeColor="text1"/>
          <w:szCs w:val="21"/>
          <w:highlight w:val="none"/>
          <w14:textFill>
            <w14:solidFill>
              <w14:schemeClr w14:val="tx1"/>
            </w14:solidFill>
          </w14:textFill>
        </w:rPr>
        <w:t xml:space="preserve"> 在投标截止时间</w:t>
      </w:r>
      <w:r>
        <w:rPr>
          <w:rFonts w:hint="eastAsia" w:ascii="仿宋_GB2312" w:hAnsi="仿宋_GB2312"/>
          <w:color w:val="000000" w:themeColor="text1"/>
          <w:szCs w:val="21"/>
          <w:highlight w:val="none"/>
          <w14:textFill>
            <w14:solidFill>
              <w14:schemeClr w14:val="tx1"/>
            </w14:solidFill>
          </w14:textFill>
        </w:rPr>
        <w:t xml:space="preserve">前</w:t>
      </w:r>
      <w:r>
        <w:rPr>
          <w:rFonts w:hint="eastAsia" w:ascii="宋体" w:hAnsi="宋体"/>
          <w:color w:val="000000" w:themeColor="text1"/>
          <w:szCs w:val="21"/>
          <w:highlight w:val="none"/>
          <w14:textFill>
            <w14:solidFill>
              <w14:schemeClr w14:val="tx1"/>
            </w14:solidFill>
          </w14:textFill>
        </w:rPr>
        <w:t xml:space="preserve">，招标代理机构可以对招标文件进行修改。</w:t>
      </w:r>
      <w:r/>
    </w:p>
    <w:p>
      <w:pPr>
        <w:ind w:firstLine="420"/>
        <w:spacing w:line="360" w:lineRule="auto"/>
        <w:rPr>
          <w:rFonts w:ascii="宋体" w:hAnsi="Arial"/>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8.2 </w:t>
      </w:r>
      <w:r>
        <w:rPr>
          <w:rFonts w:hint="eastAsia" w:ascii="宋体" w:hAnsi="宋体"/>
          <w:color w:val="000000" w:themeColor="text1"/>
          <w:szCs w:val="21"/>
          <w:highlight w:val="none"/>
          <w14:textFill>
            <w14:solidFill>
              <w14:schemeClr w14:val="tx1"/>
            </w14:solidFill>
          </w14:textFill>
        </w:rPr>
        <w:t xml:space="preserve">招标代理机构有权按照法定的要求推迟投标截止日期和开标日期。</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8.3 </w:t>
      </w:r>
      <w:r>
        <w:rPr>
          <w:rFonts w:hint="eastAsia" w:ascii="宋体" w:hAnsi="宋体"/>
          <w:color w:val="000000" w:themeColor="text1"/>
          <w:szCs w:val="21"/>
          <w:highlight w:val="none"/>
          <w14:textFill>
            <w14:solidFill>
              <w14:schemeClr w14:val="tx1"/>
            </w14:solidFill>
          </w14:textFill>
        </w:rPr>
        <w:t xml:space="preserve">招标文件的修改将在“苏州市政府采购网”、“江苏政府采购网”、“中国政府采购网”公布，补充文件将作为招标文件的组成部分，并对投标人具有约束力。</w:t>
      </w:r>
      <w:r/>
    </w:p>
    <w:p>
      <w:pPr>
        <w:ind w:firstLine="316"/>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36" w:name="_Toc16938529"/>
      <w:r/>
      <w:bookmarkStart w:id="37" w:name="_Toc462564072"/>
      <w:r/>
      <w:bookmarkStart w:id="38" w:name="_Toc513029213"/>
      <w:r/>
      <w:bookmarkStart w:id="39" w:name="_Toc120614216"/>
      <w:r/>
      <w:bookmarkStart w:id="40" w:name="_Toc20823285"/>
      <w:r>
        <w:rPr>
          <w:rFonts w:hint="eastAsia" w:ascii="Times New Roman" w:hAnsi="Times New Roman"/>
          <w:b/>
          <w:bCs/>
          <w:color w:val="000000" w:themeColor="text1"/>
          <w:szCs w:val="21"/>
          <w:highlight w:val="none"/>
          <w14:textFill>
            <w14:solidFill>
              <w14:schemeClr w14:val="tx1"/>
            </w14:solidFill>
          </w14:textFill>
        </w:rPr>
        <w:t xml:space="preserve">三、投标文件的编制</w:t>
      </w:r>
      <w:bookmarkEnd w:id="36"/>
      <w:r/>
      <w:bookmarkEnd w:id="37"/>
      <w:r/>
      <w:bookmarkEnd w:id="38"/>
      <w:r/>
      <w:bookmarkEnd w:id="39"/>
      <w:r/>
      <w:bookmarkEnd w:id="40"/>
      <w:r/>
      <w:r/>
    </w:p>
    <w:p>
      <w:pPr>
        <w:ind w:firstLine="420"/>
        <w:keepLines/>
        <w:keepNext/>
        <w:spacing w:line="360" w:lineRule="auto"/>
        <w:rPr>
          <w:rFonts w:ascii="Arial" w:hAnsi="Arial" w:eastAsia="黑体" w:cs="Arial"/>
          <w:b/>
          <w:color w:val="000000" w:themeColor="text1"/>
          <w:szCs w:val="21"/>
          <w:highlight w:val="none"/>
          <w14:textFill>
            <w14:solidFill>
              <w14:schemeClr w14:val="tx1"/>
            </w14:solidFill>
          </w14:textFill>
        </w:rPr>
        <w:outlineLvl w:val="3"/>
      </w:pPr>
      <w:r/>
      <w:bookmarkStart w:id="41" w:name="_Toc20823286"/>
      <w:r/>
      <w:bookmarkStart w:id="42" w:name="_Toc513029214"/>
      <w:r/>
      <w:bookmarkStart w:id="43" w:name="_Toc462564073"/>
      <w:r/>
      <w:bookmarkStart w:id="44" w:name="_Toc16938530"/>
      <w:r>
        <w:rPr>
          <w:rFonts w:hint="eastAsia" w:ascii="Arial" w:hAnsi="Arial" w:eastAsia="黑体" w:cs="Arial"/>
          <w:color w:val="000000" w:themeColor="text1"/>
          <w:szCs w:val="21"/>
          <w:highlight w:val="none"/>
          <w14:textFill>
            <w14:solidFill>
              <w14:schemeClr w14:val="tx1"/>
            </w14:solidFill>
          </w14:textFill>
        </w:rPr>
        <w:t xml:space="preserve">9、投标文件的语言及度量衡单位</w:t>
      </w:r>
      <w:bookmarkEnd w:id="41"/>
      <w:r/>
      <w:bookmarkEnd w:id="42"/>
      <w:r/>
      <w:bookmarkEnd w:id="43"/>
      <w:r/>
      <w:bookmarkEnd w:id="44"/>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9.1</w:t>
      </w:r>
      <w:r>
        <w:rPr>
          <w:rFonts w:hint="eastAsia" w:ascii="宋体" w:hAnsi="宋体"/>
          <w:color w:val="000000" w:themeColor="text1"/>
          <w:szCs w:val="21"/>
          <w:highlight w:val="none"/>
          <w14:textFill>
            <w14:solidFill>
              <w14:schemeClr w14:val="tx1"/>
            </w14:solidFill>
          </w14:textFill>
        </w:rPr>
        <w:t xml:space="preserve"> 投标人提交的投标文件以及投标人与招标代理机构就有关投标的所有来往通知、函件和文件均应使用</w:t>
      </w:r>
      <w:r>
        <w:rPr>
          <w:rFonts w:hint="eastAsia" w:ascii="宋体" w:hAnsi="宋体"/>
          <w:b/>
          <w:bCs/>
          <w:color w:val="000000" w:themeColor="text1"/>
          <w:szCs w:val="21"/>
          <w:highlight w:val="none"/>
          <w14:textFill>
            <w14:solidFill>
              <w14:schemeClr w14:val="tx1"/>
            </w14:solidFill>
          </w14:textFill>
        </w:rPr>
        <w:t xml:space="preserve">简体中文</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9.2</w:t>
      </w:r>
      <w:r>
        <w:rPr>
          <w:rFonts w:hint="eastAsia" w:ascii="宋体" w:hAnsi="宋体"/>
          <w:color w:val="000000" w:themeColor="text1"/>
          <w:szCs w:val="21"/>
          <w:highlight w:val="none"/>
          <w14:textFill>
            <w14:solidFill>
              <w14:schemeClr w14:val="tx1"/>
            </w14:solidFill>
          </w14:textFill>
        </w:rPr>
        <w:t xml:space="preserve"> 除技术性能另有规定外，投标文件所使用的度量衡单位，均须采用国家法定计量单位。</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45" w:name="_Toc20823287"/>
      <w:r/>
      <w:bookmarkStart w:id="46" w:name="_Toc513029215"/>
      <w:r/>
      <w:bookmarkStart w:id="47" w:name="_Toc462564074"/>
      <w:r/>
      <w:bookmarkStart w:id="48" w:name="_Toc16938531"/>
      <w:r>
        <w:rPr>
          <w:rFonts w:hint="eastAsia" w:ascii="Arial" w:hAnsi="Arial" w:eastAsia="黑体" w:cs="Arial"/>
          <w:color w:val="000000" w:themeColor="text1"/>
          <w:szCs w:val="21"/>
          <w:highlight w:val="none"/>
          <w14:textFill>
            <w14:solidFill>
              <w14:schemeClr w14:val="tx1"/>
            </w14:solidFill>
          </w14:textFill>
        </w:rPr>
        <w:t xml:space="preserve">10、投标文件构成</w:t>
      </w:r>
      <w:bookmarkEnd w:id="45"/>
      <w:r/>
      <w:bookmarkEnd w:id="46"/>
      <w:r/>
      <w:bookmarkEnd w:id="47"/>
      <w:r/>
      <w:bookmarkEnd w:id="48"/>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10.1</w:t>
      </w:r>
      <w:r>
        <w:rPr>
          <w:rFonts w:hint="eastAsia" w:ascii="宋体" w:hAnsi="宋体"/>
          <w:color w:val="000000" w:themeColor="text1"/>
          <w:szCs w:val="21"/>
          <w:highlight w:val="none"/>
          <w14:textFill>
            <w14:solidFill>
              <w14:schemeClr w14:val="tx1"/>
            </w14:solidFill>
          </w14:textFill>
        </w:rPr>
        <w:t xml:space="preserve"> 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10.2 如标书制作工具中格式和内容与“苏州市政府采购网”、“江苏政府采购网”、“中国政府采购网”发布的招标文件不一致，请以“苏州市政府采购网”、“江苏政府采购网”、“中国政府采购网”发布的招标文件为准。</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49" w:name="_Hlt26670360"/>
      <w:r/>
      <w:bookmarkEnd w:id="49"/>
      <w:r/>
      <w:bookmarkStart w:id="50" w:name="_Hlt26954838"/>
      <w:r/>
      <w:bookmarkEnd w:id="50"/>
      <w:r/>
      <w:bookmarkStart w:id="51" w:name="_Hlt26668975"/>
      <w:r/>
      <w:bookmarkEnd w:id="51"/>
      <w:r/>
      <w:bookmarkStart w:id="52" w:name="_Toc49090507"/>
      <w:r/>
      <w:bookmarkStart w:id="53" w:name="_Toc513029219"/>
      <w:r/>
      <w:bookmarkStart w:id="54" w:name="_Toc14577357"/>
      <w:r/>
      <w:bookmarkStart w:id="55" w:name="_Toc513029216"/>
      <w:r/>
      <w:bookmarkStart w:id="56" w:name="_Toc49090509"/>
      <w:r/>
      <w:bookmarkStart w:id="57" w:name="_Toc14577354"/>
      <w:r/>
      <w:bookmarkStart w:id="58" w:name="_Toc49090508"/>
      <w:r/>
      <w:bookmarkStart w:id="59" w:name="_Toc14577355"/>
      <w:r>
        <w:rPr>
          <w:rFonts w:hint="eastAsia" w:ascii="Arial" w:hAnsi="Arial" w:eastAsia="黑体" w:cs="Arial"/>
          <w:color w:val="000000" w:themeColor="text1"/>
          <w:szCs w:val="21"/>
          <w:highlight w:val="none"/>
          <w14:textFill>
            <w14:solidFill>
              <w14:schemeClr w14:val="tx1"/>
            </w14:solidFill>
          </w14:textFill>
        </w:rPr>
        <w:t xml:space="preserve">11、证明投标人及投标标的符合招标文件规定的文件</w:t>
      </w:r>
      <w:bookmarkEnd w:id="52"/>
      <w:r/>
      <w:bookmarkEnd w:id="53"/>
      <w:r/>
      <w:bookmarkEnd w:id="54"/>
      <w:r/>
      <w:bookmarkEnd w:id="55"/>
      <w:r/>
      <w:bookmarkEnd w:id="56"/>
      <w:r/>
      <w:bookmarkEnd w:id="57"/>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11.1 投标人应按照招标文件要求提交证明文件，证明其及投标标的符合招标文件规定。</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11.2招标文件对证明文件无明确形式要求的，证明文件可以以文字资料、图纸和数据等形式提交。</w:t>
      </w:r>
      <w:bookmarkEnd w:id="58"/>
      <w:r/>
      <w:bookmarkEnd w:id="59"/>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rPr>
          <w:rFonts w:hint="eastAsia" w:ascii="Arial" w:hAnsi="Arial" w:eastAsia="黑体" w:cs="Arial"/>
          <w:color w:val="000000" w:themeColor="text1"/>
          <w:szCs w:val="21"/>
          <w:highlight w:val="none"/>
          <w14:textFill>
            <w14:solidFill>
              <w14:schemeClr w14:val="tx1"/>
            </w14:solidFill>
          </w14:textFill>
        </w:rPr>
        <w:t xml:space="preserve">12、投标分项报价表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12.1</w:t>
      </w:r>
      <w:r>
        <w:rPr>
          <w:rFonts w:hint="eastAsia" w:ascii="宋体" w:hAnsi="宋体"/>
          <w:color w:val="000000" w:themeColor="text1"/>
          <w:szCs w:val="21"/>
          <w:highlight w:val="none"/>
          <w14:textFill>
            <w14:solidFill>
              <w14:schemeClr w14:val="tx1"/>
            </w14:solidFill>
          </w14:textFill>
        </w:rPr>
        <w:t xml:space="preserve"> 投标人应按照招标文件规定格式填报投标分项报价表。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12.2</w:t>
      </w:r>
      <w:r>
        <w:rPr>
          <w:rFonts w:hint="eastAsia" w:ascii="宋体" w:hAnsi="宋体"/>
          <w:bCs/>
          <w:color w:val="000000" w:themeColor="text1"/>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Cs w:val="21"/>
          <w:highlight w:val="none"/>
          <w14:textFill>
            <w14:solidFill>
              <w14:schemeClr w14:val="tx1"/>
            </w14:solidFill>
          </w14:textFill>
        </w:rPr>
        <w:t xml:space="preserve">招标文件中另有规定的按规定执行。</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60" w:name="_Hlt26670482"/>
      <w:r/>
      <w:bookmarkEnd w:id="60"/>
      <w:r/>
      <w:bookmarkStart w:id="61" w:name="_Hlt26954848"/>
      <w:r/>
      <w:bookmarkEnd w:id="61"/>
      <w:r/>
      <w:bookmarkStart w:id="62" w:name="_Hlt26670486"/>
      <w:r/>
      <w:bookmarkEnd w:id="62"/>
      <w:r/>
      <w:bookmarkStart w:id="63" w:name="_Hlt26954846"/>
      <w:r/>
      <w:bookmarkEnd w:id="63"/>
      <w:r/>
      <w:bookmarkStart w:id="64" w:name="_Hlt26954731"/>
      <w:r/>
      <w:bookmarkEnd w:id="64"/>
      <w:r>
        <w:rPr>
          <w:rFonts w:hint="eastAsia" w:ascii="Arial" w:hAnsi="Arial" w:eastAsia="黑体" w:cs="Arial"/>
          <w:color w:val="000000" w:themeColor="text1"/>
          <w:szCs w:val="21"/>
          <w:highlight w:val="none"/>
          <w14:textFill>
            <w14:solidFill>
              <w14:schemeClr w14:val="tx1"/>
            </w14:solidFill>
          </w14:textFill>
        </w:rPr>
        <w:t xml:space="preserve">13、技术要求响应及偏离表、商务要求响应及偏离表</w:t>
      </w:r>
      <w:r/>
    </w:p>
    <w:p>
      <w:pPr>
        <w:ind w:firstLine="480"/>
        <w:spacing w:line="360" w:lineRule="auto"/>
        <w:rPr>
          <w:rFonts w:ascii="宋体" w:hAnsi="Arial" w:cs="宋体"/>
          <w:color w:val="000000" w:themeColor="text1"/>
          <w:szCs w:val="21"/>
          <w:highlight w:val="none"/>
          <w:lang w:val="zh-CN"/>
          <w14:textFill>
            <w14:solidFill>
              <w14:schemeClr w14:val="tx1"/>
            </w14:solidFill>
          </w14:textFill>
        </w:rPr>
      </w:pPr>
      <w:r>
        <w:rPr>
          <w:rFonts w:ascii="宋体" w:hAnsi="Arial" w:cs="宋体"/>
          <w:bCs/>
          <w:color w:val="000000" w:themeColor="text1"/>
          <w:szCs w:val="21"/>
          <w:highlight w:val="none"/>
          <w:lang w:val="zh-CN"/>
          <w14:textFill>
            <w14:solidFill>
              <w14:schemeClr w14:val="tx1"/>
            </w14:solidFill>
          </w14:textFill>
        </w:rPr>
        <w:t xml:space="preserve">1</w:t>
      </w:r>
      <w:r>
        <w:rPr>
          <w:rFonts w:hint="eastAsia" w:ascii="宋体" w:hAnsi="Arial" w:cs="宋体"/>
          <w:bCs/>
          <w:color w:val="000000" w:themeColor="text1"/>
          <w:szCs w:val="21"/>
          <w:highlight w:val="none"/>
          <w:lang w:val="zh-CN"/>
          <w14:textFill>
            <w14:solidFill>
              <w14:schemeClr w14:val="tx1"/>
            </w14:solidFill>
          </w14:textFill>
        </w:rPr>
        <w:t xml:space="preserve">3</w:t>
      </w:r>
      <w:r>
        <w:rPr>
          <w:rFonts w:ascii="宋体" w:hAnsi="Arial" w:cs="宋体"/>
          <w:bCs/>
          <w:color w:val="000000" w:themeColor="text1"/>
          <w:szCs w:val="21"/>
          <w:highlight w:val="none"/>
          <w:lang w:val="zh-CN"/>
          <w14:textFill>
            <w14:solidFill>
              <w14:schemeClr w14:val="tx1"/>
            </w14:solidFill>
          </w14:textFill>
        </w:rPr>
        <w:t xml:space="preserve">.1</w:t>
      </w:r>
      <w:r>
        <w:rPr>
          <w:rFonts w:hint="eastAsia" w:ascii="宋体" w:hAnsi="Arial" w:cs="宋体"/>
          <w:bCs/>
          <w:color w:val="000000" w:themeColor="text1"/>
          <w:szCs w:val="21"/>
          <w:highlight w:val="none"/>
          <w:lang w:val="zh-CN"/>
          <w14:textFill>
            <w14:solidFill>
              <w14:schemeClr w14:val="tx1"/>
            </w14:solidFill>
          </w14:textFill>
        </w:rPr>
        <w:t xml:space="preserve"> </w:t>
      </w:r>
      <w:r>
        <w:rPr>
          <w:rFonts w:hint="eastAsia" w:ascii="宋体" w:hAnsi="Arial" w:cs="宋体"/>
          <w:color w:val="000000" w:themeColor="text1"/>
          <w:szCs w:val="21"/>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360" w:lineRule="auto"/>
        <w:rPr>
          <w:rFonts w:ascii="宋体" w:hAnsi="Arial" w:cs="宋体"/>
          <w:color w:val="000000" w:themeColor="text1"/>
          <w:szCs w:val="21"/>
          <w:highlight w:val="none"/>
          <w:lang w:val="zh-CN"/>
          <w14:textFill>
            <w14:solidFill>
              <w14:schemeClr w14:val="tx1"/>
            </w14:solidFill>
          </w14:textFill>
        </w:rPr>
      </w:pPr>
      <w:r>
        <w:rPr>
          <w:rFonts w:hint="eastAsia" w:ascii="宋体" w:hAnsi="Arial" w:cs="宋体"/>
          <w:color w:val="000000" w:themeColor="text1"/>
          <w:szCs w:val="21"/>
          <w:highlight w:val="none"/>
          <w:lang w:val="zh-CN"/>
          <w14:textFill>
            <w14:solidFill>
              <w14:schemeClr w14:val="tx1"/>
            </w14:solidFill>
          </w14:textFill>
        </w:rPr>
        <w:t xml:space="preserve">13.2 投标人可在投标文件中提供认为需要的其他技术文件或说明。</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rPr>
          <w:rFonts w:hint="eastAsia" w:ascii="Arial" w:hAnsi="Arial" w:eastAsia="黑体" w:cs="Arial"/>
          <w:color w:val="000000" w:themeColor="text1"/>
          <w:szCs w:val="21"/>
          <w:highlight w:val="none"/>
          <w14:textFill>
            <w14:solidFill>
              <w14:schemeClr w14:val="tx1"/>
            </w14:solidFill>
          </w14:textFill>
        </w:rPr>
        <w:t xml:space="preserve">14、服务承诺、培训计划、人员安排及其他</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14.1 </w:t>
      </w:r>
      <w:r>
        <w:rPr>
          <w:rFonts w:hint="eastAsia" w:ascii="宋体" w:hAnsi="宋体"/>
          <w:color w:val="000000" w:themeColor="text1"/>
          <w:szCs w:val="21"/>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投标人需根据招标文件要求提供培训计划。</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14.3  投标人需根据招标文件要求提供</w:t>
      </w:r>
      <w:r>
        <w:rPr>
          <w:rFonts w:hint="eastAsia" w:ascii="宋体" w:hAnsi="Arial" w:cs="宋体"/>
          <w:color w:val="000000" w:themeColor="text1"/>
          <w:szCs w:val="21"/>
          <w:highlight w:val="none"/>
          <w:lang w:val="zh-CN"/>
          <w14:textFill>
            <w14:solidFill>
              <w14:schemeClr w14:val="tx1"/>
            </w14:solidFill>
          </w14:textFill>
        </w:rPr>
        <w:t xml:space="preserve">所投标的的主要组成部分、功能设计、实现思路及关键技术等。</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65" w:name="_Toc14577359"/>
      <w:r/>
      <w:bookmarkStart w:id="66" w:name="_Toc49090510"/>
      <w:r>
        <w:rPr>
          <w:rFonts w:hint="eastAsia" w:ascii="Arial" w:hAnsi="Arial" w:eastAsia="黑体" w:cs="Arial"/>
          <w:color w:val="000000" w:themeColor="text1"/>
          <w:szCs w:val="21"/>
          <w:highlight w:val="none"/>
          <w14:textFill>
            <w14:solidFill>
              <w14:schemeClr w14:val="tx1"/>
            </w14:solidFill>
          </w14:textFill>
        </w:rPr>
        <w:t xml:space="preserve">15、投标函和开标一览表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w:t>
      </w:r>
      <w:r>
        <w:rPr>
          <w:rFonts w:hint="eastAsia" w:ascii="宋体" w:hAnsi="宋体"/>
          <w:color w:val="000000" w:themeColor="text1"/>
          <w:szCs w:val="21"/>
          <w:highlight w:val="none"/>
          <w14:textFill>
            <w14:solidFill>
              <w14:schemeClr w14:val="tx1"/>
            </w14:solidFill>
          </w14:textFill>
        </w:rPr>
        <w:t xml:space="preserve"> 投标人应按照招标文件中提供的格式完整、正确填写投标函、开标一览表。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15.2 对于采用货币报价的项目，开标一览表中的投标总报价应与投标分项报价表中的投标总报价一致，如不一致，不作为无效投标处理，但评标时按开标一览表中价格为准。</w:t>
      </w:r>
      <w:bookmarkEnd w:id="65"/>
      <w:r/>
      <w:bookmarkEnd w:id="66"/>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67" w:name="_Toc14577360"/>
      <w:r/>
      <w:bookmarkStart w:id="68" w:name="_Toc49090511"/>
      <w:r>
        <w:rPr>
          <w:rFonts w:hint="eastAsia" w:ascii="Arial" w:hAnsi="Arial" w:eastAsia="黑体" w:cs="Arial"/>
          <w:color w:val="000000" w:themeColor="text1"/>
          <w:szCs w:val="21"/>
          <w:highlight w:val="none"/>
          <w14:textFill>
            <w14:solidFill>
              <w14:schemeClr w14:val="tx1"/>
            </w14:solidFill>
          </w14:textFill>
        </w:rPr>
        <w:t xml:space="preserve">16、投标有效期</w:t>
      </w:r>
      <w:bookmarkEnd w:id="67"/>
      <w:r/>
      <w:bookmarkEnd w:id="68"/>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16.1投标有效期为招标代理机构规定的开标之日后</w:t>
      </w:r>
      <w:r>
        <w:rPr>
          <w:rFonts w:hint="eastAsia" w:ascii="仿宋_GB2312" w:hAnsi="仿宋_GB2312"/>
          <w:b/>
          <w:color w:val="000000" w:themeColor="text1"/>
          <w:szCs w:val="21"/>
          <w:highlight w:val="none"/>
          <w:u w:val="single"/>
          <w14:textFill>
            <w14:solidFill>
              <w14:schemeClr w14:val="tx1"/>
            </w14:solidFill>
          </w14:textFill>
        </w:rPr>
        <w:t xml:space="preserve">六十（60）天</w:t>
      </w:r>
      <w:r>
        <w:rPr>
          <w:rFonts w:hint="eastAsia" w:ascii="宋体" w:hAnsi="宋体"/>
          <w:bCs/>
          <w:color w:val="000000" w:themeColor="text1"/>
          <w:szCs w:val="21"/>
          <w:highlight w:val="none"/>
          <w14:textFill>
            <w14:solidFill>
              <w14:schemeClr w14:val="tx1"/>
            </w14:solidFill>
          </w14:textFill>
        </w:rPr>
        <w:t xml:space="preserve">。投标有效期比规定短的将被视为未实质性响应招标文件而予以拒绝。</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rPr>
          <w:rFonts w:hint="eastAsia" w:ascii="Arial" w:hAnsi="Arial" w:eastAsia="黑体" w:cs="Arial"/>
          <w:color w:val="000000" w:themeColor="text1"/>
          <w:szCs w:val="21"/>
          <w:highlight w:val="none"/>
          <w14:textFill>
            <w14:solidFill>
              <w14:schemeClr w14:val="tx1"/>
            </w14:solidFill>
          </w14:textFill>
        </w:rPr>
        <w:t xml:space="preserve">1</w:t>
      </w:r>
      <w:r>
        <w:rPr>
          <w:rFonts w:ascii="Arial" w:hAnsi="Arial" w:eastAsia="黑体" w:cs="Arial"/>
          <w:color w:val="000000" w:themeColor="text1"/>
          <w:szCs w:val="21"/>
          <w:highlight w:val="none"/>
          <w14:textFill>
            <w14:solidFill>
              <w14:schemeClr w14:val="tx1"/>
            </w14:solidFill>
          </w14:textFill>
        </w:rPr>
        <w:t xml:space="preserve">7</w:t>
      </w:r>
      <w:r>
        <w:rPr>
          <w:rFonts w:hint="eastAsia" w:ascii="Arial" w:hAnsi="Arial" w:eastAsia="黑体" w:cs="Arial"/>
          <w:color w:val="000000" w:themeColor="text1"/>
          <w:szCs w:val="21"/>
          <w:highlight w:val="none"/>
          <w14:textFill>
            <w14:solidFill>
              <w14:schemeClr w14:val="tx1"/>
            </w14:solidFill>
          </w14:textFill>
        </w:rPr>
        <w:t xml:space="preserve">、投标有效期的延长</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themeColor="text1"/>
          <w:szCs w:val="21"/>
          <w:highlight w:val="none"/>
          <w14:textFill>
            <w14:solidFill>
              <w14:schemeClr w14:val="tx1"/>
            </w14:solidFill>
          </w14:textFill>
        </w:rPr>
        <w:t xml:space="preserve">受投标有效期约束的所有权利与义务均延长至新的有效期</w:t>
      </w:r>
      <w:r>
        <w:rPr>
          <w:rFonts w:hint="eastAsia" w:ascii="宋体" w:hAnsi="宋体"/>
          <w:bCs/>
          <w:color w:val="000000" w:themeColor="text1"/>
          <w:szCs w:val="21"/>
          <w:highlight w:val="none"/>
          <w14:textFill>
            <w14:solidFill>
              <w14:schemeClr w14:val="tx1"/>
            </w14:solidFill>
          </w14:textFill>
        </w:rPr>
        <w:t xml:space="preserve">。</w:t>
      </w:r>
      <w:r/>
    </w:p>
    <w:p>
      <w:pPr>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69" w:name="_Hlt26954852"/>
      <w:r/>
      <w:bookmarkEnd w:id="69"/>
      <w:r/>
      <w:bookmarkStart w:id="70" w:name="_Hlt26954739"/>
      <w:r/>
      <w:bookmarkEnd w:id="70"/>
      <w:r/>
      <w:bookmarkStart w:id="71" w:name="_Toc16938540"/>
      <w:r/>
      <w:bookmarkStart w:id="72" w:name="_Toc513029224"/>
      <w:r/>
      <w:bookmarkStart w:id="73" w:name="_Toc120614217"/>
      <w:r/>
      <w:bookmarkStart w:id="74" w:name="_Toc20823296"/>
      <w:r>
        <w:rPr>
          <w:rFonts w:hint="eastAsia" w:ascii="Times New Roman" w:hAnsi="Times New Roman"/>
          <w:b/>
          <w:bCs/>
          <w:color w:val="000000" w:themeColor="text1"/>
          <w:szCs w:val="21"/>
          <w:highlight w:val="none"/>
          <w14:textFill>
            <w14:solidFill>
              <w14:schemeClr w14:val="tx1"/>
            </w14:solidFill>
          </w14:textFill>
        </w:rPr>
        <w:t xml:space="preserve">四、投标文件的递交</w:t>
      </w:r>
      <w:bookmarkEnd w:id="71"/>
      <w:r/>
      <w:bookmarkEnd w:id="72"/>
      <w:r/>
      <w:bookmarkEnd w:id="73"/>
      <w:r/>
      <w:bookmarkEnd w:id="74"/>
      <w:r/>
      <w:r/>
    </w:p>
    <w:p>
      <w:pPr>
        <w:ind w:firstLine="315"/>
        <w:keepLines/>
        <w:keepNext/>
        <w:spacing w:line="360" w:lineRule="auto"/>
        <w:rPr>
          <w:rFonts w:ascii="黑体" w:hAnsi="Arial" w:eastAsia="黑体" w:cs="Arial"/>
          <w:color w:val="000000" w:themeColor="text1"/>
          <w:szCs w:val="21"/>
          <w:highlight w:val="none"/>
          <w14:textFill>
            <w14:solidFill>
              <w14:schemeClr w14:val="tx1"/>
            </w14:solidFill>
          </w14:textFill>
        </w:rPr>
        <w:outlineLvl w:val="3"/>
      </w:pPr>
      <w:r/>
      <w:bookmarkStart w:id="75" w:name="_Toc462564084"/>
      <w:r/>
      <w:bookmarkStart w:id="76" w:name="_Toc20823297"/>
      <w:r/>
      <w:bookmarkStart w:id="77" w:name="_Toc16938541"/>
      <w:r/>
      <w:bookmarkStart w:id="78" w:name="_Toc513029225"/>
      <w:r>
        <w:rPr>
          <w:rFonts w:hint="eastAsia" w:ascii="Arial" w:hAnsi="Arial" w:eastAsia="黑体" w:cs="Arial"/>
          <w:color w:val="000000" w:themeColor="text1"/>
          <w:szCs w:val="21"/>
          <w:highlight w:val="none"/>
          <w14:textFill>
            <w14:solidFill>
              <w14:schemeClr w14:val="tx1"/>
            </w14:solidFill>
          </w14:textFill>
        </w:rPr>
        <w:t xml:space="preserve">1</w:t>
      </w:r>
      <w:r>
        <w:rPr>
          <w:rFonts w:ascii="Arial" w:hAnsi="Arial" w:eastAsia="黑体" w:cs="Arial"/>
          <w:color w:val="000000" w:themeColor="text1"/>
          <w:szCs w:val="21"/>
          <w:highlight w:val="none"/>
          <w14:textFill>
            <w14:solidFill>
              <w14:schemeClr w14:val="tx1"/>
            </w14:solidFill>
          </w14:textFill>
        </w:rPr>
        <w:t xml:space="preserve">8</w:t>
      </w:r>
      <w:r>
        <w:rPr>
          <w:rFonts w:hint="eastAsia" w:ascii="Arial" w:hAnsi="Arial" w:eastAsia="黑体" w:cs="Arial"/>
          <w:color w:val="000000" w:themeColor="text1"/>
          <w:szCs w:val="21"/>
          <w:highlight w:val="none"/>
          <w14:textFill>
            <w14:solidFill>
              <w14:schemeClr w14:val="tx1"/>
            </w14:solidFill>
          </w14:textFill>
        </w:rPr>
        <w:t xml:space="preserve">、电子</w:t>
      </w:r>
      <w:r>
        <w:rPr>
          <w:rFonts w:hint="eastAsia" w:ascii="黑体" w:hAnsi="Arial" w:eastAsia="黑体" w:cs="Arial"/>
          <w:color w:val="000000" w:themeColor="text1"/>
          <w:szCs w:val="21"/>
          <w:highlight w:val="none"/>
          <w14:textFill>
            <w14:solidFill>
              <w14:schemeClr w14:val="tx1"/>
            </w14:solidFill>
          </w14:textFill>
        </w:rPr>
        <w:t xml:space="preserve">投标文件</w:t>
      </w:r>
      <w:bookmarkEnd w:id="75"/>
      <w:r/>
      <w:bookmarkEnd w:id="76"/>
      <w:r/>
      <w:bookmarkEnd w:id="77"/>
      <w:r/>
      <w:bookmarkEnd w:id="78"/>
      <w:r>
        <w:rPr>
          <w:rFonts w:hint="eastAsia" w:ascii="黑体" w:hAnsi="Arial" w:eastAsia="黑体" w:cs="Arial"/>
          <w:color w:val="000000" w:themeColor="text1"/>
          <w:szCs w:val="21"/>
          <w:highlight w:val="none"/>
          <w14:textFill>
            <w14:solidFill>
              <w14:schemeClr w14:val="tx1"/>
            </w14:solidFill>
          </w14:textFill>
        </w:rPr>
        <w:t xml:space="preserve">的递交</w:t>
      </w:r>
      <w:r/>
    </w:p>
    <w:p>
      <w:pPr>
        <w:ind w:left="525"/>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18.1投标人应当按照《操作手册》规定，在投标截止时间前</w:t>
      </w:r>
      <w:r>
        <w:rPr>
          <w:rFonts w:ascii="宋体" w:hAnsi="宋体"/>
          <w:bCs/>
          <w:color w:val="000000" w:themeColor="text1"/>
          <w:szCs w:val="21"/>
          <w:highlight w:val="none"/>
          <w14:textFill>
            <w14:solidFill>
              <w14:schemeClr w14:val="tx1"/>
            </w14:solidFill>
          </w14:textFill>
        </w:rPr>
        <w:t xml:space="preserve">制作</w:t>
      </w:r>
      <w:r>
        <w:rPr>
          <w:rFonts w:hint="eastAsia" w:ascii="宋体" w:hAnsi="宋体"/>
          <w:bCs/>
          <w:color w:val="000000" w:themeColor="text1"/>
          <w:szCs w:val="21"/>
          <w:highlight w:val="none"/>
          <w14:textFill>
            <w14:solidFill>
              <w14:schemeClr w14:val="tx1"/>
            </w14:solidFill>
          </w14:textFill>
        </w:rPr>
        <w:t xml:space="preserve">并上传电子投标文件。</w:t>
      </w:r>
      <w:bookmarkStart w:id="79" w:name="_Toc513029226"/>
      <w:r/>
      <w:bookmarkStart w:id="80" w:name="_Toc20823298"/>
      <w:r/>
      <w:bookmarkStart w:id="81" w:name="_Toc16938542"/>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rPr>
          <w:rFonts w:hint="eastAsia" w:ascii="Arial" w:hAnsi="Arial" w:eastAsia="黑体" w:cs="Arial"/>
          <w:color w:val="000000" w:themeColor="text1"/>
          <w:szCs w:val="21"/>
          <w:highlight w:val="none"/>
          <w14:textFill>
            <w14:solidFill>
              <w14:schemeClr w14:val="tx1"/>
            </w14:solidFill>
          </w14:textFill>
        </w:rPr>
        <w:t xml:space="preserve">19、投标截止日期</w:t>
      </w:r>
      <w:bookmarkEnd w:id="79"/>
      <w:r/>
      <w:bookmarkEnd w:id="80"/>
      <w:r/>
      <w:bookmarkEnd w:id="81"/>
      <w:r/>
      <w:r/>
    </w:p>
    <w:p>
      <w:pPr>
        <w:ind w:firstLine="420"/>
        <w:spacing w:line="360" w:lineRule="auto"/>
        <w:rPr>
          <w:rFonts w:hint="eastAsia" w:ascii="宋体" w:hAnsi="宋体"/>
          <w:bCs/>
          <w:i/>
          <w:color w:val="000000" w:themeColor="text1"/>
          <w:szCs w:val="21"/>
          <w:highlight w:val="none"/>
          <w:u w:val="single"/>
          <w14:textFill>
            <w14:solidFill>
              <w14:schemeClr w14:val="tx1"/>
            </w14:solidFill>
          </w14:textFill>
        </w:rPr>
      </w:pPr>
      <w:r>
        <w:rPr>
          <w:rFonts w:ascii="宋体" w:hAnsi="宋体"/>
          <w:i/>
          <w:color w:val="000000" w:themeColor="text1"/>
          <w:szCs w:val="21"/>
          <w:highlight w:val="none"/>
          <w:u w:val="single"/>
          <w14:textFill>
            <w14:solidFill>
              <w14:schemeClr w14:val="tx1"/>
            </w14:solidFill>
          </w14:textFill>
        </w:rPr>
        <w:t xml:space="preserve">19</w:t>
      </w:r>
      <w:r>
        <w:rPr>
          <w:rFonts w:hint="eastAsia" w:ascii="宋体" w:hAnsi="宋体"/>
          <w:i/>
          <w:color w:val="000000" w:themeColor="text1"/>
          <w:szCs w:val="21"/>
          <w:highlight w:val="none"/>
          <w:u w:val="single"/>
          <w14:textFill>
            <w14:solidFill>
              <w14:schemeClr w14:val="tx1"/>
            </w14:solidFill>
          </w14:textFill>
        </w:rPr>
        <w:t xml:space="preserve">.1</w:t>
      </w:r>
      <w:r>
        <w:rPr>
          <w:rFonts w:hint="eastAsia" w:ascii="宋体" w:hAnsi="宋体"/>
          <w:bCs/>
          <w:i/>
          <w:color w:val="000000" w:themeColor="text1"/>
          <w:szCs w:val="21"/>
          <w:highlight w:val="none"/>
          <w:u w:val="single"/>
          <w14:textFill>
            <w14:solidFill>
              <w14:schemeClr w14:val="tx1"/>
            </w14:solidFill>
          </w14:textFill>
        </w:rPr>
        <w:t xml:space="preserve"> 投标人上传电子投标文件的时间不得迟于招标公告中规定的投标截止时间。</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19</w:t>
      </w: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82" w:name="_Toc513029227"/>
      <w:r/>
      <w:bookmarkStart w:id="83" w:name="_Toc20823299"/>
      <w:r/>
      <w:bookmarkStart w:id="84" w:name="_Toc16938543"/>
      <w:r>
        <w:rPr>
          <w:rFonts w:hint="eastAsia" w:ascii="Arial" w:hAnsi="Arial" w:eastAsia="黑体" w:cs="Arial"/>
          <w:color w:val="000000" w:themeColor="text1"/>
          <w:szCs w:val="21"/>
          <w:highlight w:val="none"/>
          <w14:textFill>
            <w14:solidFill>
              <w14:schemeClr w14:val="tx1"/>
            </w14:solidFill>
          </w14:textFill>
        </w:rPr>
        <w:t xml:space="preserve">2</w:t>
      </w:r>
      <w:r>
        <w:rPr>
          <w:rFonts w:ascii="Arial" w:hAnsi="Arial" w:eastAsia="黑体" w:cs="Arial"/>
          <w:color w:val="000000" w:themeColor="text1"/>
          <w:szCs w:val="21"/>
          <w:highlight w:val="none"/>
          <w14:textFill>
            <w14:solidFill>
              <w14:schemeClr w14:val="tx1"/>
            </w14:solidFill>
          </w14:textFill>
        </w:rPr>
        <w:t xml:space="preserve">0</w:t>
      </w:r>
      <w:r>
        <w:rPr>
          <w:rFonts w:hint="eastAsia" w:ascii="Arial" w:hAnsi="Arial" w:eastAsia="黑体" w:cs="Arial"/>
          <w:color w:val="000000" w:themeColor="text1"/>
          <w:szCs w:val="21"/>
          <w:highlight w:val="none"/>
          <w14:textFill>
            <w14:solidFill>
              <w14:schemeClr w14:val="tx1"/>
            </w14:solidFill>
          </w14:textFill>
        </w:rPr>
        <w:t xml:space="preserve">、投标文件</w:t>
      </w:r>
      <w:bookmarkEnd w:id="82"/>
      <w:r/>
      <w:bookmarkEnd w:id="83"/>
      <w:r/>
      <w:bookmarkEnd w:id="84"/>
      <w:r>
        <w:rPr>
          <w:rFonts w:hint="eastAsia" w:ascii="Arial" w:hAnsi="Arial" w:eastAsia="黑体" w:cs="Arial"/>
          <w:color w:val="000000" w:themeColor="text1"/>
          <w:szCs w:val="21"/>
          <w:highlight w:val="none"/>
          <w14:textFill>
            <w14:solidFill>
              <w14:schemeClr w14:val="tx1"/>
            </w14:solidFill>
          </w14:textFill>
        </w:rPr>
        <w:t xml:space="preserve">的拒收</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20.1 招标代理机构拒绝接收在其规定的投标截止时间后上传的任何投标文件。</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85" w:name="_Toc16938544"/>
      <w:r/>
      <w:bookmarkStart w:id="86" w:name="_Toc20823300"/>
      <w:r/>
      <w:bookmarkStart w:id="87" w:name="_Toc513029228"/>
      <w:r>
        <w:rPr>
          <w:rFonts w:hint="eastAsia" w:ascii="Arial" w:hAnsi="Arial" w:eastAsia="黑体" w:cs="Arial"/>
          <w:color w:val="000000" w:themeColor="text1"/>
          <w:szCs w:val="21"/>
          <w:highlight w:val="none"/>
          <w14:textFill>
            <w14:solidFill>
              <w14:schemeClr w14:val="tx1"/>
            </w14:solidFill>
          </w14:textFill>
        </w:rPr>
        <w:t xml:space="preserve">2</w:t>
      </w:r>
      <w:r>
        <w:rPr>
          <w:rFonts w:ascii="Arial" w:hAnsi="Arial" w:eastAsia="黑体" w:cs="Arial"/>
          <w:color w:val="000000" w:themeColor="text1"/>
          <w:szCs w:val="21"/>
          <w:highlight w:val="none"/>
          <w14:textFill>
            <w14:solidFill>
              <w14:schemeClr w14:val="tx1"/>
            </w14:solidFill>
          </w14:textFill>
        </w:rPr>
        <w:t xml:space="preserve">1</w:t>
      </w:r>
      <w:r>
        <w:rPr>
          <w:rFonts w:hint="eastAsia" w:ascii="Arial" w:hAnsi="Arial" w:eastAsia="黑体" w:cs="Arial"/>
          <w:color w:val="000000" w:themeColor="text1"/>
          <w:szCs w:val="21"/>
          <w:highlight w:val="none"/>
          <w14:textFill>
            <w14:solidFill>
              <w14:schemeClr w14:val="tx1"/>
            </w14:solidFill>
          </w14:textFill>
        </w:rPr>
        <w:t xml:space="preserve">、投标文件的撤回和修改</w:t>
      </w:r>
      <w:bookmarkEnd w:id="85"/>
      <w:r/>
      <w:bookmarkEnd w:id="86"/>
      <w:r/>
      <w:bookmarkEnd w:id="87"/>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.1 投标文件的撤回</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.1.1 电子投标文件的撤回</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投标人可在投标截止时间前，撤回其电子投标文件，具体操作方法见《操作手册》。</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 投标人撤回电子投标文件，则认为其不再参与本项目投标活动。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.2 投标文件的修改</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21.2.1投标人可在投标截止时间前，对其电子投标文件进行修改，具体操作方法见《操作手册》。</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2.2</w:t>
      </w:r>
      <w:r>
        <w:rPr>
          <w:rFonts w:hint="eastAsia" w:ascii="宋体" w:hAnsi="宋体"/>
          <w:bCs/>
          <w:color w:val="000000" w:themeColor="text1"/>
          <w:szCs w:val="21"/>
          <w:highlight w:val="none"/>
          <w14:textFill>
            <w14:solidFill>
              <w14:schemeClr w14:val="tx1"/>
            </w14:solidFill>
          </w14:textFill>
        </w:rPr>
        <w:t xml:space="preserve"> 在投标截止时间之后，投标人不得对其电子投标文件作任何修改。</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 在投标截止时间至招标文件中规定的投标有效期满之间的这段时间内，投标人不得撤回其投标。</w:t>
      </w:r>
      <w:r/>
    </w:p>
    <w:p>
      <w:pPr>
        <w:ind w:firstLine="316"/>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88" w:name="_Toc513029229"/>
      <w:r/>
      <w:bookmarkStart w:id="89" w:name="_Toc20823301"/>
      <w:r/>
      <w:bookmarkStart w:id="90" w:name="_Toc120614218"/>
      <w:r/>
      <w:bookmarkStart w:id="91" w:name="_Toc16938545"/>
      <w:r>
        <w:rPr>
          <w:rFonts w:hint="eastAsia" w:ascii="Times New Roman" w:hAnsi="Times New Roman"/>
          <w:b/>
          <w:bCs/>
          <w:color w:val="000000" w:themeColor="text1"/>
          <w:szCs w:val="21"/>
          <w:highlight w:val="none"/>
          <w14:textFill>
            <w14:solidFill>
              <w14:schemeClr w14:val="tx1"/>
            </w14:solidFill>
          </w14:textFill>
        </w:rPr>
        <w:t xml:space="preserve">五、开标与评标</w:t>
      </w:r>
      <w:bookmarkEnd w:id="88"/>
      <w:r/>
      <w:bookmarkEnd w:id="89"/>
      <w:r/>
      <w:bookmarkEnd w:id="90"/>
      <w:r/>
      <w:bookmarkEnd w:id="91"/>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92" w:name="_Toc513029230"/>
      <w:r/>
      <w:bookmarkStart w:id="93" w:name="_Toc20823302"/>
      <w:r/>
      <w:bookmarkStart w:id="94" w:name="_Toc16938546"/>
      <w:r>
        <w:rPr>
          <w:rFonts w:hint="eastAsia" w:ascii="Arial" w:hAnsi="Arial" w:eastAsia="黑体" w:cs="Arial"/>
          <w:color w:val="000000" w:themeColor="text1"/>
          <w:szCs w:val="21"/>
          <w:highlight w:val="none"/>
          <w14:textFill>
            <w14:solidFill>
              <w14:schemeClr w14:val="tx1"/>
            </w14:solidFill>
          </w14:textFill>
        </w:rPr>
        <w:t xml:space="preserve">22、开标</w:t>
      </w:r>
      <w:bookmarkEnd w:id="92"/>
      <w:r/>
      <w:bookmarkEnd w:id="93"/>
      <w:r/>
      <w:bookmarkEnd w:id="94"/>
      <w:r/>
      <w:r/>
    </w:p>
    <w:p>
      <w:pPr>
        <w:ind w:firstLine="315"/>
        <w:spacing w:line="360" w:lineRule="auto"/>
        <w:rPr>
          <w:rFonts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 招标代理机构将在招标公告中规定的时间和地点组织公开开标</w:t>
      </w:r>
      <w:r>
        <w:rPr>
          <w:rFonts w:hint="eastAsia" w:ascii="宋体" w:hAnsi="宋体"/>
          <w:color w:val="000000" w:themeColor="text1"/>
          <w:szCs w:val="21"/>
          <w:highlight w:val="none"/>
          <w14:textFill>
            <w14:solidFill>
              <w14:schemeClr w14:val="tx1"/>
            </w14:solidFill>
          </w14:textFill>
        </w:rPr>
        <w:t xml:space="preserve">。投标人应当按照《操作手册》规定，</w:t>
      </w:r>
      <w:r>
        <w:rPr>
          <w:rFonts w:ascii="宋体" w:hAnsi="宋体"/>
          <w:color w:val="000000" w:themeColor="text1"/>
          <w:szCs w:val="21"/>
          <w:highlight w:val="none"/>
          <w14:textFill>
            <w14:solidFill>
              <w14:schemeClr w14:val="tx1"/>
            </w14:solidFill>
          </w14:textFill>
        </w:rPr>
        <w:t xml:space="preserve">参加开标活动</w:t>
      </w:r>
      <w:r>
        <w:rPr>
          <w:rFonts w:hint="eastAsia" w:ascii="宋体" w:hAnsi="宋体"/>
          <w:color w:val="000000" w:themeColor="text1"/>
          <w:szCs w:val="21"/>
          <w:highlight w:val="none"/>
          <w14:textFill>
            <w14:solidFill>
              <w14:schemeClr w14:val="tx1"/>
            </w14:solidFill>
          </w14:textFill>
        </w:rPr>
        <w:t xml:space="preserve">和在苏采云系统规定的时间内对投标文件进行解密。</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开标仪式由招标代理机构组织。苏采云系统将自动对</w:t>
      </w:r>
      <w:r>
        <w:rPr>
          <w:rFonts w:ascii="宋体" w:hAnsi="宋体"/>
          <w:color w:val="000000" w:themeColor="text1"/>
          <w:szCs w:val="21"/>
          <w:highlight w:val="none"/>
          <w14:textFill>
            <w14:solidFill>
              <w14:schemeClr w14:val="tx1"/>
            </w14:solidFill>
          </w14:textFill>
        </w:rPr>
        <w:t xml:space="preserve">项目进行开标，</w:t>
      </w:r>
      <w:r>
        <w:rPr>
          <w:rFonts w:hint="eastAsia" w:ascii="宋体" w:hAnsi="宋体"/>
          <w:color w:val="000000" w:themeColor="text1"/>
          <w:szCs w:val="21"/>
          <w:highlight w:val="none"/>
          <w14:textFill>
            <w14:solidFill>
              <w14:schemeClr w14:val="tx1"/>
            </w14:solidFill>
          </w14:textFill>
        </w:rPr>
        <w:t xml:space="preserve">并宣布各投标人名称和投标价格。</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.3投标人在开标过程中涉及到的投标文件解密、开标结果确认等工作，应按照《操作手册》规定执行。</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95" w:name="_Toc16938547"/>
      <w:r/>
      <w:bookmarkStart w:id="96" w:name="_Toc20823303"/>
      <w:r/>
      <w:bookmarkStart w:id="97" w:name="_Toc513029231"/>
      <w:r>
        <w:rPr>
          <w:rFonts w:hint="eastAsia" w:ascii="Arial" w:hAnsi="Arial" w:eastAsia="黑体" w:cs="Arial"/>
          <w:color w:val="000000" w:themeColor="text1"/>
          <w:szCs w:val="21"/>
          <w:highlight w:val="none"/>
          <w14:textFill>
            <w14:solidFill>
              <w14:schemeClr w14:val="tx1"/>
            </w14:solidFill>
          </w14:textFill>
        </w:rPr>
        <w:t xml:space="preserve">2</w:t>
      </w:r>
      <w:r>
        <w:rPr>
          <w:rFonts w:ascii="Arial" w:hAnsi="Arial" w:eastAsia="黑体" w:cs="Arial"/>
          <w:color w:val="000000" w:themeColor="text1"/>
          <w:szCs w:val="21"/>
          <w:highlight w:val="none"/>
          <w14:textFill>
            <w14:solidFill>
              <w14:schemeClr w14:val="tx1"/>
            </w14:solidFill>
          </w14:textFill>
        </w:rPr>
        <w:t xml:space="preserve">3</w:t>
      </w:r>
      <w:r>
        <w:rPr>
          <w:rFonts w:hint="eastAsia" w:ascii="Arial" w:hAnsi="Arial" w:eastAsia="黑体" w:cs="Arial"/>
          <w:color w:val="000000" w:themeColor="text1"/>
          <w:szCs w:val="21"/>
          <w:highlight w:val="none"/>
          <w14:textFill>
            <w14:solidFill>
              <w14:schemeClr w14:val="tx1"/>
            </w14:solidFill>
          </w14:textFill>
        </w:rPr>
        <w:t xml:space="preserve">、评标委员会</w:t>
      </w:r>
      <w:r/>
    </w:p>
    <w:p>
      <w:pP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2</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开标后，招标代理机构将立即组织评标委员会（以下简称评委会）进行评标。</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2</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.2 评委会由采购人代表和有关技术、经济等方面的专家组成，且人员构成符合政府采购有关规定。</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2</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.3评委会独立工作，负责评审所有投标文件并确定中标侯选人。</w:t>
      </w:r>
      <w:r/>
    </w:p>
    <w:p>
      <w:pPr>
        <w:ind w:firstLine="315"/>
        <w:keepLines/>
        <w:keepNext/>
        <w:spacing w:line="360" w:lineRule="auto"/>
        <w:rPr>
          <w:rFonts w:ascii="黑体" w:hAnsi="Arial" w:eastAsia="黑体" w:cs="Arial"/>
          <w:color w:val="000000" w:themeColor="text1"/>
          <w:szCs w:val="21"/>
          <w:highlight w:val="none"/>
          <w14:textFill>
            <w14:solidFill>
              <w14:schemeClr w14:val="tx1"/>
            </w14:solidFill>
          </w14:textFill>
        </w:rPr>
        <w:outlineLvl w:val="3"/>
      </w:pPr>
      <w:r>
        <w:rPr>
          <w:rFonts w:hint="eastAsia" w:ascii="黑体" w:hAnsi="Arial" w:eastAsia="黑体" w:cs="Arial"/>
          <w:color w:val="000000" w:themeColor="text1"/>
          <w:szCs w:val="21"/>
          <w:highlight w:val="none"/>
          <w14:textFill>
            <w14:solidFill>
              <w14:schemeClr w14:val="tx1"/>
            </w14:solidFill>
          </w14:textFill>
        </w:rPr>
        <w:t xml:space="preserve">2</w:t>
      </w:r>
      <w:r>
        <w:rPr>
          <w:rFonts w:ascii="黑体" w:hAnsi="Arial" w:eastAsia="黑体" w:cs="Arial"/>
          <w:color w:val="000000" w:themeColor="text1"/>
          <w:szCs w:val="21"/>
          <w:highlight w:val="none"/>
          <w14:textFill>
            <w14:solidFill>
              <w14:schemeClr w14:val="tx1"/>
            </w14:solidFill>
          </w14:textFill>
        </w:rPr>
        <w:t xml:space="preserve">4</w:t>
      </w:r>
      <w:r>
        <w:rPr>
          <w:rFonts w:hint="eastAsia" w:ascii="黑体" w:hAnsi="Arial" w:eastAsia="黑体" w:cs="Arial"/>
          <w:color w:val="000000" w:themeColor="text1"/>
          <w:szCs w:val="21"/>
          <w:highlight w:val="none"/>
          <w14:textFill>
            <w14:solidFill>
              <w14:schemeClr w14:val="tx1"/>
            </w14:solidFill>
          </w14:textFill>
        </w:rPr>
        <w:t xml:space="preserve">．评标过程的保密与公正</w:t>
      </w:r>
      <w:bookmarkEnd w:id="95"/>
      <w:r/>
      <w:bookmarkEnd w:id="96"/>
      <w:r/>
      <w:bookmarkEnd w:id="97"/>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凡是与审查、澄清、评价和比较投标的有关资料以及授标建议等，采购人、评委、招标代理机构均不得向投标人或与评标无关的其他人员透露。</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.2在评标过程中，投标人不得以任何行为影响评标过程，否则其投标文件将被作为无效投标文件。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招标代理机构和评标委员会不向未中标的投标人解释未中标原因，也不公布评标过程中的相关细节。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bookmarkStart w:id="98" w:name="_Toc16938548"/>
      <w:r/>
      <w:bookmarkStart w:id="99" w:name="_Toc20823304"/>
      <w:r/>
      <w:bookmarkStart w:id="100" w:name="_Toc513029232"/>
      <w:r>
        <w:rPr>
          <w:rFonts w:hint="eastAsia" w:ascii="Arial" w:hAnsi="Arial" w:eastAsia="黑体" w:cs="Arial"/>
          <w:color w:val="000000" w:themeColor="text1"/>
          <w:szCs w:val="21"/>
          <w:highlight w:val="none"/>
          <w14:textFill>
            <w14:solidFill>
              <w14:schemeClr w14:val="tx1"/>
            </w14:solidFill>
          </w14:textFill>
        </w:rPr>
        <w:t xml:space="preserve">2</w:t>
      </w:r>
      <w:r>
        <w:rPr>
          <w:rFonts w:ascii="Arial" w:hAnsi="Arial" w:eastAsia="黑体" w:cs="Arial"/>
          <w:color w:val="000000" w:themeColor="text1"/>
          <w:szCs w:val="21"/>
          <w:highlight w:val="none"/>
          <w14:textFill>
            <w14:solidFill>
              <w14:schemeClr w14:val="tx1"/>
            </w14:solidFill>
          </w14:textFill>
        </w:rPr>
        <w:t xml:space="preserve">5</w:t>
      </w:r>
      <w:r>
        <w:rPr>
          <w:rFonts w:hint="eastAsia" w:ascii="Arial" w:hAnsi="Arial" w:eastAsia="黑体" w:cs="Arial"/>
          <w:color w:val="000000" w:themeColor="text1"/>
          <w:szCs w:val="21"/>
          <w:highlight w:val="none"/>
          <w14:textFill>
            <w14:solidFill>
              <w14:schemeClr w14:val="tx1"/>
            </w14:solidFill>
          </w14:textFill>
        </w:rPr>
        <w:t xml:space="preserve">．投标文件的澄清</w:t>
      </w:r>
      <w:bookmarkEnd w:id="98"/>
      <w:r/>
      <w:bookmarkEnd w:id="99"/>
      <w:r/>
      <w:bookmarkEnd w:id="100"/>
      <w:r/>
      <w:r/>
    </w:p>
    <w:p>
      <w:pPr>
        <w:ind w:firstLine="420"/>
        <w:spacing w:line="360" w:lineRule="auto"/>
        <w:rPr>
          <w:rFonts w:hint="eastAsia" w:ascii="宋体" w:hAnsi="宋体"/>
          <w:color w:val="000000" w:themeColor="text1"/>
          <w:szCs w:val="21"/>
          <w:highlight w:val="none"/>
          <w14:textFill>
            <w14:solidFill>
              <w14:schemeClr w14:val="tx1"/>
            </w14:solidFill>
          </w14:textFill>
        </w:rPr>
      </w:pPr>
      <w:r/>
      <w:bookmarkStart w:id="101" w:name="_Toc513029233"/>
      <w:r/>
      <w:bookmarkStart w:id="102" w:name="_Toc20823305"/>
      <w:r/>
      <w:bookmarkStart w:id="103" w:name="_Toc16938549"/>
      <w:r>
        <w:rPr>
          <w:rFonts w:ascii="宋体" w:hAnsi="宋体"/>
          <w:color w:val="000000" w:themeColor="text1"/>
          <w:szCs w:val="21"/>
          <w:highlight w:val="none"/>
          <w14:textFill>
            <w14:solidFill>
              <w14:schemeClr w14:val="tx1"/>
            </w14:solidFill>
          </w14:textFill>
        </w:rPr>
        <w:t xml:space="preserve">25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，有权要求投标人作出必要的澄清、说明或者补正。</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投标人的澄清、说明或者补正不得超出投标文件的范围或者改变投标文件的实质性内容。</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w:t>
      </w:r>
      <w:r>
        <w:rPr>
          <w:rFonts w:ascii="宋体" w:hAnsi="宋体"/>
          <w:color w:val="000000" w:themeColor="text1"/>
          <w:szCs w:val="21"/>
          <w:highlight w:val="none"/>
          <w14:textFill>
            <w14:solidFill>
              <w14:schemeClr w14:val="tx1"/>
            </w14:solidFill>
          </w14:textFill>
        </w:rPr>
        <w:t xml:space="preserve">委员会并非对每个投标人都做澄清要求</w:t>
      </w:r>
      <w:r>
        <w:rPr>
          <w:rFonts w:hint="eastAsia" w:ascii="宋体" w:hAnsi="宋体"/>
          <w:color w:val="000000" w:themeColor="text1"/>
          <w:szCs w:val="21"/>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.3 接到评委会澄清、说明和补正要求的投标人如未按规定做出澄清、说明和补正，其风险由投标人自行承担。</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rPr>
          <w:rFonts w:hint="eastAsia" w:ascii="Arial" w:hAnsi="Arial" w:eastAsia="黑体" w:cs="Arial"/>
          <w:color w:val="000000" w:themeColor="text1"/>
          <w:szCs w:val="21"/>
          <w:highlight w:val="none"/>
          <w14:textFill>
            <w14:solidFill>
              <w14:schemeClr w14:val="tx1"/>
            </w14:solidFill>
          </w14:textFill>
        </w:rPr>
        <w:t xml:space="preserve">2</w:t>
      </w:r>
      <w:r>
        <w:rPr>
          <w:rFonts w:ascii="Arial" w:hAnsi="Arial" w:eastAsia="黑体" w:cs="Arial"/>
          <w:color w:val="000000" w:themeColor="text1"/>
          <w:szCs w:val="21"/>
          <w:highlight w:val="none"/>
          <w14:textFill>
            <w14:solidFill>
              <w14:schemeClr w14:val="tx1"/>
            </w14:solidFill>
          </w14:textFill>
        </w:rPr>
        <w:t xml:space="preserve">6</w:t>
      </w:r>
      <w:r>
        <w:rPr>
          <w:rFonts w:hint="eastAsia" w:ascii="Arial" w:hAnsi="Arial" w:eastAsia="黑体" w:cs="Arial"/>
          <w:color w:val="000000" w:themeColor="text1"/>
          <w:szCs w:val="21"/>
          <w:highlight w:val="none"/>
          <w14:textFill>
            <w14:solidFill>
              <w14:schemeClr w14:val="tx1"/>
            </w14:solidFill>
          </w14:textFill>
        </w:rPr>
        <w:t xml:space="preserve">、对投标文件的初审</w:t>
      </w:r>
      <w:bookmarkEnd w:id="101"/>
      <w:r/>
      <w:bookmarkEnd w:id="102"/>
      <w:r/>
      <w:bookmarkEnd w:id="103"/>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投标文件初审分为资格审查和符合性审查。</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.1.3 未通过资格审查或符合性审查的投标人，招标代理机构将在</w:t>
      </w:r>
      <w:r>
        <w:rPr>
          <w:rFonts w:hint="eastAsia" w:ascii="宋体" w:hAnsi="宋体"/>
          <w:color w:val="000000" w:themeColor="text1"/>
          <w:szCs w:val="21"/>
          <w:highlight w:val="none"/>
          <w14:textFill>
            <w14:solidFill>
              <w14:schemeClr w14:val="tx1"/>
            </w14:solidFill>
          </w14:textFill>
        </w:rPr>
        <w:t xml:space="preserve">苏采云系统</w:t>
      </w:r>
      <w:r>
        <w:rPr>
          <w:rFonts w:hint="eastAsia" w:ascii="宋体" w:hAnsi="宋体"/>
          <w:bCs/>
          <w:color w:val="000000" w:themeColor="text1"/>
          <w:szCs w:val="21"/>
          <w:highlight w:val="none"/>
          <w14:textFill>
            <w14:solidFill>
              <w14:schemeClr w14:val="tx1"/>
            </w14:solidFill>
          </w14:textFill>
        </w:rPr>
        <w:t xml:space="preserve">中告知未通过资格审查或符合性审查的原因，评审结束后，招标代理机构将不再告知未通过资格审查或符合性审查的原因。</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Cs w:val="21"/>
          <w:highlight w:val="none"/>
          <w14:textFill>
            <w14:solidFill>
              <w14:schemeClr w14:val="tx1"/>
            </w14:solidFill>
          </w14:textFill>
        </w:rPr>
        <w:t xml:space="preserve">评委决定投标文件的响应性只根据投标文件本身的内容，而不寻求外部的证据。</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（1）投标文件中开标一览表内容与投标文件中相应内容不一致的，以开标一览表为准。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（2）大写金额和小写金额不一致的，以大写金额为准。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同时出现两种以上错误的，按照前款规定的顺序修正。</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Cs w:val="21"/>
          <w:highlight w:val="none"/>
          <w14:textFill>
            <w14:solidFill>
              <w14:schemeClr w14:val="tx1"/>
            </w14:solidFill>
          </w14:textFill>
        </w:rPr>
        <w:t xml:space="preserve">通过</w:t>
      </w:r>
      <w:r>
        <w:rPr>
          <w:rFonts w:hint="eastAsia" w:ascii="宋体" w:hAnsi="宋体"/>
          <w:color w:val="000000" w:themeColor="text1"/>
          <w:szCs w:val="21"/>
          <w:highlight w:val="none"/>
          <w14:textFill>
            <w14:solidFill>
              <w14:schemeClr w14:val="tx1"/>
            </w14:solidFill>
          </w14:textFill>
        </w:rPr>
        <w:t xml:space="preserve">苏采云系统</w:t>
      </w:r>
      <w:r>
        <w:rPr>
          <w:rFonts w:hint="eastAsia" w:ascii="宋体" w:hAnsi="宋体"/>
          <w:bCs/>
          <w:color w:val="000000" w:themeColor="text1"/>
          <w:szCs w:val="21"/>
          <w:highlight w:val="none"/>
          <w14:textFill>
            <w14:solidFill>
              <w14:schemeClr w14:val="tx1"/>
            </w14:solidFill>
          </w14:textFill>
        </w:rPr>
        <w:t xml:space="preserve">告知</w:t>
      </w:r>
      <w:r>
        <w:rPr>
          <w:rFonts w:ascii="宋体" w:hAnsi="宋体"/>
          <w:bCs/>
          <w:color w:val="000000" w:themeColor="text1"/>
          <w:szCs w:val="21"/>
          <w:highlight w:val="none"/>
          <w14:textFill>
            <w14:solidFill>
              <w14:schemeClr w14:val="tx1"/>
            </w14:solidFill>
          </w14:textFill>
        </w:rPr>
        <w:t xml:space="preserve">投标人，</w:t>
      </w:r>
      <w:r>
        <w:rPr>
          <w:rFonts w:hint="eastAsia" w:ascii="宋体" w:hAnsi="宋体"/>
          <w:bCs/>
          <w:color w:val="000000" w:themeColor="text1"/>
          <w:szCs w:val="21"/>
          <w:highlight w:val="none"/>
          <w14:textFill>
            <w14:solidFill>
              <w14:schemeClr w14:val="tx1"/>
            </w14:solidFill>
          </w14:textFill>
        </w:rPr>
        <w:t xml:space="preserve">调整后的价格应对投标人具有约束力。如果投标人不接受修正后的价格，则其投标将被拒绝。</w:t>
      </w:r>
      <w:r/>
    </w:p>
    <w:p>
      <w:pPr>
        <w:ind w:firstLine="420"/>
        <w:spacing w:line="360" w:lineRule="auto"/>
        <w:rPr>
          <w:rFonts w:hint="eastAsia" w:ascii="宋体" w:hAnsi="宋体" w:cs="宋体"/>
          <w:b/>
          <w:color w:val="000000" w:themeColor="text1"/>
          <w:szCs w:val="21"/>
          <w:highlight w:val="none"/>
          <w:lang w:val="zh-CN"/>
          <w14:textFill>
            <w14:solidFill>
              <w14:schemeClr w14:val="tx1"/>
            </w14:solidFill>
          </w14:textFill>
        </w:rPr>
      </w:pPr>
      <w:r/>
      <w:bookmarkStart w:id="104" w:name="_Toc20823306"/>
      <w:r/>
      <w:bookmarkStart w:id="105" w:name="_Toc513029234"/>
      <w:r/>
      <w:bookmarkStart w:id="106" w:name="_Toc16938550"/>
      <w:r>
        <w:rPr>
          <w:rFonts w:hint="eastAsia" w:ascii="宋体" w:hAnsi="宋体" w:cs="宋体"/>
          <w:b/>
          <w:color w:val="000000" w:themeColor="text1"/>
          <w:szCs w:val="21"/>
          <w:highlight w:val="none"/>
          <w:lang w:val="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6</w:t>
      </w:r>
      <w:r>
        <w:rPr>
          <w:rFonts w:hint="eastAsia" w:ascii="宋体" w:hAnsi="宋体" w:cs="宋体"/>
          <w:b/>
          <w:color w:val="000000" w:themeColor="text1"/>
          <w:szCs w:val="21"/>
          <w:highlight w:val="none"/>
          <w:lang w:val="zh-CN"/>
          <w14:textFill>
            <w14:solidFill>
              <w14:schemeClr w14:val="tx1"/>
            </w14:solidFill>
          </w14:textFill>
        </w:rPr>
        <w:t xml:space="preserve">.6异常低价投标审查</w:t>
      </w:r>
      <w:r/>
    </w:p>
    <w:p>
      <w:pPr>
        <w:ind w:left="0" w:right="0" w:firstLine="42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26.6.1政府采购评审中出现下列情形之一的，评审委员会应当启动异常低价投标（响应）审查程序：</w:t>
        <w:br/>
        <w:t xml:space="preserve">（1）投标（响应）报价低于全部通过符合性审查供应商投标（响应）报价平均值50%的，即投标（响应）报价&lt;全部通过符合性审查供应商投标（响应）报价平均值×50%；</w:t>
        <w:br/>
        <w:t xml:space="preserve">（2）投标（响应）报价低于通过符合性审查的次低报价供应商投标（响应）报价50%的，即投标（响应）报价&lt;通过符合性审查的次低报价供应商投标（响应）报价×50%；</w:t>
        <w:br/>
        <w:t xml:space="preserve">（3）投标（响应）报价低于采购项目最高限价45%的，即投标（响应）报价&lt;采购项目最高限价×45%</w:t>
      </w:r>
      <w:r>
        <w:rPr>
          <w:rFonts w:ascii="SimSun" w:hAnsi="SimSun" w:eastAsia="SimSun" w:cs="SimSun"/>
          <w:b/>
          <w:color w:val="000000"/>
          <w:sz w:val="21"/>
        </w:rPr>
        <w:t xml:space="preserve">；</w:t>
        <w:br/>
        <w:t xml:space="preserve">（4）评审委员会基于专业判断，认为供应商报价过低，有可能影响产品质量或者不能诚信履约的其他情形。</w:t>
        <w:br/>
        <w:t xml:space="preserve">26.6.2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35分钟。其中，属于第3项情形，供应商已随投标（响应）文件一并提交相关书面说明及必要的证明材料的，在评审现场可不再重复提交。</w:t>
      </w:r>
      <w:r>
        <w:rPr>
          <w:rFonts w:ascii="SimSun" w:hAnsi="SimSun" w:eastAsia="SimSun" w:cs="SimSun"/>
          <w:b/>
          <w:color w:val="000000"/>
          <w:sz w:val="21"/>
        </w:rPr>
        <w:br/>
        <w:t xml:space="preserve">26.6.3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
        <w:rPr>
          <w:rFonts w:hint="eastAsia" w:ascii="宋体" w:hAnsi="宋体" w:cs="宋体"/>
          <w:b/>
          <w:i/>
          <w:iCs/>
          <w:color w:val="000000" w:themeColor="text1"/>
          <w:sz w:val="22"/>
          <w:szCs w:val="22"/>
          <w:highlight w:val="none"/>
          <w:u w:val="single"/>
          <w14:textFill>
            <w14:solidFill>
              <w14:schemeClr w14:val="tx1"/>
            </w14:solidFill>
          </w14:textFill>
        </w:rPr>
      </w:r>
      <w:r/>
      <w:r>
        <w:rPr>
          <w:sz w:val="21"/>
        </w:rP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.7</w:t>
      </w:r>
      <w:r>
        <w:rPr>
          <w:rFonts w:ascii="宋体" w:hAnsi="宋体"/>
          <w:color w:val="000000" w:themeColor="text1"/>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Cs w:val="21"/>
          <w:highlight w:val="none"/>
          <w14:textFill>
            <w14:solidFill>
              <w14:schemeClr w14:val="tx1"/>
            </w14:solidFill>
          </w14:textFill>
        </w:rPr>
        <w:t xml:space="preserve">随机抽取</w:t>
      </w:r>
      <w:r>
        <w:rPr>
          <w:rFonts w:hint="eastAsia" w:ascii="宋体" w:hAnsi="宋体"/>
          <w:color w:val="000000" w:themeColor="text1"/>
          <w:szCs w:val="21"/>
          <w:highlight w:val="none"/>
          <w14:textFill>
            <w14:solidFill>
              <w14:schemeClr w14:val="tx1"/>
            </w14:solidFill>
          </w14:textFill>
        </w:rPr>
        <w:t xml:space="preserve">的</w:t>
      </w:r>
      <w:r>
        <w:rPr>
          <w:rFonts w:ascii="宋体" w:hAnsi="宋体"/>
          <w:color w:val="000000" w:themeColor="text1"/>
          <w:szCs w:val="21"/>
          <w:highlight w:val="none"/>
          <w14:textFill>
            <w14:solidFill>
              <w14:schemeClr w14:val="tx1"/>
            </w14:solidFill>
          </w14:textFill>
        </w:rPr>
        <w:t xml:space="preserve">方式</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确定一个参加评标的投标人，其他投标无效。</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一个中标候选人</w:t>
      </w:r>
      <w:r>
        <w:rPr>
          <w:rFonts w:ascii="宋体" w:hAnsi="宋体"/>
          <w:color w:val="000000" w:themeColor="text1"/>
          <w:szCs w:val="21"/>
          <w:highlight w:val="none"/>
          <w14:textFill>
            <w14:solidFill>
              <w14:schemeClr w14:val="tx1"/>
            </w14:solidFill>
          </w14:textFill>
        </w:rPr>
        <w:t xml:space="preserve">，其他同品牌投标人不作为中标候选人。</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非单一产品采购项目，招标文件中</w:t>
      </w:r>
      <w:r>
        <w:rPr>
          <w:rFonts w:hint="eastAsia" w:ascii="宋体" w:hAnsi="宋体"/>
          <w:color w:val="000000" w:themeColor="text1"/>
          <w:szCs w:val="21"/>
          <w:highlight w:val="none"/>
          <w14:textFill>
            <w14:solidFill>
              <w14:schemeClr w14:val="tx1"/>
            </w14:solidFill>
          </w14:textFill>
        </w:rPr>
        <w:t xml:space="preserve">将载明其中的核心产品</w:t>
      </w:r>
      <w:r>
        <w:rPr>
          <w:rFonts w:ascii="宋体" w:hAnsi="宋体"/>
          <w:color w:val="000000" w:themeColor="text1"/>
          <w:szCs w:val="21"/>
          <w:highlight w:val="none"/>
          <w14:textFill>
            <w14:solidFill>
              <w14:schemeClr w14:val="tx1"/>
            </w14:solidFill>
          </w14:textFill>
        </w:rPr>
        <w:t xml:space="preserve">。多家投标人提供的核心产品品牌相同的，按前两款规定处理。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.8投标人在开、评标全过程中应保持通讯畅通，及时登录苏采云系统查阅</w:t>
      </w:r>
      <w:r>
        <w:rPr>
          <w:rFonts w:ascii="宋体" w:hAnsi="宋体"/>
          <w:color w:val="000000" w:themeColor="text1"/>
          <w:szCs w:val="21"/>
          <w:highlight w:val="none"/>
          <w14:textFill>
            <w14:solidFill>
              <w14:schemeClr w14:val="tx1"/>
            </w14:solidFill>
          </w14:textFill>
        </w:rPr>
        <w:t xml:space="preserve">、答复相关</w:t>
      </w:r>
      <w:r>
        <w:rPr>
          <w:rFonts w:hint="eastAsia" w:ascii="宋体" w:hAnsi="宋体"/>
          <w:color w:val="000000" w:themeColor="text1"/>
          <w:szCs w:val="21"/>
          <w:highlight w:val="none"/>
          <w14:textFill>
            <w14:solidFill>
              <w14:schemeClr w14:val="tx1"/>
            </w14:solidFill>
          </w14:textFill>
        </w:rPr>
        <w:t xml:space="preserve">信息</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并安排专人与招标代理机构及评标委员会联系。</w:t>
      </w:r>
      <w:r/>
    </w:p>
    <w:p>
      <w:pPr>
        <w:ind w:firstLine="315"/>
        <w:keepLines/>
        <w:keepNext/>
        <w:spacing w:line="360" w:lineRule="auto"/>
        <w:rPr>
          <w:rFonts w:ascii="Arial" w:hAnsi="Arial" w:eastAsia="黑体" w:cs="Arial"/>
          <w:color w:val="000000" w:themeColor="text1"/>
          <w:szCs w:val="21"/>
          <w:highlight w:val="none"/>
          <w14:textFill>
            <w14:solidFill>
              <w14:schemeClr w14:val="tx1"/>
            </w14:solidFill>
          </w14:textFill>
        </w:rPr>
        <w:outlineLvl w:val="3"/>
      </w:pPr>
      <w:r>
        <w:rPr>
          <w:rFonts w:hint="eastAsia" w:ascii="Arial" w:hAnsi="Arial" w:eastAsia="黑体" w:cs="Arial"/>
          <w:color w:val="000000" w:themeColor="text1"/>
          <w:szCs w:val="21"/>
          <w:highlight w:val="none"/>
          <w14:textFill>
            <w14:solidFill>
              <w14:schemeClr w14:val="tx1"/>
            </w14:solidFill>
          </w14:textFill>
        </w:rPr>
        <w:t xml:space="preserve">2</w:t>
      </w:r>
      <w:r>
        <w:rPr>
          <w:rFonts w:ascii="Arial" w:hAnsi="Arial" w:eastAsia="黑体" w:cs="Arial"/>
          <w:color w:val="000000" w:themeColor="text1"/>
          <w:szCs w:val="21"/>
          <w:highlight w:val="none"/>
          <w14:textFill>
            <w14:solidFill>
              <w14:schemeClr w14:val="tx1"/>
            </w14:solidFill>
          </w14:textFill>
        </w:rPr>
        <w:t xml:space="preserve">7</w:t>
      </w:r>
      <w:r>
        <w:rPr>
          <w:rFonts w:hint="eastAsia" w:ascii="Arial" w:hAnsi="Arial" w:eastAsia="黑体" w:cs="Arial"/>
          <w:color w:val="000000" w:themeColor="text1"/>
          <w:szCs w:val="21"/>
          <w:highlight w:val="none"/>
          <w14:textFill>
            <w14:solidFill>
              <w14:schemeClr w14:val="tx1"/>
            </w14:solidFill>
          </w14:textFill>
        </w:rPr>
        <w:t xml:space="preserve">、</w:t>
      </w:r>
      <w:bookmarkEnd w:id="104"/>
      <w:r/>
      <w:bookmarkEnd w:id="105"/>
      <w:r/>
      <w:bookmarkEnd w:id="106"/>
      <w:r>
        <w:rPr>
          <w:rFonts w:hint="eastAsia" w:ascii="Arial" w:hAnsi="Arial" w:eastAsia="黑体" w:cs="Arial"/>
          <w:color w:val="000000" w:themeColor="text1"/>
          <w:szCs w:val="21"/>
          <w:highlight w:val="none"/>
          <w14:textFill>
            <w14:solidFill>
              <w14:schemeClr w14:val="tx1"/>
            </w14:solidFill>
          </w14:textFill>
        </w:rPr>
        <w:t xml:space="preserve">无效投标条款和废标条款</w:t>
      </w:r>
      <w:r/>
    </w:p>
    <w:p>
      <w:pPr>
        <w:ind w:left="479"/>
        <w:spacing w:line="360" w:lineRule="auto"/>
        <w:rPr>
          <w:rFonts w:hint="eastAsia" w:ascii="宋体" w:hAnsi="宋体"/>
          <w:bCs/>
          <w:color w:val="000000" w:themeColor="text1"/>
          <w:szCs w:val="21"/>
          <w:highlight w:val="none"/>
          <w14:textFill>
            <w14:solidFill>
              <w14:schemeClr w14:val="tx1"/>
            </w14:solidFill>
          </w14:textFill>
        </w:rPr>
      </w:pPr>
      <w:r/>
      <w:bookmarkStart w:id="116" w:name="_Toc513029235"/>
      <w:r/>
      <w:bookmarkStart w:id="117" w:name="_Toc16938551"/>
      <w:r/>
      <w:bookmarkStart w:id="118" w:name="_Toc20823307"/>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.1无效投标条款</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.1.1 投标人在</w:t>
      </w:r>
      <w:r>
        <w:rPr>
          <w:rFonts w:hint="eastAsia" w:ascii="宋体" w:hAnsi="宋体"/>
          <w:color w:val="000000" w:themeColor="text1"/>
          <w:szCs w:val="21"/>
          <w:highlight w:val="none"/>
          <w14:textFill>
            <w14:solidFill>
              <w14:schemeClr w14:val="tx1"/>
            </w14:solidFill>
          </w14:textFill>
        </w:rPr>
        <w:t xml:space="preserve">苏采云系统</w:t>
      </w:r>
      <w:r>
        <w:rPr>
          <w:rFonts w:hint="eastAsia" w:ascii="宋体" w:hAnsi="宋体"/>
          <w:bCs/>
          <w:color w:val="000000" w:themeColor="text1"/>
          <w:szCs w:val="21"/>
          <w:highlight w:val="none"/>
          <w14:textFill>
            <w14:solidFill>
              <w14:schemeClr w14:val="tx1"/>
            </w14:solidFill>
          </w14:textFill>
        </w:rPr>
        <w:t xml:space="preserve">规定的时间内未成功解密电子投标文件的。</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 投标人未按照招标文件要求上传电子投标文件的。</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同一投标人提交两个</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含</w:t>
      </w:r>
      <w:r>
        <w:rPr>
          <w:rFonts w:ascii="宋体" w:hAnsi="宋体"/>
          <w:bCs/>
          <w:color w:val="000000" w:themeColor="text1"/>
          <w:szCs w:val="21"/>
          <w:highlight w:val="none"/>
          <w14:textFill>
            <w14:solidFill>
              <w14:schemeClr w14:val="tx1"/>
            </w14:solidFill>
          </w14:textFill>
        </w:rPr>
        <w:t xml:space="preserve">两个）</w:t>
      </w:r>
      <w:r>
        <w:rPr>
          <w:rFonts w:hint="eastAsia" w:ascii="宋体" w:hAnsi="宋体"/>
          <w:bCs/>
          <w:color w:val="000000" w:themeColor="text1"/>
          <w:szCs w:val="21"/>
          <w:highlight w:val="none"/>
          <w14:textFill>
            <w14:solidFill>
              <w14:schemeClr w14:val="tx1"/>
            </w14:solidFill>
          </w14:textFill>
        </w:rPr>
        <w:t xml:space="preserve">以上不同的</w:t>
      </w:r>
      <w:r>
        <w:rPr>
          <w:rFonts w:ascii="宋体" w:hAnsi="宋体"/>
          <w:bCs/>
          <w:color w:val="000000" w:themeColor="text1"/>
          <w:szCs w:val="21"/>
          <w:highlight w:val="none"/>
          <w14:textFill>
            <w14:solidFill>
              <w14:schemeClr w14:val="tx1"/>
            </w14:solidFill>
          </w14:textFill>
        </w:rPr>
        <w:t xml:space="preserve">投标报价的。</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投标人不具备招标文件中规定资格要求的。</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投标人的报价超过了采购预算或最高限价的。</w:t>
      </w:r>
      <w:r/>
    </w:p>
    <w:p>
      <w:pPr>
        <w:ind w:firstLine="420"/>
        <w:spacing w:line="360" w:lineRule="auto"/>
        <w:rPr>
          <w:rFonts w:hint="eastAsia" w:ascii="宋体" w:hAnsi="宋体"/>
          <w:bCs/>
          <w:i/>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未通过符合性审查的。</w:t>
      </w:r>
      <w:r/>
    </w:p>
    <w:p>
      <w:pPr>
        <w:ind w:firstLine="315"/>
        <w:spacing w:line="360" w:lineRule="auto"/>
        <w:rPr>
          <w:rFonts w:hint="eastAsia" w:ascii="宋体" w:hAnsi="宋体"/>
          <w:bCs/>
          <w:i/>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不符合招标文件中规定的实质性要求和条件的</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9</w:t>
      </w:r>
      <w:r>
        <w:rPr>
          <w:rFonts w:hint="eastAsia" w:ascii="宋体" w:hAnsi="宋体"/>
          <w:bCs/>
          <w:color w:val="000000" w:themeColor="text1"/>
          <w:szCs w:val="21"/>
          <w:highlight w:val="none"/>
          <w14:textFill>
            <w14:solidFill>
              <w14:schemeClr w14:val="tx1"/>
            </w14:solidFill>
          </w14:textFill>
        </w:rPr>
        <w:t xml:space="preserve">  投标文件含有采购人不能接受的附加条件的。</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10</w:t>
      </w:r>
      <w:r>
        <w:rPr>
          <w:rFonts w:hint="eastAsia" w:ascii="宋体" w:hAnsi="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Cs w:val="21"/>
          <w:highlight w:val="none"/>
          <w14:textFill>
            <w14:solidFill>
              <w14:schemeClr w14:val="tx1"/>
            </w14:solidFill>
          </w14:textFill>
        </w:rPr>
        <w:t xml:space="preserve">苏采云系统</w:t>
      </w:r>
      <w:r>
        <w:rPr>
          <w:rFonts w:hint="eastAsia" w:ascii="宋体" w:hAnsi="宋体"/>
          <w:bCs/>
          <w:color w:val="000000" w:themeColor="text1"/>
          <w:szCs w:val="21"/>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.1.1</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.1.1</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 投标文件未按照招标文件要求加盖CA电子公章的。</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27.1.13在机器码检查中，出现不同供应商投标文件机器码一致情形的。</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.1.14其他法律、法规及本招标文件规定的属无效投标的情形。</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.2废标条款</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.2.1符合专业条件的供应商或者对招标文件作实质响应的供应商不足三家的。</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.2.2出现影响采购公正的违法、违规行为的。</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.2.3因重大变故，采购任务取消的。</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.2.4评标委员会认定招标文件存在歧义、重大缺陷导致评审工作无法进行。</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.2.5 因</w:t>
      </w:r>
      <w:r>
        <w:rPr>
          <w:rFonts w:hint="eastAsia" w:ascii="宋体" w:hAnsi="宋体"/>
          <w:color w:val="000000" w:themeColor="text1"/>
          <w:szCs w:val="21"/>
          <w:highlight w:val="none"/>
          <w14:textFill>
            <w14:solidFill>
              <w14:schemeClr w14:val="tx1"/>
            </w14:solidFill>
          </w14:textFill>
        </w:rPr>
        <w:t xml:space="preserve">苏采云系统</w:t>
      </w:r>
      <w:r>
        <w:rPr>
          <w:rFonts w:ascii="宋体" w:hAnsi="宋体"/>
          <w:bCs/>
          <w:color w:val="000000" w:themeColor="text1"/>
          <w:szCs w:val="21"/>
          <w:highlight w:val="none"/>
          <w14:textFill>
            <w14:solidFill>
              <w14:schemeClr w14:val="tx1"/>
            </w14:solidFill>
          </w14:textFill>
        </w:rPr>
        <w:t xml:space="preserve">系统故障原因造成开标不成功</w:t>
      </w:r>
      <w:r>
        <w:rPr>
          <w:rFonts w:hint="eastAsia" w:ascii="宋体" w:hAnsi="宋体"/>
          <w:bCs/>
          <w:color w:val="000000" w:themeColor="text1"/>
          <w:szCs w:val="21"/>
          <w:highlight w:val="none"/>
          <w14:textFill>
            <w14:solidFill>
              <w14:schemeClr w14:val="tx1"/>
            </w14:solidFill>
          </w14:textFill>
        </w:rPr>
        <w:t xml:space="preserve">的</w:t>
      </w:r>
      <w:r>
        <w:rPr>
          <w:rFonts w:ascii="宋体" w:hAnsi="宋体"/>
          <w:bCs/>
          <w:color w:val="000000" w:themeColor="text1"/>
          <w:szCs w:val="21"/>
          <w:highlight w:val="none"/>
          <w14:textFill>
            <w14:solidFill>
              <w14:schemeClr w14:val="tx1"/>
            </w14:solidFill>
          </w14:textFill>
        </w:rPr>
        <w:t xml:space="preserve">。</w:t>
      </w:r>
      <w:r/>
    </w:p>
    <w:p>
      <w:pPr>
        <w:ind w:left="479"/>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.3 投标截止时间结束后参加投标的供应商不足三家的处理：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316"/>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119" w:name="_Toc120614219"/>
      <w:r>
        <w:rPr>
          <w:rFonts w:hint="eastAsia" w:ascii="Times New Roman" w:hAnsi="Times New Roman"/>
          <w:b/>
          <w:bCs/>
          <w:color w:val="000000" w:themeColor="text1"/>
          <w:szCs w:val="21"/>
          <w:highlight w:val="none"/>
          <w14:textFill>
            <w14:solidFill>
              <w14:schemeClr w14:val="tx1"/>
            </w14:solidFill>
          </w14:textFill>
        </w:rPr>
        <w:t xml:space="preserve">六、</w:t>
      </w:r>
      <w:bookmarkEnd w:id="116"/>
      <w:r/>
      <w:bookmarkEnd w:id="117"/>
      <w:r/>
      <w:bookmarkEnd w:id="118"/>
      <w:r>
        <w:rPr>
          <w:rFonts w:hint="eastAsia" w:ascii="Times New Roman" w:hAnsi="Times New Roman"/>
          <w:b/>
          <w:bCs/>
          <w:color w:val="000000" w:themeColor="text1"/>
          <w:szCs w:val="21"/>
          <w:highlight w:val="none"/>
          <w14:textFill>
            <w14:solidFill>
              <w14:schemeClr w14:val="tx1"/>
            </w14:solidFill>
          </w14:textFill>
        </w:rPr>
        <w:t xml:space="preserve">定标</w:t>
      </w:r>
      <w:bookmarkEnd w:id="119"/>
      <w:r/>
      <w:r/>
    </w:p>
    <w:p>
      <w:pPr>
        <w:ind w:firstLine="420"/>
        <w:keepLines/>
        <w:keepNext/>
        <w:spacing w:line="360" w:lineRule="auto"/>
        <w:rPr>
          <w:rFonts w:hint="eastAsia" w:ascii="黑体" w:hAnsi="宋体" w:eastAsia="黑体"/>
          <w:bCs/>
          <w:color w:val="000000" w:themeColor="text1"/>
          <w:szCs w:val="21"/>
          <w:highlight w:val="none"/>
          <w14:textFill>
            <w14:solidFill>
              <w14:schemeClr w14:val="tx1"/>
            </w14:solidFill>
          </w14:textFill>
        </w:rPr>
        <w:outlineLvl w:val="3"/>
      </w:pPr>
      <w:r/>
      <w:bookmarkStart w:id="120" w:name="_Toc513029238"/>
      <w:r/>
      <w:bookmarkStart w:id="121" w:name="_Toc20823310"/>
      <w:r/>
      <w:bookmarkStart w:id="122" w:name="_Toc16938554"/>
      <w:r>
        <w:rPr>
          <w:rFonts w:hint="eastAsia" w:ascii="黑体" w:hAnsi="宋体" w:eastAsia="黑体"/>
          <w:bCs/>
          <w:color w:val="000000" w:themeColor="text1"/>
          <w:szCs w:val="21"/>
          <w:highlight w:val="none"/>
          <w14:textFill>
            <w14:solidFill>
              <w14:schemeClr w14:val="tx1"/>
            </w14:solidFill>
          </w14:textFill>
        </w:rPr>
        <w:t xml:space="preserve">2</w:t>
      </w:r>
      <w:r>
        <w:rPr>
          <w:rFonts w:ascii="黑体" w:hAnsi="宋体" w:eastAsia="黑体"/>
          <w:bCs/>
          <w:color w:val="000000" w:themeColor="text1"/>
          <w:szCs w:val="21"/>
          <w:highlight w:val="none"/>
          <w14:textFill>
            <w14:solidFill>
              <w14:schemeClr w14:val="tx1"/>
            </w14:solidFill>
          </w14:textFill>
        </w:rPr>
        <w:t xml:space="preserve">8</w:t>
      </w:r>
      <w:r>
        <w:rPr>
          <w:rFonts w:hint="eastAsia" w:ascii="黑体" w:hAnsi="宋体" w:eastAsia="黑体"/>
          <w:bCs/>
          <w:color w:val="000000" w:themeColor="text1"/>
          <w:szCs w:val="21"/>
          <w:highlight w:val="none"/>
          <w14:textFill>
            <w14:solidFill>
              <w14:schemeClr w14:val="tx1"/>
            </w14:solidFill>
          </w14:textFill>
        </w:rPr>
        <w:t xml:space="preserve">、</w:t>
      </w:r>
      <w:bookmarkEnd w:id="120"/>
      <w:r>
        <w:rPr>
          <w:rFonts w:hint="eastAsia" w:ascii="黑体" w:hAnsi="宋体" w:eastAsia="黑体"/>
          <w:bCs/>
          <w:color w:val="000000" w:themeColor="text1"/>
          <w:szCs w:val="21"/>
          <w:highlight w:val="none"/>
          <w14:textFill>
            <w14:solidFill>
              <w14:schemeClr w14:val="tx1"/>
            </w14:solidFill>
          </w14:textFill>
        </w:rPr>
        <w:t xml:space="preserve">确定</w:t>
      </w:r>
      <w:bookmarkEnd w:id="121"/>
      <w:r/>
      <w:bookmarkEnd w:id="122"/>
      <w:r>
        <w:rPr>
          <w:rFonts w:hint="eastAsia" w:ascii="黑体" w:hAnsi="宋体" w:eastAsia="黑体"/>
          <w:bCs/>
          <w:color w:val="000000" w:themeColor="text1"/>
          <w:szCs w:val="21"/>
          <w:highlight w:val="none"/>
          <w14:textFill>
            <w14:solidFill>
              <w14:schemeClr w14:val="tx1"/>
            </w14:solidFill>
          </w14:textFill>
        </w:rPr>
        <w:t xml:space="preserve">中标单位</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.1中标候选人的选取原则和数量见招标文件第五章规定。 </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.2 采购人应根据评委会推荐的中标候选人确定中标人。</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.3 </w:t>
      </w:r>
      <w:r>
        <w:rPr>
          <w:rFonts w:hint="eastAsia" w:ascii="宋体" w:hAnsi="宋体"/>
          <w:color w:val="000000" w:themeColor="text1"/>
          <w:szCs w:val="21"/>
          <w:highlight w:val="none"/>
          <w14:textFill>
            <w14:solidFill>
              <w14:schemeClr w14:val="tx1"/>
            </w14:solidFill>
          </w14:textFill>
        </w:rPr>
        <w:t xml:space="preserve">招标代理机构将在“苏州府采购网”发布中标公告，公告期限为1个工作日。</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.4  若有充分证据证明，中标人出现下列情况之一的，一经查实，将被取消中标资格：</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.4.1提供虚假材料谋取中标的。</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.4.2向采购人、招标代理机构行贿或者提供其他不正当利益的。</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.4.3属于本文件规定的无效条件，但在评标过程中又未被评委会发现的。</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.4.4与采购人或者其他供应商恶意串通的。</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.4.5采取不正当手段诋毁、排挤其他供应商的。</w:t>
      </w:r>
      <w:r/>
    </w:p>
    <w:p>
      <w:pPr>
        <w:ind w:firstLine="420"/>
        <w:spacing w:line="360" w:lineRule="auto"/>
        <w:rPr>
          <w:rFonts w:hint="eastAsia" w:ascii="宋体" w:hAnsi="宋体"/>
          <w:color w:val="000000" w:themeColor="text1"/>
          <w:szCs w:val="21"/>
          <w:highlight w:val="none"/>
          <w14:textFill>
            <w14:solidFill>
              <w14:schemeClr w14:val="tx1"/>
            </w14:solidFill>
          </w14:textFill>
        </w:rPr>
      </w:pPr>
      <w:r/>
      <w:bookmarkStart w:id="123" w:name="_Toc200451960"/>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.5.</w:t>
      </w:r>
      <w:r>
        <w:rPr>
          <w:rFonts w:hint="eastAsia" w:ascii="Times New Roman" w:hAnsi="Times New Roman"/>
          <w:color w:val="000000" w:themeColor="text1"/>
          <w:szCs w:val="21"/>
          <w:highlight w:val="none"/>
          <w14:textFill>
            <w14:solidFill>
              <w14:schemeClr w14:val="tx1"/>
            </w14:solidFill>
          </w14:textFill>
        </w:rPr>
        <w:t xml:space="preserve"> </w:t>
      </w:r>
      <w:r>
        <w:rPr>
          <w:rFonts w:ascii="Times New Roman" w:hAnsi="宋体" w:cs="宋体"/>
          <w:color w:val="000000" w:themeColor="text1"/>
          <w:szCs w:val="21"/>
          <w:highlight w:val="none"/>
          <w14:textFill>
            <w14:solidFill>
              <w14:schemeClr w14:val="tx1"/>
            </w14:solidFill>
          </w14:textFill>
        </w:rPr>
        <w:t xml:space="preserve">有下列情形之一的，</w:t>
      </w:r>
      <w:r>
        <w:rPr>
          <w:rFonts w:hint="eastAsia" w:ascii="Times New Roman" w:hAnsi="宋体" w:cs="宋体"/>
          <w:color w:val="000000" w:themeColor="text1"/>
          <w:szCs w:val="21"/>
          <w:highlight w:val="none"/>
          <w14:textFill>
            <w14:solidFill>
              <w14:schemeClr w14:val="tx1"/>
            </w14:solidFill>
          </w14:textFill>
        </w:rPr>
        <w:t xml:space="preserve">视为投标人</w:t>
      </w:r>
      <w:r>
        <w:rPr>
          <w:rFonts w:ascii="Times New Roman" w:hAnsi="宋体" w:cs="宋体"/>
          <w:color w:val="000000" w:themeColor="text1"/>
          <w:szCs w:val="21"/>
          <w:highlight w:val="none"/>
          <w14:textFill>
            <w14:solidFill>
              <w14:schemeClr w14:val="tx1"/>
            </w14:solidFill>
          </w14:textFill>
        </w:rPr>
        <w:t xml:space="preserve">串通</w:t>
      </w:r>
      <w:r>
        <w:rPr>
          <w:rFonts w:hint="eastAsia" w:ascii="Times New Roman" w:hAnsi="宋体" w:cs="宋体"/>
          <w:color w:val="000000" w:themeColor="text1"/>
          <w:szCs w:val="21"/>
          <w:highlight w:val="none"/>
          <w14:textFill>
            <w14:solidFill>
              <w14:schemeClr w14:val="tx1"/>
            </w14:solidFill>
          </w14:textFill>
        </w:rPr>
        <w:t xml:space="preserve">投标，投标无效：</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.5.1不同投标人的投标文件由同一单位或者个人编制；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.5.2不同投标人委托同一单位或者个人办理投标事宜；</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.5.3 不同投标人的投标文件载明的项目管理成员或者联系人员为同一人；</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.5.4不同投标人的投标文件异常一致或者投标报价呈规律性差异；</w:t>
      </w:r>
      <w:r/>
    </w:p>
    <w:p>
      <w:pPr>
        <w:ind w:firstLine="420"/>
        <w:keepLines/>
        <w:keepNext/>
        <w:spacing w:line="360" w:lineRule="auto"/>
        <w:rPr>
          <w:rFonts w:hint="eastAsia" w:ascii="黑体" w:hAnsi="宋体" w:eastAsia="黑体"/>
          <w:bCs/>
          <w:color w:val="000000" w:themeColor="text1"/>
          <w:szCs w:val="21"/>
          <w:highlight w:val="none"/>
          <w14:textFill>
            <w14:solidFill>
              <w14:schemeClr w14:val="tx1"/>
            </w14:solidFill>
          </w14:textFill>
        </w:rPr>
        <w:outlineLvl w:val="3"/>
      </w:pPr>
      <w:r>
        <w:rPr>
          <w:rFonts w:ascii="黑体" w:hAnsi="宋体" w:eastAsia="黑体"/>
          <w:bCs/>
          <w:color w:val="000000" w:themeColor="text1"/>
          <w:szCs w:val="21"/>
          <w:highlight w:val="none"/>
          <w14:textFill>
            <w14:solidFill>
              <w14:schemeClr w14:val="tx1"/>
            </w14:solidFill>
          </w14:textFill>
        </w:rPr>
        <w:t xml:space="preserve">29</w:t>
      </w:r>
      <w:r>
        <w:rPr>
          <w:rFonts w:hint="eastAsia" w:ascii="黑体" w:hAnsi="宋体" w:eastAsia="黑体"/>
          <w:bCs/>
          <w:color w:val="000000" w:themeColor="text1"/>
          <w:szCs w:val="21"/>
          <w:highlight w:val="none"/>
          <w14:textFill>
            <w14:solidFill>
              <w14:schemeClr w14:val="tx1"/>
            </w14:solidFill>
          </w14:textFill>
        </w:rPr>
        <w:t xml:space="preserve">、质疑处理</w:t>
      </w:r>
      <w:bookmarkEnd w:id="123"/>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jc w:val="left"/>
        <w:spacing w:line="360" w:lineRule="auto"/>
        <w:rPr>
          <w:rFonts w:hint="eastAsia" w:ascii="Times New Roman"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.2.1</w:t>
      </w:r>
      <w:r>
        <w:rPr>
          <w:rFonts w:ascii="宋体" w:hAnsi="宋体"/>
          <w:color w:val="000000" w:themeColor="text1"/>
          <w:szCs w:val="21"/>
          <w:highlight w:val="none"/>
          <w14:textFill>
            <w14:solidFill>
              <w14:schemeClr w14:val="tx1"/>
            </w14:solidFill>
          </w14:textFill>
        </w:rPr>
        <w:t xml:space="preserve">对可以质疑的采购文件提出质疑的，为收到采购文件之日或者采购文件公告期限届满之日；</w:t>
      </w:r>
      <w:r>
        <w:rPr>
          <w:rFonts w:ascii="宋体" w:hAnsi="宋体"/>
          <w:color w:val="000000" w:themeColor="text1"/>
          <w:szCs w:val="21"/>
          <w:highlight w:val="none"/>
          <w14:textFill>
            <w14:solidFill>
              <w14:schemeClr w14:val="tx1"/>
            </w14:solidFill>
          </w14:textFill>
        </w:rPr>
        <w:br/>
      </w: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.2.2</w:t>
      </w:r>
      <w:r>
        <w:rPr>
          <w:rFonts w:ascii="宋体" w:hAnsi="宋体"/>
          <w:color w:val="000000" w:themeColor="text1"/>
          <w:szCs w:val="21"/>
          <w:highlight w:val="none"/>
          <w14:textFill>
            <w14:solidFill>
              <w14:schemeClr w14:val="tx1"/>
            </w14:solidFill>
          </w14:textFill>
        </w:rPr>
        <w:t xml:space="preserve">对采购过程提出质疑的，为各采购程序环节结束之日；</w:t>
      </w:r>
      <w:r>
        <w:rPr>
          <w:rFonts w:ascii="Times New Roman" w:hAnsi="宋体" w:cs="宋体"/>
          <w:color w:val="000000" w:themeColor="text1"/>
          <w:szCs w:val="21"/>
          <w:highlight w:val="none"/>
          <w14:textFill>
            <w14:solidFill>
              <w14:schemeClr w14:val="tx1"/>
            </w14:solidFill>
          </w14:textFill>
        </w:rPr>
        <w:br/>
      </w:r>
      <w:r>
        <w:rPr>
          <w:rFonts w:ascii="Times New Roman" w:hAnsi="宋体" w:cs="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.2.3</w:t>
      </w:r>
      <w:r>
        <w:rPr>
          <w:rFonts w:ascii="Times New Roman" w:hAnsi="宋体" w:cs="宋体"/>
          <w:color w:val="000000" w:themeColor="text1"/>
          <w:szCs w:val="21"/>
          <w:highlight w:val="none"/>
          <w14:textFill>
            <w14:solidFill>
              <w14:schemeClr w14:val="tx1"/>
            </w14:solidFill>
          </w14:textFill>
        </w:rPr>
        <w:t xml:space="preserve">对中标或者成交结果提出质疑的，为中标或者成交结果公告期限届满之日。</w:t>
      </w:r>
      <w:r/>
    </w:p>
    <w:p>
      <w:pPr>
        <w:ind w:firstLine="420"/>
        <w:spacing w:line="360" w:lineRule="auto"/>
        <w:rPr>
          <w:rFonts w:hint="eastAsia" w:ascii="Times New Roman" w:hAnsi="宋体" w:cs="宋体"/>
          <w:color w:val="000000" w:themeColor="text1"/>
          <w:szCs w:val="21"/>
          <w:highlight w:val="none"/>
          <w14:textFill>
            <w14:solidFill>
              <w14:schemeClr w14:val="tx1"/>
            </w14:solidFill>
          </w14:textFill>
        </w:rPr>
      </w:pPr>
      <w:r>
        <w:rPr>
          <w:rFonts w:hint="eastAsia" w:ascii="Times New Roman" w:hAnsi="宋体" w:cs="宋体"/>
          <w:color w:val="000000" w:themeColor="text1"/>
          <w:szCs w:val="21"/>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000000" w:themeColor="text1"/>
          <w:szCs w:val="21"/>
          <w:highlight w:val="none"/>
          <w14:textFill>
            <w14:solidFill>
              <w14:schemeClr w14:val="tx1"/>
            </w14:solidFill>
          </w14:textFill>
        </w:rPr>
        <w:t xml:space="preserve">采购人</w:t>
      </w:r>
      <w:r>
        <w:rPr>
          <w:rFonts w:hint="eastAsia" w:ascii="Times New Roman" w:hAnsi="宋体" w:cs="宋体"/>
          <w:color w:val="000000" w:themeColor="text1"/>
          <w:szCs w:val="21"/>
          <w:highlight w:val="none"/>
          <w14:textFill>
            <w14:solidFill>
              <w14:schemeClr w14:val="tx1"/>
            </w14:solidFill>
          </w14:textFill>
        </w:rPr>
        <w:t xml:space="preserve">将只对供应商第一次质疑作出答复。</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.4 供应商（含潜在</w:t>
      </w:r>
      <w:r>
        <w:rPr>
          <w:rFonts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14:textFill>
            <w14:solidFill>
              <w14:schemeClr w14:val="tx1"/>
            </w14:solidFill>
          </w14:textFill>
        </w:rPr>
        <w:t xml:space="preserve">）对与</w:t>
      </w:r>
      <w:r>
        <w:rPr>
          <w:rFonts w:ascii="宋体" w:hAnsi="宋体"/>
          <w:color w:val="000000" w:themeColor="text1"/>
          <w:szCs w:val="21"/>
          <w:highlight w:val="none"/>
          <w14:textFill>
            <w14:solidFill>
              <w14:schemeClr w14:val="tx1"/>
            </w14:solidFill>
          </w14:textFill>
        </w:rPr>
        <w:t xml:space="preserve">本项目</w:t>
      </w:r>
      <w:r>
        <w:rPr>
          <w:rFonts w:hint="eastAsia" w:ascii="宋体" w:hAnsi="宋体"/>
          <w:color w:val="000000" w:themeColor="text1"/>
          <w:szCs w:val="21"/>
          <w:highlight w:val="none"/>
          <w14:textFill>
            <w14:solidFill>
              <w14:schemeClr w14:val="tx1"/>
            </w14:solidFill>
          </w14:textFill>
        </w:rPr>
        <w:t xml:space="preserve">有关的</w:t>
      </w:r>
      <w:r>
        <w:rPr>
          <w:rFonts w:ascii="宋体" w:hAnsi="宋体"/>
          <w:color w:val="000000" w:themeColor="text1"/>
          <w:szCs w:val="21"/>
          <w:highlight w:val="none"/>
          <w14:textFill>
            <w14:solidFill>
              <w14:schemeClr w14:val="tx1"/>
            </w14:solidFill>
          </w14:textFill>
        </w:rPr>
        <w:t xml:space="preserve">所有询问、质疑</w:t>
      </w:r>
      <w:r>
        <w:rPr>
          <w:rFonts w:hint="eastAsia" w:ascii="宋体" w:hAnsi="宋体"/>
          <w:color w:val="000000" w:themeColor="text1"/>
          <w:szCs w:val="21"/>
          <w:highlight w:val="none"/>
          <w14:textFill>
            <w14:solidFill>
              <w14:schemeClr w14:val="tx1"/>
            </w14:solidFill>
          </w14:textFill>
        </w:rPr>
        <w:t xml:space="preserve">均</w:t>
      </w:r>
      <w:r>
        <w:rPr>
          <w:rFonts w:ascii="宋体" w:hAnsi="宋体"/>
          <w:color w:val="000000" w:themeColor="text1"/>
          <w:szCs w:val="21"/>
          <w:highlight w:val="none"/>
          <w14:textFill>
            <w14:solidFill>
              <w14:schemeClr w14:val="tx1"/>
            </w14:solidFill>
          </w14:textFill>
        </w:rPr>
        <w:t xml:space="preserve">请向</w:t>
      </w:r>
      <w:r>
        <w:rPr>
          <w:rFonts w:hint="eastAsia" w:ascii="宋体" w:hAnsi="宋体"/>
          <w:color w:val="000000" w:themeColor="text1"/>
          <w:szCs w:val="21"/>
          <w:highlight w:val="none"/>
          <w14:textFill>
            <w14:solidFill>
              <w14:schemeClr w14:val="tx1"/>
            </w14:solidFill>
          </w14:textFill>
        </w:rPr>
        <w:t xml:space="preserve">采购人及招标代理机构</w:t>
      </w:r>
      <w:r>
        <w:rPr>
          <w:rFonts w:ascii="宋体" w:hAnsi="宋体"/>
          <w:color w:val="000000" w:themeColor="text1"/>
          <w:szCs w:val="21"/>
          <w:highlight w:val="none"/>
          <w14:textFill>
            <w14:solidFill>
              <w14:schemeClr w14:val="tx1"/>
            </w14:solidFill>
          </w14:textFill>
        </w:rPr>
        <w:t xml:space="preserve">提出，由</w:t>
      </w:r>
      <w:r>
        <w:rPr>
          <w:rFonts w:hint="eastAsia" w:ascii="宋体" w:hAnsi="宋体"/>
          <w:color w:val="000000" w:themeColor="text1"/>
          <w:szCs w:val="21"/>
          <w:highlight w:val="none"/>
          <w14:textFill>
            <w14:solidFill>
              <w14:schemeClr w14:val="tx1"/>
            </w14:solidFill>
          </w14:textFill>
        </w:rPr>
        <w:t xml:space="preserve">采购人及招标代理机构</w:t>
      </w:r>
      <w:r>
        <w:rPr>
          <w:rFonts w:ascii="宋体" w:hAnsi="宋体"/>
          <w:color w:val="000000" w:themeColor="text1"/>
          <w:szCs w:val="21"/>
          <w:highlight w:val="none"/>
          <w14:textFill>
            <w14:solidFill>
              <w14:schemeClr w14:val="tx1"/>
            </w14:solidFill>
          </w14:textFill>
        </w:rPr>
        <w:t xml:space="preserve">负责答复。</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人及招标代理机构只接收以纸质原件形式送达的质疑,建议供应商尽量通过现场递交或邮寄方式提交质疑，若采用邮寄方式，需提前电话告知采购人和招标代理机构（采购人和招标代理机构不接受未填写快递运单的快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采购人及招标代理机构质疑接收人及联系方式见招标文件第一章。</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.5 以下情形的质疑不予受理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.5.1 内容不符合《政府采购质疑和投诉办法》第十二条规定的质疑。</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.5.2 超出政府采购法定期限的质疑。</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.5.3 以传真、电子邮件等方式递交的非原件形式的质疑。</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.5.4 未参加投标活动的供应商或在投标活动中自身权益未受到损害的供应商所提出的质疑。</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.5.5供应商组成联合体参加投标，联合体中任何一方或多方未按要求签字、盖章、加盖公章的质疑。</w:t>
      </w:r>
      <w:r/>
    </w:p>
    <w:p>
      <w:pPr>
        <w:ind w:firstLine="409"/>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29</w:t>
      </w:r>
      <w:r>
        <w:rPr>
          <w:rFonts w:hint="eastAsia" w:ascii="宋体" w:hAnsi="宋体"/>
          <w:color w:val="000000" w:themeColor="text1"/>
          <w:szCs w:val="21"/>
          <w:highlight w:val="none"/>
          <w14:textFill>
            <w14:solidFill>
              <w14:schemeClr w14:val="tx1"/>
            </w14:solidFill>
          </w14:textFill>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spacing w:line="360" w:lineRule="auto"/>
        <w:rPr>
          <w:rFonts w:hint="eastAsia" w:ascii="黑体" w:hAnsi="宋体" w:eastAsia="黑体"/>
          <w:bCs/>
          <w:color w:val="000000" w:themeColor="text1"/>
          <w:szCs w:val="21"/>
          <w:highlight w:val="none"/>
          <w14:textFill>
            <w14:solidFill>
              <w14:schemeClr w14:val="tx1"/>
            </w14:solidFill>
          </w14:textFill>
        </w:rPr>
      </w:pPr>
      <w:r>
        <w:rPr>
          <w:rFonts w:hint="eastAsia" w:ascii="黑体" w:hAnsi="宋体" w:eastAsia="黑体"/>
          <w:bCs/>
          <w:color w:val="000000" w:themeColor="text1"/>
          <w:szCs w:val="21"/>
          <w:highlight w:val="none"/>
          <w14:textFill>
            <w14:solidFill>
              <w14:schemeClr w14:val="tx1"/>
            </w14:solidFill>
          </w14:textFill>
        </w:rPr>
        <w:t xml:space="preserve">3</w:t>
      </w:r>
      <w:r>
        <w:rPr>
          <w:rFonts w:ascii="黑体" w:hAnsi="宋体" w:eastAsia="黑体"/>
          <w:bCs/>
          <w:color w:val="000000" w:themeColor="text1"/>
          <w:szCs w:val="21"/>
          <w:highlight w:val="none"/>
          <w14:textFill>
            <w14:solidFill>
              <w14:schemeClr w14:val="tx1"/>
            </w14:solidFill>
          </w14:textFill>
        </w:rPr>
        <w:t xml:space="preserve">0</w:t>
      </w:r>
      <w:r>
        <w:rPr>
          <w:rFonts w:hint="eastAsia" w:ascii="黑体" w:hAnsi="宋体" w:eastAsia="黑体"/>
          <w:bCs/>
          <w:color w:val="000000" w:themeColor="text1"/>
          <w:szCs w:val="21"/>
          <w:highlight w:val="none"/>
          <w14:textFill>
            <w14:solidFill>
              <w14:schemeClr w14:val="tx1"/>
            </w14:solidFill>
          </w14:textFill>
        </w:rPr>
        <w:t xml:space="preserve">、中标通知书</w:t>
      </w:r>
      <w:r/>
    </w:p>
    <w:p>
      <w:pPr>
        <w:ind w:firstLine="525"/>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30</w:t>
      </w:r>
      <w:r>
        <w:rPr>
          <w:rFonts w:hint="eastAsia" w:ascii="宋体" w:hAnsi="宋体"/>
          <w:color w:val="000000" w:themeColor="text1"/>
          <w:szCs w:val="21"/>
          <w:highlight w:val="none"/>
          <w14:textFill>
            <w14:solidFill>
              <w14:schemeClr w14:val="tx1"/>
            </w14:solidFill>
          </w14:textFill>
        </w:rPr>
        <w:t xml:space="preserve">.l</w:t>
      </w: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中标结果确定后，招标人或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auto"/>
        <w:rPr>
          <w:rFonts w:ascii="Times New Roman" w:hAnsi="Times New Roman"/>
          <w:b/>
          <w:bCs/>
          <w:color w:val="000000" w:themeColor="text1"/>
          <w:szCs w:val="21"/>
          <w:highlight w:val="none"/>
          <w14:textFill>
            <w14:solidFill>
              <w14:schemeClr w14:val="tx1"/>
            </w14:solidFill>
          </w14:textFill>
        </w:rPr>
        <w:outlineLvl w:val="2"/>
      </w:pPr>
      <w:r/>
      <w:bookmarkStart w:id="124" w:name="_Toc20823308"/>
      <w:r/>
      <w:bookmarkStart w:id="125" w:name="_Toc16938552"/>
      <w:r/>
      <w:bookmarkStart w:id="126" w:name="_Toc513029236"/>
      <w:r/>
      <w:bookmarkStart w:id="127" w:name="_Toc120614220"/>
      <w:r>
        <w:rPr>
          <w:rFonts w:hint="eastAsia" w:ascii="Times New Roman" w:hAnsi="Times New Roman"/>
          <w:b/>
          <w:bCs/>
          <w:color w:val="000000" w:themeColor="text1"/>
          <w:szCs w:val="21"/>
          <w:highlight w:val="none"/>
          <w14:textFill>
            <w14:solidFill>
              <w14:schemeClr w14:val="tx1"/>
            </w14:solidFill>
          </w14:textFill>
        </w:rPr>
        <w:t xml:space="preserve">七、授予合同</w:t>
      </w:r>
      <w:bookmarkEnd w:id="124"/>
      <w:r/>
      <w:bookmarkEnd w:id="125"/>
      <w:r/>
      <w:bookmarkEnd w:id="126"/>
      <w:r/>
      <w:bookmarkEnd w:id="127"/>
      <w:r/>
      <w:r/>
    </w:p>
    <w:p>
      <w:pPr>
        <w:ind w:firstLine="420"/>
        <w:keepLines/>
        <w:keepNext/>
        <w:spacing w:line="360" w:lineRule="auto"/>
        <w:rPr>
          <w:rFonts w:hint="eastAsia" w:ascii="黑体" w:hAnsi="宋体" w:eastAsia="黑体"/>
          <w:bCs/>
          <w:color w:val="000000" w:themeColor="text1"/>
          <w:szCs w:val="21"/>
          <w:highlight w:val="none"/>
          <w14:textFill>
            <w14:solidFill>
              <w14:schemeClr w14:val="tx1"/>
            </w14:solidFill>
          </w14:textFill>
        </w:rPr>
        <w:outlineLvl w:val="3"/>
      </w:pPr>
      <w:r/>
      <w:bookmarkStart w:id="128" w:name="_Toc16938553"/>
      <w:r/>
      <w:bookmarkStart w:id="129" w:name="_Toc513029237"/>
      <w:r/>
      <w:bookmarkStart w:id="130" w:name="_Toc20823309"/>
      <w:r>
        <w:rPr>
          <w:rFonts w:hint="eastAsia" w:ascii="黑体" w:hAnsi="宋体" w:eastAsia="黑体"/>
          <w:bCs/>
          <w:color w:val="000000" w:themeColor="text1"/>
          <w:szCs w:val="21"/>
          <w:highlight w:val="none"/>
          <w14:textFill>
            <w14:solidFill>
              <w14:schemeClr w14:val="tx1"/>
            </w14:solidFill>
          </w14:textFill>
        </w:rPr>
        <w:t xml:space="preserve">3</w:t>
      </w:r>
      <w:r>
        <w:rPr>
          <w:rFonts w:ascii="黑体" w:hAnsi="宋体" w:eastAsia="黑体"/>
          <w:bCs/>
          <w:color w:val="000000" w:themeColor="text1"/>
          <w:szCs w:val="21"/>
          <w:highlight w:val="none"/>
          <w14:textFill>
            <w14:solidFill>
              <w14:schemeClr w14:val="tx1"/>
            </w14:solidFill>
          </w14:textFill>
        </w:rPr>
        <w:t xml:space="preserve">1</w:t>
      </w:r>
      <w:r>
        <w:rPr>
          <w:rFonts w:hint="eastAsia" w:ascii="黑体" w:hAnsi="宋体" w:eastAsia="黑体"/>
          <w:bCs/>
          <w:color w:val="000000" w:themeColor="text1"/>
          <w:szCs w:val="21"/>
          <w:highlight w:val="none"/>
          <w14:textFill>
            <w14:solidFill>
              <w14:schemeClr w14:val="tx1"/>
            </w14:solidFill>
          </w14:textFill>
        </w:rPr>
        <w:t xml:space="preserve">. 签订合同</w:t>
      </w:r>
      <w:r/>
    </w:p>
    <w:p>
      <w:pPr>
        <w:ind w:firstLine="525"/>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525"/>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招标文件、中标人的投标文件及招标过程中有关澄清、承诺文件均应作为合同附件。</w:t>
      </w:r>
      <w:r/>
    </w:p>
    <w:p>
      <w:pPr>
        <w:ind w:firstLine="525"/>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31.3 签订合同后，</w:t>
      </w:r>
      <w:r>
        <w:rPr>
          <w:rFonts w:hint="eastAsia" w:ascii="宋体" w:hAnsi="宋体"/>
          <w:i/>
          <w:color w:val="000000" w:themeColor="text1"/>
          <w:szCs w:val="21"/>
          <w:highlight w:val="none"/>
          <w:u w:val="single"/>
          <w14:textFill>
            <w14:solidFill>
              <w14:schemeClr w14:val="tx1"/>
            </w14:solidFill>
          </w14:textFill>
        </w:rPr>
        <w:t xml:space="preserve">中标人不得将合同标的进行转包</w:t>
      </w:r>
      <w:r>
        <w:rPr>
          <w:rFonts w:hint="eastAsia" w:ascii="宋体" w:hAnsi="宋体"/>
          <w:color w:val="000000" w:themeColor="text1"/>
          <w:szCs w:val="2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20"/>
        <w:keepLines/>
        <w:keepNext/>
        <w:spacing w:line="360" w:lineRule="auto"/>
        <w:rPr>
          <w:rFonts w:hint="eastAsia" w:ascii="黑体" w:hAnsi="宋体" w:eastAsia="黑体"/>
          <w:bCs/>
          <w:color w:val="000000" w:themeColor="text1"/>
          <w:szCs w:val="21"/>
          <w:highlight w:val="none"/>
          <w14:textFill>
            <w14:solidFill>
              <w14:schemeClr w14:val="tx1"/>
            </w14:solidFill>
          </w14:textFill>
        </w:rPr>
        <w:outlineLvl w:val="3"/>
      </w:pPr>
      <w:r>
        <w:rPr>
          <w:rFonts w:hint="eastAsia" w:ascii="黑体" w:hAnsi="宋体" w:eastAsia="黑体"/>
          <w:bCs/>
          <w:color w:val="000000" w:themeColor="text1"/>
          <w:szCs w:val="21"/>
          <w:highlight w:val="none"/>
          <w14:textFill>
            <w14:solidFill>
              <w14:schemeClr w14:val="tx1"/>
            </w14:solidFill>
          </w14:textFill>
        </w:rPr>
        <w:t xml:space="preserve">3</w:t>
      </w:r>
      <w:r>
        <w:rPr>
          <w:rFonts w:ascii="黑体" w:hAnsi="宋体" w:eastAsia="黑体"/>
          <w:bCs/>
          <w:color w:val="000000" w:themeColor="text1"/>
          <w:szCs w:val="21"/>
          <w:highlight w:val="none"/>
          <w14:textFill>
            <w14:solidFill>
              <w14:schemeClr w14:val="tx1"/>
            </w14:solidFill>
          </w14:textFill>
        </w:rPr>
        <w:t xml:space="preserve">2</w:t>
      </w:r>
      <w:r>
        <w:rPr>
          <w:rFonts w:hint="eastAsia" w:ascii="黑体" w:hAnsi="宋体" w:eastAsia="黑体"/>
          <w:bCs/>
          <w:color w:val="000000" w:themeColor="text1"/>
          <w:szCs w:val="21"/>
          <w:highlight w:val="none"/>
          <w14:textFill>
            <w14:solidFill>
              <w14:schemeClr w14:val="tx1"/>
            </w14:solidFill>
          </w14:textFill>
        </w:rPr>
        <w:t xml:space="preserve">、货物（包含与货物相关的服务）的追加</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28"/>
      <w:r/>
      <w:bookmarkEnd w:id="129"/>
      <w:r/>
      <w:bookmarkEnd w:id="130"/>
      <w:r/>
      <w:r/>
    </w:p>
    <w:p>
      <w:pPr>
        <w:pStyle w:val="743"/>
        <w:jc w:val="center"/>
        <w:spacing w:before="0" w:after="0" w:line="360" w:lineRule="auto"/>
        <w:rPr>
          <w:rFonts w:hint="eastAsia" w:ascii="宋体" w:hAnsi="宋体" w:eastAsia="宋体"/>
          <w:b w:val="0"/>
          <w:color w:val="000000" w:themeColor="text1"/>
          <w:sz w:val="32"/>
          <w:szCs w:val="32"/>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eastAsia="宋体"/>
          <w:color w:val="000000" w:themeColor="text1"/>
          <w:highlight w:val="none"/>
          <w14:textFill>
            <w14:solidFill>
              <w14:schemeClr w14:val="tx1"/>
            </w14:solidFill>
          </w14:textFill>
        </w:rPr>
        <w:t xml:space="preserve">第三章  投标文件格式</w:t>
      </w:r>
      <w:bookmarkStart w:id="131" w:name="gpcItem_SubmitDocStruct"/>
      <w:r/>
      <w:bookmarkEnd w:id="131"/>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bookmarkStart w:id="132" w:name="_Toc49090576"/>
      <w:r/>
      <w:bookmarkStart w:id="133" w:name="_Toc120614282"/>
      <w:r/>
      <w:bookmarkStart w:id="134" w:name="_Toc26554094"/>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1084"/>
        <w:rPr>
          <w:rFonts w:hint="eastAsia"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14:textFill>
            <w14:solidFill>
              <w14:schemeClr w14:val="tx1"/>
            </w14:solidFill>
          </w14:textFill>
        </w:rPr>
        <w:t xml:space="preserve">开标一览表(统一格式,用于唱标)</w:t>
      </w:r>
      <w:r>
        <w:rPr>
          <w:rFonts w:hint="eastAsia" w:ascii="宋体" w:hAnsi="宋体" w:eastAsia="宋体" w:cs="宋体"/>
          <w:color w:val="000000" w:themeColor="text1"/>
          <w:szCs w:val="24"/>
          <w:highlight w:val="none"/>
          <w:lang w:val="zh-CN"/>
          <w14:textFill>
            <w14:solidFill>
              <w14:schemeClr w14:val="tx1"/>
            </w14:solidFill>
          </w14:textFill>
        </w:rPr>
        <w:t xml:space="preserve">；</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二、</w:t>
      </w:r>
      <w:r>
        <w:rPr>
          <w:rFonts w:hint="eastAsia" w:ascii="宋体" w:hAnsi="宋体" w:eastAsia="宋体" w:cs="宋体"/>
          <w:b/>
          <w:color w:val="000000" w:themeColor="text1"/>
          <w:sz w:val="21"/>
          <w:szCs w:val="21"/>
          <w:highlight w:val="none"/>
          <w14:textFill>
            <w14:solidFill>
              <w14:schemeClr w14:val="tx1"/>
            </w14:solidFill>
          </w14:textFill>
        </w:rPr>
        <w:t xml:space="preserve">公开分项报价</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三、</w:t>
      </w:r>
      <w:r>
        <w:rPr>
          <w:rFonts w:hint="eastAsia" w:ascii="宋体" w:hAnsi="宋体" w:eastAsia="宋体" w:cs="宋体"/>
          <w:b/>
          <w:color w:val="000000" w:themeColor="text1"/>
          <w:sz w:val="21"/>
          <w:szCs w:val="21"/>
          <w:highlight w:val="none"/>
          <w14:textFill>
            <w14:solidFill>
              <w14:schemeClr w14:val="tx1"/>
            </w14:solidFill>
          </w14:textFill>
        </w:rPr>
        <w:t xml:space="preserve">资格审查文件</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1、具有独立承担民事责任的能力证明【提供供应商营业执照副本复印件，供应商法定代表人身份证复印件，法人授权委托书（如有授权）原件，委托代理人身份证（双面）复印件】；</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2、具有良好的商业信誉和健全的财务会计制度证明【提供最新一期经审计的财务报告复印件，其他组织、自然人及成立未满一年的法人应提供银行出具的资信证明原件】；</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3、有依法缴纳税收和社会保障资金的良好记录【</w:t>
      </w:r>
      <w:r>
        <w:rPr>
          <w:rFonts w:hint="eastAsia" w:ascii="宋体" w:hAnsi="宋体" w:eastAsia="宋体" w:cs="宋体"/>
          <w:bCs/>
          <w:color w:val="000000" w:themeColor="text1"/>
          <w:sz w:val="21"/>
          <w:szCs w:val="21"/>
          <w:highlight w:val="none"/>
          <w14:textFill>
            <w14:solidFill>
              <w14:schemeClr w14:val="tx1"/>
            </w14:solidFill>
          </w14:textFill>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4、具备履行合同所必需的设备和专业技术能力【提供证明材料或</w:t>
      </w:r>
      <w:r>
        <w:rPr>
          <w:rFonts w:hint="eastAsia" w:ascii="宋体" w:hAnsi="宋体" w:eastAsia="宋体" w:cs="宋体"/>
          <w:color w:val="000000" w:themeColor="text1"/>
          <w:szCs w:val="24"/>
          <w:highlight w:val="none"/>
          <w:lang w:val="zh-CN"/>
          <w14:textFill>
            <w14:solidFill>
              <w14:schemeClr w14:val="tx1"/>
            </w14:solidFill>
          </w14:textFill>
        </w:rPr>
        <w:t xml:space="preserve">书面申明</w:t>
      </w:r>
      <w:r>
        <w:rPr>
          <w:rFonts w:hint="eastAsia" w:ascii="宋体" w:hAnsi="宋体" w:eastAsia="宋体" w:cs="宋体"/>
          <w:color w:val="000000" w:themeColor="text1"/>
          <w:szCs w:val="24"/>
          <w:highlight w:val="none"/>
          <w14:textFill>
            <w14:solidFill>
              <w14:schemeClr w14:val="tx1"/>
            </w14:solidFill>
          </w14:textFill>
        </w:rPr>
        <w:t xml:space="preserve">承诺】；</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5、参加政府采购活动前三年内，在经营活动中没有重大违法记录的书面声明【提供书面声明承诺】；</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6、</w:t>
      </w:r>
      <w:r>
        <w:rPr>
          <w:rFonts w:hint="eastAsia" w:ascii="宋体" w:hAnsi="宋体" w:eastAsia="宋体" w:cs="宋体"/>
          <w:color w:val="000000" w:themeColor="text1"/>
          <w:szCs w:val="24"/>
          <w:highlight w:val="none"/>
          <w:lang w:val="zh-CN"/>
          <w14:textFill>
            <w14:solidFill>
              <w14:schemeClr w14:val="tx1"/>
            </w14:solidFill>
          </w14:textFill>
        </w:rPr>
        <w:t xml:space="preserve">法律、行政法规规定的其他条件【提供书面申明</w:t>
      </w:r>
      <w:r>
        <w:rPr>
          <w:rFonts w:hint="eastAsia" w:ascii="宋体" w:hAnsi="宋体" w:eastAsia="宋体" w:cs="宋体"/>
          <w:color w:val="000000" w:themeColor="text1"/>
          <w:szCs w:val="24"/>
          <w:highlight w:val="none"/>
          <w14:textFill>
            <w14:solidFill>
              <w14:schemeClr w14:val="tx1"/>
            </w14:solidFill>
          </w14:textFill>
        </w:rPr>
        <w:t xml:space="preserve">承诺或材料</w:t>
      </w:r>
      <w:r>
        <w:rPr>
          <w:rFonts w:hint="eastAsia" w:ascii="宋体" w:hAnsi="宋体" w:eastAsia="宋体" w:cs="宋体"/>
          <w:color w:val="000000" w:themeColor="text1"/>
          <w:szCs w:val="24"/>
          <w:highlight w:val="none"/>
          <w:lang w:val="zh-CN"/>
          <w14:textFill>
            <w14:solidFill>
              <w14:schemeClr w14:val="tx1"/>
            </w14:solidFill>
          </w14:textFill>
        </w:rPr>
        <w:t xml:space="preserve">】；</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7、</w:t>
      </w:r>
      <w:r>
        <w:rPr>
          <w:rFonts w:hint="eastAsia" w:ascii="宋体" w:hAnsi="宋体" w:eastAsia="宋体" w:cs="宋体"/>
          <w:color w:val="000000" w:themeColor="text1"/>
          <w:szCs w:val="24"/>
          <w:highlight w:val="none"/>
          <w:lang w:val="zh-CN"/>
          <w14:textFill>
            <w14:solidFill>
              <w14:schemeClr w14:val="tx1"/>
            </w14:solidFill>
          </w14:textFill>
        </w:rPr>
        <w:t xml:space="preserve">未被“信用中</w:t>
      </w:r>
      <w:r>
        <w:rPr>
          <w:rFonts w:hint="eastAsia" w:ascii="宋体" w:hAnsi="宋体" w:eastAsia="宋体" w:cs="宋体"/>
          <w:color w:val="000000" w:themeColor="text1"/>
          <w:szCs w:val="24"/>
          <w:highlight w:val="none"/>
          <w14:textFill>
            <w14:solidFill>
              <w14:schemeClr w14:val="tx1"/>
            </w14:solidFill>
          </w14:textFill>
        </w:rPr>
        <w:t xml:space="preserve">国”网站或“中国政府采购网”网站列入失信被执行人、重大税收违法案件当事人名单、政府采购严重失信行为记录名单</w:t>
      </w:r>
      <w:r>
        <w:rPr>
          <w:rFonts w:hint="eastAsia" w:ascii="宋体" w:hAnsi="宋体" w:eastAsia="宋体" w:cs="宋体"/>
          <w:color w:val="000000" w:themeColor="text1"/>
          <w:szCs w:val="24"/>
          <w:highlight w:val="none"/>
          <w:lang w:val="zh-CN"/>
          <w14:textFill>
            <w14:solidFill>
              <w14:schemeClr w14:val="tx1"/>
            </w14:solidFill>
          </w14:textFill>
        </w:rPr>
        <w:t xml:space="preserve">【提供信用中国</w:t>
      </w:r>
      <w:r>
        <w:rPr>
          <w:rFonts w:hint="eastAsia" w:ascii="宋体" w:hAnsi="宋体" w:eastAsia="宋体" w:cs="宋体"/>
          <w:color w:val="000000" w:themeColor="text1"/>
          <w:szCs w:val="24"/>
          <w:highlight w:val="none"/>
          <w14:textFill>
            <w14:solidFill>
              <w14:schemeClr w14:val="tx1"/>
            </w14:solidFill>
          </w14:textFill>
        </w:rPr>
        <w:t xml:space="preserve">信用信息报告或网页查询截图</w:t>
      </w:r>
      <w:r>
        <w:rPr>
          <w:rFonts w:hint="eastAsia" w:ascii="宋体" w:hAnsi="宋体" w:eastAsia="宋体" w:cs="宋体"/>
          <w:color w:val="000000" w:themeColor="text1"/>
          <w:szCs w:val="24"/>
          <w:highlight w:val="none"/>
          <w:lang w:val="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8、</w:t>
      </w:r>
      <w:r>
        <w:rPr>
          <w:rFonts w:hint="eastAsia" w:ascii="宋体" w:hAnsi="宋体" w:eastAsia="宋体" w:cs="宋体"/>
          <w:color w:val="000000" w:themeColor="text1"/>
          <w:szCs w:val="24"/>
          <w:highlight w:val="none"/>
          <w:lang w:val="zh-CN"/>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下的政府采购活动【提供供应商与其他单位存在控股、管理关系情况表】；</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四、符合性审查文件</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1、关于资格文件的声明函；</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2、投标函</w:t>
      </w:r>
      <w:r>
        <w:rPr>
          <w:rFonts w:hint="eastAsia" w:ascii="宋体" w:hAnsi="宋体" w:eastAsia="宋体" w:cs="宋体"/>
          <w:color w:val="000000" w:themeColor="text1"/>
          <w:szCs w:val="24"/>
          <w:highlight w:val="none"/>
          <w:lang w:val="zh-CN"/>
          <w14:textFill>
            <w14:solidFill>
              <w14:schemeClr w14:val="tx1"/>
            </w14:solidFill>
          </w14:textFill>
        </w:rPr>
        <w:t xml:space="preserve">；</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3、投标人基本情况表；</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w:t>
      </w:r>
      <w:r>
        <w:rPr>
          <w:rFonts w:hint="eastAsia" w:ascii="宋体" w:hAnsi="宋体" w:eastAsia="宋体" w:cs="宋体"/>
          <w:color w:val="000000" w:themeColor="text1"/>
          <w:szCs w:val="24"/>
          <w:highlight w:val="none"/>
          <w:lang w:val="zh-CN"/>
          <w14:textFill>
            <w14:solidFill>
              <w14:schemeClr w14:val="tx1"/>
            </w14:solidFill>
          </w14:textFill>
        </w:rPr>
        <w:t xml:space="preserve">投标（响应）保证承诺书；</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5、偏离表（</w:t>
      </w:r>
      <w:r>
        <w:rPr>
          <w:rFonts w:hint="eastAsia" w:ascii="宋体" w:hAnsi="宋体"/>
          <w:color w:val="000000" w:themeColor="text1"/>
          <w:szCs w:val="21"/>
          <w:highlight w:val="none"/>
          <w14:textFill>
            <w14:solidFill>
              <w14:schemeClr w14:val="tx1"/>
            </w14:solidFill>
          </w14:textFill>
        </w:rPr>
        <w:t xml:space="preserve">技术要求响应及偏离表、商务要求响应及偏离表</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1039"/>
        <w:ind w:firstLine="480"/>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五、综合评审文件</w:t>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与本次采购相关的其他资料及评分标准中要求的其他资料证明文件</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1039"/>
        <w:ind w:firstLine="480"/>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六、价格折扣文件格式</w:t>
      </w:r>
      <w:r/>
    </w:p>
    <w:p>
      <w:pPr>
        <w:ind w:left="480"/>
        <w:rPr>
          <w:rFonts w:hint="eastAsia" w:ascii="宋体" w:hAnsi="宋体"/>
          <w:i/>
          <w:color w:val="000000" w:themeColor="text1"/>
          <w:sz w:val="24"/>
          <w:szCs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zh-CN"/>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pStyle w:val="1039"/>
        <w:ind w:firstLine="480"/>
        <w:spacing w:line="400" w:lineRule="exact"/>
        <w:rPr>
          <w:rFonts w:hint="default"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七、联合体协议（如有）</w:t>
      </w:r>
      <w:bookmarkEnd w:id="132"/>
      <w:r/>
      <w:bookmarkEnd w:id="133"/>
      <w:r/>
      <w:bookmarkEnd w:id="134"/>
      <w:r/>
      <w:r/>
    </w:p>
    <w:p>
      <w:pPr>
        <w:pStyle w:val="1039"/>
        <w:ind w:firstLine="480"/>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14:textFill>
            <w14:solidFill>
              <w14:schemeClr w14:val="tx1"/>
            </w14:solidFill>
          </w14:textFill>
        </w:rPr>
        <w:t xml:space="preserve">开标一览表(统一格式,用于唱标)</w:t>
      </w:r>
      <w:r>
        <w:rPr>
          <w:rFonts w:hint="eastAsia" w:ascii="宋体" w:hAnsi="宋体" w:eastAsia="宋体" w:cs="宋体"/>
          <w:color w:val="000000" w:themeColor="text1"/>
          <w:szCs w:val="24"/>
          <w:highlight w:val="none"/>
          <w:lang w:val="zh-CN"/>
          <w14:textFill>
            <w14:solidFill>
              <w14:schemeClr w14:val="tx1"/>
            </w14:solidFill>
          </w14:textFill>
        </w:rPr>
        <w:t xml:space="preserve">；</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二、</w:t>
      </w:r>
      <w:r>
        <w:rPr>
          <w:rFonts w:hint="eastAsia" w:ascii="宋体" w:hAnsi="宋体" w:eastAsia="宋体" w:cs="宋体"/>
          <w:b/>
          <w:color w:val="000000" w:themeColor="text1"/>
          <w:sz w:val="21"/>
          <w:szCs w:val="21"/>
          <w:highlight w:val="none"/>
          <w14:textFill>
            <w14:solidFill>
              <w14:schemeClr w14:val="tx1"/>
            </w14:solidFill>
          </w14:textFill>
        </w:rPr>
        <w:t xml:space="preserve">公开分项报价</w:t>
      </w:r>
      <w:r/>
    </w:p>
    <w:p>
      <w:pPr>
        <w:pStyle w:val="1032"/>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int="default" w:hAnsi="宋体" w:eastAsia="宋体"/>
          <w:color w:val="000000" w:themeColor="text1"/>
          <w:sz w:val="21"/>
          <w:szCs w:val="21"/>
          <w:highlight w:val="none"/>
          <w:u w:val="single"/>
          <w14:textFill>
            <w14:solidFill>
              <w14:schemeClr w14:val="tx1"/>
            </w14:solidFill>
          </w14:textFill>
        </w:rPr>
        <w:t xml:space="preserve">                    </w:t>
      </w:r>
      <w:r>
        <w:rPr>
          <w:rFonts w:hint="default" w:hAnsi="宋体" w:eastAsia="宋体"/>
          <w:color w:val="000000" w:themeColor="text1"/>
          <w:sz w:val="21"/>
          <w:szCs w:val="21"/>
          <w:highlight w:val="none"/>
          <w14:textFill>
            <w14:solidFill>
              <w14:schemeClr w14:val="tx1"/>
            </w14:solidFill>
          </w14:textFill>
        </w:rPr>
        <w:t xml:space="preserve"> </w:t>
      </w:r>
      <w:r>
        <w:rPr>
          <w:rFonts w:hAnsi="宋体" w:eastAsia="宋体"/>
          <w:color w:val="000000" w:themeColor="text1"/>
          <w:sz w:val="21"/>
          <w:szCs w:val="21"/>
          <w:highlight w:val="none"/>
          <w14:textFill>
            <w14:solidFill>
              <w14:schemeClr w14:val="tx1"/>
            </w14:solidFill>
          </w14:textFill>
        </w:rPr>
        <w:t xml:space="preserve">项目投标分项报价表</w:t>
      </w:r>
      <w:r/>
    </w:p>
    <w:p>
      <w:pPr>
        <w:pStyle w:val="1032"/>
        <w:ind w:left="-210" w:right="-210"/>
        <w:jc w:val="center"/>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s="宋体"/>
          <w:b/>
          <w:color w:val="000000" w:themeColor="text1"/>
          <w:sz w:val="21"/>
          <w:szCs w:val="21"/>
          <w:highlight w:val="none"/>
          <w14:textFill>
            <w14:solidFill>
              <w14:schemeClr w14:val="tx1"/>
            </w14:solidFill>
          </w14:textFill>
        </w:rPr>
        <w:t xml:space="preserve">公开分项报价</w:t>
      </w:r>
      <w:r>
        <w:rPr>
          <w:rFonts w:hAnsi="宋体" w:eastAsia="宋体"/>
          <w:bCs/>
          <w:color w:val="000000" w:themeColor="text1"/>
          <w:sz w:val="21"/>
          <w:szCs w:val="21"/>
          <w:highlight w:val="none"/>
          <w14:textFill>
            <w14:solidFill>
              <w14:schemeClr w14:val="tx1"/>
            </w14:solidFill>
          </w14:textFill>
        </w:rPr>
        <w:t xml:space="preserve">（格式）</w:t>
      </w:r>
      <w:r/>
    </w:p>
    <w:p>
      <w:pPr>
        <w:pStyle w:val="1032"/>
        <w:ind w:left="-210" w:right="-210" w:firstLine="315"/>
        <w:jc w:val="left"/>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投标人名称（盖章）</w:t>
      </w:r>
      <w:r>
        <w:rPr>
          <w:rFonts w:hAnsi="宋体" w:eastAsia="宋体"/>
          <w:color w:val="000000" w:themeColor="text1"/>
          <w:sz w:val="21"/>
          <w:szCs w:val="21"/>
          <w:highlight w:val="none"/>
          <w:u w:val="single"/>
          <w14:textFill>
            <w14:solidFill>
              <w14:schemeClr w14:val="tx1"/>
            </w14:solidFill>
          </w14:textFill>
        </w:rPr>
        <w:t xml:space="preserve">                        </w:t>
      </w:r>
      <w:r>
        <w:rPr>
          <w:rFonts w:hAnsi="宋体" w:eastAsia="宋体"/>
          <w:color w:val="000000" w:themeColor="text1"/>
          <w:sz w:val="21"/>
          <w:szCs w:val="21"/>
          <w:highlight w:val="none"/>
          <w14:textFill>
            <w14:solidFill>
              <w14:schemeClr w14:val="tx1"/>
            </w14:solidFill>
          </w14:textFill>
        </w:rPr>
        <w:t xml:space="preserve">                           招标编号：</w:t>
      </w:r>
      <w:r/>
    </w:p>
    <w:tbl>
      <w:tblPr>
        <w:tblStyle w:val="7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9"/>
        <w:gridCol w:w="6108"/>
        <w:gridCol w:w="857"/>
        <w:gridCol w:w="857"/>
      </w:tblGrid>
      <w:tr>
        <w:trPr>
          <w:jc w:val="center"/>
          <w:trHeight w:val="53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价格</w:t>
            </w:r>
            <w:r/>
          </w:p>
        </w:tc>
      </w:tr>
      <w:tr>
        <w:trPr>
          <w:jc w:val="center"/>
          <w:trHeight w:val="463"/>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pStyle w:val="768"/>
              <w:jc w:val="center"/>
              <w:spacing w:line="400" w:lineRule="exact"/>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pStyle w:val="768"/>
              <w:jc w:val="center"/>
              <w:spacing w:line="400" w:lineRule="exact"/>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108"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990"/>
              <w:ind w:left="29" w:right="-210"/>
              <w:jc w:val="center"/>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总报价</w:t>
            </w:r>
            <w:r/>
          </w:p>
        </w:tc>
        <w:tc>
          <w:tcPr>
            <w:gridSpan w:val="3"/>
            <w:tcBorders>
              <w:top w:val="single" w:color="auto" w:sz="4" w:space="0"/>
              <w:left w:val="single" w:color="auto" w:sz="4" w:space="0"/>
              <w:bottom w:val="single" w:color="auto" w:sz="4" w:space="0"/>
              <w:right w:val="single" w:color="auto" w:sz="4" w:space="0"/>
            </w:tcBorders>
            <w:tcW w:w="7822"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金额小写：</w:t>
            </w:r>
            <w:r>
              <w:rPr>
                <w:rFonts w:ascii="宋体" w:hAnsi="宋体"/>
                <w:color w:val="000000" w:themeColor="text1"/>
                <w:szCs w:val="21"/>
                <w:highlight w:val="none"/>
                <w14:textFill>
                  <w14:solidFill>
                    <w14:schemeClr w14:val="tx1"/>
                  </w14:solidFill>
                </w14:textFill>
              </w:rPr>
              <w:t xml:space="preserve">¥：</w:t>
            </w:r>
            <w:r/>
          </w:p>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金额大写：人民币</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元</w:t>
            </w:r>
            <w:r/>
          </w:p>
        </w:tc>
      </w:tr>
    </w:tbl>
    <w:p>
      <w:pPr>
        <w:pStyle w:val="990"/>
        <w:spacing w:line="360" w:lineRule="auto"/>
        <w:rPr>
          <w:rFonts w:hAnsi="宋体" w:eastAsia="宋体"/>
          <w:bCs/>
          <w:color w:val="000000" w:themeColor="text1"/>
          <w:sz w:val="21"/>
          <w:szCs w:val="21"/>
          <w:highlight w:val="none"/>
          <w14:textFill>
            <w14:solidFill>
              <w14:schemeClr w14:val="tx1"/>
            </w14:solidFill>
          </w14:textFill>
        </w:rPr>
      </w:pPr>
      <w:r>
        <w:rPr>
          <w:rFonts w:hAnsi="宋体" w:eastAsia="宋体"/>
          <w:bCs/>
          <w:color w:val="000000" w:themeColor="text1"/>
          <w:sz w:val="21"/>
          <w:szCs w:val="21"/>
          <w:highlight w:val="none"/>
          <w14:textFill>
            <w14:solidFill>
              <w14:schemeClr w14:val="tx1"/>
            </w14:solidFill>
          </w14:textFill>
        </w:rPr>
        <w:t xml:space="preserve">备注：本表中的报价为综合报价，应包括完成该项工作所需的一切费用，包含但不限于人工、材料、机械、管理、维护、保险、利润、税金、通讯器材、办公设备、检测仪器、政策性文件规定及合同包含的所有风险、责任等各项应有费用。</w:t>
      </w:r>
      <w:r/>
    </w:p>
    <w:p>
      <w:pPr>
        <w:pStyle w:val="990"/>
        <w:spacing w:line="360" w:lineRule="auto"/>
        <w:rPr>
          <w:rFonts w:hAnsi="宋体"/>
          <w:b/>
          <w:color w:val="000000" w:themeColor="text1"/>
          <w:szCs w:val="21"/>
          <w:highlight w:val="none"/>
          <w14:textFill>
            <w14:solidFill>
              <w14:schemeClr w14:val="tx1"/>
            </w14:solidFill>
          </w14:textFill>
        </w:rPr>
      </w:pPr>
      <w:r>
        <w:rPr>
          <w:rFonts w:hAnsi="宋体" w:eastAsia="宋体"/>
          <w:bCs/>
          <w:color w:val="000000" w:themeColor="text1"/>
          <w:sz w:val="21"/>
          <w:szCs w:val="21"/>
          <w:highlight w:val="none"/>
          <w14:textFill>
            <w14:solidFill>
              <w14:schemeClr w14:val="tx1"/>
            </w14:solidFill>
          </w14:textFill>
        </w:rPr>
        <w:t xml:space="preserve">2. “投标分项报价表”中“投标总报价”数额应当与“开标一览表”中“投标总报价”数额一致。</w:t>
      </w:r>
      <w:r/>
    </w:p>
    <w:p>
      <w:pPr>
        <w:pStyle w:val="1018"/>
        <w:ind w:left="3400" w:firstLine="425"/>
        <w:spacing w:line="360" w:lineRule="auto"/>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1018"/>
        <w:ind w:left="3400" w:firstLine="425"/>
        <w:spacing w:line="360" w:lineRule="auto"/>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1018"/>
        <w:ind w:left="3400" w:firstLine="4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投标人：（单位盖章）</w:t>
      </w:r>
      <w:r/>
    </w:p>
    <w:p>
      <w:pPr>
        <w:pStyle w:val="1018"/>
        <w:ind w:left="38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法定代表人或</w:t>
      </w:r>
      <w:r>
        <w:rPr>
          <w:rFonts w:hint="eastAsia" w:hAnsi="宋体" w:eastAsia="宋体"/>
          <w:color w:val="000000" w:themeColor="text1"/>
          <w:sz w:val="21"/>
          <w:szCs w:val="21"/>
          <w:highlight w:val="none"/>
          <w14:textFill>
            <w14:solidFill>
              <w14:schemeClr w14:val="tx1"/>
            </w14:solidFill>
          </w14:textFill>
        </w:rPr>
        <w:t xml:space="preserve">代理人</w:t>
      </w:r>
      <w:r>
        <w:rPr>
          <w:rFonts w:hAnsi="宋体" w:eastAsia="宋体"/>
          <w:color w:val="000000" w:themeColor="text1"/>
          <w:sz w:val="21"/>
          <w:szCs w:val="21"/>
          <w:highlight w:val="none"/>
          <w14:textFill>
            <w14:solidFill>
              <w14:schemeClr w14:val="tx1"/>
            </w14:solidFill>
          </w14:textFill>
        </w:rPr>
        <w:t xml:space="preserve">：（签</w:t>
      </w:r>
      <w:r>
        <w:rPr>
          <w:rFonts w:hint="eastAsia" w:hAnsi="宋体" w:eastAsia="宋体"/>
          <w:color w:val="000000" w:themeColor="text1"/>
          <w:sz w:val="21"/>
          <w:szCs w:val="21"/>
          <w:highlight w:val="none"/>
          <w14:textFill>
            <w14:solidFill>
              <w14:schemeClr w14:val="tx1"/>
            </w14:solidFill>
          </w14:textFill>
        </w:rPr>
        <w:t xml:space="preserve">字或盖</w:t>
      </w:r>
      <w:r>
        <w:rPr>
          <w:rFonts w:hAnsi="宋体" w:eastAsia="宋体"/>
          <w:color w:val="000000" w:themeColor="text1"/>
          <w:sz w:val="21"/>
          <w:szCs w:val="21"/>
          <w:highlight w:val="none"/>
          <w14:textFill>
            <w14:solidFill>
              <w14:schemeClr w14:val="tx1"/>
            </w14:solidFill>
          </w14:textFill>
        </w:rPr>
        <w:t xml:space="preserve">章）</w:t>
      </w:r>
      <w:r/>
    </w:p>
    <w:p>
      <w:pPr>
        <w:pStyle w:val="1039"/>
        <w:ind w:firstLine="482"/>
        <w:jc w:val="right"/>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年     月     日</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三、法人授权书</w:t>
      </w:r>
      <w:r/>
    </w:p>
    <w:p>
      <w:pPr>
        <w:ind w:firstLine="480"/>
        <w:tabs>
          <w:tab w:val="left" w:pos="360" w:leader="none"/>
        </w:tabs>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本授权书声明：____________（投标人名称）授权________________（被授权人的姓名）为我方就</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本授权书于______年____月____日起生效，特此声明。</w:t>
      </w:r>
      <w:r/>
    </w:p>
    <w:p>
      <w:pPr>
        <w:tabs>
          <w:tab w:val="left" w:pos="360" w:leader="none"/>
        </w:tabs>
        <w:rPr>
          <w:rFonts w:ascii="Times New Roman" w:hAnsi="Times New Roman"/>
          <w:color w:val="000000" w:themeColor="text1"/>
          <w:sz w:val="24"/>
          <w:highlight w:val="none"/>
          <w:u w:val="singl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          被授权人身份证号码：</w:t>
      </w:r>
      <w:r>
        <w:rPr>
          <w:rFonts w:hint="eastAsia" w:ascii="Times New Roman" w:hAnsi="Times New Roman"/>
          <w:color w:val="000000" w:themeColor="text1"/>
          <w:sz w:val="24"/>
          <w:highlight w:val="none"/>
          <w:u w:val="single"/>
          <w14:textFill>
            <w14:solidFill>
              <w14:schemeClr w14:val="tx1"/>
            </w14:solidFill>
          </w14:textFill>
        </w:rPr>
        <w:t xml:space="preserve">                              </w:t>
      </w:r>
      <w:r/>
    </w:p>
    <w:p>
      <w:pPr>
        <w:tabs>
          <w:tab w:val="left" w:pos="360" w:leader="none"/>
        </w:tabs>
        <w:rPr>
          <w:rFonts w:ascii="Times New Roman" w:hAnsi="Times New Roman"/>
          <w:color w:val="000000" w:themeColor="text1"/>
          <w:sz w:val="24"/>
          <w:highlight w:val="none"/>
          <w:u w:val="singl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          被授权人联系电话：（手机）</w:t>
      </w:r>
      <w:r>
        <w:rPr>
          <w:rFonts w:hint="eastAsia" w:ascii="Times New Roman" w:hAnsi="Times New Roman"/>
          <w:color w:val="000000" w:themeColor="text1"/>
          <w:sz w:val="24"/>
          <w:highlight w:val="none"/>
          <w:u w:val="single"/>
          <w14:textFill>
            <w14:solidFill>
              <w14:schemeClr w14:val="tx1"/>
            </w14:solidFill>
          </w14:textFill>
        </w:rPr>
        <w:t xml:space="preserve">                          </w:t>
      </w:r>
      <w:r/>
    </w:p>
    <w:p>
      <w:pPr>
        <w:ind w:firstLine="1200"/>
        <w:tabs>
          <w:tab w:val="left" w:pos="360" w:leader="none"/>
        </w:tabs>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授权单位名称：</w:t>
      </w:r>
      <w:r>
        <w:rPr>
          <w:rFonts w:hint="eastAsia" w:ascii="Times New Roman" w:hAnsi="Times New Roman"/>
          <w:color w:val="000000" w:themeColor="text1"/>
          <w:sz w:val="24"/>
          <w:highlight w:val="none"/>
          <w:u w:val="single"/>
          <w14:textFill>
            <w14:solidFill>
              <w14:schemeClr w14:val="tx1"/>
            </w14:solidFill>
          </w14:textFill>
        </w:rPr>
        <w:t xml:space="preserve">（加盖CA电子公章）</w:t>
      </w:r>
      <w:r/>
    </w:p>
    <w:p>
      <w:pPr>
        <w:ind w:firstLine="480"/>
        <w:tabs>
          <w:tab w:val="left" w:pos="360" w:leader="none"/>
        </w:tabs>
        <w:rPr>
          <w:rFonts w:ascii="Times New Roman" w:hAnsi="Times New Roman"/>
          <w:color w:val="000000" w:themeColor="text1"/>
          <w:sz w:val="24"/>
          <w:highlight w:val="none"/>
          <w:u w:val="singl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      单位地址：</w:t>
      </w:r>
      <w:r>
        <w:rPr>
          <w:rFonts w:hint="eastAsia" w:ascii="Times New Roman" w:hAnsi="Times New Roman"/>
          <w:color w:val="000000" w:themeColor="text1"/>
          <w:sz w:val="24"/>
          <w:highlight w:val="none"/>
          <w:u w:val="single"/>
          <w14:textFill>
            <w14:solidFill>
              <w14:schemeClr w14:val="tx1"/>
            </w14:solidFill>
          </w14:textFill>
        </w:rPr>
        <w:t xml:space="preserve">                                         </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      日期：</w:t>
      </w:r>
      <w:r>
        <w:rPr>
          <w:rFonts w:hint="eastAsia" w:ascii="Times New Roman" w:hAnsi="Times New Roman"/>
          <w:color w:val="000000" w:themeColor="text1"/>
          <w:highlight w:val="none"/>
          <w:u w:val="single"/>
          <w14:textFill>
            <w14:solidFill>
              <w14:schemeClr w14:val="tx1"/>
            </w14:solidFill>
          </w14:textFill>
        </w:rPr>
        <w:t xml:space="preserve">           </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四、具备履行合同所必需的设备和专业技术能力的书面声明</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主要设备有：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主要专业技术能力有：</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w:t>
      </w:r>
      <w:r/>
    </w:p>
    <w:p>
      <w:pPr>
        <w:pStyle w:val="1018"/>
        <w:ind w:left="3400" w:firstLine="4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投标人：（单位盖章）</w:t>
      </w:r>
      <w:r/>
    </w:p>
    <w:p>
      <w:pPr>
        <w:pStyle w:val="1018"/>
        <w:ind w:left="38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法定代表人或</w:t>
      </w:r>
      <w:r>
        <w:rPr>
          <w:rFonts w:hint="eastAsia" w:hAnsi="宋体" w:eastAsia="宋体"/>
          <w:color w:val="000000" w:themeColor="text1"/>
          <w:sz w:val="21"/>
          <w:szCs w:val="21"/>
          <w:highlight w:val="none"/>
          <w14:textFill>
            <w14:solidFill>
              <w14:schemeClr w14:val="tx1"/>
            </w14:solidFill>
          </w14:textFill>
        </w:rPr>
        <w:t xml:space="preserve">代理人</w:t>
      </w:r>
      <w:r>
        <w:rPr>
          <w:rFonts w:hAnsi="宋体" w:eastAsia="宋体"/>
          <w:color w:val="000000" w:themeColor="text1"/>
          <w:sz w:val="21"/>
          <w:szCs w:val="21"/>
          <w:highlight w:val="none"/>
          <w14:textFill>
            <w14:solidFill>
              <w14:schemeClr w14:val="tx1"/>
            </w14:solidFill>
          </w14:textFill>
        </w:rPr>
        <w:t xml:space="preserve">：（签</w:t>
      </w:r>
      <w:r>
        <w:rPr>
          <w:rFonts w:hint="eastAsia" w:hAnsi="宋体" w:eastAsia="宋体"/>
          <w:color w:val="000000" w:themeColor="text1"/>
          <w:sz w:val="21"/>
          <w:szCs w:val="21"/>
          <w:highlight w:val="none"/>
          <w14:textFill>
            <w14:solidFill>
              <w14:schemeClr w14:val="tx1"/>
            </w14:solidFill>
          </w14:textFill>
        </w:rPr>
        <w:t xml:space="preserve">字或盖</w:t>
      </w:r>
      <w:r>
        <w:rPr>
          <w:rFonts w:hAnsi="宋体" w:eastAsia="宋体"/>
          <w:color w:val="000000" w:themeColor="text1"/>
          <w:sz w:val="21"/>
          <w:szCs w:val="21"/>
          <w:highlight w:val="none"/>
          <w14:textFill>
            <w14:solidFill>
              <w14:schemeClr w14:val="tx1"/>
            </w14:solidFill>
          </w14:textFill>
        </w:rPr>
        <w:t xml:space="preserve">章）</w:t>
      </w:r>
      <w:r/>
    </w:p>
    <w:p>
      <w:pPr>
        <w:pStyle w:val="1039"/>
        <w:ind w:firstLine="482"/>
        <w:jc w:val="right"/>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年     月     日</w:t>
      </w:r>
      <w:r/>
    </w:p>
    <w:p>
      <w:pPr>
        <w:pStyle w:val="1039"/>
        <w:ind w:firstLine="482"/>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五、参加政府采购活动前 3 年内在经营活动中没有重大违法记录的书面声明</w:t>
      </w:r>
      <w:r/>
    </w:p>
    <w:p>
      <w:pPr>
        <w:spacing w:line="46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 声  明</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1018"/>
        <w:ind w:left="3400" w:firstLine="4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标人：（单位盖章）</w:t>
      </w:r>
      <w:r/>
    </w:p>
    <w:p>
      <w:pPr>
        <w:pStyle w:val="1018"/>
        <w:ind w:left="38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法定代表人或</w:t>
      </w:r>
      <w:r>
        <w:rPr>
          <w:rFonts w:hint="eastAsia" w:hAnsi="宋体" w:eastAsia="宋体"/>
          <w:color w:val="000000" w:themeColor="text1"/>
          <w:sz w:val="21"/>
          <w:szCs w:val="21"/>
          <w:highlight w:val="none"/>
          <w14:textFill>
            <w14:solidFill>
              <w14:schemeClr w14:val="tx1"/>
            </w14:solidFill>
          </w14:textFill>
        </w:rPr>
        <w:t xml:space="preserve">代理人</w:t>
      </w:r>
      <w:r>
        <w:rPr>
          <w:rFonts w:hAnsi="宋体" w:eastAsia="宋体"/>
          <w:color w:val="000000" w:themeColor="text1"/>
          <w:sz w:val="21"/>
          <w:szCs w:val="21"/>
          <w:highlight w:val="none"/>
          <w14:textFill>
            <w14:solidFill>
              <w14:schemeClr w14:val="tx1"/>
            </w14:solidFill>
          </w14:textFill>
        </w:rPr>
        <w:t xml:space="preserve">：（签</w:t>
      </w:r>
      <w:r>
        <w:rPr>
          <w:rFonts w:hint="eastAsia" w:hAnsi="宋体" w:eastAsia="宋体"/>
          <w:color w:val="000000" w:themeColor="text1"/>
          <w:sz w:val="21"/>
          <w:szCs w:val="21"/>
          <w:highlight w:val="none"/>
          <w14:textFill>
            <w14:solidFill>
              <w14:schemeClr w14:val="tx1"/>
            </w14:solidFill>
          </w14:textFill>
        </w:rPr>
        <w:t xml:space="preserve">字或盖</w:t>
      </w:r>
      <w:r>
        <w:rPr>
          <w:rFonts w:hAnsi="宋体" w:eastAsia="宋体"/>
          <w:color w:val="000000" w:themeColor="text1"/>
          <w:sz w:val="21"/>
          <w:szCs w:val="21"/>
          <w:highlight w:val="none"/>
          <w14:textFill>
            <w14:solidFill>
              <w14:schemeClr w14:val="tx1"/>
            </w14:solidFill>
          </w14:textFill>
        </w:rPr>
        <w:t xml:space="preserve">章）</w:t>
      </w:r>
      <w:r/>
    </w:p>
    <w:p>
      <w:pPr>
        <w:pStyle w:val="1039"/>
        <w:ind w:firstLine="482"/>
        <w:jc w:val="right"/>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年     月     日</w:t>
      </w:r>
      <w:r/>
    </w:p>
    <w:p>
      <w:pP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spacing w:line="360" w:lineRule="auto"/>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 xml:space="preserve">六、投标单位与其他单位存在控股、管理关系情况表</w:t>
      </w:r>
      <w:r/>
    </w:p>
    <w:p>
      <w:pPr>
        <w:jc w:val="center"/>
        <w:spacing w:line="360" w:lineRule="auto"/>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jc w:val="center"/>
        <w:spacing w:line="360" w:lineRule="auto"/>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 xml:space="preserve">投标单位与其他单位存在控股、管理关系情况表</w:t>
      </w:r>
      <w:r/>
    </w:p>
    <w:tbl>
      <w:tblPr>
        <w:tblStyle w:val="790"/>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jc w:val="left"/>
              <w:spacing w:line="360" w:lineRule="auto"/>
              <w:tabs>
                <w:tab w:val="left" w:pos="8930" w:leader="none"/>
                <w:tab w:val="left" w:pos="9306"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与供应商存在控股、管理关系的单位名称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jc w:val="left"/>
              <w:spacing w:line="360" w:lineRule="auto"/>
              <w:tabs>
                <w:tab w:val="left" w:pos="8930" w:leader="none"/>
                <w:tab w:val="left" w:pos="9306"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 </w:t>
            </w:r>
            <w:r/>
          </w:p>
        </w:tc>
      </w:tr>
    </w:tbl>
    <w:p>
      <w:pPr>
        <w:jc w:val="left"/>
        <w:spacing w:line="360" w:lineRule="auto"/>
        <w:rPr>
          <w:rFonts w:hint="eastAsia" w:ascii="宋体" w:hAnsi="宋体" w:cs="宋体"/>
          <w:bCs/>
          <w:color w:val="000000" w:themeColor="text1"/>
          <w:szCs w:val="21"/>
          <w:highlight w:val="none"/>
          <w14:textFill>
            <w14:solidFill>
              <w14:schemeClr w14:val="tx1"/>
            </w14:solidFill>
          </w14:textFill>
        </w:rPr>
      </w:pPr>
      <w:r/>
      <w:bookmarkStart w:id="135" w:name="_Toc12244"/>
      <w:r>
        <w:rPr>
          <w:rFonts w:hint="eastAsia" w:ascii="宋体" w:hAnsi="宋体" w:cs="宋体"/>
          <w:color w:val="000000" w:themeColor="text1"/>
          <w:sz w:val="24"/>
          <w:highlight w:val="none"/>
          <w14:textFill>
            <w14:solidFill>
              <w14:schemeClr w14:val="tx1"/>
            </w14:solidFill>
          </w14:textFill>
        </w:rPr>
        <w:t xml:space="preserve">注：供应商应当按实填写所有与之有控股、管理关系的情况</w:t>
      </w:r>
      <w:bookmarkEnd w:id="135"/>
      <w:r>
        <w:rPr>
          <w:rFonts w:hint="eastAsia" w:ascii="宋体" w:hAnsi="宋体" w:cs="宋体"/>
          <w:bCs/>
          <w:color w:val="000000" w:themeColor="text1"/>
          <w:szCs w:val="21"/>
          <w:highlight w:val="none"/>
          <w14:textFill>
            <w14:solidFill>
              <w14:schemeClr w14:val="tx1"/>
            </w14:solidFill>
          </w14:textFill>
        </w:rPr>
        <w:t xml:space="preserve">。</w:t>
      </w:r>
      <w:r/>
    </w:p>
    <w:p>
      <w:pPr>
        <w:jc w:val="left"/>
        <w:spacing w:line="312" w:lineRule="auto"/>
        <w:widowControl/>
        <w:rPr>
          <w:rFonts w:cs="宋体"/>
          <w:b/>
          <w:color w:val="000000" w:themeColor="text1"/>
          <w:highlight w:val="none"/>
          <w14:textFill>
            <w14:solidFill>
              <w14:schemeClr w14:val="tx1"/>
            </w14:solidFill>
          </w14:textFill>
        </w:rPr>
      </w:pPr>
      <w:r>
        <w:rPr>
          <w:rFonts w:cs="宋体"/>
          <w:b/>
          <w:color w:val="000000" w:themeColor="text1"/>
          <w:highlight w:val="none"/>
          <w14:textFill>
            <w14:solidFill>
              <w14:schemeClr w14:val="tx1"/>
            </w14:solidFill>
          </w14:textFill>
        </w:rPr>
      </w:r>
      <w:r/>
    </w:p>
    <w:p>
      <w:pPr>
        <w:pStyle w:val="1018"/>
        <w:ind w:left="3400" w:firstLine="4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标人：（单位盖章）</w:t>
      </w:r>
      <w:r/>
    </w:p>
    <w:p>
      <w:pPr>
        <w:pStyle w:val="1018"/>
        <w:ind w:left="38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法定代表人或</w:t>
      </w:r>
      <w:r>
        <w:rPr>
          <w:rFonts w:hint="eastAsia" w:hAnsi="宋体" w:eastAsia="宋体"/>
          <w:color w:val="000000" w:themeColor="text1"/>
          <w:sz w:val="21"/>
          <w:szCs w:val="21"/>
          <w:highlight w:val="none"/>
          <w14:textFill>
            <w14:solidFill>
              <w14:schemeClr w14:val="tx1"/>
            </w14:solidFill>
          </w14:textFill>
        </w:rPr>
        <w:t xml:space="preserve">代理人</w:t>
      </w:r>
      <w:r>
        <w:rPr>
          <w:rFonts w:hAnsi="宋体" w:eastAsia="宋体"/>
          <w:color w:val="000000" w:themeColor="text1"/>
          <w:sz w:val="21"/>
          <w:szCs w:val="21"/>
          <w:highlight w:val="none"/>
          <w14:textFill>
            <w14:solidFill>
              <w14:schemeClr w14:val="tx1"/>
            </w14:solidFill>
          </w14:textFill>
        </w:rPr>
        <w:t xml:space="preserve">：（签</w:t>
      </w:r>
      <w:r>
        <w:rPr>
          <w:rFonts w:hint="eastAsia" w:hAnsi="宋体" w:eastAsia="宋体"/>
          <w:color w:val="000000" w:themeColor="text1"/>
          <w:sz w:val="21"/>
          <w:szCs w:val="21"/>
          <w:highlight w:val="none"/>
          <w14:textFill>
            <w14:solidFill>
              <w14:schemeClr w14:val="tx1"/>
            </w14:solidFill>
          </w14:textFill>
        </w:rPr>
        <w:t xml:space="preserve">字或盖</w:t>
      </w:r>
      <w:r>
        <w:rPr>
          <w:rFonts w:hAnsi="宋体" w:eastAsia="宋体"/>
          <w:color w:val="000000" w:themeColor="text1"/>
          <w:sz w:val="21"/>
          <w:szCs w:val="21"/>
          <w:highlight w:val="none"/>
          <w14:textFill>
            <w14:solidFill>
              <w14:schemeClr w14:val="tx1"/>
            </w14:solidFill>
          </w14:textFill>
        </w:rPr>
        <w:t xml:space="preserve">章）</w:t>
      </w:r>
      <w:r/>
    </w:p>
    <w:p>
      <w:pPr>
        <w:pStyle w:val="1039"/>
        <w:ind w:firstLine="482"/>
        <w:jc w:val="right"/>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年     月     日</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七、关于资格文件的声明函</w:t>
      </w:r>
      <w:r/>
    </w:p>
    <w:p>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关于资格文件的声明函</w:t>
      </w:r>
      <w:r/>
    </w:p>
    <w:p>
      <w:pPr>
        <w:ind w:firstLine="42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(采购人或采购代理机构)       </w:t>
      </w:r>
      <w:r>
        <w:rPr>
          <w:rFonts w:hint="eastAsia" w:ascii="宋体" w:hAnsi="宋体" w:cs="宋体"/>
          <w:color w:val="000000" w:themeColor="text1"/>
          <w:sz w:val="24"/>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本公司愿就由贵单位组织实施的编号为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号（项目编号）的招标活动进行投标。本公司所提交的投标文件中所有关于投标资格的文件、证明和陈述均是真实的、准确的。若与真实情况不符，本公司愿意承担由此而产生的一切后果。</w:t>
      </w:r>
      <w:r/>
    </w:p>
    <w:p>
      <w:pPr>
        <w:pStyle w:val="1018"/>
        <w:ind w:left="3400" w:firstLine="4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标人：（单位盖章）</w:t>
      </w:r>
      <w:r/>
    </w:p>
    <w:p>
      <w:pPr>
        <w:pStyle w:val="1018"/>
        <w:ind w:left="3825"/>
        <w:jc w:val="right"/>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法定代表人或</w:t>
      </w:r>
      <w:r>
        <w:rPr>
          <w:rFonts w:hint="eastAsia" w:hAnsi="宋体" w:eastAsia="宋体"/>
          <w:color w:val="000000" w:themeColor="text1"/>
          <w:sz w:val="21"/>
          <w:szCs w:val="21"/>
          <w:highlight w:val="none"/>
          <w14:textFill>
            <w14:solidFill>
              <w14:schemeClr w14:val="tx1"/>
            </w14:solidFill>
          </w14:textFill>
        </w:rPr>
        <w:t xml:space="preserve">代理人</w:t>
      </w:r>
      <w:r>
        <w:rPr>
          <w:rFonts w:hAnsi="宋体" w:eastAsia="宋体"/>
          <w:color w:val="000000" w:themeColor="text1"/>
          <w:sz w:val="21"/>
          <w:szCs w:val="21"/>
          <w:highlight w:val="none"/>
          <w14:textFill>
            <w14:solidFill>
              <w14:schemeClr w14:val="tx1"/>
            </w14:solidFill>
          </w14:textFill>
        </w:rPr>
        <w:t xml:space="preserve">：（签</w:t>
      </w:r>
      <w:r>
        <w:rPr>
          <w:rFonts w:hint="eastAsia" w:hAnsi="宋体" w:eastAsia="宋体"/>
          <w:color w:val="000000" w:themeColor="text1"/>
          <w:sz w:val="21"/>
          <w:szCs w:val="21"/>
          <w:highlight w:val="none"/>
          <w14:textFill>
            <w14:solidFill>
              <w14:schemeClr w14:val="tx1"/>
            </w14:solidFill>
          </w14:textFill>
        </w:rPr>
        <w:t xml:space="preserve">字或盖</w:t>
      </w:r>
      <w:r>
        <w:rPr>
          <w:rFonts w:hAnsi="宋体" w:eastAsia="宋体"/>
          <w:color w:val="000000" w:themeColor="text1"/>
          <w:sz w:val="21"/>
          <w:szCs w:val="21"/>
          <w:highlight w:val="none"/>
          <w14:textFill>
            <w14:solidFill>
              <w14:schemeClr w14:val="tx1"/>
            </w14:solidFill>
          </w14:textFill>
        </w:rPr>
        <w:t xml:space="preserve">章）</w:t>
      </w:r>
      <w:r/>
    </w:p>
    <w:p>
      <w:pPr>
        <w:pStyle w:val="1039"/>
        <w:ind w:firstLine="482"/>
        <w:jc w:val="right"/>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年     月     日</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八、投标函</w:t>
      </w:r>
      <w:r/>
    </w:p>
    <w:p>
      <w:pPr>
        <w:jc w:val="left"/>
        <w:spacing w:line="420" w:lineRule="exact"/>
        <w:rPr>
          <w:rFonts w:hint="eastAsia" w:ascii="宋体" w:hAnsi="宋体"/>
          <w:color w:val="000000" w:themeColor="text1"/>
          <w:sz w:val="24"/>
          <w:szCs w:val="21"/>
          <w:highlight w:val="none"/>
          <w:u w:val="single"/>
          <w14:textFill>
            <w14:solidFill>
              <w14:schemeClr w14:val="tx1"/>
            </w14:solidFill>
          </w14:textFill>
        </w:rPr>
      </w:pPr>
      <w:r>
        <w:rPr>
          <w:rFonts w:hint="eastAsia" w:ascii="宋体" w:hAnsi="宋体"/>
          <w:color w:val="000000" w:themeColor="text1"/>
          <w:sz w:val="24"/>
          <w:szCs w:val="21"/>
          <w:highlight w:val="none"/>
          <w:u w:val="single"/>
          <w14:textFill>
            <w14:solidFill>
              <w14:schemeClr w14:val="tx1"/>
            </w14:solidFill>
          </w14:textFill>
        </w:rPr>
        <w:t xml:space="preserve">致：昆山市水务局、苏州润禹工程咨询管理有限公司</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pStyle w:val="1039"/>
        <w:ind w:firstLine="789"/>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九、投标人基本情况表</w:t>
      </w:r>
      <w:r/>
    </w:p>
    <w:p>
      <w:pPr>
        <w:jc w:val="center"/>
        <w:spacing w:line="360" w:lineRule="auto"/>
        <w:rPr>
          <w:rFonts w:hint="eastAsia" w:ascii="宋体" w:hAnsi="宋体" w:cs="宋体"/>
          <w:b/>
          <w:color w:val="000000" w:themeColor="text1"/>
          <w:sz w:val="26"/>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投标人基本情况表</w:t>
      </w:r>
      <w:r/>
    </w:p>
    <w:tbl>
      <w:tblPr>
        <w:tblStyle w:val="753"/>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62"/>
        <w:gridCol w:w="2366"/>
        <w:gridCol w:w="1479"/>
        <w:gridCol w:w="2958"/>
      </w:tblGrid>
      <w:tr>
        <w:trPr>
          <w:cantSplit/>
          <w:trHeight w:val="669"/>
        </w:trPr>
        <w:tc>
          <w:tcPr>
            <w:tcW w:w="2662"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w:t>
            </w:r>
            <w:r/>
          </w:p>
        </w:tc>
        <w:tc>
          <w:tcPr>
            <w:tcW w:w="2366"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1479"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成立日期</w:t>
            </w:r>
            <w:r/>
          </w:p>
        </w:tc>
        <w:tc>
          <w:tcPr>
            <w:tcW w:w="2958"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690"/>
        </w:trPr>
        <w:tc>
          <w:tcPr>
            <w:tcW w:w="2662"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注册地址</w:t>
            </w:r>
            <w:r/>
          </w:p>
        </w:tc>
        <w:tc>
          <w:tcPr>
            <w:tcW w:w="2366"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1479"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注册资金</w:t>
            </w:r>
            <w:r/>
          </w:p>
        </w:tc>
        <w:tc>
          <w:tcPr>
            <w:tcW w:w="2958" w:type="dxa"/>
            <w:textDirection w:val="lrTb"/>
            <w:noWrap w:val="false"/>
          </w:tcPr>
          <w:p>
            <w:pPr>
              <w:pStyle w:val="1026"/>
              <w:ind w:firstLine="216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669"/>
        </w:trPr>
        <w:tc>
          <w:tcPr>
            <w:tcW w:w="2662"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经营范围</w:t>
            </w:r>
            <w:r/>
          </w:p>
        </w:tc>
        <w:tc>
          <w:tcPr>
            <w:gridSpan w:val="3"/>
            <w:tcW w:w="6803"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338"/>
        </w:trPr>
        <w:tc>
          <w:tcPr>
            <w:tcW w:w="2662"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单位简历及内设机构情况</w:t>
            </w:r>
            <w:r/>
          </w:p>
        </w:tc>
        <w:tc>
          <w:tcPr>
            <w:gridSpan w:val="3"/>
            <w:tcW w:w="6803"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669"/>
        </w:trPr>
        <w:tc>
          <w:tcPr>
            <w:tcW w:w="2662"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单位优势及特长</w:t>
            </w:r>
            <w:r/>
          </w:p>
        </w:tc>
        <w:tc>
          <w:tcPr>
            <w:gridSpan w:val="3"/>
            <w:tcW w:w="6803"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538"/>
        </w:trPr>
        <w:tc>
          <w:tcPr>
            <w:tcW w:w="2662" w:type="dxa"/>
            <w:vAlign w:val="center"/>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商业信誉和健全的财务会计制度介绍</w:t>
            </w:r>
            <w:r/>
          </w:p>
        </w:tc>
        <w:tc>
          <w:tcPr>
            <w:gridSpan w:val="3"/>
            <w:tcW w:w="6803"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471"/>
        </w:trPr>
        <w:tc>
          <w:tcPr>
            <w:tcW w:w="2662" w:type="dxa"/>
            <w:vAlign w:val="center"/>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履行合同所必需的设备和专业技术能力情况</w:t>
            </w:r>
            <w:r/>
          </w:p>
        </w:tc>
        <w:tc>
          <w:tcPr>
            <w:gridSpan w:val="3"/>
            <w:tcW w:w="6803"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411"/>
        </w:trPr>
        <w:tc>
          <w:tcPr>
            <w:tcW w:w="2662" w:type="dxa"/>
            <w:vAlign w:val="center"/>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依法缴纳税收和社会保障资金情况</w:t>
            </w:r>
            <w:r/>
          </w:p>
        </w:tc>
        <w:tc>
          <w:tcPr>
            <w:gridSpan w:val="3"/>
            <w:tcW w:w="6803"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808"/>
        </w:trPr>
        <w:tc>
          <w:tcPr>
            <w:tcW w:w="2662" w:type="dxa"/>
            <w:vAlign w:val="center"/>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参加政府采购活动前三年内，在经营活动中有无重大违法记录</w:t>
            </w:r>
            <w:r/>
          </w:p>
        </w:tc>
        <w:tc>
          <w:tcPr>
            <w:gridSpan w:val="3"/>
            <w:tcW w:w="6803"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806"/>
        </w:trPr>
        <w:tc>
          <w:tcPr>
            <w:tcW w:w="2662" w:type="dxa"/>
            <w:vAlign w:val="center"/>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其他需要说明的情况</w:t>
            </w:r>
            <w:r/>
          </w:p>
        </w:tc>
        <w:tc>
          <w:tcPr>
            <w:gridSpan w:val="3"/>
            <w:tcW w:w="6803" w:type="dxa"/>
            <w:textDirection w:val="lrTb"/>
            <w:noWrap w:val="false"/>
          </w:tcPr>
          <w:p>
            <w:pPr>
              <w:pStyle w:val="1026"/>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bl>
    <w:p>
      <w:pPr>
        <w:pStyle w:val="1040"/>
        <w:jc w:val="both"/>
        <w:spacing w:before="75" w:beforeAutospacing="0" w:after="75" w:afterAutospacing="0" w:line="43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供应商签章：</w:t>
      </w:r>
      <w:r>
        <w:rPr>
          <w:rFonts w:hint="eastAsia" w:ascii="宋体" w:hAnsi="宋体" w:cs="宋体"/>
          <w:color w:val="000000" w:themeColor="text1"/>
          <w:highlight w:val="none"/>
          <w:u w:val="single"/>
          <w14:textFill>
            <w14:solidFill>
              <w14:schemeClr w14:val="tx1"/>
            </w14:solidFill>
          </w14:textFill>
        </w:rPr>
        <w:t xml:space="preserve">         </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十、投标（响应）保证承诺书</w:t>
      </w:r>
      <w:r/>
    </w:p>
    <w:p>
      <w:pPr>
        <w:pStyle w:val="1040"/>
        <w:jc w:val="center"/>
        <w:spacing w:before="75" w:beforeAutospacing="0" w:after="75" w:afterAutospacing="0" w:line="435" w:lineRule="atLeast"/>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投标（响应）保证承诺书（参考格式）</w:t>
      </w:r>
      <w:r/>
    </w:p>
    <w:p>
      <w:pPr>
        <w:pStyle w:val="1040"/>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         （采购代理机构名称）</w:t>
      </w:r>
      <w:r/>
    </w:p>
    <w:p>
      <w:pPr>
        <w:pStyle w:val="1040"/>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我（单位/本人，以下统称我单位）自愿参加 </w:t>
      </w:r>
      <w:r>
        <w:rPr>
          <w:rFonts w:hint="eastAsia" w:ascii="宋体" w:hAnsi="宋体" w:cs="宋体"/>
          <w:color w:val="000000" w:themeColor="text1"/>
          <w:highlight w:val="none"/>
          <w:u w:val="single"/>
          <w14:textFill>
            <w14:solidFill>
              <w14:schemeClr w14:val="tx1"/>
            </w14:solidFill>
          </w14:textFill>
        </w:rPr>
        <w:t xml:space="preserve">             （项目名称和采购编号）</w:t>
      </w:r>
      <w:r>
        <w:rPr>
          <w:rFonts w:hint="eastAsia" w:ascii="宋体" w:hAnsi="宋体" w:cs="宋体"/>
          <w:color w:val="000000" w:themeColor="text1"/>
          <w:highlight w:val="none"/>
          <w14:textFill>
            <w14:solidFill>
              <w14:schemeClr w14:val="tx1"/>
            </w14:solidFill>
          </w14:textFill>
        </w:rPr>
        <w:t xml:space="preserve">的投标（响应）,并做出如下承诺：</w:t>
      </w:r>
      <w:r/>
    </w:p>
    <w:p>
      <w:pPr>
        <w:pStyle w:val="1040"/>
        <w:ind w:firstLine="480"/>
        <w:spacing w:before="75" w:beforeAutospacing="0" w:after="75" w:afterAutospacing="0" w:line="43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highlight w:val="none"/>
          <w:u w:val="single"/>
          <w14:textFill>
            <w14:solidFill>
              <w14:schemeClr w14:val="tx1"/>
            </w14:solidFill>
          </w14:textFill>
        </w:rPr>
        <w:t xml:space="preserve">（或采购人）</w:t>
      </w:r>
      <w:r>
        <w:rPr>
          <w:rFonts w:hint="eastAsia" w:ascii="宋体" w:hAnsi="宋体" w:cs="宋体"/>
          <w:color w:val="000000" w:themeColor="text1"/>
          <w:highlight w:val="none"/>
          <w14:textFill>
            <w14:solidFill>
              <w14:schemeClr w14:val="tx1"/>
            </w14:solidFill>
          </w14:textFill>
        </w:rPr>
        <w:t xml:space="preserve">支付本采购文件公布的预算金额（或最高限价）的2%作为违约赔偿金（数量不确定的单价采购须约定具体金额）。</w:t>
      </w:r>
      <w:r/>
    </w:p>
    <w:p>
      <w:pPr>
        <w:pStyle w:val="1040"/>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1.自投标（响应）截止时间至本项目发布中标（成交）公告为止，撤销投标（响应）；</w:t>
      </w:r>
      <w:r/>
    </w:p>
    <w:p>
      <w:pPr>
        <w:pStyle w:val="1040"/>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2.中标（成交）后不依法与采购人签订合同；</w:t>
      </w:r>
      <w:r/>
    </w:p>
    <w:p>
      <w:pPr>
        <w:pStyle w:val="1040"/>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3.中标（成交）后不按本采购文件规定向采购人提交履约保证金；</w:t>
      </w:r>
      <w:r/>
    </w:p>
    <w:p>
      <w:pPr>
        <w:pStyle w:val="1040"/>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4.中标（成交）后不按本采购文件规定向贵方缴纳采购代理费。</w:t>
      </w:r>
      <w:r/>
    </w:p>
    <w:p>
      <w:pPr>
        <w:pStyle w:val="1040"/>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highlight w:val="none"/>
          <w:u w:val="single"/>
          <w14:textFill>
            <w14:solidFill>
              <w14:schemeClr w14:val="tx1"/>
            </w14:solidFill>
          </w14:textFill>
        </w:rPr>
        <w:t xml:space="preserve">（或采购人）</w:t>
      </w:r>
      <w:r>
        <w:rPr>
          <w:rFonts w:hint="eastAsia" w:ascii="宋体" w:hAnsi="宋体" w:cs="宋体"/>
          <w:color w:val="000000" w:themeColor="text1"/>
          <w:highlight w:val="none"/>
          <w14:textFill>
            <w14:solidFill>
              <w14:schemeClr w14:val="tx1"/>
            </w14:solidFill>
          </w14:textFill>
        </w:rPr>
        <w:t xml:space="preserve">要求我单位履行违约赔偿义务的依据作用。</w:t>
      </w:r>
      <w:r/>
    </w:p>
    <w:p>
      <w:pPr>
        <w:pStyle w:val="1040"/>
        <w:ind w:firstLine="48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104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投标（响应）人： （盖公章）</w:t>
      </w:r>
      <w:r/>
    </w:p>
    <w:p>
      <w:pPr>
        <w:pStyle w:val="104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p>
    <w:p>
      <w:pPr>
        <w:pStyle w:val="104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电话：</w:t>
      </w:r>
      <w:r/>
    </w:p>
    <w:p>
      <w:pPr>
        <w:pStyle w:val="104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传真：</w:t>
      </w:r>
      <w:r/>
    </w:p>
    <w:p>
      <w:pPr>
        <w:pStyle w:val="104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电子邮件：</w:t>
      </w:r>
      <w:r/>
    </w:p>
    <w:p>
      <w:pPr>
        <w:pStyle w:val="1040"/>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法定代表人或委托代理人(签字或签章)：</w:t>
      </w:r>
      <w:r/>
    </w:p>
    <w:p>
      <w:pPr>
        <w:pStyle w:val="1040"/>
        <w:spacing w:before="75" w:beforeAutospacing="0" w:after="75" w:afterAutospacing="0" w:line="43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039"/>
        <w:ind w:firstLine="482"/>
        <w:spacing w:line="4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十一、技术要求响应及偏离表</w:t>
      </w:r>
      <w:r/>
    </w:p>
    <w:tbl>
      <w:tblPr>
        <w:tblStyle w:val="75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755"/>
              <w:ind w:left="-210" w:right="-210"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      目</w:t>
            </w:r>
            <w:r/>
          </w:p>
        </w:tc>
        <w:tc>
          <w:tcPr>
            <w:tcW w:w="1249" w:type="pct"/>
            <w:textDirection w:val="lrTb"/>
            <w:noWrap w:val="false"/>
          </w:tcPr>
          <w:p>
            <w:pPr>
              <w:pStyle w:val="755"/>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招标要求（详见招标文件）</w:t>
            </w:r>
            <w:r/>
          </w:p>
        </w:tc>
        <w:tc>
          <w:tcPr>
            <w:tcW w:w="1250" w:type="pct"/>
            <w:textDirection w:val="lrTb"/>
            <w:noWrap w:val="false"/>
          </w:tcPr>
          <w:p>
            <w:pPr>
              <w:pStyle w:val="755"/>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投标内容（响应情况）</w:t>
            </w:r>
            <w:r/>
          </w:p>
        </w:tc>
        <w:tc>
          <w:tcPr>
            <w:tcW w:w="1250" w:type="pct"/>
            <w:textDirection w:val="lrTb"/>
            <w:noWrap w:val="false"/>
          </w:tcPr>
          <w:p>
            <w:pPr>
              <w:pStyle w:val="755"/>
              <w:ind w:firstLine="0"/>
              <w:jc w:val="center"/>
              <w:spacing w:line="360" w:lineRule="auto"/>
              <w:rPr>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偏离说明（正偏离、无偏离、负偏离）</w:t>
            </w:r>
            <w:r/>
          </w:p>
        </w:tc>
      </w:tr>
      <w:tr>
        <w:trPr/>
        <w:tc>
          <w:tcPr>
            <w:tcW w:w="1249" w:type="pct"/>
            <w:textDirection w:val="lrTb"/>
            <w:noWrap w:val="false"/>
          </w:tcPr>
          <w:p>
            <w:pPr>
              <w:pStyle w:val="755"/>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技术方案质量</w:t>
            </w:r>
            <w:r/>
          </w:p>
        </w:tc>
        <w:tc>
          <w:tcPr>
            <w:tcW w:w="1249"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5"/>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p>
        </w:tc>
        <w:tc>
          <w:tcPr>
            <w:tcW w:w="1249"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49"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49"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 行数不够，可自行添加。</w:t>
      </w:r>
      <w:r/>
    </w:p>
    <w:p>
      <w:pPr>
        <w:pStyle w:val="755"/>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投标人（单位盖章）：</w:t>
      </w:r>
      <w:r/>
    </w:p>
    <w:p>
      <w:pPr>
        <w:pStyle w:val="755"/>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法定代表人或被授权人（签字或盖章）：                         </w:t>
      </w:r>
      <w:r/>
    </w:p>
    <w:p>
      <w:pPr>
        <w:jc w:val="left"/>
        <w:rPr>
          <w:rFonts w:ascii="黑体" w:hAnsi="Arial" w:eastAsia="黑体"/>
          <w:b/>
          <w:color w:val="000000" w:themeColor="text1"/>
          <w:sz w:val="36"/>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年  月  日</w:t>
      </w:r>
      <w:r/>
    </w:p>
    <w:p>
      <w:pPr>
        <w:jc w:val="cente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jc w:val="cente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jc w:val="cente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br w:type="page" w:clear="all"/>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十二、商务要求响应及偏离表</w:t>
      </w:r>
      <w:r/>
    </w:p>
    <w:tbl>
      <w:tblPr>
        <w:tblStyle w:val="75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755"/>
              <w:ind w:left="-210" w:right="-210"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      目</w:t>
            </w:r>
            <w:r/>
          </w:p>
        </w:tc>
        <w:tc>
          <w:tcPr>
            <w:tcW w:w="1249" w:type="pct"/>
            <w:textDirection w:val="lrTb"/>
            <w:noWrap w:val="false"/>
          </w:tcPr>
          <w:p>
            <w:pPr>
              <w:pStyle w:val="755"/>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招标要求</w:t>
            </w:r>
            <w:r/>
          </w:p>
          <w:p>
            <w:pPr>
              <w:pStyle w:val="755"/>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（详见招标文件）</w:t>
            </w:r>
            <w:r/>
          </w:p>
        </w:tc>
        <w:tc>
          <w:tcPr>
            <w:tcW w:w="1250" w:type="pct"/>
            <w:textDirection w:val="lrTb"/>
            <w:noWrap w:val="false"/>
          </w:tcPr>
          <w:p>
            <w:pPr>
              <w:pStyle w:val="755"/>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投标内容</w:t>
            </w:r>
            <w:r/>
          </w:p>
          <w:p>
            <w:pPr>
              <w:pStyle w:val="755"/>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（响应情况）</w:t>
            </w:r>
            <w:r/>
          </w:p>
        </w:tc>
        <w:tc>
          <w:tcPr>
            <w:tcW w:w="1250" w:type="pct"/>
            <w:textDirection w:val="lrTb"/>
            <w:noWrap w:val="false"/>
          </w:tcPr>
          <w:p>
            <w:pPr>
              <w:pStyle w:val="755"/>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偏离说明</w:t>
            </w:r>
            <w:r/>
          </w:p>
          <w:p>
            <w:pPr>
              <w:pStyle w:val="755"/>
              <w:ind w:firstLine="0"/>
              <w:jc w:val="center"/>
              <w:spacing w:line="360" w:lineRule="auto"/>
              <w:rPr>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（正偏离、无偏离、负偏离）</w:t>
            </w:r>
            <w:r/>
          </w:p>
        </w:tc>
      </w:tr>
      <w:tr>
        <w:trPr/>
        <w:tc>
          <w:tcPr>
            <w:tcW w:w="1249" w:type="pct"/>
            <w:textDirection w:val="lrTb"/>
            <w:noWrap w:val="false"/>
          </w:tcPr>
          <w:p>
            <w:pPr>
              <w:pStyle w:val="755"/>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响应时间</w:t>
            </w:r>
            <w:r/>
          </w:p>
        </w:tc>
        <w:tc>
          <w:tcPr>
            <w:tcW w:w="1249"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5"/>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服务期限</w:t>
            </w:r>
            <w:r/>
          </w:p>
        </w:tc>
        <w:tc>
          <w:tcPr>
            <w:tcW w:w="1249"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5"/>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响应内容</w:t>
            </w:r>
            <w:r/>
          </w:p>
        </w:tc>
        <w:tc>
          <w:tcPr>
            <w:tcW w:w="1249"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5"/>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付款方式</w:t>
            </w:r>
            <w:r/>
          </w:p>
        </w:tc>
        <w:tc>
          <w:tcPr>
            <w:tcW w:w="1249"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1249" w:type="pct"/>
            <w:textDirection w:val="lrTb"/>
            <w:noWrap w:val="false"/>
          </w:tcPr>
          <w:p>
            <w:pPr>
              <w:pStyle w:val="755"/>
              <w:ind w:left="-210" w:right="-210" w:firstLine="21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中小企业声明（如有）</w:t>
            </w:r>
            <w:r/>
          </w:p>
        </w:tc>
        <w:tc>
          <w:tcPr>
            <w:tcW w:w="1249"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0" w:type="pct"/>
            <w:textDirection w:val="lrTb"/>
            <w:noWrap w:val="false"/>
          </w:tcPr>
          <w:p>
            <w:pPr>
              <w:pStyle w:val="755"/>
              <w:ind w:left="-210" w:right="-210"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pStyle w:val="755"/>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注： 行数不够，可自行添加。</w:t>
      </w:r>
      <w:r/>
    </w:p>
    <w:p>
      <w:pPr>
        <w:pStyle w:val="755"/>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投标人（单位盖章）：</w:t>
      </w:r>
      <w:r/>
    </w:p>
    <w:p>
      <w:pPr>
        <w:pStyle w:val="755"/>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法定代表人或被授权人（签字或盖章）：                         </w:t>
      </w:r>
      <w:r/>
    </w:p>
    <w:p>
      <w:pPr>
        <w:pStyle w:val="755"/>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日期：   年  月  日</w:t>
      </w:r>
      <w:r/>
    </w:p>
    <w:p>
      <w:pPr>
        <w:pStyle w:val="74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十三、中小企业声明函（服务）</w:t>
      </w:r>
      <w:r/>
    </w:p>
    <w:p>
      <w:pPr>
        <w:ind w:firstLine="1575"/>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firstLine="36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参加（单位名称）的（项目名称）采购活动，服务全部由符合政策的中小企业承接。相关企业（含联合体中的中小企业、签订分包意向协议的中小企业）的具体情况如下： </w:t>
      </w:r>
      <w:r/>
    </w:p>
    <w:p>
      <w:pPr>
        <w:ind w:firstLine="360"/>
        <w:spacing w:line="560" w:lineRule="exact"/>
        <w:rPr>
          <w:rFonts w:hint="eastAsia" w:ascii="宋体" w:hAnsi="宋体"/>
          <w:i/>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i/>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行业；承接企业为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w:t>
      </w:r>
      <w:r>
        <w:rPr>
          <w:rFonts w:hint="eastAsia" w:ascii="宋体" w:hAnsi="宋体"/>
          <w:color w:val="000000" w:themeColor="text1"/>
          <w:sz w:val="24"/>
          <w:highlight w:val="none"/>
          <w:vertAlign w:val="superscript"/>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，属于</w:t>
      </w:r>
      <w:r>
        <w:rPr>
          <w:rFonts w:ascii="宋体" w:hAnsi="宋体"/>
          <w:i/>
          <w:iCs/>
          <w:color w:val="000000" w:themeColor="text1"/>
          <w:sz w:val="24"/>
          <w:highlight w:val="none"/>
          <w:u w:val="single"/>
          <w14:textFill>
            <w14:solidFill>
              <w14:schemeClr w14:val="tx1"/>
            </w14:solidFill>
          </w14:textFill>
        </w:rPr>
        <w:t xml:space="preserve">（中型企业、小 型企业、微型企业）</w:t>
      </w:r>
      <w:r>
        <w:rPr>
          <w:rFonts w:hint="eastAsia" w:ascii="宋体" w:hAnsi="宋体"/>
          <w:color w:val="000000" w:themeColor="text1"/>
          <w:sz w:val="24"/>
          <w:highlight w:val="none"/>
          <w:u w:val="single"/>
          <w14:textFill>
            <w14:solidFill>
              <w14:schemeClr w14:val="tx1"/>
            </w14:solidFill>
          </w14:textFill>
        </w:rPr>
        <w:t xml:space="preserve">；</w:t>
      </w:r>
      <w:r/>
    </w:p>
    <w:p>
      <w:pPr>
        <w:ind w:firstLine="360"/>
        <w:spacing w:line="560" w:lineRule="exact"/>
        <w:rPr>
          <w:rFonts w:hint="eastAsia" w:ascii="宋体" w:hAnsi="宋体"/>
          <w:i/>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i/>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行业；承接企业为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w:t>
      </w:r>
      <w:r>
        <w:rPr>
          <w:rFonts w:hint="eastAsia" w:ascii="宋体" w:hAnsi="宋体"/>
          <w:color w:val="000000" w:themeColor="text1"/>
          <w:sz w:val="24"/>
          <w:highlight w:val="none"/>
          <w:vertAlign w:val="superscript"/>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，属于</w:t>
      </w:r>
      <w:r>
        <w:rPr>
          <w:rFonts w:ascii="宋体" w:hAnsi="宋体"/>
          <w:i/>
          <w:iCs/>
          <w:color w:val="000000" w:themeColor="text1"/>
          <w:sz w:val="24"/>
          <w:highlight w:val="none"/>
          <w:u w:val="single"/>
          <w14:textFill>
            <w14:solidFill>
              <w14:schemeClr w14:val="tx1"/>
            </w14:solidFill>
          </w14:textFill>
        </w:rPr>
        <w:t xml:space="preserve">（中型企业、小 型企业、微型企业）</w:t>
      </w:r>
      <w:r>
        <w:rPr>
          <w:rFonts w:hint="eastAsia" w:ascii="宋体" w:hAnsi="宋体"/>
          <w:color w:val="000000" w:themeColor="text1"/>
          <w:sz w:val="24"/>
          <w:highlight w:val="none"/>
          <w:u w:val="single"/>
          <w14:textFill>
            <w14:solidFill>
              <w14:schemeClr w14:val="tx1"/>
            </w14:solidFill>
          </w14:textFill>
        </w:rPr>
        <w:t xml:space="preserve">；</w:t>
      </w:r>
      <w:r/>
    </w:p>
    <w:p>
      <w:pPr>
        <w:ind w:firstLine="36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p>
    <w:p>
      <w:pPr>
        <w:ind w:firstLine="36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right="72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180" w:firstLine="360"/>
        <w:jc w:val="righ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企业名称（加盖CA电子公章）：</w:t>
      </w:r>
      <w:r/>
    </w:p>
    <w:p>
      <w:pPr>
        <w:ind w:right="480" w:firstLine="540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  期：</w:t>
      </w:r>
      <w:r/>
    </w:p>
    <w:p>
      <w:pPr>
        <w:ind w:firstLine="48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备注2：本次采购项目所属行业为“其他未列明行业”。中小微企业划型标准请根据《中小企业划型标准规定》（工信部联企业〔2011〕300号）。</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tbl>
      <w:tblPr>
        <w:tblStyle w:val="753"/>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hint="eastAsia" w:ascii="微软雅黑" w:hAnsi="微软雅黑" w:eastAsia="微软雅黑" w:cs="宋体"/>
                <w:color w:val="000000" w:themeColor="text1"/>
                <w:sz w:val="33"/>
                <w:szCs w:val="33"/>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微软雅黑" w:hAnsi="微软雅黑" w:eastAsia="微软雅黑" w:cs="宋体"/>
                <w:b/>
                <w:bCs/>
                <w:color w:val="000000" w:themeColor="text1"/>
                <w:sz w:val="33"/>
                <w:szCs w:val="33"/>
                <w:highlight w:val="none"/>
                <w14:textFill>
                  <w14:solidFill>
                    <w14:schemeClr w14:val="tx1"/>
                  </w14:solidFill>
                </w14:textFill>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hint="eastAsia" w:ascii="微软雅黑" w:hAnsi="微软雅黑" w:eastAsia="微软雅黑" w:cs="宋体"/>
                <w:color w:val="000000" w:themeColor="text1"/>
                <w:sz w:val="24"/>
                <w:highlight w:val="none"/>
                <w14:textFill>
                  <w14:solidFill>
                    <w14:schemeClr w14:val="tx1"/>
                  </w14:solidFill>
                </w14:textFill>
              </w:rPr>
            </w:pPr>
            <w:r>
              <w:rPr>
                <w:rFonts w:hint="eastAsia" w:ascii="微软雅黑" w:hAnsi="微软雅黑" w:eastAsia="微软雅黑" w:cs="宋体"/>
                <w:b/>
                <w:bCs/>
                <w:color w:val="000000" w:themeColor="text1"/>
                <w:sz w:val="36"/>
                <w:highlight w:val="none"/>
                <w14:textFill>
                  <w14:solidFill>
                    <w14:schemeClr w14:val="tx1"/>
                  </w14:solidFill>
                </w14:textFill>
              </w:rPr>
              <w:t xml:space="preserve">关于印发中小企业划型标准规定的通知</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楷体_GB2312" w:hAnsi="微软雅黑" w:eastAsia="楷体_GB2312" w:cs="宋体"/>
                <w:color w:val="000000" w:themeColor="text1"/>
                <w:sz w:val="24"/>
                <w:highlight w:val="none"/>
                <w14:textFill>
                  <w14:solidFill>
                    <w14:schemeClr w14:val="tx1"/>
                  </w14:solidFill>
                </w14:textFill>
              </w:rPr>
              <w:t xml:space="preserve">工信部联企业〔2011〕300号</w:t>
            </w:r>
            <w:r/>
          </w:p>
          <w:p>
            <w:pPr>
              <w:jc w:val="left"/>
              <w:spacing w:before="100" w:beforeAutospacing="1" w:after="100" w:afterAutospacing="1"/>
              <w:widowControl/>
              <w:rPr>
                <w:rFonts w:hint="eastAsia" w:ascii="微软雅黑" w:hAnsi="微软雅黑" w:eastAsia="微软雅黑" w:cs="宋体"/>
                <w:color w:val="000000" w:themeColor="text1"/>
                <w:sz w:val="24"/>
                <w:highlight w:val="none"/>
                <w14:textFill>
                  <w14:solidFill>
                    <w14:schemeClr w14:val="tx1"/>
                  </w14:solidFill>
                </w14:textFill>
              </w:rPr>
            </w:pPr>
            <w:r>
              <w:rPr>
                <w:rFonts w:hint="eastAsia" w:ascii="微软雅黑" w:hAnsi="微软雅黑" w:eastAsia="微软雅黑" w:cs="宋体"/>
                <w:color w:val="000000" w:themeColor="text1"/>
                <w:sz w:val="24"/>
                <w:highlight w:val="none"/>
                <w14:textFill>
                  <w14:solidFill>
                    <w14:schemeClr w14:val="tx1"/>
                  </w14:solidFill>
                </w14:textFill>
              </w:rPr>
              <w:t xml:space="preserve">各省、自治区、直辖市人民政府，国务院各部委、各直属机构及有关单位：</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工业和信息化部　国家统计局</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国家发展和改革委员会　财政部</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二○一一年六月十八日</w:t>
            </w:r>
            <w:r/>
          </w:p>
          <w:p>
            <w:pPr>
              <w:jc w:val="left"/>
              <w:spacing w:before="100" w:beforeAutospacing="1" w:after="100" w:afterAutospacing="1"/>
              <w:widowControl/>
              <w:rPr>
                <w:rFonts w:hint="eastAsia" w:ascii="微软雅黑" w:hAnsi="微软雅黑" w:eastAsia="微软雅黑" w:cs="宋体"/>
                <w:color w:val="000000" w:themeColor="text1"/>
                <w:sz w:val="24"/>
                <w:highlight w:val="none"/>
                <w14:textFill>
                  <w14:solidFill>
                    <w14:schemeClr w14:val="tx1"/>
                  </w14:solidFill>
                </w14:textFill>
              </w:rPr>
            </w:pPr>
            <w:r>
              <w:rPr>
                <w:rFonts w:hint="eastAsia" w:ascii="微软雅黑" w:hAnsi="微软雅黑" w:eastAsia="微软雅黑" w:cs="宋体"/>
                <w:color w:val="000000" w:themeColor="text1"/>
                <w:sz w:val="24"/>
                <w:highlight w:val="none"/>
                <w14:textFill>
                  <w14:solidFill>
                    <w14:schemeClr w14:val="tx1"/>
                  </w14:solidFill>
                </w14:textFill>
              </w:rPr>
              <w:t xml:space="preserve"> </w:t>
            </w:r>
            <w:r/>
          </w:p>
          <w:p>
            <w:pPr>
              <w:jc w:val="center"/>
              <w:spacing w:before="100" w:beforeAutospacing="1" w:after="100" w:afterAutospacing="1"/>
              <w:widowControl/>
              <w:rPr>
                <w:rFonts w:hint="eastAsia" w:ascii="微软雅黑" w:hAnsi="微软雅黑" w:eastAsia="微软雅黑" w:cs="宋体"/>
                <w:color w:val="000000" w:themeColor="text1"/>
                <w:sz w:val="24"/>
                <w:highlight w:val="none"/>
                <w14:textFill>
                  <w14:solidFill>
                    <w14:schemeClr w14:val="tx1"/>
                  </w14:solidFill>
                </w14:textFill>
              </w:rPr>
            </w:pPr>
            <w:r>
              <w:rPr>
                <w:rFonts w:hint="eastAsia" w:ascii="微软雅黑" w:hAnsi="微软雅黑" w:eastAsia="微软雅黑" w:cs="宋体"/>
                <w:b/>
                <w:bCs/>
                <w:color w:val="000000" w:themeColor="text1"/>
                <w:sz w:val="36"/>
                <w:highlight w:val="none"/>
                <w14:textFill>
                  <w14:solidFill>
                    <w14:schemeClr w14:val="tx1"/>
                  </w14:solidFill>
                </w14:textFill>
              </w:rPr>
              <w:t xml:space="preserve">中小企业划型标准规定</w:t>
            </w:r>
            <w:r/>
          </w:p>
          <w:p>
            <w:pPr>
              <w:jc w:val="left"/>
              <w:spacing w:before="100" w:beforeAutospacing="1" w:after="100" w:afterAutospacing="1"/>
              <w:widowControl/>
              <w:rPr>
                <w:rFonts w:hint="eastAsia" w:ascii="微软雅黑" w:hAnsi="微软雅黑" w:eastAsia="微软雅黑" w:cs="宋体"/>
                <w:color w:val="000000" w:themeColor="text1"/>
                <w:sz w:val="24"/>
                <w:highlight w:val="none"/>
                <w14:textFill>
                  <w14:solidFill>
                    <w14:schemeClr w14:val="tx1"/>
                  </w14:solidFill>
                </w14:textFill>
              </w:rPr>
            </w:pPr>
            <w:r>
              <w:rPr>
                <w:rFonts w:hint="eastAsia" w:ascii="微软雅黑" w:hAnsi="微软雅黑" w:eastAsia="微软雅黑" w:cs="宋体"/>
                <w:color w:val="000000" w:themeColor="text1"/>
                <w:sz w:val="24"/>
                <w:highlight w:val="none"/>
                <w14:textFill>
                  <w14:solidFill>
                    <w14:schemeClr w14:val="tx1"/>
                  </w14:solidFill>
                </w14:textFill>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四、各行业划型标准为：</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五、企业类型的划分以统计部门的统计数据为依据。</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九、本规定由工业和信息化部、国家统计局会同有关部门负责解释。</w:t>
            </w:r>
            <w:r>
              <w:rPr>
                <w:rFonts w:hint="eastAsia" w:ascii="微软雅黑" w:hAnsi="微软雅黑" w:eastAsia="微软雅黑" w:cs="宋体"/>
                <w:color w:val="000000" w:themeColor="text1"/>
                <w:sz w:val="24"/>
                <w:highlight w:val="none"/>
                <w14:textFill>
                  <w14:solidFill>
                    <w14:schemeClr w14:val="tx1"/>
                  </w14:solidFill>
                </w14:textFill>
              </w:rPr>
              <w:br/>
            </w:r>
            <w:r>
              <w:rPr>
                <w:rFonts w:hint="eastAsia" w:ascii="微软雅黑" w:hAnsi="微软雅黑" w:eastAsia="微软雅黑" w:cs="宋体"/>
                <w:color w:val="000000" w:themeColor="text1"/>
                <w:sz w:val="24"/>
                <w:highlight w:val="none"/>
                <w14:textFill>
                  <w14:solidFill>
                    <w14:schemeClr w14:val="tx1"/>
                  </w14:solidFill>
                </w14:textFill>
              </w:rPr>
              <w:t xml:space="preserve">　　十、本规定自发布之日起执行，原国家经贸委、原国家计委、财政部和国家统计局2003年颁布的《中小企业标准暂行规定》同时废止。</w:t>
            </w:r>
            <w:r/>
          </w:p>
        </w:tc>
      </w:tr>
    </w:tbl>
    <w:p>
      <w:pPr>
        <w:jc w:val="left"/>
        <w:rPr>
          <w:rFonts w:hint="eastAsia" w:ascii="宋体" w:hAnsi="宋体" w:cs="宋体"/>
          <w:b/>
          <w:color w:val="000000" w:themeColor="text1"/>
          <w:sz w:val="24"/>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十四、残疾人福利性单位声明函</w:t>
      </w:r>
      <w:r/>
    </w:p>
    <w:p>
      <w:pPr>
        <w:ind w:firstLine="480"/>
        <w:spacing w:line="588"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588"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themeColor="text1"/>
          <w:spacing w:val="6"/>
          <w:sz w:val="30"/>
          <w:szCs w:val="30"/>
          <w:highlight w:val="none"/>
          <w14:textFill>
            <w14:solidFill>
              <w14:schemeClr w14:val="tx1"/>
            </w14:solidFill>
          </w14:textFill>
        </w:rPr>
      </w:pPr>
      <w:r>
        <w:rPr>
          <w:rFonts w:ascii="仿宋_GB2312" w:hAnsi="Times New Roman" w:eastAsia="仿宋_GB2312"/>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hint="eastAsia" w:ascii="宋体" w:hAnsi="宋体"/>
          <w:color w:val="000000" w:themeColor="text1"/>
          <w:sz w:val="24"/>
          <w:szCs w:val="21"/>
          <w:highlight w:val="none"/>
          <w14:textFill>
            <w14:solidFill>
              <w14:schemeClr w14:val="tx1"/>
            </w14:solidFill>
          </w14:textFill>
        </w:rPr>
      </w:pPr>
      <w:r>
        <w:rPr>
          <w:rFonts w:hint="eastAsia" w:ascii="仿宋_GB2312" w:hAnsi="Times New Roman" w:eastAsia="仿宋_GB2312"/>
          <w:color w:val="000000" w:themeColor="text1"/>
          <w:spacing w:val="6"/>
          <w:sz w:val="30"/>
          <w:szCs w:val="30"/>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供应商全称（加盖CA电子公章）：</w:t>
      </w:r>
      <w:r/>
    </w:p>
    <w:p>
      <w:pPr>
        <w:ind w:right="1560" w:firstLine="480"/>
        <w:jc w:val="center"/>
        <w:spacing w:line="588" w:lineRule="exact"/>
        <w:tabs>
          <w:tab w:val="left" w:pos="4860" w:leader="none"/>
        </w:tabs>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  期：</w:t>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pStyle w:val="1042"/>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w:t>
      </w:r>
      <w:r>
        <w:rPr>
          <w:rFonts w:hint="eastAsia" w:ascii="宋体" w:hAnsi="宋体" w:cs="宋体"/>
          <w:b/>
          <w:color w:val="000000" w:themeColor="text1"/>
          <w:sz w:val="24"/>
          <w:highlight w:val="none"/>
          <w:lang w:val="en-US" w:eastAsia="zh-CN"/>
          <w14:textFill>
            <w14:solidFill>
              <w14:schemeClr w14:val="tx1"/>
            </w14:solidFill>
          </w14:textFill>
        </w:rPr>
        <w:t xml:space="preserve">五</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eastAsia="宋体" w:cs="Times New Roman"/>
          <w:b/>
          <w:color w:val="000000" w:themeColor="text1"/>
          <w:sz w:val="24"/>
          <w:szCs w:val="20"/>
          <w:highlight w:val="none"/>
          <w14:textFill>
            <w14:solidFill>
              <w14:schemeClr w14:val="tx1"/>
            </w14:solidFill>
          </w14:textFill>
        </w:rPr>
        <w:t xml:space="preserve">联合投标协议书</w:t>
      </w:r>
      <w:r/>
    </w:p>
    <w:p>
      <w:pPr>
        <w:jc w:val="center"/>
        <w:rPr>
          <w:rFonts w:hint="eastAsia" w:ascii="宋体" w:hAnsi="宋体" w:eastAsia="宋体" w:cs="Times New Roman"/>
          <w:b/>
          <w:color w:val="000000" w:themeColor="text1"/>
          <w:sz w:val="24"/>
          <w:szCs w:val="20"/>
          <w:highlight w:val="none"/>
          <w14:textFill>
            <w14:solidFill>
              <w14:schemeClr w14:val="tx1"/>
            </w14:solidFill>
          </w14:textFill>
        </w:rPr>
        <w:outlineLvl w:val="1"/>
      </w:pPr>
      <w:r>
        <w:rPr>
          <w:rFonts w:hint="eastAsia" w:ascii="宋体" w:hAnsi="宋体" w:eastAsia="宋体" w:cs="Times New Roman"/>
          <w:b/>
          <w:color w:val="000000" w:themeColor="text1"/>
          <w:sz w:val="24"/>
          <w:szCs w:val="20"/>
          <w:highlight w:val="none"/>
          <w14:textFill>
            <w14:solidFill>
              <w14:schemeClr w14:val="tx1"/>
            </w14:solidFill>
          </w14:textFill>
        </w:rPr>
      </w:r>
      <w:r/>
    </w:p>
    <w:p>
      <w:pPr>
        <w:jc w:val="center"/>
        <w:rPr>
          <w:rFonts w:hint="eastAsia" w:ascii="宋体" w:hAnsi="宋体" w:eastAsia="宋体" w:cs="Times New Roman"/>
          <w:b/>
          <w:color w:val="000000" w:themeColor="text1"/>
          <w:sz w:val="24"/>
          <w:szCs w:val="20"/>
          <w:highlight w:val="none"/>
          <w:lang w:eastAsia="zh-CN"/>
          <w14:textFill>
            <w14:solidFill>
              <w14:schemeClr w14:val="tx1"/>
            </w14:solidFill>
          </w14:textFill>
        </w:rPr>
        <w:outlineLvl w:val="1"/>
      </w:pPr>
      <w:r>
        <w:rPr>
          <w:rFonts w:hint="eastAsia" w:ascii="宋体" w:hAnsi="宋体" w:eastAsia="宋体" w:cs="Times New Roman"/>
          <w:b/>
          <w:color w:val="000000" w:themeColor="text1"/>
          <w:sz w:val="24"/>
          <w:szCs w:val="20"/>
          <w:highlight w:val="none"/>
          <w14:textFill>
            <w14:solidFill>
              <w14:schemeClr w14:val="tx1"/>
            </w14:solidFill>
          </w14:textFill>
        </w:rPr>
        <w:t xml:space="preserve">联合投标协议书</w:t>
      </w:r>
      <w:r>
        <w:rPr>
          <w:rFonts w:hint="eastAsia" w:ascii="宋体" w:hAnsi="宋体" w:eastAsia="宋体" w:cs="Times New Roman"/>
          <w:b/>
          <w:color w:val="000000" w:themeColor="text1"/>
          <w:sz w:val="24"/>
          <w:szCs w:val="20"/>
          <w:highlight w:val="none"/>
          <w:lang w:eastAsia="zh-CN"/>
          <w14:textFill>
            <w14:solidFill>
              <w14:schemeClr w14:val="tx1"/>
            </w14:solidFill>
          </w14:textFill>
        </w:rPr>
        <w:t xml:space="preserve">（</w:t>
      </w:r>
      <w:r>
        <w:rPr>
          <w:rFonts w:hint="eastAsia" w:ascii="宋体" w:hAnsi="宋体" w:eastAsia="宋体" w:cs="Times New Roman"/>
          <w:b/>
          <w:color w:val="000000" w:themeColor="text1"/>
          <w:sz w:val="24"/>
          <w:szCs w:val="20"/>
          <w:highlight w:val="none"/>
          <w:lang w:val="en-US" w:eastAsia="zh-CN"/>
          <w14:textFill>
            <w14:solidFill>
              <w14:schemeClr w14:val="tx1"/>
            </w14:solidFill>
          </w14:textFill>
        </w:rPr>
        <w:t xml:space="preserve">如属</w:t>
      </w:r>
      <w:r>
        <w:rPr>
          <w:rFonts w:hint="eastAsia" w:ascii="宋体" w:hAnsi="宋体" w:eastAsia="宋体" w:cs="Times New Roman"/>
          <w:b/>
          <w:color w:val="000000" w:themeColor="text1"/>
          <w:sz w:val="24"/>
          <w:szCs w:val="20"/>
          <w:highlight w:val="none"/>
          <w:lang w:eastAsia="zh-CN"/>
          <w14:textFill>
            <w14:solidFill>
              <w14:schemeClr w14:val="tx1"/>
            </w14:solidFill>
          </w14:textFill>
        </w:rPr>
        <w:t xml:space="preserve">）</w:t>
      </w:r>
      <w:r/>
    </w:p>
    <w:p>
      <w:pPr>
        <w:jc w:val="center"/>
        <w:rPr>
          <w:rFonts w:ascii="宋体" w:hAnsi="宋体" w:eastAsia="宋体" w:cs="Times New Roman"/>
          <w:b/>
          <w:color w:val="000000" w:themeColor="text1"/>
          <w:sz w:val="24"/>
          <w:szCs w:val="20"/>
          <w:highlight w:val="none"/>
          <w14:textFill>
            <w14:solidFill>
              <w14:schemeClr w14:val="tx1"/>
            </w14:solidFill>
          </w14:textFill>
        </w:rPr>
      </w:pPr>
      <w:r>
        <w:rPr>
          <w:rFonts w:ascii="宋体" w:hAnsi="宋体" w:eastAsia="宋体" w:cs="Times New Roman"/>
          <w:b/>
          <w:color w:val="000000" w:themeColor="text1"/>
          <w:sz w:val="24"/>
          <w:szCs w:val="20"/>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甲方（牵头人）：</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乙方（联合体成员）：</w:t>
      </w:r>
      <w:r/>
    </w:p>
    <w:p>
      <w:pPr>
        <w:ind w:firstLine="42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各方经协商，就响应组织实施的编号为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号的招标活动联合进行投标之事宜，达成如下协议：</w:t>
      </w:r>
      <w:r/>
    </w:p>
    <w:p>
      <w:pPr>
        <w:ind w:firstLine="42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一、各方一致决定，以</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为牵头人（即联合体投标人代表）进行投标，并按照招标文件的规定提交资格文件。</w:t>
      </w:r>
      <w:r/>
    </w:p>
    <w:p>
      <w:pPr>
        <w:ind w:firstLine="42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在本次投标过程中，牵头人的法定代表人或授权代理人根据招标文件规定及投标内容而对招标人或招标代理机构所作的任何合法承诺，包括书面澄清及响应等均对联合投标各方产生约束力。如果中标并签订合同，则联合投标各方将共同履行对招标人或招标代理机构所负有的全部义务并就采购合同约定的事项对招标人承担连带责任。合同履约过程中，由牵头方负责与采购人的对接工作，并作为采购人日常管理考核负责对象。</w:t>
      </w:r>
      <w:r/>
    </w:p>
    <w:p>
      <w:pPr>
        <w:ind w:firstLine="42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三、联合投标其余各方保证对牵头人为响应本次招标而提供的产品和服务提供全部质量保证及售后服务支持。</w:t>
      </w:r>
      <w:r/>
    </w:p>
    <w:p>
      <w:pPr>
        <w:ind w:firstLine="420"/>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四、本次联合投标中：</w:t>
      </w:r>
      <w:r/>
    </w:p>
    <w:p>
      <w:pPr>
        <w:ind w:firstLine="420"/>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甲方（牵头人）承担的工作和义务为：</w:t>
      </w:r>
      <w:r>
        <w:rPr>
          <w:rFonts w:hint="eastAsia" w:ascii="宋体" w:hAnsi="宋体" w:eastAsia="宋体" w:cs="宋体"/>
          <w:b w:val="0"/>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14:textFill>
            <w14:solidFill>
              <w14:schemeClr w14:val="tx1"/>
            </w14:solidFill>
          </w14:textFill>
        </w:rPr>
        <w:t xml:space="preserve">；</w:t>
      </w:r>
      <w:r/>
    </w:p>
    <w:p>
      <w:pPr>
        <w:ind w:left="0" w:firstLine="420"/>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乙方（联合体成员）承担的工作和义务为：</w:t>
      </w:r>
      <w:r>
        <w:rPr>
          <w:rFonts w:hint="eastAsia" w:ascii="宋体" w:hAnsi="宋体" w:eastAsia="宋体" w:cs="宋体"/>
          <w:b w:val="0"/>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14:textFill>
            <w14:solidFill>
              <w14:schemeClr w14:val="tx1"/>
            </w14:solidFill>
          </w14:textFill>
        </w:rPr>
        <w:t xml:space="preserve">。</w:t>
      </w:r>
      <w:r/>
    </w:p>
    <w:p>
      <w:pPr>
        <w:numPr>
          <w:ilvl w:val="0"/>
          <w:numId w:val="2"/>
        </w:numPr>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有关本次联合投标的其他事宜：</w:t>
      </w:r>
      <w:r/>
    </w:p>
    <w:p>
      <w:pPr>
        <w:pStyle w:val="979"/>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numPr>
          <w:ilvl w:val="0"/>
          <w:numId w:val="2"/>
        </w:numPr>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本协议提交招标方后，联合投标各方不得以任何形式对上述实质内容进行修改或撤销。</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6"/>
        <w:gridCol w:w="4394"/>
      </w:tblGrid>
      <w:tr>
        <w:trPr>
          <w:jc w:val="center"/>
          <w:trHeight w:val="2421"/>
        </w:trPr>
        <w:tc>
          <w:tcPr>
            <w:tcW w:w="4356"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甲方单位：   （公章）</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法定代表人：（签字或盖章）</w:t>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480" w:firstLine="126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tc>
        <w:tc>
          <w:tcPr>
            <w:tcW w:w="439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乙方单位：   （公章）</w:t>
            </w:r>
            <w:r/>
          </w:p>
          <w:p>
            <w:pPr>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法定代表人：（签字或盖章）</w:t>
            </w:r>
            <w:r/>
          </w:p>
          <w:p>
            <w:pPr>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21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tc>
      </w:tr>
    </w:tbl>
    <w:p>
      <w:pPr>
        <w:ind w:firstLine="4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4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w:t>
      </w:r>
      <w:r/>
    </w:p>
    <w:p>
      <w:pPr>
        <w:ind w:firstLine="4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①针对本项目的投标人，参加联合体的各成员</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如有</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不得再以自己的名义单独投标，也不得同时参加两个或两个以上的不同联合体投标。如有违反，该联合体及联合体各成员视为不符合资格要求，各相关投标均无效。</w:t>
      </w:r>
      <w:r/>
    </w:p>
    <w:p>
      <w:pPr>
        <w:ind w:firstLine="4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②联合投标协议书须载明联合体各方承担的工作和义务</w:t>
      </w:r>
      <w:r>
        <w:rPr>
          <w:rFonts w:hint="eastAsia" w:ascii="宋体" w:hAnsi="宋体" w:eastAsia="宋体" w:cs="宋体"/>
          <w:b/>
          <w:color w:val="000000" w:themeColor="text1"/>
          <w:sz w:val="21"/>
          <w:szCs w:val="21"/>
          <w:highlight w:val="none"/>
          <w14:textFill>
            <w14:solidFill>
              <w14:schemeClr w14:val="tx1"/>
            </w14:solidFill>
          </w14:textFill>
        </w:rPr>
        <w:t xml:space="preserve">。</w:t>
      </w:r>
      <w:r/>
    </w:p>
    <w:p>
      <w:pPr>
        <w:ind w:firstLine="4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③投标人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如为联合体投标</w:t>
      </w:r>
      <w:r>
        <w:rPr>
          <w:rFonts w:hint="eastAsia" w:ascii="宋体" w:hAnsi="宋体" w:eastAsia="宋体" w:cs="宋体"/>
          <w:b/>
          <w:bCs/>
          <w:color w:val="000000" w:themeColor="text1"/>
          <w:sz w:val="21"/>
          <w:szCs w:val="21"/>
          <w:highlight w:val="none"/>
          <w14:textFill>
            <w14:solidFill>
              <w14:schemeClr w14:val="tx1"/>
            </w14:solidFill>
          </w14:textFill>
        </w:rPr>
        <w:t xml:space="preserve">须</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在投标文件中提供</w:t>
      </w:r>
      <w:r>
        <w:rPr>
          <w:rFonts w:hint="eastAsia" w:ascii="宋体" w:hAnsi="宋体" w:eastAsia="宋体" w:cs="宋体"/>
          <w:b/>
          <w:bCs/>
          <w:color w:val="000000" w:themeColor="text1"/>
          <w:sz w:val="21"/>
          <w:szCs w:val="21"/>
          <w:highlight w:val="none"/>
          <w14:textFill>
            <w14:solidFill>
              <w14:schemeClr w14:val="tx1"/>
            </w14:solidFill>
          </w14:textFill>
        </w:rPr>
        <w:t xml:space="preserve">盖有联合体各方公章的联合投标协议书</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彩色</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扫描</w:t>
      </w:r>
      <w:r>
        <w:rPr>
          <w:rFonts w:hint="eastAsia" w:ascii="宋体" w:hAnsi="宋体" w:eastAsia="宋体" w:cs="宋体"/>
          <w:b/>
          <w:bCs/>
          <w:color w:val="000000" w:themeColor="text1"/>
          <w:sz w:val="21"/>
          <w:szCs w:val="21"/>
          <w:highlight w:val="none"/>
          <w14:textFill>
            <w14:solidFill>
              <w14:schemeClr w14:val="tx1"/>
            </w14:solidFill>
          </w14:textFill>
        </w:rPr>
        <w:t xml:space="preserve">件</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，否则投标无效。</w:t>
      </w:r>
      <w:r/>
    </w:p>
    <w:p>
      <w:pPr>
        <w:ind w:firstLine="420"/>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④</w:t>
      </w:r>
      <w:r>
        <w:rPr>
          <w:rFonts w:hint="eastAsia" w:eastAsia="宋体"/>
          <w:b/>
          <w:bCs/>
          <w:i/>
          <w:iCs/>
          <w:color w:val="000000" w:themeColor="text1"/>
          <w:sz w:val="21"/>
          <w:szCs w:val="21"/>
          <w:highlight w:val="none"/>
          <w:lang w:val="en-US" w:eastAsia="zh-CN"/>
          <w14:textFill>
            <w14:solidFill>
              <w14:schemeClr w14:val="tx1"/>
            </w14:solidFill>
          </w14:textFill>
        </w:rPr>
        <w:t xml:space="preserve">如联合体投标的，联合体各方若明确工作内容，则</w:t>
      </w:r>
      <w:r>
        <w:rPr>
          <w:rFonts w:hint="eastAsia"/>
          <w:b/>
          <w:bCs/>
          <w:i/>
          <w:iCs/>
          <w:color w:val="000000" w:themeColor="text1"/>
          <w:sz w:val="21"/>
          <w:szCs w:val="21"/>
          <w:highlight w:val="none"/>
          <w:lang w:val="en-US" w:eastAsia="zh-CN"/>
          <w14:textFill>
            <w14:solidFill>
              <w14:schemeClr w14:val="tx1"/>
            </w14:solidFill>
          </w14:textFill>
        </w:rPr>
        <w:t xml:space="preserve">资金支付时按实际情况</w:t>
      </w:r>
      <w:r>
        <w:rPr>
          <w:rFonts w:hint="eastAsia" w:eastAsia="宋体"/>
          <w:b/>
          <w:bCs/>
          <w:i/>
          <w:iCs/>
          <w:color w:val="000000" w:themeColor="text1"/>
          <w:sz w:val="21"/>
          <w:szCs w:val="21"/>
          <w:highlight w:val="none"/>
          <w:lang w:val="en-US" w:eastAsia="zh-CN"/>
          <w14:textFill>
            <w14:solidFill>
              <w14:schemeClr w14:val="tx1"/>
            </w14:solidFill>
          </w14:textFill>
        </w:rPr>
        <w:t xml:space="preserve">分别支付给联合体各方。若不明确，</w:t>
      </w:r>
      <w:r>
        <w:rPr>
          <w:rFonts w:hint="eastAsia"/>
          <w:b/>
          <w:bCs/>
          <w:i/>
          <w:iCs/>
          <w:color w:val="000000" w:themeColor="text1"/>
          <w:sz w:val="21"/>
          <w:szCs w:val="21"/>
          <w:highlight w:val="none"/>
          <w:lang w:val="en-US" w:eastAsia="zh-CN"/>
          <w14:textFill>
            <w14:solidFill>
              <w14:schemeClr w14:val="tx1"/>
            </w14:solidFill>
          </w14:textFill>
        </w:rPr>
        <w:t xml:space="preserve">则按合同完成情况</w:t>
      </w:r>
      <w:r>
        <w:rPr>
          <w:rFonts w:hint="eastAsia" w:eastAsia="宋体"/>
          <w:b/>
          <w:bCs/>
          <w:i/>
          <w:iCs/>
          <w:color w:val="000000" w:themeColor="text1"/>
          <w:sz w:val="21"/>
          <w:szCs w:val="21"/>
          <w:highlight w:val="none"/>
          <w:lang w:val="en-US" w:eastAsia="zh-CN"/>
          <w14:textFill>
            <w14:solidFill>
              <w14:schemeClr w14:val="tx1"/>
            </w14:solidFill>
          </w14:textFill>
        </w:rPr>
        <w:t xml:space="preserve">支付给联合体牵头单位。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pStyle w:val="761"/>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pStyle w:val="755"/>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pStyle w:val="761"/>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pStyle w:val="75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before="290"/>
        <w:rPr>
          <w:rFonts w:hint="eastAsia"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一、质疑供应商基本信息</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质疑供应商：</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邮编：</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联系人：</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授权代表：</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rPr>
          <w:rFonts w:ascii="宋体" w:hAnsi="宋体" w:cs="仿宋"/>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邮编：</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二、质疑项目基本情况</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质疑项目的名称：</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质疑项目的编号：</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包号：</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采购人名称：</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采购文件获取日期：</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三、质疑事项具体内容</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质疑事项1：</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事实依据：</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法律依据：</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质疑事项2</w:t>
      </w:r>
      <w:r/>
    </w:p>
    <w:p>
      <w:pP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w:t>
      </w:r>
      <w:r/>
    </w:p>
    <w:p>
      <w:pPr>
        <w:rPr>
          <w:rFonts w:hint="eastAsia"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四、与质疑事项相关的质疑请求</w:t>
      </w:r>
      <w:r/>
    </w:p>
    <w:p>
      <w:pPr>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请求：</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签字(签章)：                   公章：                      </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质疑函制作说明：</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br w:type="page" w:clear="all"/>
      </w:r>
      <w:r/>
    </w:p>
    <w:p>
      <w:pPr>
        <w:pStyle w:val="743"/>
        <w:jc w:val="center"/>
        <w:spacing w:before="0" w:after="0"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第四章  招标书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受昆山市水务局委托，苏州润禹工程咨询管理有限公司作为招标代理人，为委托人拟采购的昆山市城市污水收集处理设施改造工程质量检测项目三标进行国内公开招标。</w:t>
      </w:r>
      <w:r/>
    </w:p>
    <w:p>
      <w:pPr>
        <w:ind w:firstLine="422"/>
        <w:jc w:val="left"/>
        <w:spacing w:line="360" w:lineRule="auto"/>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一、招标编号：</w:t>
      </w:r>
      <w:r>
        <w:rPr>
          <w:rFonts w:hint="eastAsia" w:ascii="宋体" w:hAnsi="宋体" w:cs="宋体"/>
          <w:b/>
          <w:bCs/>
          <w:color w:val="000000" w:themeColor="text1"/>
          <w:szCs w:val="21"/>
          <w:highlight w:val="none"/>
          <w:lang w:eastAsia="zh-CN"/>
          <w14:textFill>
            <w14:solidFill>
              <w14:schemeClr w14:val="tx1"/>
            </w14:solidFill>
          </w14:textFill>
        </w:rPr>
        <w:t xml:space="preserve">JSZC-320583-SZRY-G2026-0001</w:t>
      </w:r>
      <w:r/>
    </w:p>
    <w:p>
      <w:pPr>
        <w:ind w:firstLine="422"/>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二、采购内容：昆山市城市污水收集处理设施改造工程质量检测项目三标</w:t>
      </w:r>
      <w:r/>
    </w:p>
    <w:p>
      <w:pPr>
        <w:pStyle w:val="797"/>
        <w:ind w:left="0" w:firstLine="422"/>
        <w:tabs>
          <w:tab w:val="left" w:pos="420" w:leader="none"/>
          <w:tab w:val="clear" w:pos="1980" w:leader="none"/>
          <w:tab w:val="clear" w:pos="2160" w:leader="none"/>
        </w:tabs>
        <w:rPr>
          <w:rFonts w:hint="eastAsia" w:cs="宋体"/>
          <w:b/>
          <w:bCs/>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三、</w:t>
      </w:r>
      <w:r>
        <w:rPr>
          <w:rFonts w:hint="eastAsia"/>
          <w:b/>
          <w:bCs/>
          <w:color w:val="000000" w:themeColor="text1"/>
          <w:szCs w:val="21"/>
          <w:highlight w:val="none"/>
          <w14:textFill>
            <w14:solidFill>
              <w14:schemeClr w14:val="tx1"/>
            </w14:solidFill>
          </w14:textFill>
        </w:rPr>
        <w:t xml:space="preserve">服务期限</w:t>
      </w:r>
      <w:r>
        <w:rPr>
          <w:rFonts w:hint="eastAsia" w:cs="宋体"/>
          <w:b/>
          <w:bCs/>
          <w:color w:val="000000" w:themeColor="text1"/>
          <w:szCs w:val="21"/>
          <w:highlight w:val="none"/>
          <w14:textFill>
            <w14:solidFill>
              <w14:schemeClr w14:val="tx1"/>
            </w14:solidFill>
          </w14:textFill>
        </w:rPr>
        <w:t xml:space="preserve">：按项目工期（具体根据实际情况按采购人要求实施）</w:t>
      </w:r>
      <w:r/>
    </w:p>
    <w:p>
      <w:pPr>
        <w:ind w:firstLine="422"/>
        <w:spacing w:line="360" w:lineRule="auto"/>
        <w:rPr>
          <w:b/>
          <w:bCs/>
          <w:color w:val="000000" w:themeColor="text1"/>
          <w:szCs w:val="21"/>
          <w:highlight w:val="none"/>
          <w14:textFill>
            <w14:solidFill>
              <w14:schemeClr w14:val="tx1"/>
            </w14:solidFill>
          </w14:textFill>
        </w:rPr>
        <w:outlineLvl w:val="1"/>
      </w:pPr>
      <w:r>
        <w:rPr>
          <w:rFonts w:hint="eastAsia"/>
          <w:b/>
          <w:bCs/>
          <w:color w:val="000000" w:themeColor="text1"/>
          <w:szCs w:val="21"/>
          <w:highlight w:val="none"/>
          <w14:textFill>
            <w14:solidFill>
              <w14:schemeClr w14:val="tx1"/>
            </w14:solidFill>
          </w14:textFill>
        </w:rPr>
        <w:t xml:space="preserve">四、服务范围及内容：昆山市城市污水收集处理设施改造工程（昆山开发区四标、昆山高新区四标、花桥经</w:t>
      </w:r>
      <w:r>
        <w:rPr>
          <w:rFonts w:hint="eastAsia"/>
          <w:b/>
          <w:bCs/>
          <w:color w:val="000000" w:themeColor="text1"/>
          <w:szCs w:val="21"/>
          <w:highlight w:val="none"/>
          <w14:textFill>
            <w14:solidFill>
              <w14:schemeClr w14:val="tx1"/>
            </w14:solidFill>
          </w14:textFill>
        </w:rPr>
        <w:t xml:space="preserve">济开发区三标、花桥经济开发区四标、花桥经济开发区五标、花桥经济开发区六标、花桥经济开发区七标、张浦镇八标、张浦镇九标、张浦镇十标、张浦镇十一标、张浦镇十二标、张浦镇十三标、周市镇五标、陆家镇三标、陆家镇四标、陆家镇五标、陆家镇六标、陆家镇七标、陆家镇八标、巴城镇六标、巴城镇七标、千灯镇三标、千灯镇四标、淀山湖镇一标段、淀山湖镇二标段、淀山湖镇三标段、淀山湖镇四标段、周庄镇五标、周庄镇六标、周庄镇七标、锦溪镇四标、锦溪镇五标、市级一标、市级二标、市级三标、市级四标）共37标段，具体详见下表检测清单、项目清单。</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outlineLvl w:val="1"/>
      </w:pPr>
      <w:r>
        <w:rPr>
          <w:rFonts w:hint="eastAsia"/>
          <w:b/>
          <w:bCs/>
          <w:color w:val="000000" w:themeColor="text1"/>
          <w:szCs w:val="21"/>
          <w:highlight w:val="none"/>
          <w14:textFill>
            <w14:solidFill>
              <w14:schemeClr w14:val="tx1"/>
            </w14:solidFill>
          </w14:textFill>
        </w:rPr>
        <w:t xml:space="preserve">五、</w:t>
      </w:r>
      <w:r>
        <w:rPr>
          <w:rFonts w:hint="eastAsia" w:ascii="宋体" w:hAnsi="宋体" w:cs="宋体"/>
          <w:b/>
          <w:color w:val="000000" w:themeColor="text1"/>
          <w:szCs w:val="21"/>
          <w:highlight w:val="none"/>
          <w14:textFill>
            <w14:solidFill>
              <w14:schemeClr w14:val="tx1"/>
            </w14:solidFill>
          </w14:textFill>
        </w:rPr>
        <w:t xml:space="preserve">检测内容及指标：</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1.检测内容包括原材料质量抽检、施工实体检测；</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2.原材料质量抽检内容包括：</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2.1.检测PE管道氧化诱导时间、纵向回缩率、灰分含量、断裂伸长率、环刚度熔体质量流动速率；</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2.2.检测PE管熔接处的拉伸力；</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2.3.检测玻璃钢夹砂管初始环刚度；</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2.4.检测橡胶圈硬度、拉伸强度、拉断伸长率、老化性能；</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2.5.检测遇水膨胀橡胶硬度、拉伸强度、伸长率、体积膨胀倍率；</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2.6.检测井盖外观尺寸、承载力、残留変形；</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2.7.检测原位固化法修复管弯曲强度、弯曲模量、拉伸强度。</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3.施工质量抽检内容包括：</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3.1回填质量：现场取样检测堆积状态下回填砂料的最大干密度，再从回填坑中采用灌砂法测定压实状态下回填砂的压实度。</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3.2混凝土质量：现场取芯检测混凝土强度。</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3.3机械电气设备检测：绝缘电阻、接地电阻、金属涂层厚度、噪音（声压级）、振动（位移、速度、加速度）。</w:t>
      </w:r>
      <w:r/>
    </w:p>
    <w:p>
      <w:pPr>
        <w:ind w:firstLine="420"/>
        <w:spacing w:line="360" w:lineRule="auto"/>
        <w:rPr>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w:t>
      </w:r>
      <w:r>
        <w:rPr>
          <w:rFonts w:hint="eastAsia"/>
          <w:color w:val="000000" w:themeColor="text1"/>
          <w:szCs w:val="21"/>
          <w:highlight w:val="none"/>
          <w14:textFill>
            <w14:solidFill>
              <w14:schemeClr w14:val="tx1"/>
            </w14:solidFill>
          </w14:textFill>
        </w:rPr>
        <w:t xml:space="preserve">所有检测结果均需出具盖有公章、项目负责人签批的检测报告，报告内容需真实、准确；</w:t>
      </w:r>
      <w:r/>
    </w:p>
    <w:p>
      <w:pPr>
        <w:ind w:firstLine="420"/>
        <w:spacing w:line="360" w:lineRule="auto"/>
        <w:rPr>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业主单位下达检测任务后，中标单位必须及时响应，按照业主要求保质保量、按时完成外业、内业工作；</w:t>
      </w:r>
      <w:r/>
    </w:p>
    <w:p>
      <w:pPr>
        <w:ind w:firstLine="420"/>
        <w:spacing w:line="360" w:lineRule="auto"/>
        <w:rPr>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w:t>
      </w:r>
      <w:r>
        <w:rPr>
          <w:rFonts w:hint="eastAsia"/>
          <w:color w:val="000000" w:themeColor="text1"/>
          <w:szCs w:val="21"/>
          <w:highlight w:val="none"/>
          <w14:textFill>
            <w14:solidFill>
              <w14:schemeClr w14:val="tx1"/>
            </w14:solidFill>
          </w14:textFill>
        </w:rPr>
        <w:t xml:space="preserve">检测单位需配备包括但不限于差示扫描量热仪、炭黑含量测试仪、微机控制电子万能试验机、手式测厚仪、管材耐压爆破试验机、邵氏橡塑硬度计等检测必要设备；</w:t>
      </w:r>
      <w:r/>
    </w:p>
    <w:p>
      <w:pPr>
        <w:ind w:firstLine="420"/>
        <w:spacing w:line="360" w:lineRule="auto"/>
        <w:rPr>
          <w:color w:val="000000" w:themeColor="text1"/>
          <w:szCs w:val="21"/>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检测单位需对检测成果做好档案管理，定期提交检测成果；</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六、检测规范</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1.《无压埋地排污、排水用聚乙烯（PE）管道系统》GB/T 45355-2025</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2.《给水用聚乙烯(PE)管道系统第2部分：管材》GB/T 13663.2-2018</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3.《非开挖工程用聚乙烯管》CJT 358-2019</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4.《建筑排水用硬聚氯乙烯(PVC-U)管材》GB∕T5836.1-2018</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5.《埋地用聚乙烯(PE)结构壁管道系统 第2部分：聚乙烯缠绕结构壁管材》GBT 19472.2-2017</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6.《无压埋地排污、排水用硬聚氯乙烯（PVC-U）管材》GB/T 20221-2023</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7.《橡胶密封件 给、排水管及污水管道用接口密封圈 材料规范》GB∕T 21873-2008</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8.《钢纤维混凝土箅盖》JC/T 948-2005</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9.《钢纤维混凝土检查井盖》GB 26537-2011</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10.《通用硅酸盐水泥》GB175-2023</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11.《建设用卵石、碎石》GB/T 14685-2022</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12.《建设用砂》GB/T 14684-2022</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13.《用于水泥和混凝土的粉煤灰》GB/T 1596-2017</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14.《用于水泥、砂浆和混凝土中的粒化高炉矿渣粉》GB/T 18046-2017</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15.《钢筋混凝土用钢 第1部分：热轧光圆钢筋》GB 1499.1-2024</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16.《钢筋混凝土用钢 第2部分：热轧带肋钢筋》GB 1499.2-2018</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17.《混凝土物理力学性能试验方法标准》GB/T 50081-2019</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18.《土工试验方法标准》GB/T 50123-2019</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19.抽检工作及提交成果按照《江苏省建设工程质量检</w:t>
      </w:r>
      <w:r>
        <w:rPr>
          <w:rFonts w:hint="eastAsia" w:ascii="宋体" w:hAnsi="宋体" w:cs="宋体"/>
          <w:color w:val="000000" w:themeColor="text1"/>
          <w:szCs w:val="21"/>
          <w:highlight w:val="none"/>
          <w14:textFill>
            <w14:solidFill>
              <w14:schemeClr w14:val="tx1"/>
            </w14:solidFill>
          </w14:textFill>
        </w:rPr>
        <w:t xml:space="preserve">测管理实施细则》《建设工程质量管理条例》《建设工程质量检测管理办法》《江苏省房屋建筑和市政基础设施工程质量监督管理办法》《江苏省水利工程质量监督规程》（DB32T 1267-2008）、《江苏省水利工程质量检测管理办法》（苏水规[2018]2号）、江苏省《水利工程施工质量检验与评定规范》（DB32/T2334.1~4-2013）、《水利水电工程施工质量检验与评定规程》（SL176-2007）、《水利水电建设工程验收规程》（SL233-2008）等相关法规、标准规定的要求开展。若有最新的标准，则以最新的为准。</w:t>
      </w:r>
      <w:r/>
    </w:p>
    <w:p>
      <w:pPr>
        <w:pStyle w:val="769"/>
        <w:ind w:firstLine="0"/>
        <w:rPr>
          <w:rFonts w:hint="eastAsia" w:cs="宋体"/>
          <w:b/>
          <w:bCs/>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七、检测清单</w:t>
      </w:r>
      <w:r/>
    </w:p>
    <w:tbl>
      <w:tblPr>
        <w:tblStyle w:val="753"/>
        <w:tblW w:w="8640" w:type="dxa"/>
        <w:tblInd w:w="98" w:type="dxa"/>
        <w:tblLayout w:type="autofit"/>
        <w:tblCellMar>
          <w:left w:w="108" w:type="dxa"/>
          <w:top w:w="0" w:type="dxa"/>
          <w:right w:w="108" w:type="dxa"/>
          <w:bottom w:w="0" w:type="dxa"/>
        </w:tblCellMar>
        <w:tblLook w:val="04A0" w:firstRow="1" w:lastRow="0" w:firstColumn="1" w:lastColumn="0" w:noHBand="0" w:noVBand="1"/>
      </w:tblPr>
      <w:tblGrid>
        <w:gridCol w:w="702"/>
        <w:gridCol w:w="2088"/>
        <w:gridCol w:w="1157"/>
        <w:gridCol w:w="1125"/>
        <w:gridCol w:w="3568"/>
      </w:tblGrid>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检测内容及项目</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计量单位</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检测数量</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left"/>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原材料及中间产品</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9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PE管</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状态调节、外观尺寸、密度、氧化诱导时间、灰分、拉伸性能、环刚度、</w:t>
            </w:r>
            <w:r>
              <w:rPr>
                <w:rFonts w:hint="eastAsia" w:ascii="宋体" w:hAnsi="宋体" w:cs="宋体"/>
                <w:color w:val="000000" w:themeColor="text1"/>
                <w:szCs w:val="21"/>
                <w:highlight w:val="none"/>
                <w14:textFill>
                  <w14:solidFill>
                    <w14:schemeClr w14:val="tx1"/>
                  </w14:solidFill>
                </w14:textFill>
              </w:rPr>
              <w:t xml:space="preserve">熔体质量流动速率</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PE管焊接</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状态调节、拉伸性能、接缝断裂形式</w:t>
            </w:r>
            <w:r/>
          </w:p>
        </w:tc>
      </w:tr>
      <w:tr>
        <w:trPr>
          <w:trHeight w:val="9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HDPE缠绕管</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状态调节、外观尺寸、密度、氧化诱导时间、灰分、环刚度</w:t>
            </w:r>
            <w:r/>
          </w:p>
        </w:tc>
      </w:tr>
      <w:tr>
        <w:trPr>
          <w:trHeight w:val="539"/>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pvc-u管</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状态调节、外观尺寸、维卡软化温度、环刚度、拉伸屈服应力</w:t>
            </w:r>
            <w:r/>
          </w:p>
        </w:tc>
      </w:tr>
      <w:tr>
        <w:trPr>
          <w:trHeight w:val="539"/>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管件</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状态调节、外观尺寸、密度、维卡软化温度、烘箱、坠落</w:t>
            </w:r>
            <w:r/>
          </w:p>
        </w:tc>
      </w:tr>
      <w:tr>
        <w:trPr>
          <w:trHeight w:val="39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成品塑料井</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外观尺寸、荷载试验</w:t>
            </w:r>
            <w:r/>
          </w:p>
        </w:tc>
      </w:tr>
      <w:tr>
        <w:trPr>
          <w:trHeight w:val="444"/>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橡胶圈</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硬度、拉伸强度、伸长率、压缩永久变形、热空气老化</w:t>
            </w:r>
            <w:r/>
          </w:p>
        </w:tc>
      </w:tr>
      <w:tr>
        <w:trPr>
          <w:trHeight w:val="534"/>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铸铁井盖、钢纤维井盖、雨水篦、盖板</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荷载试验</w:t>
            </w:r>
            <w:r/>
          </w:p>
        </w:tc>
      </w:tr>
      <w:tr>
        <w:trPr>
          <w:trHeight w:val="444"/>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防坠组件</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抗拉强度</w:t>
            </w:r>
            <w:r/>
          </w:p>
        </w:tc>
      </w:tr>
      <w:tr>
        <w:trPr>
          <w:trHeight w:val="49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1.10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内衬管（固化树脂）</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弯曲强度、弯曲模量、耐久性</w:t>
            </w:r>
            <w:r/>
          </w:p>
        </w:tc>
      </w:tr>
      <w:tr>
        <w:trPr>
          <w:trHeight w:val="581"/>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1.11</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树脂（固化剂）</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固体含量、粘度、色度、比重</w:t>
            </w:r>
            <w:r/>
          </w:p>
        </w:tc>
      </w:tr>
      <w:tr>
        <w:trPr>
          <w:trHeight w:val="78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1.12</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水泥</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胶砂强度、胶砂流动度、密度、标准稠度用水量、凝结时间差、安定性、比表面积</w:t>
            </w:r>
            <w:r/>
          </w:p>
        </w:tc>
      </w:tr>
      <w:tr>
        <w:trPr>
          <w:trHeight w:val="9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1.13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细骨料</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筛分析、含泥量、泥块含量、氯离子含量、表观密度、细度模数、堆积密度、饱和面干吸水率、空隙率、坚固性</w:t>
            </w:r>
            <w:r/>
          </w:p>
        </w:tc>
      </w:tr>
      <w:tr>
        <w:trPr>
          <w:trHeight w:val="78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1.14</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粗骨料</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颗粒级配、含泥量、泥块含量、压碎指标、针片状颗粒含量、表观密度、堆积密度、空隙率、吸水率、坚固性</w:t>
            </w:r>
            <w:r/>
          </w:p>
        </w:tc>
      </w:tr>
      <w:tr>
        <w:trPr>
          <w:trHeight w:val="56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外加剂</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材料费、减水率、固含量、抗压强度比、pH值</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1.16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矿渣粉</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密度、比表面积、活性指数、流动度比、烧失量</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1.17</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粉煤灰</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细度、烧失量、需水量比、三氧化硫含量、含水量</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1.18</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拌和用水</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PH值、不溶物、可溶物、硫酸盐、氯离子、碱含量</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1.19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混凝土配合比（C30及以上/W4）</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配合比设计或验证</w:t>
            </w:r>
            <w:r/>
          </w:p>
        </w:tc>
      </w:tr>
      <w:tr>
        <w:trPr>
          <w:trHeight w:val="581"/>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1.20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混凝土配合比（C25及以下）</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配合比设计或验证</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1.21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砂浆配合比</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配合比设计或验证</w:t>
            </w:r>
            <w:r/>
          </w:p>
        </w:tc>
      </w:tr>
      <w:tr>
        <w:trPr>
          <w:trHeight w:val="48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钢筋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力学性能、重量偏差</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1.23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水泥砖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抗压强度、抗折强度</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1.24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侧平石、道板砖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抗压强度、抗折强度</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1.25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击实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最大干密度、最优含水率</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1.26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混凝土试块</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不含养护费</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1.27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抗渗试块</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1.28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砂浆试块</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不含养护费</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1.29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沥青/改性沥青</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针入度、延度、软化点</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1.30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沥青混合料</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马歇尔试验、沥青含量、矿料集配</w:t>
            </w:r>
            <w:r/>
          </w:p>
        </w:tc>
      </w:tr>
      <w:tr>
        <w:trPr>
          <w:trHeight w:val="68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1.31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市政用细集料</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筛分、含泥量、泥块含量、密度、砂当量</w:t>
            </w:r>
            <w:r/>
          </w:p>
        </w:tc>
      </w:tr>
      <w:tr>
        <w:trPr>
          <w:trHeight w:val="52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1.32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市政用粗集料</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筛分、含泥量、泥块含量、压碎值、针片状含量、密度、软弱颗粒含量</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1.33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植草砖</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外观尺寸、抗压强度</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1.34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胀缝板</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压缩应力、弯曲荷载</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1.35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抗裂贴</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拉伸性能</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1.36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标线材料</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常规参数</w:t>
            </w:r>
            <w:r/>
          </w:p>
        </w:tc>
      </w:tr>
      <w:tr>
        <w:trPr>
          <w:trHeight w:val="78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1.37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拉拔力组件</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拉拔力测试：现场制作样块，用拉拔力检测仪现场检测拉拔力情况（现场测试）</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1.38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成型样块</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拉伸强度，拉伸模量，弯曲强度，弯曲模量，断裂伸长率</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1.39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玻纤布材料</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含水率、单位面积质量</w:t>
            </w:r>
            <w:r/>
          </w:p>
        </w:tc>
      </w:tr>
      <w:tr>
        <w:trPr>
          <w:trHeight w:val="56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1.40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玻璃钢夹砂管</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环刚度</w:t>
            </w:r>
            <w:r/>
          </w:p>
        </w:tc>
      </w:tr>
      <w:tr>
        <w:trPr>
          <w:trHeight w:val="6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1.41 </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阀门</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left"/>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现场结构检测</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压实度</w:t>
            </w:r>
            <w:r/>
          </w:p>
        </w:tc>
        <w:tc>
          <w:tcPr>
            <w:shd w:val="clear" w:color="auto" w:fill="ffffff"/>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5000</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环刀法</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密实度</w:t>
            </w:r>
            <w:r/>
          </w:p>
        </w:tc>
        <w:tc>
          <w:tcPr>
            <w:shd w:val="clear" w:color="auto" w:fill="ffffff"/>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9000</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灌砂或灌水法</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沥青混凝土路面或水稳结构层厚度</w:t>
            </w:r>
            <w:r/>
          </w:p>
        </w:tc>
        <w:tc>
          <w:tcPr>
            <w:shd w:val="clear" w:color="auto" w:fill="ffffff"/>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钻芯法</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水泥混凝土路面(厚度、强度)</w:t>
            </w:r>
            <w:r/>
          </w:p>
        </w:tc>
        <w:tc>
          <w:tcPr>
            <w:shd w:val="clear" w:color="auto" w:fill="ffffff"/>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钻芯法</w:t>
            </w:r>
            <w:r/>
          </w:p>
        </w:tc>
      </w:tr>
      <w:tr>
        <w:trPr>
          <w:trHeight w:val="5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路面平整度</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直尺测量</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路面弯沉</w:t>
            </w:r>
            <w:r/>
          </w:p>
        </w:tc>
        <w:tc>
          <w:tcPr>
            <w:shd w:val="clear" w:color="auto" w:fill="ffffff"/>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含车辆费</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污水管道闭水试验</w:t>
            </w:r>
            <w:r/>
          </w:p>
        </w:tc>
        <w:tc>
          <w:tcPr>
            <w:shd w:val="clear" w:color="auto" w:fill="ffffff"/>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仅做闭水试验，不含措施费</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压力管压力试验</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分段打压</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left"/>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机械电气设备检测</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绝缘电阻、接地电阻</w:t>
            </w:r>
            <w:r/>
          </w:p>
        </w:tc>
        <w:tc>
          <w:tcPr>
            <w:shd w:val="clear" w:color="auto" w:fill="ffffff"/>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污水泵站机械电气设备</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金属涂层厚度</w:t>
            </w:r>
            <w:r/>
          </w:p>
        </w:tc>
        <w:tc>
          <w:tcPr>
            <w:shd w:val="clear" w:color="auto" w:fill="ffffff"/>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污水泵站机械电气设备</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噪音（声压级）</w:t>
            </w:r>
            <w:r/>
          </w:p>
        </w:tc>
        <w:tc>
          <w:tcPr>
            <w:shd w:val="clear" w:color="auto" w:fill="ffffff"/>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污水泵站机械电气设备</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振动（位移、速度、加速度）</w:t>
            </w:r>
            <w:r/>
          </w:p>
        </w:tc>
        <w:tc>
          <w:tcPr>
            <w:shd w:val="clear" w:color="auto" w:fill="ffffff"/>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污水泵站机械电气设备</w:t>
            </w:r>
            <w:r/>
          </w:p>
        </w:tc>
      </w:tr>
      <w:tr>
        <w:trPr>
          <w:trHeight w:val="280"/>
        </w:trPr>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940"/>
        </w:trPr>
        <w:tc>
          <w:tcPr>
            <w:gridSpan w:val="5"/>
            <w:tcBorders>
              <w:top w:val="none" w:color="000000" w:sz="4" w:space="0"/>
              <w:left w:val="none" w:color="000000" w:sz="4" w:space="0"/>
              <w:bottom w:val="none" w:color="000000" w:sz="4" w:space="0"/>
              <w:right w:val="none" w:color="000000" w:sz="4" w:space="0"/>
            </w:tcBorders>
            <w:tcW w:w="8640" w:type="dxa"/>
            <w:vAlign w:val="center"/>
            <w:textDirection w:val="lrTb"/>
            <w:noWrap w:val="false"/>
          </w:tcPr>
          <w:p>
            <w:pPr>
              <w:jc w:val="lef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注：检测项目不限于以上清单，需符合建设工程相关质量验收标准。超出检测清单的项目收费标准参照《江苏省建设工程质量检测和建筑材料试验收费标准》、《苏州市工程质量检测和建筑试验收费参考价（2025版）》、《江苏省水利工程质量检测行业收费参考价》中最低价格。</w:t>
            </w:r>
            <w:r/>
          </w:p>
        </w:tc>
      </w:tr>
    </w:tbl>
    <w:p>
      <w:pPr>
        <w:pStyle w:val="769"/>
        <w:ind w:firstLine="0"/>
        <w:rPr>
          <w:rFonts w:hint="eastAsia" w:cs="宋体"/>
          <w:b/>
          <w:bCs/>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r>
      <w:r/>
    </w:p>
    <w:p>
      <w:pPr>
        <w:pStyle w:val="769"/>
        <w:numPr>
          <w:ilvl w:val="0"/>
          <w:numId w:val="3"/>
        </w:numPr>
        <w:rPr>
          <w:rFonts w:hint="eastAsia" w:cs="宋体"/>
          <w:b/>
          <w:bCs/>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项目清单</w:t>
      </w:r>
      <w:r/>
    </w:p>
    <w:tbl>
      <w:tblPr>
        <w:tblStyle w:val="753"/>
        <w:tblW w:w="0" w:type="auto"/>
        <w:tblInd w:w="98" w:type="dxa"/>
        <w:tblLayout w:type="fixed"/>
        <w:tblCellMar>
          <w:left w:w="108" w:type="dxa"/>
          <w:top w:w="0" w:type="dxa"/>
          <w:right w:w="108" w:type="dxa"/>
          <w:bottom w:w="0" w:type="dxa"/>
        </w:tblCellMar>
        <w:tblLook w:val="04A0" w:firstRow="1" w:lastRow="0" w:firstColumn="1" w:lastColumn="0" w:noHBand="0" w:noVBand="1"/>
      </w:tblPr>
      <w:tblGrid>
        <w:gridCol w:w="712"/>
        <w:gridCol w:w="2264"/>
        <w:gridCol w:w="6554"/>
      </w:tblGrid>
      <w:tr>
        <w:trPr>
          <w:trHeight w:val="660"/>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264"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标段名称</w:t>
            </w:r>
            <w:r/>
          </w:p>
        </w:tc>
        <w:tc>
          <w:tcPr>
            <w:tcBorders>
              <w:top w:val="single" w:color="000000" w:sz="4" w:space="0"/>
              <w:left w:val="single" w:color="000000" w:sz="4" w:space="0"/>
              <w:bottom w:val="single" w:color="000000" w:sz="4" w:space="0"/>
              <w:right w:val="single" w:color="000000" w:sz="4" w:space="0"/>
            </w:tcBorders>
            <w:tcW w:w="6554"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主要内容</w:t>
            </w:r>
            <w:r/>
          </w:p>
        </w:tc>
      </w:tr>
      <w:tr>
        <w:trPr>
          <w:trHeight w:val="696"/>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昆山开发区四标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市政砖砌污水检查井改造（64条道路共2141座井）、污水泵站标准化改造（合兴路、创业路、杜鹃路3座泵站）</w:t>
            </w:r>
            <w:r/>
          </w:p>
        </w:tc>
      </w:tr>
      <w:tr>
        <w:trPr>
          <w:trHeight w:val="785"/>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昆山高新区四标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新苑路、青园路、紫竹路等污水市政管道改造工程及14座泵站标准化改造工程</w:t>
            </w:r>
            <w:r/>
          </w:p>
        </w:tc>
      </w:tr>
      <w:tr>
        <w:trPr>
          <w:trHeight w:val="1135"/>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花桥经济开发区三标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黎明路、利胜路、塔娄路、象蚌泾路、鲍泾路、逢星路、罗家港路、双华路、新丰路、星光路、徐公桥路、金峰路、金融大道、金洋路、金中路、东城大道、金捷路道路缺陷管道进行修复</w:t>
            </w:r>
            <w:r/>
          </w:p>
        </w:tc>
      </w:tr>
      <w:tr>
        <w:trPr>
          <w:trHeight w:val="79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花桥经济开发区四标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1#、2#、3#、4#、5#、6#、7#、8#、9#、10#污水泵站进行标准化提升改造</w:t>
            </w:r>
            <w:r/>
          </w:p>
        </w:tc>
      </w:tr>
      <w:tr>
        <w:trPr>
          <w:trHeight w:val="1210"/>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花桥经济开发区五标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绿地大道徐公桥路交叉口、曹浦路、泗泾路、商银路过徐公河道路进行污水管道改造，对春天大道进行污水管道新建。施工内容包括管道开挖、检查井增设、沉管井增设、道路、驳岸、绿化破除及恢复等。</w:t>
            </w:r>
            <w:r/>
          </w:p>
        </w:tc>
      </w:tr>
      <w:tr>
        <w:trPr>
          <w:trHeight w:val="661"/>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花桥经济开发区六标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顺扬路、仓业路、横塘路雨污水管道改造</w:t>
            </w:r>
            <w:r/>
          </w:p>
        </w:tc>
      </w:tr>
      <w:tr>
        <w:trPr>
          <w:trHeight w:val="507"/>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花桥经济开发区七标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蓬青路、新生路、鸡鸣塘南路雨污水管道改造</w:t>
            </w:r>
            <w:r/>
          </w:p>
        </w:tc>
      </w:tr>
      <w:tr>
        <w:trPr>
          <w:trHeight w:val="585"/>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张浦镇八标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莲花路、银河路、俱巷路泵站、公园泵站、巍塔路、沪光路、淞沪路泵站改造、渔业新村截流设施改造</w:t>
            </w:r>
            <w:r/>
          </w:p>
        </w:tc>
      </w:tr>
      <w:tr>
        <w:trPr>
          <w:trHeight w:val="471"/>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张浦镇九标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700处市政道路砖砌井改造</w:t>
            </w:r>
            <w:r/>
          </w:p>
        </w:tc>
      </w:tr>
      <w:tr>
        <w:trPr>
          <w:trHeight w:val="48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张浦镇十标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21处市政管网缺陷、海虹路、淞吉路过河污水管修复</w:t>
            </w:r>
            <w:r/>
          </w:p>
        </w:tc>
      </w:tr>
      <w:tr>
        <w:trPr>
          <w:trHeight w:val="973"/>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张浦镇十一标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DN300、400、600、800、1000-1200雨水管1979米，DN300、400、600污水管2021米，路面恢复23502平方米，绿化及修复、管线保护等</w:t>
            </w:r>
            <w:r/>
          </w:p>
        </w:tc>
      </w:tr>
      <w:tr>
        <w:trPr>
          <w:trHeight w:val="708"/>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张浦镇十二标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DN300、600、800、1000雨水管1955米，DN400、600污水管1530米，路面恢复15900平方米，绿化及修复、管线保护等</w:t>
            </w:r>
            <w:r/>
          </w:p>
        </w:tc>
      </w:tr>
      <w:tr>
        <w:trPr>
          <w:trHeight w:val="81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张浦镇十三标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DN300、400、600雨水管1315米DN300、400、600污水管1389米，路面恢复8800平方米，绿化及修复、管线保护等</w:t>
            </w:r>
            <w:r/>
          </w:p>
        </w:tc>
      </w:tr>
      <w:tr>
        <w:trPr>
          <w:trHeight w:val="104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周市镇五标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陆杏路-宇龙路、康庄路、朱家湾路污水管道改造工程；王家甸路等12条道路市政管网检测修复；春晖锦苑西门末端截污设施等40个末端设施排查整治；白塔路（339-城北大道）市政砖砌污水检查井改造</w:t>
            </w:r>
            <w:r/>
          </w:p>
        </w:tc>
      </w:tr>
      <w:tr>
        <w:trPr>
          <w:trHeight w:val="489"/>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陆家镇三标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香花河沿线污水管道改造工程</w:t>
            </w:r>
            <w:r/>
          </w:p>
        </w:tc>
      </w:tr>
      <w:tr>
        <w:trPr>
          <w:trHeight w:val="69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陆家镇四标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发谊路、启发广场横穿G312污水管道改造工程、光夏路、友谊路、南粮路、唐板桥路、陆建路等污水管道改造工程</w:t>
            </w:r>
            <w:r/>
          </w:p>
        </w:tc>
      </w:tr>
      <w:tr>
        <w:trPr>
          <w:trHeight w:val="507"/>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陆家镇五标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友谊路管网缺陷修复</w:t>
            </w:r>
            <w:r/>
          </w:p>
        </w:tc>
      </w:tr>
      <w:tr>
        <w:trPr>
          <w:trHeight w:val="498"/>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陆家镇六标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光夏路、南粮路等11条道路管网缺陷修复</w:t>
            </w:r>
            <w:r/>
          </w:p>
        </w:tc>
      </w:tr>
      <w:tr>
        <w:trPr>
          <w:trHeight w:val="380"/>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陆家镇七标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市政管网缺陷修复</w:t>
            </w:r>
            <w:r/>
          </w:p>
        </w:tc>
      </w:tr>
      <w:tr>
        <w:trPr>
          <w:trHeight w:val="453"/>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陆家镇八标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市政砖砌井及泵井维修改造</w:t>
            </w:r>
            <w:r/>
          </w:p>
        </w:tc>
      </w:tr>
      <w:tr>
        <w:trPr>
          <w:trHeight w:val="799"/>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264" w:type="dxa"/>
            <w:vAlign w:val="center"/>
            <w:vMerge w:val="restar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巴城镇六标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祖冲之路西侧污水支管完善；硕士路、新城路及支路、瑞香路、君子亭路、农场路、古城路东侧、临湖路、诚翔路、高格路、环湖路-湖滨路、湖滨路支路、坤龙路新建污水管网</w:t>
            </w:r>
            <w:r/>
          </w:p>
        </w:tc>
      </w:tr>
      <w:tr>
        <w:trPr>
          <w:trHeight w:val="85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思常路、奚家浜路、林场一支路、林场二支路、娄创路、博士路、才清路、登高路、娄新路、马鞍山西路、明珠路、下塘街、院士路等合计68条路市政缺陷修复</w:t>
            </w:r>
            <w:r/>
          </w:p>
        </w:tc>
      </w:tr>
      <w:tr>
        <w:trPr>
          <w:trHeight w:val="40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restar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巴城镇七标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巴城祖冲之路、雉城塘路市政污水完善工程</w:t>
            </w:r>
            <w:r/>
          </w:p>
        </w:tc>
      </w:tr>
      <w:tr>
        <w:trPr>
          <w:trHeight w:val="90"/>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并蒂莲路、东亭子路、广灵路、宏塑路、湖滨路、环城西路、环湖路（正仪）、君子亭路、合计65条路砖砌污水检查井改造</w:t>
            </w:r>
            <w:r/>
          </w:p>
        </w:tc>
      </w:tr>
      <w:tr>
        <w:trPr>
          <w:trHeight w:val="458"/>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星溪路-银杏路-君子亭路截污设施改造</w:t>
            </w:r>
            <w:r/>
          </w:p>
        </w:tc>
      </w:tr>
      <w:tr>
        <w:trPr>
          <w:trHeight w:val="1080"/>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兆良路东泵站、凤栖园泵站、东岳路泵站、立基路泵站、华寓路泵站、京山集团泵站、茆沙塘路泵站、祖冲之路稚城塘路泵站、阳澄湖泵站、祖冲之路杨林塘路泵站合计24个污水泵站标准化提升改造</w:t>
            </w:r>
            <w:r/>
          </w:p>
        </w:tc>
      </w:tr>
      <w:tr>
        <w:trPr>
          <w:trHeight w:val="489"/>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千灯镇三标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长丰路、宏洋路污水管道改造工程</w:t>
            </w:r>
            <w:r/>
          </w:p>
        </w:tc>
      </w:tr>
      <w:tr>
        <w:trPr>
          <w:trHeight w:val="94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千灯镇四标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市政管网检测修复67条道路868处点位、市政砖砌污水检查井改造46条道路708座、方泾浜、姚河泾、唐巷浜3条河道沿线末端截污泵及沿线进水管翻建及7座污水泵站标准化提升改造。</w:t>
            </w:r>
            <w:r/>
          </w:p>
        </w:tc>
      </w:tr>
      <w:tr>
        <w:trPr>
          <w:trHeight w:val="910"/>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淀山湖镇一标段</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1、淀山湖镇庙前江北环湖大道东地块污水接管工程；2、旭宝路（永利路-盈湖路）管网改造工程；3、万园路（清水路-望金路）管网改造工程；4、盈湖路（环湖路-曙光路）管网改造工程</w:t>
            </w:r>
            <w:r/>
          </w:p>
        </w:tc>
      </w:tr>
      <w:tr>
        <w:trPr>
          <w:trHeight w:val="1537"/>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淀山湖镇二标段</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东苑路（双马路-新华路）管网改造工程；2、威猛路（双马路-新华路）管网改造工程；3、钱晟路（双马路-新华路）管网改造工程；4、沈安路（双马路-4#污水泵站）管网改造工程；5、中市北路（北苑路-石杨河）管网改造工程；6、香石路（北苑路-新乐路）管网改造工程；7、振淀路（南苑路-府前路）管网改造工程</w:t>
            </w:r>
            <w:r/>
          </w:p>
        </w:tc>
      </w:tr>
      <w:tr>
        <w:trPr>
          <w:trHeight w:val="49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淀山湖镇三标段</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1、南苑路（黄浦江南路-钱晟路）管网改造工程</w:t>
            </w:r>
            <w:r/>
          </w:p>
        </w:tc>
      </w:tr>
      <w:tr>
        <w:trPr>
          <w:trHeight w:val="350"/>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淀山湖镇四标段</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1-6号污水泵站标准化改造</w:t>
            </w:r>
            <w:r/>
          </w:p>
        </w:tc>
      </w:tr>
      <w:tr>
        <w:trPr>
          <w:trHeight w:val="630"/>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周庄镇五标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泵站标准化改造、市政管网错混接改造工程、市政砖砌污水检查井改造工程检测修复改造工程、过河管改造工程</w:t>
            </w:r>
            <w:r/>
          </w:p>
        </w:tc>
      </w:tr>
      <w:tr>
        <w:trPr>
          <w:trHeight w:val="55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周庄镇六标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淀南路(大桥路-大学路)、大桥路(全旺路-高新路)、秀园路(园区大道~振光河)污水管道改造建设工程</w:t>
            </w:r>
            <w:r/>
          </w:p>
        </w:tc>
      </w:tr>
      <w:tr>
        <w:trPr>
          <w:trHeight w:val="801"/>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周庄镇七标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全旺路(大桥路-锦周公路)、全旺路(锦周公路-秀海路)、周商路(园区路-狭金里港)、秀海路(勇秀路-锦周公路)、秀园路(秀海路~高勇路)污水管道改造建设工程</w:t>
            </w:r>
            <w:r/>
          </w:p>
        </w:tc>
      </w:tr>
      <w:tr>
        <w:trPr>
          <w:trHeight w:val="808"/>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锦溪镇四标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t xml:space="preserve">百胜路（锦昌路-锦荣路）、锦东路（锦商公路-昆开路）、昆开路（锦东路-锦昌路）、锦荣路（锦灿路-锦辉路）、锦富路（五保湖路-锦东路）、学苑路（佳苑路-江浦南路）、佳苑路（五保湖路-学苑路）、锦东路（邵甸港路-锦富路）</w:t>
            </w:r>
            <w:r/>
          </w:p>
        </w:tc>
      </w:tr>
      <w:tr>
        <w:trPr>
          <w:trHeight w:val="636"/>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锦溪镇五标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t xml:space="preserve">市政管网缺陷修复、过河管改造、市政砖砌检查井改造、污水泵站标准化提升改造</w:t>
            </w:r>
            <w:r/>
          </w:p>
        </w:tc>
      </w:tr>
      <w:tr>
        <w:trPr>
          <w:trHeight w:val="272"/>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264" w:type="dxa"/>
            <w:vAlign w:val="center"/>
            <w:vMerge w:val="restar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市级一标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污水管网建设</w:t>
            </w:r>
            <w:r/>
          </w:p>
        </w:tc>
      </w:tr>
      <w:tr>
        <w:trPr>
          <w:trHeight w:val="445"/>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过河管改造</w:t>
            </w:r>
            <w:r/>
          </w:p>
        </w:tc>
      </w:tr>
      <w:tr>
        <w:trPr>
          <w:trHeight w:val="372"/>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市政砖砌污水检查井改造</w:t>
            </w:r>
            <w:r/>
          </w:p>
        </w:tc>
      </w:tr>
      <w:tr>
        <w:trPr>
          <w:trHeight w:val="30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污水管网建设</w:t>
            </w:r>
            <w:r/>
          </w:p>
        </w:tc>
      </w:tr>
      <w:tr>
        <w:trPr>
          <w:trHeight w:val="34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市政管网检测修复</w:t>
            </w:r>
            <w:r/>
          </w:p>
        </w:tc>
      </w:tr>
      <w:tr>
        <w:trPr>
          <w:trHeight w:val="44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市政管网混接错接改造</w:t>
            </w:r>
            <w:r/>
          </w:p>
        </w:tc>
      </w:tr>
      <w:tr>
        <w:trPr>
          <w:trHeight w:val="381"/>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市政砖砌污水检查井改造</w:t>
            </w:r>
            <w:r/>
          </w:p>
        </w:tc>
      </w:tr>
      <w:tr>
        <w:trPr>
          <w:trHeight w:val="418"/>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污水管网建设</w:t>
            </w:r>
            <w:r/>
          </w:p>
        </w:tc>
      </w:tr>
      <w:tr>
        <w:trPr>
          <w:trHeight w:val="417"/>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市政管网检测修复</w:t>
            </w:r>
            <w:r/>
          </w:p>
        </w:tc>
      </w:tr>
      <w:tr>
        <w:trPr>
          <w:trHeight w:val="308"/>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restar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市级二标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污水管网建设</w:t>
            </w:r>
            <w:r/>
          </w:p>
        </w:tc>
      </w:tr>
      <w:tr>
        <w:trPr>
          <w:trHeight w:val="381"/>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市政管网检测修复</w:t>
            </w:r>
            <w:r/>
          </w:p>
        </w:tc>
      </w:tr>
      <w:tr>
        <w:trPr>
          <w:trHeight w:val="363"/>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市政管网混接错接改造</w:t>
            </w:r>
            <w:r/>
          </w:p>
        </w:tc>
      </w:tr>
      <w:tr>
        <w:trPr>
          <w:trHeight w:val="362"/>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市政砖砌污水检查井改造</w:t>
            </w:r>
            <w:r/>
          </w:p>
        </w:tc>
      </w:tr>
      <w:tr>
        <w:trPr>
          <w:trHeight w:val="390"/>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市级三标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污水管网建设</w:t>
            </w:r>
            <w:r/>
          </w:p>
        </w:tc>
      </w:tr>
      <w:tr>
        <w:trPr>
          <w:trHeight w:val="399"/>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restart"/>
            <w:textDirection w:val="lrTb"/>
            <w:noWrap/>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市级四标</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专项设备更新</w:t>
            </w:r>
            <w:r/>
          </w:p>
        </w:tc>
      </w:tr>
      <w:tr>
        <w:trPr>
          <w:trHeight w:val="364"/>
        </w:trPr>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4" w:type="dxa"/>
            <w:vAlign w:val="center"/>
            <w:vMerge w:val="continue"/>
            <w:textDirection w:val="lrTb"/>
            <w:noWrap/>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污水泵站标准话提升改造</w:t>
            </w:r>
            <w:r/>
          </w:p>
        </w:tc>
      </w:tr>
    </w:tbl>
    <w:p>
      <w:pPr>
        <w:ind w:firstLine="42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九、</w:t>
      </w:r>
      <w:r>
        <w:rPr>
          <w:rFonts w:hint="eastAsia" w:ascii="宋体" w:hAnsi="宋体" w:cs="宋体"/>
          <w:bCs/>
          <w:color w:val="000000" w:themeColor="text1"/>
          <w:szCs w:val="21"/>
          <w:highlight w:val="none"/>
          <w14:textFill>
            <w14:solidFill>
              <w14:schemeClr w14:val="tx1"/>
            </w14:solidFill>
          </w14:textFill>
        </w:rPr>
        <w:t xml:space="preserve">凡涉及采购文件的补充说明和修改，均以苏州公共资源交易平台发布的文件为准。</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p>
    <w:p>
      <w:pPr>
        <w:pStyle w:val="743"/>
        <w:jc w:val="center"/>
        <w:spacing w:before="0" w:after="0"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第五章  合同</w:t>
      </w:r>
      <w:r/>
    </w:p>
    <w:p>
      <w:pPr>
        <w:jc w:val="left"/>
        <w:spacing w:line="360" w:lineRule="auto"/>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甲方：</w:t>
      </w:r>
      <w:r>
        <w:rPr>
          <w:rFonts w:hint="eastAsia"/>
          <w:color w:val="000000" w:themeColor="text1"/>
          <w:szCs w:val="21"/>
          <w:highlight w:val="none"/>
          <w14:textFill>
            <w14:solidFill>
              <w14:schemeClr w14:val="tx1"/>
            </w14:solidFill>
          </w14:textFill>
        </w:rPr>
        <w:t xml:space="preserve">昆山市水务局</w:t>
      </w:r>
      <w:r/>
    </w:p>
    <w:p>
      <w:pPr>
        <w:jc w:val="left"/>
        <w:spacing w:line="360" w:lineRule="auto"/>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乙方：  </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根据《中华人民共和国</w:t>
      </w:r>
      <w:r>
        <w:rPr>
          <w:rFonts w:hint="eastAsia"/>
          <w:color w:val="000000" w:themeColor="text1"/>
          <w:szCs w:val="21"/>
          <w:highlight w:val="none"/>
          <w14:textFill>
            <w14:solidFill>
              <w14:schemeClr w14:val="tx1"/>
            </w14:solidFill>
          </w14:textFill>
        </w:rPr>
        <w:t xml:space="preserve">民法典</w:t>
      </w:r>
      <w:r>
        <w:rPr>
          <w:color w:val="000000" w:themeColor="text1"/>
          <w:szCs w:val="21"/>
          <w:highlight w:val="none"/>
          <w14:textFill>
            <w14:solidFill>
              <w14:schemeClr w14:val="tx1"/>
            </w14:solidFill>
          </w14:textFill>
        </w:rPr>
        <w:t xml:space="preserve">》有关规定，为明确采购单位（甲方）和供应单位（乙方）购销过程中的权利、义务和经济责任，经双方友好协商，签订</w:t>
      </w:r>
      <w:r>
        <w:rPr>
          <w:rFonts w:hint="eastAsia"/>
          <w:color w:val="000000" w:themeColor="text1"/>
          <w:szCs w:val="21"/>
          <w:highlight w:val="none"/>
          <w14:textFill>
            <w14:solidFill>
              <w14:schemeClr w14:val="tx1"/>
            </w14:solidFill>
          </w14:textFill>
        </w:rPr>
        <w:t xml:space="preserve">本合同书</w:t>
      </w:r>
      <w:r>
        <w:rPr>
          <w:color w:val="000000" w:themeColor="text1"/>
          <w:szCs w:val="21"/>
          <w:highlight w:val="none"/>
          <w14:textFill>
            <w14:solidFill>
              <w14:schemeClr w14:val="tx1"/>
            </w14:solidFill>
          </w14:textFill>
        </w:rPr>
        <w:t xml:space="preserve">。</w:t>
      </w:r>
      <w:r/>
    </w:p>
    <w:p>
      <w:pPr>
        <w:ind w:firstLine="420"/>
        <w:spacing w:line="360" w:lineRule="auto"/>
        <w:rPr>
          <w:color w:val="000000" w:themeColor="text1"/>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t xml:space="preserve">一、合同内容：</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rPr>
          <w:rFonts w:ascii="Times New Roman" w:hAnsi="Times New Roman"/>
          <w:color w:val="000000" w:themeColor="text1"/>
          <w:szCs w:val="21"/>
          <w:highlight w:val="none"/>
          <w14:textFill>
            <w14:solidFill>
              <w14:schemeClr w14:val="tx1"/>
            </w14:solidFill>
          </w14:textFill>
        </w:rPr>
        <w:t xml:space="preserve">乙方负责</w:t>
      </w:r>
      <w:r>
        <w:rPr>
          <w:rFonts w:hint="eastAsia" w:ascii="Times New Roman" w:hAnsi="Times New Roman"/>
          <w:color w:val="000000" w:themeColor="text1"/>
          <w:szCs w:val="21"/>
          <w:highlight w:val="none"/>
          <w14:textFill>
            <w14:solidFill>
              <w14:schemeClr w14:val="tx1"/>
            </w14:solidFill>
          </w14:textFill>
        </w:rPr>
        <w:t xml:space="preserve">昆山市水务局的</w:t>
      </w:r>
      <w:r>
        <w:rPr>
          <w:rFonts w:hint="eastAsia" w:ascii="Times New Roman" w:hAnsi="Times New Roman"/>
          <w:color w:val="000000" w:themeColor="text1"/>
          <w:szCs w:val="21"/>
          <w:highlight w:val="none"/>
          <w:u w:val="single"/>
          <w14:textFill>
            <w14:solidFill>
              <w14:schemeClr w14:val="tx1"/>
            </w14:solidFill>
          </w14:textFill>
        </w:rPr>
        <w:t xml:space="preserve">昆山市城市污水收集处理设施改造工程质量检测项目三标项目</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2、下列文件为本合同不可分割部分：</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（1）采购文件及其附件；</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（3）乙方在采购过程中所作的其它承诺、声明、书面澄清等；</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（4）中标通知书。</w:t>
      </w:r>
      <w:r/>
    </w:p>
    <w:p>
      <w:pPr>
        <w:ind w:firstLine="420"/>
        <w:spacing w:line="360" w:lineRule="auto"/>
        <w:rPr>
          <w:color w:val="000000" w:themeColor="text1"/>
          <w:szCs w:val="21"/>
          <w:highlight w:val="none"/>
          <w:u w:val="single"/>
          <w14:textFill>
            <w14:solidFill>
              <w14:schemeClr w14:val="tx1"/>
            </w14:solidFill>
          </w14:textFill>
        </w:rPr>
        <w:outlineLvl w:val="1"/>
      </w:pPr>
      <w:r>
        <w:rPr>
          <w:color w:val="000000" w:themeColor="text1"/>
          <w:szCs w:val="21"/>
          <w:highlight w:val="none"/>
          <w14:textFill>
            <w14:solidFill>
              <w14:schemeClr w14:val="tx1"/>
            </w14:solidFill>
          </w14:textFill>
        </w:rPr>
        <w:t xml:space="preserve">3、服务范围及内容：</w:t>
      </w:r>
      <w:r>
        <w:rPr>
          <w:rFonts w:hint="eastAsia"/>
          <w:b/>
          <w:bCs/>
          <w:color w:val="000000" w:themeColor="text1"/>
          <w:szCs w:val="21"/>
          <w:highlight w:val="none"/>
          <w14:textFill>
            <w14:solidFill>
              <w14:schemeClr w14:val="tx1"/>
            </w14:solidFill>
          </w14:textFill>
        </w:rPr>
        <w:t xml:space="preserve">昆山市城市污水收集处理设施改造工程（昆山开</w:t>
      </w:r>
      <w:r>
        <w:rPr>
          <w:rFonts w:hint="eastAsia"/>
          <w:b/>
          <w:bCs/>
          <w:color w:val="000000" w:themeColor="text1"/>
          <w:szCs w:val="21"/>
          <w:highlight w:val="none"/>
          <w14:textFill>
            <w14:solidFill>
              <w14:schemeClr w14:val="tx1"/>
            </w14:solidFill>
          </w14:textFill>
        </w:rPr>
        <w:t xml:space="preserve">发区四标、昆山高新区四标、花桥经济开发区三标、花桥经济开发区四标、花桥经济开发区五标、花桥经济开发区六标、花桥经济开发区七标、张浦镇八标、张浦镇九标、张浦镇十标、张浦镇十一标、张浦镇十二标、张浦镇十三标、周市镇五标、陆家镇三标、陆家镇四标、陆家镇五标、陆家镇六标、陆家镇七标、陆家镇八标、巴城镇六标、巴城镇七标、千灯镇三标、千灯镇四标、淀山湖镇一标段、淀山湖镇二标段、淀山湖镇三标段、淀山湖镇四标段、周庄镇五标、周庄镇六标、周庄镇七标、锦溪镇四标、锦溪镇五标、市级一标、市级二标、市级三标、市级四标）共37标段。</w:t>
      </w:r>
      <w:r/>
    </w:p>
    <w:p>
      <w:pPr>
        <w:pStyle w:val="755"/>
        <w:spacing w:line="360" w:lineRule="auto"/>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4、形式和要求：</w:t>
      </w:r>
      <w:r>
        <w:rPr>
          <w:rFonts w:hint="eastAsia" w:eastAsia="宋体"/>
          <w:color w:val="000000" w:themeColor="text1"/>
          <w:sz w:val="21"/>
          <w:szCs w:val="21"/>
          <w:highlight w:val="none"/>
          <w14:textFill>
            <w14:solidFill>
              <w14:schemeClr w14:val="tx1"/>
            </w14:solidFill>
          </w14:textFill>
        </w:rPr>
        <w:t xml:space="preserve">由甲方根据相关工程建设情况，以及乙方根据相关规范编制包括检测内容、方式、部位等内容的检测方案，并报政府质量安全主管部门备案确认后，按通过备案的检测方案开展质量检测工作。甲方应及时向乙方提供相关工程的建设进展情况，乙方应根据相关规范及甲方的要求，及时到场检测，并在第一时间向甲方提供检测报告。</w:t>
      </w:r>
      <w:r/>
    </w:p>
    <w:p>
      <w:pPr>
        <w:pStyle w:val="755"/>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抽检工作及提交成果按照《江苏省建设工程质量检</w:t>
      </w:r>
      <w:r>
        <w:rPr>
          <w:rFonts w:hint="eastAsia" w:eastAsia="宋体"/>
          <w:color w:val="000000" w:themeColor="text1"/>
          <w:sz w:val="21"/>
          <w:szCs w:val="21"/>
          <w:highlight w:val="none"/>
          <w14:textFill>
            <w14:solidFill>
              <w14:schemeClr w14:val="tx1"/>
            </w14:solidFill>
          </w14:textFill>
        </w:rPr>
        <w:t xml:space="preserve">测管理实施细则》《建设工程质量管理条例》《建设工程质量检测管理办法》《江苏省房屋建筑和市政基础设施工程质量监督管理办法》《江苏省水利工程质量监督规程》（DB32T 1267-2008）、《江苏省水利工程质量检测管理办法》（苏水规[2018]2号）、江苏省《水利工程施工质量检验与评定规范》（DB32/T2334.1~4-2013）、《水利水电工程施工质量检验与评定规程》（SL176-2007）、《水利水电建设工程验收规程》（SL233-2008）等相关法规、标准规定的要求开展。若有最新的标准，则以最新的为准。</w:t>
      </w:r>
      <w:r/>
    </w:p>
    <w:p>
      <w:pPr>
        <w:pStyle w:val="755"/>
        <w:spacing w:line="360" w:lineRule="auto"/>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5、验收标准和方式：</w:t>
      </w:r>
      <w:r/>
    </w:p>
    <w:p>
      <w:pPr>
        <w:pStyle w:val="755"/>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乙方提供的检测等</w:t>
      </w:r>
      <w:r>
        <w:rPr>
          <w:rFonts w:eastAsia="宋体"/>
          <w:color w:val="000000" w:themeColor="text1"/>
          <w:sz w:val="21"/>
          <w:szCs w:val="21"/>
          <w:highlight w:val="none"/>
          <w14:textFill>
            <w14:solidFill>
              <w14:schemeClr w14:val="tx1"/>
            </w14:solidFill>
          </w14:textFill>
        </w:rPr>
        <w:t xml:space="preserve">技术服务或者技术培训按相关规范标准，</w:t>
      </w:r>
      <w:r>
        <w:rPr>
          <w:rFonts w:hint="eastAsia" w:eastAsia="宋体"/>
          <w:color w:val="000000" w:themeColor="text1"/>
          <w:sz w:val="21"/>
          <w:szCs w:val="21"/>
          <w:highlight w:val="none"/>
          <w14:textFill>
            <w14:solidFill>
              <w14:schemeClr w14:val="tx1"/>
            </w14:solidFill>
          </w14:textFill>
        </w:rPr>
        <w:t xml:space="preserve">须满足政府监管部门对项目报建的要求和竣工要求。</w:t>
      </w:r>
      <w:r/>
    </w:p>
    <w:p>
      <w:pPr>
        <w:pStyle w:val="755"/>
        <w:spacing w:line="360" w:lineRule="auto"/>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本合同服务项目的保证期为</w:t>
      </w:r>
      <w:r>
        <w:rPr>
          <w:rFonts w:eastAsia="宋体"/>
          <w:color w:val="000000" w:themeColor="text1"/>
          <w:sz w:val="21"/>
          <w:szCs w:val="21"/>
          <w:highlight w:val="none"/>
          <w:u w:val="single"/>
          <w14:textFill>
            <w14:solidFill>
              <w14:schemeClr w14:val="tx1"/>
            </w14:solidFill>
          </w14:textFill>
        </w:rPr>
        <w:t xml:space="preserve">  /  </w:t>
      </w:r>
      <w:r>
        <w:rPr>
          <w:rFonts w:eastAsia="宋体"/>
          <w:color w:val="000000" w:themeColor="text1"/>
          <w:sz w:val="21"/>
          <w:szCs w:val="21"/>
          <w:highlight w:val="none"/>
          <w14:textFill>
            <w14:solidFill>
              <w14:schemeClr w14:val="tx1"/>
            </w14:solidFill>
          </w14:textFill>
        </w:rPr>
        <w:t xml:space="preserve">。在保证期内发现服务质量缺陷的，</w:t>
      </w:r>
      <w:r>
        <w:rPr>
          <w:rFonts w:hint="eastAsia" w:eastAsia="宋体"/>
          <w:color w:val="000000" w:themeColor="text1"/>
          <w:sz w:val="21"/>
          <w:szCs w:val="21"/>
          <w:highlight w:val="none"/>
          <w14:textFill>
            <w14:solidFill>
              <w14:schemeClr w14:val="tx1"/>
            </w14:solidFill>
          </w14:textFill>
        </w:rPr>
        <w:t xml:space="preserve">乙方</w:t>
      </w:r>
      <w:r>
        <w:rPr>
          <w:rFonts w:eastAsia="宋体"/>
          <w:color w:val="000000" w:themeColor="text1"/>
          <w:sz w:val="21"/>
          <w:szCs w:val="21"/>
          <w:highlight w:val="none"/>
          <w14:textFill>
            <w14:solidFill>
              <w14:schemeClr w14:val="tx1"/>
            </w14:solidFill>
          </w14:textFill>
        </w:rPr>
        <w:t xml:space="preserve">应当负责返工或者采取补救措施。但因</w:t>
      </w:r>
      <w:r>
        <w:rPr>
          <w:rFonts w:hint="eastAsia" w:eastAsia="宋体"/>
          <w:color w:val="000000" w:themeColor="text1"/>
          <w:sz w:val="21"/>
          <w:szCs w:val="21"/>
          <w:highlight w:val="none"/>
          <w14:textFill>
            <w14:solidFill>
              <w14:schemeClr w14:val="tx1"/>
            </w14:solidFill>
          </w14:textFill>
        </w:rPr>
        <w:t xml:space="preserve">甲方</w:t>
      </w:r>
      <w:r>
        <w:rPr>
          <w:rFonts w:eastAsia="宋体"/>
          <w:color w:val="000000" w:themeColor="text1"/>
          <w:sz w:val="21"/>
          <w:szCs w:val="21"/>
          <w:highlight w:val="none"/>
          <w14:textFill>
            <w14:solidFill>
              <w14:schemeClr w14:val="tx1"/>
            </w14:solidFill>
          </w14:textFill>
        </w:rPr>
        <w:t xml:space="preserve">使用、保管不当引起的问题除外。</w:t>
      </w:r>
      <w:r/>
    </w:p>
    <w:p>
      <w:pPr>
        <w:ind w:firstLine="420"/>
        <w:spacing w:line="360" w:lineRule="auto"/>
        <w:rPr>
          <w:color w:val="000000" w:themeColor="text1"/>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t xml:space="preserve">二、服务</w:t>
      </w:r>
      <w:r>
        <w:rPr>
          <w:rFonts w:hint="eastAsia"/>
          <w:color w:val="000000" w:themeColor="text1"/>
          <w:szCs w:val="21"/>
          <w:highlight w:val="none"/>
          <w14:textFill>
            <w14:solidFill>
              <w14:schemeClr w14:val="tx1"/>
            </w14:solidFill>
          </w14:textFill>
        </w:rPr>
        <w:t xml:space="preserve">期限与</w:t>
      </w:r>
      <w:r>
        <w:rPr>
          <w:color w:val="000000" w:themeColor="text1"/>
          <w:szCs w:val="21"/>
          <w:highlight w:val="none"/>
          <w14:textFill>
            <w14:solidFill>
              <w14:schemeClr w14:val="tx1"/>
            </w14:solidFill>
          </w14:textFill>
        </w:rPr>
        <w:t xml:space="preserve">费用</w:t>
      </w:r>
      <w:r>
        <w:rPr>
          <w:color w:val="000000" w:themeColor="text1"/>
          <w:szCs w:val="21"/>
          <w:highlight w:val="none"/>
          <w14:textFill>
            <w14:solidFill>
              <w14:schemeClr w14:val="tx1"/>
            </w14:solidFill>
          </w14:textFill>
        </w:rPr>
        <w:tab/>
      </w:r>
      <w:r/>
    </w:p>
    <w:p>
      <w:pPr>
        <w:ind w:firstLine="420"/>
        <w:spacing w:line="360" w:lineRule="auto"/>
        <w:rPr>
          <w:color w:val="000000" w:themeColor="text1"/>
          <w:szCs w:val="21"/>
          <w:highlight w:val="none"/>
          <w14:textFill>
            <w14:solidFill>
              <w14:schemeClr w14:val="tx1"/>
            </w14:solidFill>
          </w14:textFill>
        </w:rPr>
        <w:outlineLvl w:val="1"/>
      </w:pP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随</w:t>
      </w:r>
      <w:r>
        <w:rPr>
          <w:rFonts w:hint="eastAsia"/>
          <w:b/>
          <w:bCs/>
          <w:color w:val="000000" w:themeColor="text1"/>
          <w:szCs w:val="21"/>
          <w:highlight w:val="none"/>
          <w14:textFill>
            <w14:solidFill>
              <w14:schemeClr w14:val="tx1"/>
            </w14:solidFill>
          </w14:textFill>
        </w:rPr>
        <w:t xml:space="preserve">昆山市城市污水收集处理设施改造工程（</w:t>
      </w:r>
      <w:r>
        <w:rPr>
          <w:rFonts w:hint="eastAsia" w:ascii="宋体" w:hAnsi="宋体"/>
          <w:b/>
          <w:bCs/>
          <w:color w:val="000000" w:themeColor="text1"/>
          <w:szCs w:val="21"/>
          <w:highlight w:val="none"/>
          <w14:textFill>
            <w14:solidFill>
              <w14:schemeClr w14:val="tx1"/>
            </w14:solidFill>
          </w14:textFill>
        </w:rPr>
        <w:t xml:space="preserve">昆山开发区四标、昆山高新区四标、花桥经济开发区三标、花桥经济开发区四标、花桥经济开发区五标、花桥经济开发区六标、花桥经济开发区七标、张浦镇八标、张浦镇九标、张浦镇十标、张浦镇十一标、张浦镇十二标、张浦镇十三标、周市镇五标、陆家镇三标、陆家镇四标、陆家镇五标、陆家镇六标、陆家镇七标、陆家镇八标、巴城镇六标、巴城镇七标、千灯镇三标、千灯镇四标、淀山湖镇一标段、淀山湖镇二标段、淀山湖镇三标段、淀山湖镇四标段、周庄镇五标、周庄镇六标、周庄镇七标、锦溪镇四标、锦溪镇五标、市级一标、市级二标、市级三标、市级四标</w:t>
      </w:r>
      <w:r>
        <w:rPr>
          <w:rFonts w:hint="eastAsia"/>
          <w:b/>
          <w:bCs/>
          <w:color w:val="000000" w:themeColor="text1"/>
          <w:szCs w:val="21"/>
          <w:highlight w:val="none"/>
          <w14:textFill>
            <w14:solidFill>
              <w14:schemeClr w14:val="tx1"/>
            </w14:solidFill>
          </w14:textFill>
        </w:rPr>
        <w:t xml:space="preserve">）共37个标段</w:t>
      </w:r>
      <w:r>
        <w:rPr>
          <w:rFonts w:hint="eastAsia"/>
          <w:color w:val="000000" w:themeColor="text1"/>
          <w:szCs w:val="21"/>
          <w:highlight w:val="none"/>
          <w14:textFill>
            <w14:solidFill>
              <w14:schemeClr w14:val="tx1"/>
            </w14:solidFill>
          </w14:textFill>
        </w:rPr>
        <w:t xml:space="preserve">进行，自各标段工程开工至工程完工竣工验收结束。在协议有效期内一方不得擅自变更或中止此项协议，如未经双方同意，擅自变更或中止此项的一方要负违约责任。此项协议需终止，应在协议期内提前半个月通知对方。</w:t>
      </w:r>
      <w:r/>
    </w:p>
    <w:p>
      <w:pPr>
        <w:pStyle w:val="755"/>
        <w:spacing w:line="360" w:lineRule="auto"/>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2、</w:t>
      </w:r>
      <w:r>
        <w:rPr>
          <w:rFonts w:hint="eastAsia" w:eastAsia="宋体"/>
          <w:color w:val="000000" w:themeColor="text1"/>
          <w:sz w:val="21"/>
          <w:szCs w:val="21"/>
          <w:highlight w:val="none"/>
          <w14:textFill>
            <w14:solidFill>
              <w14:schemeClr w14:val="tx1"/>
            </w14:solidFill>
          </w14:textFill>
        </w:rPr>
        <w:t xml:space="preserve">合同总金额应包括全部服务所需的人工费（包括人员工资、所有发生的加班工资、人员的社保、保险等），服务中涉及相关机械设备使用费、台账资料材料费、交通费、通讯费以及在服务过程中发生的一切费用。报价中还包括耗材、各种税费及政策性文件规定及合同包含的所有风险、责任等各项应有费用。</w:t>
      </w:r>
      <w:r>
        <w:rPr>
          <w:rFonts w:eastAsia="宋体"/>
          <w:color w:val="000000" w:themeColor="text1"/>
          <w:sz w:val="21"/>
          <w:szCs w:val="21"/>
          <w:highlight w:val="none"/>
          <w14:textFill>
            <w14:solidFill>
              <w14:schemeClr w14:val="tx1"/>
            </w14:solidFill>
          </w14:textFill>
        </w:rPr>
        <w:t xml:space="preserve"> </w:t>
      </w:r>
      <w:r/>
    </w:p>
    <w:p>
      <w:pPr>
        <w:pStyle w:val="755"/>
        <w:spacing w:line="360" w:lineRule="auto"/>
        <w:rPr>
          <w:rFonts w:hint="eastAsia"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3、合同总金额所包含的检测内容包括但不限于清单内的检测内容，根据现场与甲方、政府相关部门要求开展检测，且需满足项目竣工要求。</w:t>
      </w:r>
      <w:r/>
    </w:p>
    <w:p>
      <w:pPr>
        <w:pStyle w:val="755"/>
        <w:spacing w:line="360" w:lineRule="auto"/>
        <w:rPr>
          <w:rFonts w:hint="default" w:eastAsia="宋体"/>
          <w:b/>
          <w:bCs/>
          <w:color w:val="000000" w:themeColor="text1"/>
          <w:sz w:val="22"/>
          <w:szCs w:val="22"/>
          <w:highlight w:val="none"/>
          <w:lang w:val="en-US" w:eastAsia="zh-CN"/>
          <w14:textFill>
            <w14:solidFill>
              <w14:schemeClr w14:val="tx1"/>
            </w14:solidFill>
          </w14:textFill>
        </w:rPr>
      </w:pPr>
      <w:r>
        <w:rPr>
          <w:rFonts w:hint="eastAsia" w:eastAsia="宋体"/>
          <w:b/>
          <w:bCs/>
          <w:color w:val="000000" w:themeColor="text1"/>
          <w:sz w:val="22"/>
          <w:szCs w:val="22"/>
          <w:highlight w:val="none"/>
          <w:lang w:val="en-US" w:eastAsia="zh-CN"/>
          <w14:textFill>
            <w14:solidFill>
              <w14:schemeClr w14:val="tx1"/>
            </w14:solidFill>
          </w14:textFill>
        </w:rPr>
        <w:t xml:space="preserve">4、乙方承诺按照法律法规、相关规范及合同约定完成本项目检测工作，确保检测质量和安全，并出具符合相关规范要求的检测报告，不进行转包及违法分包。</w:t>
      </w:r>
      <w:r/>
    </w:p>
    <w:p>
      <w:pPr>
        <w:pStyle w:val="755"/>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lang w:val="en-US" w:eastAsia="zh-CN"/>
          <w14:textFill>
            <w14:solidFill>
              <w14:schemeClr w14:val="tx1"/>
            </w14:solidFill>
          </w14:textFill>
        </w:rPr>
        <w:t xml:space="preserve">5</w:t>
      </w:r>
      <w:r>
        <w:rPr>
          <w:rFonts w:eastAsia="宋体"/>
          <w:color w:val="000000" w:themeColor="text1"/>
          <w:sz w:val="21"/>
          <w:szCs w:val="21"/>
          <w:highlight w:val="none"/>
          <w14:textFill>
            <w14:solidFill>
              <w14:schemeClr w14:val="tx1"/>
            </w14:solidFill>
          </w14:textFill>
        </w:rPr>
        <w:t xml:space="preserve">、合同价款的支付及付款方式</w:t>
      </w:r>
      <w:r/>
    </w:p>
    <w:p>
      <w:pPr>
        <w:pStyle w:val="755"/>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（1）本项目检测收费标准：《江苏省建设工程质量检测和建筑材料试验收费标准》、《苏州市工程质量检测和建筑试验收费参考价（2025版）》、《江苏省水利工程质量检测行业收费参考价》</w:t>
      </w:r>
      <w:r>
        <w:rPr>
          <w:rFonts w:hint="eastAsia" w:eastAsia="宋体"/>
          <w:color w:val="000000" w:themeColor="text1"/>
          <w:sz w:val="21"/>
          <w:szCs w:val="21"/>
          <w:highlight w:val="none"/>
          <w14:textFill>
            <w14:solidFill>
              <w14:schemeClr w14:val="tx1"/>
            </w14:solidFill>
          </w14:textFill>
        </w:rPr>
        <w:t xml:space="preserve">（</w:t>
      </w:r>
      <w:r>
        <w:rPr>
          <w:rFonts w:hint="eastAsia" w:eastAsia="宋体"/>
          <w:color w:val="000000" w:themeColor="text1"/>
          <w:sz w:val="21"/>
          <w:szCs w:val="21"/>
          <w:highlight w:val="none"/>
          <w:lang w:val="en-US" w:eastAsia="zh-CN"/>
          <w14:textFill>
            <w14:solidFill>
              <w14:schemeClr w14:val="tx1"/>
            </w14:solidFill>
          </w14:textFill>
        </w:rPr>
        <w:t xml:space="preserve">综合</w:t>
      </w:r>
      <w:r>
        <w:rPr>
          <w:rFonts w:hint="eastAsia" w:eastAsia="宋体"/>
          <w:color w:val="000000" w:themeColor="text1"/>
          <w:sz w:val="21"/>
          <w:szCs w:val="21"/>
          <w:highlight w:val="none"/>
          <w14:textFill>
            <w14:solidFill>
              <w14:schemeClr w14:val="tx1"/>
            </w14:solidFill>
          </w14:textFill>
        </w:rPr>
        <w:t xml:space="preserve">三个参考价中重复项目参照价格最低的</w:t>
      </w:r>
      <w:r>
        <w:rPr>
          <w:rFonts w:hint="eastAsia" w:eastAsia="宋体"/>
          <w:color w:val="000000" w:themeColor="text1"/>
          <w:sz w:val="21"/>
          <w:szCs w:val="21"/>
          <w:highlight w:val="none"/>
          <w:lang w:val="en-US" w:eastAsia="zh-CN"/>
          <w14:textFill>
            <w14:solidFill>
              <w14:schemeClr w14:val="tx1"/>
            </w14:solidFill>
          </w14:textFill>
        </w:rPr>
        <w:t xml:space="preserve">执行</w:t>
      </w:r>
      <w:r>
        <w:rPr>
          <w:rFonts w:hint="eastAsia" w:eastAsia="宋体"/>
          <w:color w:val="000000" w:themeColor="text1"/>
          <w:sz w:val="21"/>
          <w:szCs w:val="21"/>
          <w:highlight w:val="none"/>
          <w14:textFill>
            <w14:solidFill>
              <w14:schemeClr w14:val="tx1"/>
            </w14:solidFill>
          </w14:textFill>
        </w:rPr>
        <w:t xml:space="preserve">）</w:t>
      </w:r>
      <w:r>
        <w:rPr>
          <w:rFonts w:hint="eastAsia" w:eastAsia="宋体"/>
          <w:color w:val="000000" w:themeColor="text1"/>
          <w:sz w:val="21"/>
          <w:szCs w:val="21"/>
          <w:highlight w:val="none"/>
          <w14:textFill>
            <w14:solidFill>
              <w14:schemeClr w14:val="tx1"/>
            </w14:solidFill>
          </w14:textFill>
        </w:rPr>
        <w:t xml:space="preserve">。</w:t>
      </w:r>
      <w:r/>
    </w:p>
    <w:p>
      <w:pPr>
        <w:pStyle w:val="755"/>
        <w:spacing w:line="360" w:lineRule="auto"/>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（2）</w:t>
      </w:r>
      <w:r>
        <w:rPr>
          <w:rFonts w:eastAsia="宋体"/>
          <w:color w:val="000000" w:themeColor="text1"/>
          <w:sz w:val="21"/>
          <w:szCs w:val="21"/>
          <w:highlight w:val="none"/>
          <w14:textFill>
            <w14:solidFill>
              <w14:schemeClr w14:val="tx1"/>
            </w14:solidFill>
          </w14:textFill>
        </w:rPr>
        <w:t xml:space="preserve">支付方式：</w:t>
      </w:r>
      <w:r>
        <w:rPr>
          <w:rFonts w:hint="eastAsia" w:eastAsia="宋体"/>
          <w:color w:val="000000" w:themeColor="text1"/>
          <w:sz w:val="21"/>
          <w:szCs w:val="21"/>
          <w:highlight w:val="none"/>
          <w:u w:val="single"/>
          <w14:textFill>
            <w14:solidFill>
              <w14:schemeClr w14:val="tx1"/>
            </w14:solidFill>
          </w14:textFill>
        </w:rPr>
        <w:t xml:space="preserve">按实结算(但相关单价、总价不得超过招标文件、投标文件及本合同约定)。本项目随昆山市城市污水收集处理设施改造工程的37个施工标段开展质量检测工作，质量检测进度款分标段支付，尾款按项目整体支付，具体支付节点与条件如下:</w:t>
      </w:r>
      <w:r/>
    </w:p>
    <w:p>
      <w:pPr>
        <w:pStyle w:val="755"/>
        <w:spacing w:line="360" w:lineRule="auto"/>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u w:val="single"/>
          <w14:textFill>
            <w14:solidFill>
              <w14:schemeClr w14:val="tx1"/>
            </w14:solidFill>
          </w14:textFill>
        </w:rPr>
        <w:t xml:space="preserve">①单个标段完成经甲方及政府质量安全部门确定的标段总工程量的50%,支付不超过该标段经核定工程量 70%的进度款。</w:t>
      </w:r>
      <w:r/>
    </w:p>
    <w:p>
      <w:pPr>
        <w:pStyle w:val="755"/>
        <w:spacing w:line="360" w:lineRule="auto"/>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u w:val="single"/>
          <w14:textFill>
            <w14:solidFill>
              <w14:schemeClr w14:val="tx1"/>
            </w14:solidFill>
          </w14:textFill>
        </w:rPr>
        <w:t xml:space="preserve">②乙方完成单个标段质量检测工作并提交该标段质量检测报告后,支付该标段经核定工程量不超过 80%的进度款。</w:t>
      </w:r>
      <w:r/>
    </w:p>
    <w:p>
      <w:pPr>
        <w:pStyle w:val="755"/>
        <w:spacing w:line="360" w:lineRule="auto"/>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u w:val="single"/>
          <w14:textFill>
            <w14:solidFill>
              <w14:schemeClr w14:val="tx1"/>
            </w14:solidFill>
          </w14:textFill>
        </w:rPr>
        <w:t xml:space="preserve">③项目整体完成验收合格且完成竣工备案后尾款一次性付清。</w:t>
      </w:r>
      <w:r/>
    </w:p>
    <w:p>
      <w:pPr>
        <w:pStyle w:val="755"/>
        <w:spacing w:line="360" w:lineRule="auto"/>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u w:val="single"/>
          <w14:textFill>
            <w14:solidFill>
              <w14:schemeClr w14:val="tx1"/>
            </w14:solidFill>
          </w14:textFill>
        </w:rPr>
        <w:t xml:space="preserve">以上支付金额具体以市财政当年度财政预算按比例支付。</w:t>
      </w:r>
      <w:r/>
    </w:p>
    <w:p>
      <w:pPr>
        <w:ind w:firstLine="420"/>
        <w:rPr>
          <w:b/>
          <w:bCs/>
          <w:i/>
          <w:iCs/>
          <w:color w:val="000000" w:themeColor="text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6、</w:t>
      </w:r>
      <w:r>
        <w:rPr>
          <w:rFonts w:eastAsia="宋体"/>
          <w:color w:val="000000" w:themeColor="text1"/>
          <w:sz w:val="21"/>
          <w:szCs w:val="21"/>
          <w:highlight w:val="none"/>
          <w14:textFill>
            <w14:solidFill>
              <w14:schemeClr w14:val="tx1"/>
            </w14:solidFill>
          </w14:textFill>
        </w:rPr>
        <w:t xml:space="preserve">本项目合同总价为人民币</w:t>
      </w:r>
      <w:r>
        <w:rPr>
          <w:rFonts w:eastAsia="宋体"/>
          <w:color w:val="000000" w:themeColor="text1"/>
          <w:sz w:val="21"/>
          <w:szCs w:val="21"/>
          <w:highlight w:val="none"/>
          <w:u w:val="single"/>
          <w14:textFill>
            <w14:solidFill>
              <w14:schemeClr w14:val="tx1"/>
            </w14:solidFill>
          </w14:textFill>
        </w:rPr>
        <w:t xml:space="preserve">                </w:t>
      </w:r>
      <w:r>
        <w:rPr>
          <w:rFonts w:eastAsia="宋体"/>
          <w:color w:val="000000" w:themeColor="text1"/>
          <w:sz w:val="21"/>
          <w:szCs w:val="21"/>
          <w:highlight w:val="none"/>
          <w14:textFill>
            <w14:solidFill>
              <w14:schemeClr w14:val="tx1"/>
            </w14:solidFill>
          </w14:textFill>
        </w:rPr>
        <w:t xml:space="preserve">（大写） （￥</w:t>
      </w:r>
      <w:r>
        <w:rPr>
          <w:rFonts w:eastAsia="宋体"/>
          <w:color w:val="000000" w:themeColor="text1"/>
          <w:sz w:val="21"/>
          <w:szCs w:val="21"/>
          <w:highlight w:val="none"/>
          <w:u w:val="single"/>
          <w14:textFill>
            <w14:solidFill>
              <w14:schemeClr w14:val="tx1"/>
            </w14:solidFill>
          </w14:textFill>
        </w:rPr>
        <w:t xml:space="preserve">          </w:t>
      </w:r>
      <w:r>
        <w:rPr>
          <w:rFonts w:eastAsia="宋体"/>
          <w:color w:val="000000" w:themeColor="text1"/>
          <w:sz w:val="21"/>
          <w:szCs w:val="21"/>
          <w:highlight w:val="none"/>
          <w14:textFill>
            <w14:solidFill>
              <w14:schemeClr w14:val="tx1"/>
            </w14:solidFill>
          </w14:textFill>
        </w:rPr>
        <w:t xml:space="preserve">元），</w:t>
      </w:r>
      <w:r>
        <w:rPr>
          <w:rFonts w:hint="eastAsia" w:eastAsia="宋体"/>
          <w:color w:val="000000" w:themeColor="text1"/>
          <w:sz w:val="21"/>
          <w:szCs w:val="21"/>
          <w:highlight w:val="none"/>
          <w14:textFill>
            <w14:solidFill>
              <w14:schemeClr w14:val="tx1"/>
            </w14:solidFill>
          </w14:textFill>
        </w:rPr>
        <w:t xml:space="preserve">最终结算金额按备案过的综合检测方案、综合检测计划内工程量为准，但最高金额不超合同价</w:t>
      </w:r>
      <w:r>
        <w:rPr>
          <w:rFonts w:eastAsia="宋体"/>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lang w:eastAsia="zh-CN"/>
          <w14:textFill>
            <w14:solidFill>
              <w14:schemeClr w14:val="tx1"/>
            </w14:solidFill>
          </w14:textFill>
        </w:rPr>
        <w:t xml:space="preserve">（</w:t>
      </w:r>
      <w:r>
        <w:rPr>
          <w:rFonts w:hint="eastAsia" w:eastAsia="宋体"/>
          <w:b/>
          <w:bCs/>
          <w:i/>
          <w:iCs/>
          <w:color w:val="000000" w:themeColor="text1"/>
          <w:sz w:val="21"/>
          <w:szCs w:val="21"/>
          <w:highlight w:val="none"/>
          <w:lang w:val="en-US" w:eastAsia="zh-CN"/>
          <w14:textFill>
            <w14:solidFill>
              <w14:schemeClr w14:val="tx1"/>
            </w14:solidFill>
          </w14:textFill>
        </w:rPr>
        <w:t xml:space="preserve">如联合体投标的，联合体各方若明确工作内容，则</w:t>
      </w:r>
      <w:r>
        <w:rPr>
          <w:rFonts w:hint="eastAsia"/>
          <w:b/>
          <w:bCs/>
          <w:i/>
          <w:iCs/>
          <w:color w:val="000000" w:themeColor="text1"/>
          <w:sz w:val="21"/>
          <w:szCs w:val="21"/>
          <w:highlight w:val="none"/>
          <w:lang w:val="en-US" w:eastAsia="zh-CN"/>
          <w14:textFill>
            <w14:solidFill>
              <w14:schemeClr w14:val="tx1"/>
            </w14:solidFill>
          </w14:textFill>
        </w:rPr>
        <w:t xml:space="preserve">资金支付时按实际情况</w:t>
      </w:r>
      <w:r>
        <w:rPr>
          <w:rFonts w:hint="eastAsia" w:eastAsia="宋体"/>
          <w:b/>
          <w:bCs/>
          <w:i/>
          <w:iCs/>
          <w:color w:val="000000" w:themeColor="text1"/>
          <w:sz w:val="21"/>
          <w:szCs w:val="21"/>
          <w:highlight w:val="none"/>
          <w:lang w:val="en-US" w:eastAsia="zh-CN"/>
          <w14:textFill>
            <w14:solidFill>
              <w14:schemeClr w14:val="tx1"/>
            </w14:solidFill>
          </w14:textFill>
        </w:rPr>
        <w:t xml:space="preserve">分别支付给联合体各方。若不明确，</w:t>
      </w:r>
      <w:r>
        <w:rPr>
          <w:rFonts w:hint="eastAsia"/>
          <w:b/>
          <w:bCs/>
          <w:i/>
          <w:iCs/>
          <w:color w:val="000000" w:themeColor="text1"/>
          <w:sz w:val="21"/>
          <w:szCs w:val="21"/>
          <w:highlight w:val="none"/>
          <w:lang w:val="en-US" w:eastAsia="zh-CN"/>
          <w14:textFill>
            <w14:solidFill>
              <w14:schemeClr w14:val="tx1"/>
            </w14:solidFill>
          </w14:textFill>
        </w:rPr>
        <w:t xml:space="preserve">则按合同完成情况</w:t>
      </w:r>
      <w:r>
        <w:rPr>
          <w:rFonts w:hint="eastAsia" w:eastAsia="宋体"/>
          <w:b/>
          <w:bCs/>
          <w:i/>
          <w:iCs/>
          <w:color w:val="000000" w:themeColor="text1"/>
          <w:sz w:val="21"/>
          <w:szCs w:val="21"/>
          <w:highlight w:val="none"/>
          <w:lang w:val="en-US" w:eastAsia="zh-CN"/>
          <w14:textFill>
            <w14:solidFill>
              <w14:schemeClr w14:val="tx1"/>
            </w14:solidFill>
          </w14:textFill>
        </w:rPr>
        <w:t xml:space="preserve">支付给联合体牵头单位。</w:t>
      </w:r>
      <w:r>
        <w:rPr>
          <w:rFonts w:hint="eastAsia"/>
          <w:color w:val="000000" w:themeColor="text1"/>
          <w:sz w:val="21"/>
          <w:szCs w:val="21"/>
          <w:highlight w:val="none"/>
          <w:lang w:eastAsia="zh-CN"/>
          <w14:textFill>
            <w14:solidFill>
              <w14:schemeClr w14:val="tx1"/>
            </w14:solidFill>
          </w14:textFill>
        </w:rPr>
        <w:t xml:space="preserve">）</w:t>
      </w:r>
      <w:r/>
    </w:p>
    <w:p>
      <w:pPr>
        <w:pStyle w:val="755"/>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lang w:val="en-US" w:eastAsia="zh-CN"/>
          <w14:textFill>
            <w14:solidFill>
              <w14:schemeClr w14:val="tx1"/>
            </w14:solidFill>
          </w14:textFill>
        </w:rPr>
        <w:t xml:space="preserve">7</w:t>
      </w:r>
      <w:r>
        <w:rPr>
          <w:rFonts w:hint="eastAsia" w:eastAsia="宋体"/>
          <w:color w:val="000000" w:themeColor="text1"/>
          <w:sz w:val="21"/>
          <w:szCs w:val="21"/>
          <w:highlight w:val="none"/>
          <w14:textFill>
            <w14:solidFill>
              <w14:schemeClr w14:val="tx1"/>
            </w14:solidFill>
          </w14:textFill>
        </w:rPr>
        <w:t xml:space="preserve">、乙方要求付款应提供以下资料：</w:t>
      </w:r>
      <w:r/>
    </w:p>
    <w:p>
      <w:pPr>
        <w:pStyle w:val="755"/>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（1）合格的发票。</w:t>
      </w:r>
      <w:r/>
    </w:p>
    <w:p>
      <w:pPr>
        <w:pStyle w:val="755"/>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（2）甲方下发的任务通知单、合同复印件。</w:t>
      </w:r>
      <w:r/>
    </w:p>
    <w:p>
      <w:pPr>
        <w:pStyle w:val="755"/>
        <w:spacing w:line="360" w:lineRule="auto"/>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（3）检测成果报告、验收合格证书</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三、违约责任</w:t>
      </w:r>
      <w:r/>
    </w:p>
    <w:p>
      <w:pPr>
        <w:pStyle w:val="984"/>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1、若乙方没有按照甲方的要求，配备相应的服务人员，或者提供的服务不合格的，甲方有权解除合同并由乙方赔偿本合同金额10%的违约金，违约金不足以弥补损失的，甲方有权继续主张相应损失赔偿。</w:t>
      </w:r>
      <w:r/>
    </w:p>
    <w:p>
      <w:pPr>
        <w:pStyle w:val="984"/>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乙方须在甲方要求的规定时间内组织检测队伍进场作业，保证工期按时完成，并提交成果由甲方验收。在甲方提供了必要的工作、生活条件，并且保证了工程款按时到位，乙方未能按合同规定的日期提交检测成果时，应按照500元/天进行 承担违约金。因天气、交通、政府行为、甲方提供的资料不准确等客观原因造成的工程拖期，乙方不承担赔偿责任。乙方逾期提供检测成果超过15天的，甲方有权解除合同并由乙方赔偿本合同金额10%的违约金，违约金不足以弥补损失的，甲方有权继续主张相应损失赔偿。</w:t>
      </w:r>
      <w:r/>
    </w:p>
    <w:p>
      <w:pPr>
        <w:pStyle w:val="984"/>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3、乙方应在合同所规定的工期内提供真实、准确的检测</w:t>
      </w:r>
      <w:r>
        <w:rPr>
          <w:rFonts w:hint="eastAsia"/>
          <w:color w:val="000000" w:themeColor="text1"/>
          <w:szCs w:val="21"/>
          <w:highlight w:val="none"/>
          <w14:textFill>
            <w14:solidFill>
              <w14:schemeClr w14:val="tx1"/>
            </w14:solidFill>
          </w14:textFill>
        </w:rPr>
        <w:t xml:space="preserve">成果，为甲方工程验收提供有力的参考依据。若存在乙方检测成果与实际情况不符合，乙方应负责无偿予以重测或采取补救措施，且每发现1处，乙方须按照5000元/处进行承担违约金；因检测成果严重失实（而又非甲方提供的图纸资料原因所致）造成后果时，甲方有权扣除全部合同费用并解除合同，同时乙方应赔偿甲方本合同金额20%的违约金。若发现乙方与相关单位恶意串通，隐瞒或篡改真实检测数据，甲方有权扣除全部合同费用并解除合同同时乙方应赔偿甲方本合同金额20%的违约金。此外，如违约金不足以赔偿甲方损失的，甲方有权继续主张相应损失赔偿。</w:t>
      </w:r>
      <w:r/>
    </w:p>
    <w:p>
      <w:pPr>
        <w:pStyle w:val="984"/>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4、乙方接到甲方电话通知后，应按照承诺的响应时间及时到达现场，并在约定时间内完成，如不能按时到达现场及完成的，应按照2000元/次承担违约金。</w:t>
      </w:r>
      <w:r/>
    </w:p>
    <w:p>
      <w:pPr>
        <w:pStyle w:val="984"/>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 安全责任方面：乙方在服务过程中应符合操作规范，如发生安全事故，一切有乙方自行承担，与甲方无关。情节严重的，甲方有权单方面解除合同，同时乙方应赔偿甲方本合同金额20%的违约金。</w:t>
      </w:r>
      <w:r/>
    </w:p>
    <w:p>
      <w:pPr>
        <w:pStyle w:val="769"/>
        <w:ind w:firstLine="420"/>
        <w:rPr>
          <w:rFonts w:hint="eastAsia"/>
          <w:color w:val="000000" w:themeColor="text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在协议有效期内乙方不得擅自变更、中止或解除合同。如未经双方同意，乙方擅自变更、中止或解除合同，甲方有权解除合同并要求乙方赔偿本合同金额的20%作为违约金。若违约金不足以弥补甲方因乙方擅自变更、中止或解除合同受到的损失，甲方有权继续主张相应损失赔偿。</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四</w:t>
      </w:r>
      <w:r>
        <w:rPr>
          <w:color w:val="000000" w:themeColor="text1"/>
          <w:szCs w:val="21"/>
          <w:highlight w:val="none"/>
          <w14:textFill>
            <w14:solidFill>
              <w14:schemeClr w14:val="tx1"/>
            </w14:solidFill>
          </w14:textFill>
        </w:rPr>
        <w:t xml:space="preserve">、不可抗力</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1、因不可抗力（或甲、乙双方不能控制的原因）不能履行合同的，根据不可抗力的影响，部分或者全部免除责任。但合同一方迟延履行后发生不可抗力的，不能免除责任。</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五</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合同的效力及变更</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1、本合同经双方法定代表人或委托代理人签字并加盖公章后生效，本合同附件为合同的组成部分，与合同具有同等法律效力；</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2、本合同生效后，除双方另行商定并达成书面协议或本合同另有约定或法律规定的原因外，任何一方不得单方解除本合同；</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3、本合同的变更，除双方另有约定外，均需双方共同协商同意并以书面方式做出，其中包括与该变更有关的费用调整；</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4、本合同未尽事宜，由双方另行协商并达成一致后，可以签订补充协议。补充协议是本合同的有效组成部分，与本合同具有同等法律效力。如补充协议的约定与本合同不一致的，则以补充协议为准。</w:t>
      </w:r>
      <w:r>
        <w:rPr>
          <w:color w:val="000000" w:themeColor="text1"/>
          <w:szCs w:val="21"/>
          <w:highlight w:val="none"/>
          <w14:textFill>
            <w14:solidFill>
              <w14:schemeClr w14:val="tx1"/>
            </w14:solidFill>
          </w14:textFill>
        </w:rPr>
        <w:t xml:space="preserve"> </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六、争议处理：</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双方在履行本合同的过程中若发生纠纷,应通过友好协商解决。协商不一致的，按以下第 1  种方式解决：</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（一）向甲方住所地人民法院起诉；</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（二）提交仲裁委员会（仲裁地点为 ）,按照申请仲裁时该会现行有效的仲裁规则进行仲裁。仲裁裁决是终局的，对双方均有约束力。</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在诉讼或仲裁期间，本合同不涉及争议部分的条款仍须履行。</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七</w:t>
      </w:r>
      <w:r>
        <w:rPr>
          <w:color w:val="000000" w:themeColor="text1"/>
          <w:szCs w:val="21"/>
          <w:highlight w:val="none"/>
          <w14:textFill>
            <w14:solidFill>
              <w14:schemeClr w14:val="tx1"/>
            </w14:solidFill>
          </w14:textFill>
        </w:rPr>
        <w:t xml:space="preserve">、合同的解除和转让</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1、甲方和乙方协商一致，可以解除合同。</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2、有下列情形之一，合同一方可以解除合同：</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（1）因不可抗力致使不能实现合同目的，</w:t>
      </w:r>
      <w:r>
        <w:rPr>
          <w:rFonts w:hint="eastAsia"/>
          <w:color w:val="000000" w:themeColor="text1"/>
          <w:szCs w:val="21"/>
          <w:highlight w:val="none"/>
          <w14:textFill>
            <w14:solidFill>
              <w14:schemeClr w14:val="tx1"/>
            </w14:solidFill>
          </w14:textFill>
        </w:rPr>
        <w:t xml:space="preserve">双方</w:t>
      </w:r>
      <w:r>
        <w:rPr>
          <w:color w:val="000000" w:themeColor="text1"/>
          <w:szCs w:val="21"/>
          <w:highlight w:val="none"/>
          <w14:textFill>
            <w14:solidFill>
              <w14:schemeClr w14:val="tx1"/>
            </w14:solidFill>
          </w14:textFill>
        </w:rPr>
        <w:t xml:space="preserve">有权解除合同；</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（2）因合同一方违约导致合同不能履行，另一方有权解除合同。</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3、有权解除合同的一方，应当在违约事实或不可抗力发生之后三十天内书面通知对方提出解除合同，合同在书面通知到达对方时解除。</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4、合同的部分和全部都不得转让。</w:t>
      </w:r>
      <w:r/>
    </w:p>
    <w:p>
      <w:pPr>
        <w:ind w:firstLine="420"/>
        <w:spacing w:line="360" w:lineRule="auto"/>
        <w:rPr>
          <w:color w:val="000000" w:themeColor="text1"/>
          <w:szCs w:val="21"/>
          <w:highlight w:val="none"/>
          <w14:textFill>
            <w14:solidFill>
              <w14:schemeClr w14:val="tx1"/>
            </w14:solidFill>
          </w14:textFill>
        </w:rPr>
        <w:outlineLvl w:val="0"/>
      </w:pPr>
      <w:r>
        <w:rPr>
          <w:rFonts w:hint="eastAsia"/>
          <w:color w:val="000000" w:themeColor="text1"/>
          <w:szCs w:val="21"/>
          <w:highlight w:val="none"/>
          <w14:textFill>
            <w14:solidFill>
              <w14:schemeClr w14:val="tx1"/>
            </w14:solidFill>
          </w14:textFill>
        </w:rPr>
        <w:t xml:space="preserve">八</w:t>
      </w:r>
      <w:r>
        <w:rPr>
          <w:color w:val="000000" w:themeColor="text1"/>
          <w:szCs w:val="21"/>
          <w:highlight w:val="none"/>
          <w14:textFill>
            <w14:solidFill>
              <w14:schemeClr w14:val="tx1"/>
            </w14:solidFill>
          </w14:textFill>
        </w:rPr>
        <w:t xml:space="preserve">、其它</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乙方除应做好职工的安全生产教育外，还应为服务人员提供必要的劳动保护条件，还应办理人身安全保险和意外伤害险，一切安全责任事故均由乙方负责（保险种类由乙方自行选择）；</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本合同未尽之处双方协商解决，解决不成，双方向甲方所在地的人民法院提起诉讼。</w:t>
      </w:r>
      <w:r/>
    </w:p>
    <w:p>
      <w:pPr>
        <w:pStyle w:val="766"/>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本协议附件与本协议具有同等法律效力。合同一式四份，甲方执二份，乙方执一份，招标代理机构一份。</w:t>
      </w:r>
      <w:r/>
    </w:p>
    <w:p>
      <w:pPr>
        <w:ind w:firstLine="420"/>
        <w:spacing w:line="360" w:lineRule="auto"/>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r>
      <w:r/>
    </w:p>
    <w:p>
      <w:pPr>
        <w:spacing w:line="360" w:lineRule="auto"/>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lang w:val="zh-CN"/>
          <w14:textFill>
            <w14:solidFill>
              <w14:schemeClr w14:val="tx1"/>
            </w14:solidFill>
          </w14:textFill>
        </w:rPr>
        <w:t xml:space="preserve">                      </w:t>
      </w:r>
      <w:r/>
    </w:p>
    <w:p>
      <w:pPr>
        <w:spacing w:line="360" w:lineRule="auto"/>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法定代表人（授权代表）：</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法定代表人（授权代表）：</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 </w:t>
      </w:r>
      <w:r>
        <w:rPr>
          <w:rFonts w:ascii="宋体" w:hAnsi="宋体"/>
          <w:color w:val="000000" w:themeColor="text1"/>
          <w:szCs w:val="21"/>
          <w:highlight w:val="none"/>
          <w:lang w:val="zh-CN"/>
          <w14:textFill>
            <w14:solidFill>
              <w14:schemeClr w14:val="tx1"/>
            </w14:solidFill>
          </w14:textFill>
        </w:rPr>
        <w:t xml:space="preserve">    </w:t>
      </w:r>
      <w:r/>
    </w:p>
    <w:p>
      <w:pPr>
        <w:spacing w:line="360" w:lineRule="auto"/>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签约日期：</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签约日期：</w:t>
      </w:r>
      <w:r>
        <w:rPr>
          <w:rFonts w:ascii="宋体" w:hAnsi="宋体"/>
          <w:color w:val="000000" w:themeColor="text1"/>
          <w:szCs w:val="21"/>
          <w:highlight w:val="none"/>
          <w:lang w:val="zh-CN"/>
          <w14:textFill>
            <w14:solidFill>
              <w14:schemeClr w14:val="tx1"/>
            </w14:solidFill>
          </w14:textFill>
        </w:rPr>
        <w:t xml:space="preserve">                  </w:t>
      </w:r>
      <w:r/>
    </w:p>
    <w:p>
      <w:pPr>
        <w:ind w:firstLine="420"/>
        <w:spacing w:line="360" w:lineRule="auto"/>
        <w:rPr>
          <w:rFonts w:hint="eastAsia"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ab/>
      </w:r>
      <w:r>
        <w:rPr>
          <w:rFonts w:ascii="宋体" w:hAnsi="宋体"/>
          <w:color w:val="000000" w:themeColor="text1"/>
          <w:szCs w:val="21"/>
          <w:highlight w:val="none"/>
          <w:lang w:val="zh-CN"/>
          <w14:textFill>
            <w14:solidFill>
              <w14:schemeClr w14:val="tx1"/>
            </w14:solidFill>
          </w14:textFill>
        </w:rPr>
        <w:tab/>
      </w:r>
      <w:r>
        <w:rPr>
          <w:rFonts w:ascii="宋体" w:hAnsi="宋体"/>
          <w:color w:val="000000" w:themeColor="text1"/>
          <w:szCs w:val="21"/>
          <w:highlight w:val="none"/>
          <w:lang w:val="zh-CN"/>
          <w14:textFill>
            <w14:solidFill>
              <w14:schemeClr w14:val="tx1"/>
            </w14:solidFill>
          </w14:textFill>
        </w:rPr>
        <w:tab/>
      </w:r>
      <w:r>
        <w:rPr>
          <w:rFonts w:ascii="宋体" w:hAnsi="宋体"/>
          <w:color w:val="000000" w:themeColor="text1"/>
          <w:szCs w:val="21"/>
          <w:highlight w:val="none"/>
          <w:lang w:val="zh-CN"/>
          <w14:textFill>
            <w14:solidFill>
              <w14:schemeClr w14:val="tx1"/>
            </w14:solidFill>
          </w14:textFill>
        </w:rPr>
        <w:tab/>
      </w:r>
      <w:r>
        <w:rPr>
          <w:rFonts w:ascii="宋体" w:hAnsi="宋体"/>
          <w:color w:val="000000" w:themeColor="text1"/>
          <w:szCs w:val="21"/>
          <w:highlight w:val="none"/>
          <w:lang w:val="zh-CN"/>
          <w14:textFill>
            <w14:solidFill>
              <w14:schemeClr w14:val="tx1"/>
            </w14:solidFill>
          </w14:textFill>
        </w:rPr>
        <w:tab/>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合同签定地</w:t>
      </w:r>
      <w:r>
        <w:rPr>
          <w:rFonts w:hint="eastAsia"/>
          <w:color w:val="000000" w:themeColor="text1"/>
          <w:szCs w:val="21"/>
          <w:highlight w:val="none"/>
          <w14:textFill>
            <w14:solidFill>
              <w14:schemeClr w14:val="tx1"/>
            </w14:solidFill>
          </w14:textFill>
        </w:rPr>
        <w:t xml:space="preserve">：</w:t>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4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第六章 评标方法、评分标准</w:t>
      </w:r>
      <w:r/>
    </w:p>
    <w:p>
      <w:pP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一、评分办法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2.综合评分的主要因素为：价格、人员配备、技术</w:t>
      </w:r>
      <w:r>
        <w:rPr>
          <w:rFonts w:ascii="宋体" w:hAnsi="宋体"/>
          <w:color w:val="000000" w:themeColor="text1"/>
          <w:szCs w:val="21"/>
          <w:highlight w:val="none"/>
          <w14:textFill>
            <w14:solidFill>
              <w14:schemeClr w14:val="tx1"/>
            </w14:solidFill>
          </w14:textFill>
        </w:rPr>
        <w:t xml:space="preserve">力量、</w:t>
      </w:r>
      <w:r>
        <w:rPr>
          <w:rFonts w:hint="eastAsia" w:ascii="宋体" w:hAnsi="宋体"/>
          <w:color w:val="000000" w:themeColor="text1"/>
          <w:szCs w:val="21"/>
          <w:highlight w:val="none"/>
          <w14:textFill>
            <w14:solidFill>
              <w14:schemeClr w14:val="tx1"/>
            </w14:solidFill>
          </w14:textFill>
        </w:rPr>
        <w:t xml:space="preserve">项目方案、服务保障、投标人的综合情况、业绩、服务、承诺、对招标文件的响应程度，以及相应的比重或者数值等。总分值为100分，价格分值占总分值的比重为10%（权重），商务及技术部分分值占总分值的比重为90%（权重）。</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评标时，评标委员会分别对每个有效投标人的投标书（报价除外）进行评价、打分，</w:t>
      </w:r>
      <w:r>
        <w:rPr>
          <w:rFonts w:hint="eastAsia" w:ascii="宋体" w:hAnsi="宋体"/>
          <w:color w:val="000000" w:themeColor="text1"/>
          <w:szCs w:val="21"/>
          <w:highlight w:val="none"/>
          <w14:textFill>
            <w14:solidFill>
              <w14:schemeClr w14:val="tx1"/>
            </w14:solidFill>
          </w14:textFill>
        </w:rPr>
        <w:t xml:space="preserve">然后通过软件</w:t>
      </w:r>
      <w:r>
        <w:rPr>
          <w:rFonts w:ascii="宋体" w:hAnsi="宋体"/>
          <w:color w:val="000000" w:themeColor="text1"/>
          <w:szCs w:val="21"/>
          <w:highlight w:val="none"/>
          <w14:textFill>
            <w14:solidFill>
              <w14:schemeClr w14:val="tx1"/>
            </w14:solidFill>
          </w14:textFill>
        </w:rPr>
        <w:t xml:space="preserve">进行统计汇总，按算术平均方法计算出每个投标人的得分；报价得分</w:t>
      </w:r>
      <w:r>
        <w:rPr>
          <w:rFonts w:hint="eastAsia" w:ascii="宋体" w:hAnsi="宋体"/>
          <w:color w:val="000000" w:themeColor="text1"/>
          <w:szCs w:val="21"/>
          <w:highlight w:val="none"/>
          <w14:textFill>
            <w14:solidFill>
              <w14:schemeClr w14:val="tx1"/>
            </w14:solidFill>
          </w14:textFill>
        </w:rPr>
        <w:t xml:space="preserve">软件自动生成</w:t>
      </w:r>
      <w:r>
        <w:rPr>
          <w:rFonts w:ascii="宋体" w:hAnsi="宋体"/>
          <w:color w:val="000000" w:themeColor="text1"/>
          <w:szCs w:val="21"/>
          <w:highlight w:val="none"/>
          <w14:textFill>
            <w14:solidFill>
              <w14:schemeClr w14:val="tx1"/>
            </w14:solidFill>
          </w14:textFill>
        </w:rPr>
        <w:t xml:space="preserve">，二者相加为投标人的综合</w:t>
      </w:r>
      <w:r>
        <w:rPr>
          <w:rFonts w:hint="eastAsia" w:ascii="宋体" w:hAnsi="宋体"/>
          <w:color w:val="000000" w:themeColor="text1"/>
          <w:szCs w:val="21"/>
          <w:highlight w:val="none"/>
          <w14:textFill>
            <w14:solidFill>
              <w14:schemeClr w14:val="tx1"/>
            </w14:solidFill>
          </w14:textFill>
        </w:rPr>
        <w:t xml:space="preserve">得</w:t>
      </w:r>
      <w:r>
        <w:rPr>
          <w:rFonts w:ascii="宋体" w:hAnsi="宋体"/>
          <w:color w:val="000000" w:themeColor="text1"/>
          <w:szCs w:val="21"/>
          <w:highlight w:val="none"/>
          <w14:textFill>
            <w14:solidFill>
              <w14:schemeClr w14:val="tx1"/>
            </w14:solidFill>
          </w14:textFill>
        </w:rPr>
        <w:t xml:space="preserve">分（各项得分按四舍五入原则精确到小数点后两位）。综合</w:t>
      </w:r>
      <w:r>
        <w:rPr>
          <w:rFonts w:hint="eastAsia" w:ascii="宋体" w:hAnsi="宋体"/>
          <w:color w:val="000000" w:themeColor="text1"/>
          <w:szCs w:val="21"/>
          <w:highlight w:val="none"/>
          <w14:textFill>
            <w14:solidFill>
              <w14:schemeClr w14:val="tx1"/>
            </w14:solidFill>
          </w14:textFill>
        </w:rPr>
        <w:t xml:space="preserve">得</w:t>
      </w:r>
      <w:r>
        <w:rPr>
          <w:rFonts w:ascii="宋体" w:hAnsi="宋体"/>
          <w:color w:val="000000" w:themeColor="text1"/>
          <w:szCs w:val="21"/>
          <w:highlight w:val="none"/>
          <w14:textFill>
            <w14:solidFill>
              <w14:schemeClr w14:val="tx1"/>
            </w14:solidFill>
          </w14:textFill>
        </w:rPr>
        <w:t xml:space="preserve">分相同的，按</w:t>
      </w:r>
      <w:r>
        <w:rPr>
          <w:rFonts w:hint="eastAsia" w:ascii="宋体" w:hAnsi="宋体"/>
          <w:color w:val="000000" w:themeColor="text1"/>
          <w:szCs w:val="21"/>
          <w:highlight w:val="none"/>
          <w14:textFill>
            <w14:solidFill>
              <w14:schemeClr w14:val="tx1"/>
            </w14:solidFill>
          </w14:textFill>
        </w:rPr>
        <w:t xml:space="preserve">投标报价</w:t>
      </w:r>
      <w:r>
        <w:rPr>
          <w:rFonts w:ascii="宋体" w:hAnsi="宋体"/>
          <w:color w:val="000000" w:themeColor="text1"/>
          <w:szCs w:val="21"/>
          <w:highlight w:val="none"/>
          <w14:textFill>
            <w14:solidFill>
              <w14:schemeClr w14:val="tx1"/>
            </w14:solidFill>
          </w14:textFill>
        </w:rPr>
        <w:t xml:space="preserve">由低到高顺序排列；综合</w:t>
      </w:r>
      <w:r>
        <w:rPr>
          <w:rFonts w:hint="eastAsia" w:ascii="宋体" w:hAnsi="宋体"/>
          <w:color w:val="000000" w:themeColor="text1"/>
          <w:szCs w:val="21"/>
          <w:highlight w:val="none"/>
          <w14:textFill>
            <w14:solidFill>
              <w14:schemeClr w14:val="tx1"/>
            </w14:solidFill>
          </w14:textFill>
        </w:rPr>
        <w:t xml:space="preserve">得</w:t>
      </w:r>
      <w:r>
        <w:rPr>
          <w:rFonts w:ascii="宋体" w:hAnsi="宋体"/>
          <w:color w:val="000000" w:themeColor="text1"/>
          <w:szCs w:val="21"/>
          <w:highlight w:val="none"/>
          <w14:textFill>
            <w14:solidFill>
              <w14:schemeClr w14:val="tx1"/>
            </w14:solidFill>
          </w14:textFill>
        </w:rPr>
        <w:t xml:space="preserve">分相同，且</w:t>
      </w:r>
      <w:r>
        <w:rPr>
          <w:rFonts w:hint="eastAsia" w:ascii="宋体" w:hAnsi="宋体"/>
          <w:color w:val="000000" w:themeColor="text1"/>
          <w:szCs w:val="21"/>
          <w:highlight w:val="none"/>
          <w14:textFill>
            <w14:solidFill>
              <w14:schemeClr w14:val="tx1"/>
            </w14:solidFill>
          </w14:textFill>
        </w:rPr>
        <w:t xml:space="preserve">投标报价</w:t>
      </w:r>
      <w:r>
        <w:rPr>
          <w:rFonts w:ascii="宋体" w:hAnsi="宋体"/>
          <w:color w:val="000000" w:themeColor="text1"/>
          <w:szCs w:val="21"/>
          <w:highlight w:val="none"/>
          <w14:textFill>
            <w14:solidFill>
              <w14:schemeClr w14:val="tx1"/>
            </w14:solidFill>
          </w14:textFill>
        </w:rPr>
        <w:t xml:space="preserve">相同的，按技术评分由高到低顺序排列</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综合</w:t>
      </w:r>
      <w:r>
        <w:rPr>
          <w:rFonts w:hint="eastAsia" w:ascii="宋体" w:hAnsi="宋体"/>
          <w:color w:val="000000" w:themeColor="text1"/>
          <w:szCs w:val="21"/>
          <w:highlight w:val="none"/>
          <w14:textFill>
            <w14:solidFill>
              <w14:schemeClr w14:val="tx1"/>
            </w14:solidFill>
          </w14:textFill>
        </w:rPr>
        <w:t xml:space="preserve">得</w:t>
      </w:r>
      <w:r>
        <w:rPr>
          <w:rFonts w:ascii="宋体" w:hAnsi="宋体"/>
          <w:color w:val="000000" w:themeColor="text1"/>
          <w:szCs w:val="21"/>
          <w:highlight w:val="none"/>
          <w14:textFill>
            <w14:solidFill>
              <w14:schemeClr w14:val="tx1"/>
            </w14:solidFill>
          </w14:textFill>
        </w:rPr>
        <w:t xml:space="preserve">分相同，且</w:t>
      </w:r>
      <w:r>
        <w:rPr>
          <w:rFonts w:hint="eastAsia" w:ascii="宋体" w:hAnsi="宋体"/>
          <w:color w:val="000000" w:themeColor="text1"/>
          <w:szCs w:val="21"/>
          <w:highlight w:val="none"/>
          <w14:textFill>
            <w14:solidFill>
              <w14:schemeClr w14:val="tx1"/>
            </w14:solidFill>
          </w14:textFill>
        </w:rPr>
        <w:t xml:space="preserve">投标报价</w:t>
      </w:r>
      <w:r>
        <w:rPr>
          <w:rFonts w:ascii="宋体" w:hAnsi="宋体"/>
          <w:color w:val="000000" w:themeColor="text1"/>
          <w:szCs w:val="21"/>
          <w:highlight w:val="none"/>
          <w14:textFill>
            <w14:solidFill>
              <w14:schemeClr w14:val="tx1"/>
            </w14:solidFill>
          </w14:textFill>
        </w:rPr>
        <w:t xml:space="preserve">和技术评分均相同的，</w:t>
      </w:r>
      <w:r>
        <w:rPr>
          <w:rFonts w:hint="eastAsia" w:ascii="宋体" w:hAnsi="宋体"/>
          <w:color w:val="000000" w:themeColor="text1"/>
          <w:szCs w:val="21"/>
          <w:highlight w:val="none"/>
          <w14:textFill>
            <w14:solidFill>
              <w14:schemeClr w14:val="tx1"/>
            </w14:solidFill>
          </w14:textFill>
        </w:rPr>
        <w:t xml:space="preserve">则以</w:t>
      </w:r>
      <w:r>
        <w:rPr>
          <w:rFonts w:ascii="宋体" w:hAnsi="宋体"/>
          <w:color w:val="000000" w:themeColor="text1"/>
          <w:szCs w:val="21"/>
          <w:highlight w:val="none"/>
          <w14:textFill>
            <w14:solidFill>
              <w14:schemeClr w14:val="tx1"/>
            </w14:solidFill>
          </w14:textFill>
        </w:rPr>
        <w:t xml:space="preserve">抽签决定</w:t>
      </w:r>
      <w:r>
        <w:rPr>
          <w:rFonts w:hint="eastAsia" w:ascii="宋体" w:hAnsi="宋体"/>
          <w:color w:val="000000" w:themeColor="text1"/>
          <w:szCs w:val="21"/>
          <w:highlight w:val="none"/>
          <w14:textFill>
            <w14:solidFill>
              <w14:schemeClr w14:val="tx1"/>
            </w14:solidFill>
          </w14:textFill>
        </w:rPr>
        <w:t xml:space="preserve">中标人</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4.联合体投标说明</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联合体各方均应当符合《中华人民共和国政府采购法》第二十二条第一款规定的条件，采购人根据采购项目的特殊要求规定供应商特定条件的，联合体各方中至少应当有一方符合</w:t>
      </w:r>
      <w:r>
        <w:rPr>
          <w:rFonts w:hint="eastAsia" w:ascii="宋体" w:hAnsi="宋体"/>
          <w:color w:val="000000" w:themeColor="text1"/>
          <w:szCs w:val="21"/>
          <w:highlight w:val="none"/>
          <w:lang w:val="en-US" w:eastAsia="zh-CN"/>
          <w14:textFill>
            <w14:solidFill>
              <w14:schemeClr w14:val="tx1"/>
            </w14:solidFill>
          </w14:textFill>
        </w:rPr>
        <w:t xml:space="preserve">特定条件</w:t>
      </w:r>
      <w:r>
        <w:rPr>
          <w:rFonts w:hint="eastAsia" w:ascii="宋体" w:hAnsi="宋体"/>
          <w:color w:val="000000" w:themeColor="text1"/>
          <w:szCs w:val="21"/>
          <w:highlight w:val="none"/>
          <w14:textFill>
            <w14:solidFill>
              <w14:schemeClr w14:val="tx1"/>
            </w14:solidFill>
          </w14:textFill>
        </w:rPr>
        <w:t xml:space="preserve">并在投标文件中申明。由同一专业的供应商组成的联合体，联合体中</w:t>
      </w:r>
      <w:r>
        <w:rPr>
          <w:rFonts w:hint="eastAsia" w:ascii="宋体" w:hAnsi="宋体"/>
          <w:color w:val="000000" w:themeColor="text1"/>
          <w:szCs w:val="21"/>
          <w:highlight w:val="none"/>
          <w:lang w:val="en-US" w:eastAsia="zh-CN"/>
          <w14:textFill>
            <w14:solidFill>
              <w14:schemeClr w14:val="tx1"/>
            </w14:solidFill>
          </w14:textFill>
        </w:rPr>
        <w:t xml:space="preserve">由相同专业</w:t>
      </w:r>
      <w:r>
        <w:rPr>
          <w:rFonts w:hint="eastAsia" w:ascii="宋体" w:hAnsi="宋体"/>
          <w:color w:val="000000" w:themeColor="text1"/>
          <w:szCs w:val="21"/>
          <w:highlight w:val="none"/>
          <w14:textFill>
            <w14:solidFill>
              <w14:schemeClr w14:val="tx1"/>
            </w14:solidFill>
          </w14:textFill>
        </w:rPr>
        <w:t xml:space="preserve">的供应商按照联合体分工承担相同工作的，按照资质等级较低的供应商确定资质等级，并以投标全权代表方的应答材料作为商务评审的依据（另有约定的，从其约定）；由不同专业的供应商组成联合体，首先以投标全权代表方的应答材料作为认定资质以及商务评审的依据（另有约定的，从其约定），涉及行业专属的资质，按照所属行业对应的供应商的应答材料确定</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必须签订联合体协议（格式见第六章），协议必须明确投标全权代表方并明确约定联合体各方承担的工作和相应的责任。联合体各方必须共同与采购人签订采购合同，就采购合同约定的事项对采购人承担连带责任。 </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联合体各方均应按照招标文件的规定提交《供应商信用承诺函》和“信用中国”查询截图等资格证明材料。</w:t>
      </w:r>
      <w:r/>
    </w:p>
    <w:p>
      <w:pP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二、采购政策</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Times New Roman" w:hAnsi="宋体"/>
          <w:color w:val="000000" w:themeColor="text1"/>
          <w:szCs w:val="21"/>
          <w:highlight w:val="none"/>
          <w14:textFill>
            <w14:solidFill>
              <w14:schemeClr w14:val="tx1"/>
            </w14:solidFill>
          </w14:textFill>
        </w:rPr>
        <w:t xml:space="preserve">根据《政府采购促进中小企业发展管理办法》（财库</w:t>
      </w:r>
      <w:r>
        <w:rPr>
          <w:rFonts w:hint="eastAsia" w:ascii="Times New Roman" w:hAnsi="Times New Roman"/>
          <w:color w:val="000000" w:themeColor="text1"/>
          <w:highlight w:val="none"/>
          <w14:textFill>
            <w14:solidFill>
              <w14:schemeClr w14:val="tx1"/>
            </w14:solidFill>
          </w14:textFill>
        </w:rPr>
        <w:t xml:space="preserve">〔</w:t>
      </w:r>
      <w:r>
        <w:rPr>
          <w:rFonts w:ascii="Times New Roman" w:hAnsi="宋体"/>
          <w:color w:val="000000" w:themeColor="text1"/>
          <w:szCs w:val="21"/>
          <w:highlight w:val="none"/>
          <w14:textFill>
            <w14:solidFill>
              <w14:schemeClr w14:val="tx1"/>
            </w14:solidFill>
          </w14:textFill>
        </w:rPr>
        <w:t xml:space="preserve">2020</w:t>
      </w:r>
      <w:r>
        <w:rPr>
          <w:rFonts w:hint="eastAsia" w:ascii="宋体" w:hAnsi="宋体"/>
          <w:color w:val="000000" w:themeColor="text1"/>
          <w:szCs w:val="21"/>
          <w:highlight w:val="none"/>
          <w14:textFill>
            <w14:solidFill>
              <w14:schemeClr w14:val="tx1"/>
            </w14:solidFill>
          </w14:textFill>
        </w:rPr>
        <w:t xml:space="preserve">〕</w:t>
      </w:r>
      <w:r>
        <w:rPr>
          <w:rFonts w:ascii="Times New Roman" w:hAnsi="宋体"/>
          <w:color w:val="000000" w:themeColor="text1"/>
          <w:szCs w:val="21"/>
          <w:highlight w:val="none"/>
          <w14:textFill>
            <w14:solidFill>
              <w14:schemeClr w14:val="tx1"/>
            </w14:solidFill>
          </w14:textFill>
        </w:rPr>
        <w:t xml:space="preserve">46号）</w:t>
      </w:r>
      <w:r>
        <w:rPr>
          <w:rFonts w:hint="eastAsia" w:ascii="Times New Roman" w:hAnsi="宋体"/>
          <w:color w:val="000000" w:themeColor="text1"/>
          <w:szCs w:val="21"/>
          <w:highlight w:val="none"/>
          <w14:textFill>
            <w14:solidFill>
              <w14:schemeClr w14:val="tx1"/>
            </w14:solidFill>
          </w14:textFill>
        </w:rPr>
        <w:t xml:space="preserve">、《苏州市政府采购促进中小企业发展实施意见》（苏财购</w:t>
      </w:r>
      <w:r>
        <w:rPr>
          <w:rFonts w:hint="eastAsia" w:ascii="Times New Roman" w:hAnsi="Times New Roman"/>
          <w:color w:val="000000" w:themeColor="text1"/>
          <w:highlight w:val="none"/>
          <w14:textFill>
            <w14:solidFill>
              <w14:schemeClr w14:val="tx1"/>
            </w14:solidFill>
          </w14:textFill>
        </w:rPr>
        <w:t xml:space="preserve">〔</w:t>
      </w:r>
      <w:r>
        <w:rPr>
          <w:rFonts w:ascii="Times New Roman" w:hAnsi="宋体"/>
          <w:color w:val="000000" w:themeColor="text1"/>
          <w:szCs w:val="21"/>
          <w:highlight w:val="none"/>
          <w14:textFill>
            <w14:solidFill>
              <w14:schemeClr w14:val="tx1"/>
            </w14:solidFill>
          </w14:textFill>
        </w:rPr>
        <w:t xml:space="preserve">2022</w:t>
      </w:r>
      <w:r>
        <w:rPr>
          <w:rFonts w:hint="eastAsia" w:ascii="宋体" w:hAnsi="宋体"/>
          <w:color w:val="000000" w:themeColor="text1"/>
          <w:szCs w:val="21"/>
          <w:highlight w:val="none"/>
          <w14:textFill>
            <w14:solidFill>
              <w14:schemeClr w14:val="tx1"/>
            </w14:solidFill>
          </w14:textFill>
        </w:rPr>
        <w:t xml:space="preserve">〕</w:t>
      </w:r>
      <w:r>
        <w:rPr>
          <w:rFonts w:ascii="Times New Roman" w:hAnsi="宋体"/>
          <w:color w:val="000000" w:themeColor="text1"/>
          <w:szCs w:val="21"/>
          <w:highlight w:val="none"/>
          <w14:textFill>
            <w14:solidFill>
              <w14:schemeClr w14:val="tx1"/>
            </w14:solidFill>
          </w14:textFill>
        </w:rPr>
        <w:t xml:space="preserve">16号</w:t>
      </w:r>
      <w:r>
        <w:rPr>
          <w:rFonts w:hint="eastAsia" w:ascii="Times New Roman"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的相关规定</w:t>
      </w:r>
      <w:r>
        <w:rPr>
          <w:rFonts w:hint="eastAsia" w:ascii="Times New Roman" w:hAnsi="宋体"/>
          <w:bCs/>
          <w:color w:val="000000" w:themeColor="text1"/>
          <w:szCs w:val="21"/>
          <w:highlight w:val="none"/>
          <w14:textFill>
            <w14:solidFill>
              <w14:schemeClr w14:val="tx1"/>
            </w14:solidFill>
          </w14:textFill>
        </w:rPr>
        <w:t xml:space="preserve">。</w:t>
      </w:r>
      <w:r>
        <w:rPr>
          <w:rFonts w:hint="eastAsia" w:ascii="Times New Roman" w:hAnsi="宋体"/>
          <w:color w:val="000000" w:themeColor="text1"/>
          <w:szCs w:val="21"/>
          <w:highlight w:val="none"/>
          <w14:textFill>
            <w14:solidFill>
              <w14:schemeClr w14:val="tx1"/>
            </w14:solidFill>
          </w14:textFill>
        </w:rPr>
        <w:t xml:space="preserve">如供应商认定为中型、小型或微型企业，则需根据《中小企业划型标准规定》（工信部联企业〔2011〕300号）填报《中小企业声明函》。</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1.小微型企业价格扣除</w:t>
      </w:r>
      <w:r/>
    </w:p>
    <w:p>
      <w:pPr>
        <w:numPr>
          <w:ilvl w:val="0"/>
          <w:numId w:val="4"/>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本项目对小型和微型企业提供的服务给予</w:t>
      </w:r>
      <w:r>
        <w:rPr>
          <w:rFonts w:hint="eastAsia" w:ascii="宋体" w:hAnsi="宋体"/>
          <w:b/>
          <w:bCs/>
          <w:color w:val="000000" w:themeColor="text1"/>
          <w:szCs w:val="21"/>
          <w:highlight w:val="none"/>
          <w:u w:val="single"/>
          <w14:textFill>
            <w14:solidFill>
              <w14:schemeClr w14:val="tx1"/>
            </w14:solidFill>
          </w14:textFill>
        </w:rPr>
        <w:t xml:space="preserve">20%</w:t>
      </w:r>
      <w:r>
        <w:rPr>
          <w:rFonts w:hint="eastAsia" w:ascii="宋体" w:hAnsi="宋体"/>
          <w:color w:val="000000" w:themeColor="text1"/>
          <w:szCs w:val="21"/>
          <w:highlight w:val="none"/>
          <w14:textFill>
            <w14:solidFill>
              <w14:schemeClr w14:val="tx1"/>
            </w14:solidFill>
          </w14:textFill>
        </w:rPr>
        <w:t xml:space="preserve">的扣除价格，用扣除后的价格参与评审。</w:t>
      </w:r>
      <w:r/>
    </w:p>
    <w:p>
      <w:pPr>
        <w:numPr>
          <w:ilvl w:val="0"/>
          <w:numId w:val="4"/>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供应商需按照采购文件的要求提供相应的《小微企业声明函》。</w:t>
      </w:r>
      <w:r/>
    </w:p>
    <w:p>
      <w:pPr>
        <w:numPr>
          <w:ilvl w:val="0"/>
          <w:numId w:val="4"/>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企业标准请参照《关于印发中小企业划型标准规定的通知》（工信部联企业[2011]300号）文件规定自行填写。</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2.残疾人福利单位价格扣除</w:t>
      </w:r>
      <w:r/>
    </w:p>
    <w:p>
      <w:pPr>
        <w:numPr>
          <w:ilvl w:val="0"/>
          <w:numId w:val="5"/>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本项目对残疾人福利性单位视同小型、微型企业，给予</w:t>
      </w:r>
      <w:r>
        <w:rPr>
          <w:rFonts w:hint="eastAsia" w:ascii="宋体" w:hAnsi="宋体"/>
          <w:b/>
          <w:bCs/>
          <w:color w:val="000000" w:themeColor="text1"/>
          <w:szCs w:val="21"/>
          <w:highlight w:val="none"/>
          <w:u w:val="single"/>
          <w14:textFill>
            <w14:solidFill>
              <w14:schemeClr w14:val="tx1"/>
            </w14:solidFill>
          </w14:textFill>
        </w:rPr>
        <w:t xml:space="preserve">20%</w:t>
      </w:r>
      <w:r>
        <w:rPr>
          <w:rFonts w:hint="eastAsia" w:ascii="宋体" w:hAnsi="宋体"/>
          <w:color w:val="000000" w:themeColor="text1"/>
          <w:szCs w:val="21"/>
          <w:highlight w:val="none"/>
          <w14:textFill>
            <w14:solidFill>
              <w14:schemeClr w14:val="tx1"/>
            </w14:solidFill>
          </w14:textFill>
        </w:rPr>
        <w:t xml:space="preserve">的价格扣除，用扣除后的价格参与评审。</w:t>
      </w:r>
      <w:r/>
    </w:p>
    <w:p>
      <w:pPr>
        <w:numPr>
          <w:ilvl w:val="0"/>
          <w:numId w:val="5"/>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残疾人福利单位需按照采购文件的要求提供《残疾人福利性单位声明函》。</w:t>
      </w:r>
      <w:r/>
    </w:p>
    <w:p>
      <w:pPr>
        <w:numPr>
          <w:ilvl w:val="0"/>
          <w:numId w:val="5"/>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残疾人福利单位标准请参照《关于促进残疾人就业政府采购政策的通知》（财库〔2017〕141号）。</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3.监狱和戒毒企业价格扣除</w:t>
      </w:r>
      <w:r/>
    </w:p>
    <w:p>
      <w:pPr>
        <w:numPr>
          <w:ilvl w:val="0"/>
          <w:numId w:val="6"/>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本项目对监狱和戒毒企业（简称监狱企业）视同小型、微型企业，给予</w:t>
      </w:r>
      <w:r>
        <w:rPr>
          <w:rFonts w:hint="eastAsia" w:ascii="宋体" w:hAnsi="宋体"/>
          <w:b/>
          <w:bCs/>
          <w:color w:val="000000" w:themeColor="text1"/>
          <w:szCs w:val="21"/>
          <w:highlight w:val="none"/>
          <w:u w:val="single"/>
          <w14:textFill>
            <w14:solidFill>
              <w14:schemeClr w14:val="tx1"/>
            </w14:solidFill>
          </w14:textFill>
        </w:rPr>
        <w:t xml:space="preserve">20%</w:t>
      </w:r>
      <w:r>
        <w:rPr>
          <w:rFonts w:hint="eastAsia" w:ascii="宋体" w:hAnsi="宋体"/>
          <w:color w:val="000000" w:themeColor="text1"/>
          <w:szCs w:val="21"/>
          <w:highlight w:val="none"/>
          <w14:textFill>
            <w14:solidFill>
              <w14:schemeClr w14:val="tx1"/>
            </w14:solidFill>
          </w14:textFill>
        </w:rPr>
        <w:t xml:space="preserve">的价格扣除，用扣除后的价格参与评审。</w:t>
      </w:r>
      <w:r/>
    </w:p>
    <w:p>
      <w:pPr>
        <w:numPr>
          <w:ilvl w:val="0"/>
          <w:numId w:val="6"/>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6"/>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监狱企业标准请参照《关于政府采购支持监狱企业发展有关问题的通知》（财库[2014]68号）。</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bCs/>
          <w:color w:val="000000" w:themeColor="text1"/>
          <w:szCs w:val="21"/>
          <w:highlight w:val="none"/>
          <w:u w:val="singl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b/>
          <w:bCs/>
          <w:color w:val="000000" w:themeColor="text1"/>
          <w:szCs w:val="21"/>
          <w:highlight w:val="none"/>
          <w:u w:val="single"/>
          <w14:textFill>
            <w14:solidFill>
              <w14:schemeClr w14:val="tx1"/>
            </w14:solidFill>
          </w14:textFill>
        </w:rPr>
        <w:t xml:space="preserve">20%</w:t>
      </w:r>
      <w:r>
        <w:rPr>
          <w:rFonts w:hint="eastAsia" w:ascii="宋体" w:hAnsi="宋体"/>
          <w:color w:val="000000" w:themeColor="text1"/>
          <w:szCs w:val="21"/>
          <w:highlight w:val="none"/>
          <w14:textFill>
            <w14:solidFill>
              <w14:schemeClr w14:val="tx1"/>
            </w14:solidFill>
          </w14:textFill>
        </w:rPr>
        <w:t xml:space="preserve">价格扣除，用扣除后的价格参与评审。</w:t>
      </w:r>
      <w:r/>
    </w:p>
    <w:p>
      <w:pPr>
        <w:ind w:firstLine="420"/>
        <w:spacing w:line="360" w:lineRule="auto"/>
        <w:tabs>
          <w:tab w:val="left" w:pos="96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rPr>
          <w:rFonts w:ascii="Times New Roman" w:hAnsi="Times New Roman"/>
          <w:color w:val="000000" w:themeColor="text1"/>
          <w:szCs w:val="21"/>
          <w:highlight w:val="none"/>
          <w14:textFill>
            <w14:solidFill>
              <w14:schemeClr w14:val="tx1"/>
            </w14:solidFill>
          </w14:textFill>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p>
    <w:p>
      <w:pPr>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三、评分标准</w:t>
      </w:r>
      <w:r/>
    </w:p>
    <w:p>
      <w:pPr>
        <w:ind w:firstLine="420"/>
        <w:spacing w:line="360" w:lineRule="auto"/>
        <w:rPr>
          <w:rFonts w:hint="eastAsia" w:ascii="宋体" w:hAnsi="宋体"/>
          <w:b/>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（一）价格分（10分）</w:t>
      </w:r>
      <w:r/>
    </w:p>
    <w:p>
      <w:pPr>
        <w:ind w:firstLine="420"/>
        <w:spacing w:line="360" w:lineRule="auto"/>
        <w:tabs>
          <w:tab w:val="left" w:pos="96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投标</w:t>
      </w:r>
      <w:r>
        <w:rPr>
          <w:rFonts w:hint="eastAsia" w:ascii="宋体" w:hAnsi="宋体"/>
          <w:color w:val="000000" w:themeColor="text1"/>
          <w:szCs w:val="21"/>
          <w:highlight w:val="none"/>
          <w14:textFill>
            <w14:solidFill>
              <w14:schemeClr w14:val="tx1"/>
            </w14:solidFill>
          </w14:textFill>
        </w:rPr>
        <w:t xml:space="preserve">总</w:t>
      </w:r>
      <w:r>
        <w:rPr>
          <w:rFonts w:ascii="宋体" w:hAnsi="宋体"/>
          <w:color w:val="000000" w:themeColor="text1"/>
          <w:szCs w:val="21"/>
          <w:highlight w:val="none"/>
          <w14:textFill>
            <w14:solidFill>
              <w14:schemeClr w14:val="tx1"/>
            </w14:solidFill>
          </w14:textFill>
        </w:rPr>
        <w:t xml:space="preserve">报价</w:t>
      </w:r>
      <w:r>
        <w:rPr>
          <w:rFonts w:hint="eastAsia" w:ascii="宋体" w:hAnsi="宋体"/>
          <w:b/>
          <w:bCs/>
          <w:color w:val="000000" w:themeColor="text1"/>
          <w:szCs w:val="21"/>
          <w:highlight w:val="none"/>
          <w14:textFill>
            <w14:solidFill>
              <w14:schemeClr w14:val="tx1"/>
            </w14:solidFill>
          </w14:textFill>
        </w:rPr>
        <w:t xml:space="preserve">超过最高限价</w:t>
      </w:r>
      <w:r>
        <w:rPr>
          <w:rFonts w:ascii="宋体" w:hAnsi="宋体"/>
          <w:color w:val="000000" w:themeColor="text1"/>
          <w:szCs w:val="21"/>
          <w:highlight w:val="none"/>
          <w14:textFill>
            <w14:solidFill>
              <w14:schemeClr w14:val="tx1"/>
            </w14:solidFill>
          </w14:textFill>
        </w:rPr>
        <w:t xml:space="preserve">的，为</w:t>
      </w:r>
      <w:r>
        <w:rPr>
          <w:rFonts w:hint="eastAsia" w:ascii="宋体" w:hAnsi="宋体"/>
          <w:color w:val="000000" w:themeColor="text1"/>
          <w:szCs w:val="21"/>
          <w:highlight w:val="none"/>
          <w14:textFill>
            <w14:solidFill>
              <w14:schemeClr w14:val="tx1"/>
            </w14:solidFill>
          </w14:textFill>
        </w:rPr>
        <w:t xml:space="preserve">无</w:t>
      </w:r>
      <w:r>
        <w:rPr>
          <w:rFonts w:ascii="宋体" w:hAnsi="宋体"/>
          <w:color w:val="000000" w:themeColor="text1"/>
          <w:szCs w:val="21"/>
          <w:highlight w:val="none"/>
          <w14:textFill>
            <w14:solidFill>
              <w14:schemeClr w14:val="tx1"/>
            </w14:solidFill>
          </w14:textFill>
        </w:rPr>
        <w:t xml:space="preserve">效投标报价。</w:t>
      </w:r>
      <w:r/>
    </w:p>
    <w:p>
      <w:pPr>
        <w:ind w:firstLine="420"/>
        <w:spacing w:line="360" w:lineRule="auto"/>
        <w:tabs>
          <w:tab w:val="left" w:pos="960" w:leader="none"/>
        </w:tabs>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2、分析总报价及各个分项报价是否合理，报价范围是否完整，有否重大错漏项。</w:t>
      </w:r>
      <w:r/>
    </w:p>
    <w:p>
      <w:pPr>
        <w:ind w:firstLine="420"/>
        <w:spacing w:line="360" w:lineRule="auto"/>
        <w:tabs>
          <w:tab w:val="left" w:pos="960" w:leader="none"/>
        </w:tabs>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3、价格得分计算方法：根据各投标单位通过符合性审查的有效投标报价中的</w:t>
      </w:r>
      <w:r>
        <w:rPr>
          <w:rFonts w:hint="eastAsia" w:ascii="宋体" w:hAnsi="宋体"/>
          <w:color w:val="000000" w:themeColor="text1"/>
          <w:szCs w:val="21"/>
          <w:highlight w:val="none"/>
          <w14:textFill>
            <w14:solidFill>
              <w14:schemeClr w14:val="tx1"/>
            </w14:solidFill>
          </w14:textFill>
        </w:rPr>
        <w:t xml:space="preserve">最低价</w:t>
      </w:r>
      <w:r>
        <w:rPr>
          <w:rFonts w:ascii="宋体" w:hAnsi="宋体"/>
          <w:color w:val="000000" w:themeColor="text1"/>
          <w:szCs w:val="21"/>
          <w:highlight w:val="none"/>
          <w14:textFill>
            <w14:solidFill>
              <w14:schemeClr w14:val="tx1"/>
            </w14:solidFill>
          </w14:textFill>
        </w:rPr>
        <w:t xml:space="preserve">作为评标基准价，其价格分为满分。其他投标单位的价格分统一按照下列公式计算：</w:t>
      </w:r>
      <w:r/>
    </w:p>
    <w:p>
      <w:pPr>
        <w:spacing w:line="360" w:lineRule="auto"/>
        <w:tabs>
          <w:tab w:val="left" w:pos="1140" w:leader="none"/>
        </w:tabs>
        <w:rPr>
          <w:rFonts w:hint="eastAsia" w:ascii="宋体" w:hAnsi="宋体" w:cs="Arial"/>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价格得分=（评标基准价/投标报价）×</w:t>
      </w:r>
      <w:r>
        <w:rPr>
          <w:rFonts w:hint="eastAsia" w:ascii="宋体" w:hAnsi="宋体"/>
          <w:bCs/>
          <w:color w:val="000000" w:themeColor="text1"/>
          <w:szCs w:val="21"/>
          <w:highlight w:val="none"/>
          <w14:textFill>
            <w14:solidFill>
              <w14:schemeClr w14:val="tx1"/>
            </w14:solidFill>
          </w14:textFill>
        </w:rPr>
        <w:t xml:space="preserve">10</w:t>
      </w:r>
      <w:r>
        <w:rPr>
          <w:rFonts w:ascii="宋体" w:hAnsi="宋体"/>
          <w:color w:val="000000" w:themeColor="text1"/>
          <w:szCs w:val="21"/>
          <w:highlight w:val="none"/>
          <w14:textFill>
            <w14:solidFill>
              <w14:schemeClr w14:val="tx1"/>
            </w14:solidFill>
          </w14:textFill>
        </w:rPr>
        <w:t xml:space="preserve">；（计算到小数点后二位）</w:t>
      </w:r>
      <w:r/>
    </w:p>
    <w:p>
      <w:pPr>
        <w:ind w:firstLine="420"/>
        <w:spacing w:line="360" w:lineRule="auto"/>
        <w:rPr>
          <w:rFonts w:hint="eastAsia" w:ascii="宋体" w:hAnsi="宋体"/>
          <w:b/>
          <w:color w:val="000000" w:themeColor="text1"/>
          <w:sz w:val="24"/>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（二）初审评审指标</w:t>
      </w:r>
      <w:r/>
    </w:p>
    <w:tbl>
      <w:tblPr>
        <w:tblStyle w:val="75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26"/>
        <w:gridCol w:w="4281"/>
        <w:gridCol w:w="2113"/>
      </w:tblGrid>
      <w:tr>
        <w:trPr>
          <w:trHeight w:val="346"/>
        </w:trPr>
        <w:tc>
          <w:tcPr>
            <w:tcW w:w="1676"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bookmarkStart w:id="136" w:name="gpc_accord_horizontal_1"/>
            <w:r>
              <w:rPr>
                <w:rFonts w:hint="eastAsia" w:ascii="宋体" w:hAnsi="宋体"/>
                <w:color w:val="000000" w:themeColor="text1"/>
                <w:szCs w:val="21"/>
                <w:highlight w:val="none"/>
                <w14:textFill>
                  <w14:solidFill>
                    <w14:schemeClr w14:val="tx1"/>
                  </w14:solidFill>
                </w14:textFill>
              </w:rPr>
              <w:t xml:space="preserve">指标</w:t>
            </w:r>
            <w:r/>
          </w:p>
        </w:tc>
        <w:tc>
          <w:tcPr>
            <w:tcW w:w="2224"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描述</w:t>
            </w:r>
            <w:r/>
          </w:p>
        </w:tc>
        <w:tc>
          <w:tcPr>
            <w:tcW w:w="1098"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是否合格</w:t>
            </w:r>
            <w:r/>
          </w:p>
        </w:tc>
      </w:tr>
      <w:tr>
        <w:trPr>
          <w:trHeight w:val="467"/>
        </w:trPr>
        <w:tc>
          <w:tcPr>
            <w:tcW w:w="1676"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资格性检查</w:t>
            </w:r>
            <w:r/>
          </w:p>
        </w:tc>
        <w:tc>
          <w:tcPr>
            <w:tcW w:w="2224"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98"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356"/>
        </w:trPr>
        <w:tc>
          <w:tcPr>
            <w:tcW w:w="1676"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符合性检查</w:t>
            </w:r>
            <w:r/>
          </w:p>
        </w:tc>
        <w:tc>
          <w:tcPr>
            <w:tcW w:w="2224"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服务期限、响应时间、响应内容、付款方式、中小企业声明函（如有）</w:t>
            </w:r>
            <w:bookmarkEnd w:id="136"/>
            <w:r/>
            <w:r/>
          </w:p>
        </w:tc>
        <w:tc>
          <w:tcPr>
            <w:tcW w:w="1098"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ind w:firstLine="420"/>
        <w:spacing w:line="360" w:lineRule="auto"/>
        <w:rPr>
          <w:rFonts w:hint="eastAsia" w:ascii="宋体" w:hAnsi="宋体"/>
          <w:b/>
          <w:color w:val="000000" w:themeColor="text1"/>
          <w:sz w:val="24"/>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（三）复审评审指标</w:t>
      </w:r>
      <w:r/>
    </w:p>
    <w:tbl>
      <w:tblPr>
        <w:tblStyle w:val="753"/>
        <w:tblW w:w="9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1"/>
        <w:gridCol w:w="1771"/>
        <w:gridCol w:w="5317"/>
        <w:gridCol w:w="810"/>
      </w:tblGrid>
      <w:tr>
        <w:trPr>
          <w:jc w:val="center"/>
          <w:trHeight w:val="599"/>
        </w:trPr>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bookmarkStart w:id="137" w:name="gpc_score_horizontal_1"/>
            <w:r/>
            <w:bookmarkStart w:id="138" w:name="_Hlk520359590"/>
            <w:r>
              <w:rPr>
                <w:rFonts w:ascii="宋体" w:hAnsi="宋体"/>
                <w:color w:val="000000" w:themeColor="text1"/>
                <w:szCs w:val="21"/>
                <w:highlight w:val="none"/>
                <w14:textFill>
                  <w14:solidFill>
                    <w14:schemeClr w14:val="tx1"/>
                  </w14:solidFill>
                </w14:textFill>
              </w:rPr>
              <w:t xml:space="preserve">评审类别</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评审项</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评审规则</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分值</w:t>
            </w:r>
            <w:r/>
          </w:p>
        </w:tc>
      </w:tr>
      <w:tr>
        <w:trPr>
          <w:jc w:val="center"/>
          <w:trHeight w:val="843"/>
        </w:trPr>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价格</w:t>
            </w:r>
            <w:r>
              <w:rPr>
                <w:rFonts w:hint="eastAsia" w:ascii="宋体" w:hAnsi="宋体"/>
                <w:color w:val="000000" w:themeColor="text1"/>
                <w:szCs w:val="21"/>
                <w:highlight w:val="none"/>
                <w14:textFill>
                  <w14:solidFill>
                    <w14:schemeClr w14:val="tx1"/>
                  </w14:solidFill>
                </w14:textFill>
              </w:rPr>
              <w:t xml:space="preserve">部分</w:t>
            </w:r>
            <w:r/>
          </w:p>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价格评审指标</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投标报价得分=（评标基准价/投标报价）*</w:t>
            </w:r>
            <w:r>
              <w:rPr>
                <w:rFonts w:hint="eastAsia" w:ascii="宋体" w:hAnsi="宋体"/>
                <w:color w:val="000000" w:themeColor="text1"/>
                <w:szCs w:val="21"/>
                <w:highlight w:val="none"/>
                <w14:textFill>
                  <w14:solidFill>
                    <w14:schemeClr w14:val="tx1"/>
                  </w14:solidFill>
                </w14:textFill>
              </w:rPr>
              <w:t xml:space="preserve">10</w:t>
            </w:r>
            <w:r/>
          </w:p>
          <w:p>
            <w:pPr>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小数点后保留两位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w:t>
            </w:r>
            <w:r/>
          </w:p>
        </w:tc>
      </w:tr>
      <w:tr>
        <w:trPr>
          <w:jc w:val="center"/>
          <w:trHeight w:val="832"/>
        </w:trPr>
        <w:tc>
          <w:tcPr>
            <w:tcBorders>
              <w:left w:val="single" w:color="auto" w:sz="4" w:space="0"/>
              <w:right w:val="single" w:color="auto" w:sz="4" w:space="0"/>
            </w:tcBorders>
            <w:tcW w:w="1771" w:type="dxa"/>
            <w:vAlign w:val="center"/>
            <w:vMerge w:val="restart"/>
            <w:textDirection w:val="lrTb"/>
            <w:noWrap w:val="false"/>
          </w:tcPr>
          <w:p>
            <w:pPr>
              <w:jc w:val="center"/>
              <w:spacing w:before="120"/>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技术方案</w:t>
            </w:r>
            <w:r/>
          </w:p>
          <w:p>
            <w:pPr>
              <w:jc w:val="center"/>
              <w:spacing w:before="120"/>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（46分）</w:t>
            </w:r>
            <w:r/>
          </w:p>
          <w:p>
            <w:pPr>
              <w:pStyle w:val="7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before="120"/>
              <w:rPr>
                <w:rFonts w:hint="eastAsia" w:ascii="宋体" w:hAnsi="宋体"/>
                <w:color w:val="000000" w:themeColor="text1"/>
                <w:szCs w:val="21"/>
                <w:highlight w:val="none"/>
                <w14:textFill>
                  <w14:solidFill>
                    <w14:schemeClr w14:val="tx1"/>
                  </w14:solidFill>
                </w14:textFill>
              </w:rPr>
            </w:pPr>
            <w:r>
              <w:rPr>
                <w:rFonts w:hint="eastAsia" w:ascii="宋体" w:hAnsi="宋体" w:cs="宋体"/>
                <w:b w:val="0"/>
                <w:color w:val="000000" w:themeColor="text1"/>
                <w:szCs w:val="21"/>
                <w:highlight w:val="none"/>
                <w:lang w:val="en-US" w:eastAsia="zh-CN"/>
                <w14:textFill>
                  <w14:solidFill>
                    <w14:schemeClr w14:val="tx1"/>
                  </w14:solidFill>
                </w14:textFill>
              </w:rPr>
              <w:t xml:space="preserve">检测工作大纲</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jc w:val="left"/>
              <w:rPr>
                <w:rFonts w:hint="eastAsia" w:ascii="宋体" w:hAnsi="宋体"/>
                <w:b/>
                <w:color w:val="000000" w:themeColor="text1"/>
                <w:szCs w:val="21"/>
                <w:highlight w:val="none"/>
                <w14:textFill>
                  <w14:solidFill>
                    <w14:schemeClr w14:val="tx1"/>
                  </w14:solidFill>
                </w14:textFill>
              </w:rPr>
            </w:pPr>
            <w:r>
              <w:rPr>
                <w:rFonts w:hint="eastAsia" w:ascii="宋体" w:hAnsi="宋体" w:cs="宋体"/>
                <w:b w:val="0"/>
                <w:color w:val="000000" w:themeColor="text1"/>
                <w:szCs w:val="21"/>
                <w:highlight w:val="none"/>
                <w14:textFill>
                  <w14:solidFill>
                    <w14:schemeClr w14:val="tx1"/>
                  </w14:solidFill>
                </w14:textFill>
              </w:rPr>
              <w:t xml:space="preserve">针对采购需求及实际特点</w:t>
            </w:r>
            <w:r>
              <w:rPr>
                <w:rFonts w:hint="eastAsia" w:ascii="宋体" w:hAnsi="宋体" w:cs="宋体"/>
                <w:b w:val="0"/>
                <w:color w:val="000000" w:themeColor="text1"/>
                <w:szCs w:val="21"/>
                <w:highlight w:val="none"/>
                <w:lang w:val="en-US" w:eastAsia="zh-CN"/>
                <w14:textFill>
                  <w14:solidFill>
                    <w14:schemeClr w14:val="tx1"/>
                  </w14:solidFill>
                </w14:textFill>
              </w:rPr>
              <w:t xml:space="preserve">制定全面、专业的检测工作大纲，包括检测目的与内容、检测依据、检测实施、组织机构与人员配置、检测仪器设备配置、责任与义务、服务承诺等，</w:t>
            </w:r>
            <w:r>
              <w:rPr>
                <w:rFonts w:hint="eastAsia" w:ascii="宋体" w:hAnsi="宋体"/>
                <w:color w:val="000000" w:themeColor="text1"/>
                <w:szCs w:val="21"/>
                <w:highlight w:val="none"/>
                <w14:textFill>
                  <w14:solidFill>
                    <w14:schemeClr w14:val="tx1"/>
                  </w14:solidFill>
                </w14:textFill>
              </w:rPr>
              <w:t xml:space="preserve">每项方案全面清晰、详实合理且满足本项目建设需求的得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分，方案与采购需求偏差较大或未作完整叙述的不得分，本项最高得</w:t>
            </w:r>
            <w:r>
              <w:rPr>
                <w:rFonts w:hint="eastAsia" w:ascii="宋体" w:hAnsi="宋体"/>
                <w:color w:val="000000" w:themeColor="text1"/>
                <w:szCs w:val="21"/>
                <w:highlight w:val="none"/>
                <w:lang w:val="en-US" w:eastAsia="zh-CN"/>
                <w14:textFill>
                  <w14:solidFill>
                    <w14:schemeClr w14:val="tx1"/>
                  </w14:solidFill>
                </w14:textFill>
              </w:rPr>
              <w:t xml:space="preserve">14</w:t>
            </w:r>
            <w:r>
              <w:rPr>
                <w:rFonts w:hint="eastAsia" w:ascii="宋体" w:hAnsi="宋体"/>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276"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lang w:val="en-US" w:eastAsia="zh-CN"/>
                <w14:textFill>
                  <w14:solidFill>
                    <w14:schemeClr w14:val="tx1"/>
                  </w14:solidFill>
                </w14:textFill>
              </w:rPr>
              <w:t xml:space="preserve">14</w:t>
            </w:r>
            <w:r/>
          </w:p>
        </w:tc>
      </w:tr>
      <w:tr>
        <w:trPr>
          <w:jc w:val="center"/>
          <w:trHeight w:val="416"/>
        </w:trPr>
        <w:tc>
          <w:tcPr>
            <w:tcBorders>
              <w:left w:val="single" w:color="auto" w:sz="4" w:space="0"/>
              <w:right w:val="single" w:color="auto" w:sz="4" w:space="0"/>
            </w:tcBorders>
            <w:tcW w:w="1771" w:type="dxa"/>
            <w:vAlign w:val="center"/>
            <w:vMerge w:val="continue"/>
            <w:textDirection w:val="lrTb"/>
            <w:noWrap w:val="false"/>
          </w:tcPr>
          <w:p>
            <w:pPr>
              <w:jc w:val="center"/>
              <w:spacing w:before="1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771" w:type="dxa"/>
            <w:vAlign w:val="center"/>
            <w:textDirection w:val="lrTb"/>
            <w:noWrap w:val="false"/>
          </w:tcPr>
          <w:p>
            <w:pPr>
              <w:jc w:val="center"/>
              <w:spacing w:before="120"/>
              <w:rPr>
                <w:rFonts w:hint="eastAsia" w:ascii="宋体" w:hAnsi="宋体"/>
                <w:color w:val="000000" w:themeColor="text1"/>
                <w:szCs w:val="21"/>
                <w:highlight w:val="none"/>
                <w14:textFill>
                  <w14:solidFill>
                    <w14:schemeClr w14:val="tx1"/>
                  </w14:solidFill>
                </w14:textFill>
              </w:rPr>
            </w:pPr>
            <w:r>
              <w:rPr>
                <w:rFonts w:hint="eastAsia" w:ascii="宋体" w:hAnsi="宋体" w:eastAsia="宋体"/>
                <w:b w:val="0"/>
                <w:color w:val="000000" w:themeColor="text1"/>
                <w:sz w:val="21"/>
                <w:szCs w:val="24"/>
                <w:highlight w:val="none"/>
                <w14:textFill>
                  <w14:solidFill>
                    <w14:schemeClr w14:val="tx1"/>
                  </w14:solidFill>
                </w14:textFill>
              </w:rPr>
              <w:t xml:space="preserve">检测程序</w:t>
            </w:r>
            <w:r>
              <w:rPr>
                <w:rFonts w:hint="eastAsia" w:ascii="宋体" w:hAnsi="宋体" w:eastAsia="宋体"/>
                <w:b w:val="0"/>
                <w:color w:val="000000" w:themeColor="text1"/>
                <w:sz w:val="21"/>
                <w:szCs w:val="24"/>
                <w:highlight w:val="none"/>
                <w:lang w:eastAsia="zh-CN"/>
                <w14:textFill>
                  <w14:solidFill>
                    <w14:schemeClr w14:val="tx1"/>
                  </w14:solidFill>
                </w14:textFill>
              </w:rPr>
              <w:t xml:space="preserve">、</w:t>
            </w:r>
            <w:r>
              <w:rPr>
                <w:rFonts w:hint="eastAsia" w:ascii="宋体" w:hAnsi="宋体" w:cs="宋体"/>
                <w:b w:val="0"/>
                <w:color w:val="000000" w:themeColor="text1"/>
                <w:szCs w:val="21"/>
                <w:highlight w:val="none"/>
                <w14:textFill>
                  <w14:solidFill>
                    <w14:schemeClr w14:val="tx1"/>
                  </w14:solidFill>
                </w14:textFill>
              </w:rPr>
              <w:t xml:space="preserve">手段</w:t>
            </w:r>
            <w:r/>
          </w:p>
        </w:tc>
        <w:tc>
          <w:tcPr>
            <w:tcBorders>
              <w:top w:val="single" w:color="auto" w:sz="4" w:space="0"/>
              <w:left w:val="single" w:color="auto" w:sz="4" w:space="0"/>
              <w:right w:val="single" w:color="auto" w:sz="4" w:space="0"/>
            </w:tcBorders>
            <w:tcW w:w="5317"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eastAsia="宋体"/>
                <w:b w:val="0"/>
                <w:color w:val="000000" w:themeColor="text1"/>
                <w:sz w:val="21"/>
                <w:szCs w:val="24"/>
                <w:highlight w:val="none"/>
                <w14:textFill>
                  <w14:solidFill>
                    <w14:schemeClr w14:val="tx1"/>
                  </w14:solidFill>
                </w14:textFill>
              </w:rPr>
              <w:t xml:space="preserve">检测程序、内容、方法、检测频率、检测手段、检测资料及分析报告、最终报告的形成满足规范要求，</w:t>
            </w:r>
            <w:r>
              <w:rPr>
                <w:rFonts w:hint="eastAsia" w:ascii="宋体" w:hAnsi="宋体"/>
                <w:color w:val="000000" w:themeColor="text1"/>
                <w:szCs w:val="21"/>
                <w:highlight w:val="none"/>
                <w14:textFill>
                  <w14:solidFill>
                    <w14:schemeClr w14:val="tx1"/>
                  </w14:solidFill>
                </w14:textFill>
              </w:rPr>
              <w:t xml:space="preserve">每项方案全面清晰、详实合理且满足本项目建设需求的得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分，方案与采购需求偏差较大或未作完整叙述的不得分，本项最高得</w:t>
            </w:r>
            <w:r>
              <w:rPr>
                <w:rFonts w:hint="eastAsia" w:ascii="宋体" w:hAnsi="宋体"/>
                <w:color w:val="000000" w:themeColor="text1"/>
                <w:szCs w:val="21"/>
                <w:highlight w:val="none"/>
                <w:lang w:val="en-US" w:eastAsia="zh-CN"/>
                <w14:textFill>
                  <w14:solidFill>
                    <w14:schemeClr w14:val="tx1"/>
                  </w14:solidFill>
                </w14:textFill>
              </w:rPr>
              <w:t xml:space="preserve">14</w:t>
            </w:r>
            <w:r>
              <w:rPr>
                <w:rFonts w:hint="eastAsia" w:ascii="宋体" w:hAnsi="宋体"/>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810" w:type="dxa"/>
            <w:vAlign w:val="center"/>
            <w:textDirection w:val="lrTb"/>
            <w:noWrap w:val="false"/>
          </w:tcPr>
          <w:p>
            <w:pPr>
              <w:jc w:val="center"/>
              <w:spacing w:line="276" w:lineRule="auto"/>
              <w:rPr>
                <w:rFonts w:hint="eastAsia" w:ascii="宋体" w:hAnsi="宋体"/>
                <w:color w:val="000000" w:themeColor="text1"/>
                <w:szCs w:val="21"/>
                <w:highlight w:val="none"/>
                <w14:textFill>
                  <w14:solidFill>
                    <w14:schemeClr w14:val="tx1"/>
                  </w14:solidFill>
                </w14:textFill>
              </w:rPr>
            </w:pPr>
            <w:r>
              <w:rPr>
                <w:rFonts w:hint="eastAsia" w:ascii="宋体" w:hAnsi="宋体"/>
                <w:b w:val="0"/>
                <w:color w:val="000000" w:themeColor="text1"/>
                <w:szCs w:val="21"/>
                <w:highlight w:val="none"/>
                <w:lang w:val="en-US" w:eastAsia="zh-CN"/>
                <w14:textFill>
                  <w14:solidFill>
                    <w14:schemeClr w14:val="tx1"/>
                  </w14:solidFill>
                </w14:textFill>
              </w:rPr>
              <w:t xml:space="preserve">14</w:t>
            </w:r>
            <w:r/>
          </w:p>
        </w:tc>
      </w:tr>
      <w:tr>
        <w:trPr>
          <w:jc w:val="center"/>
          <w:trHeight w:val="969"/>
        </w:trPr>
        <w:tc>
          <w:tcPr>
            <w:tcBorders>
              <w:left w:val="single" w:color="auto" w:sz="4" w:space="0"/>
              <w:right w:val="single" w:color="auto" w:sz="4" w:space="0"/>
            </w:tcBorders>
            <w:tcW w:w="1771" w:type="dxa"/>
            <w:vAlign w:val="center"/>
            <w:vMerge w:val="continue"/>
            <w:textDirection w:val="lrTb"/>
            <w:noWrap w:val="false"/>
          </w:tcPr>
          <w:p>
            <w:pPr>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before="120"/>
              <w:rPr>
                <w:rFonts w:hint="eastAsia" w:ascii="宋体" w:hAnsi="宋体"/>
                <w:color w:val="000000" w:themeColor="text1"/>
                <w:szCs w:val="21"/>
                <w:highlight w:val="none"/>
                <w14:textFill>
                  <w14:solidFill>
                    <w14:schemeClr w14:val="tx1"/>
                  </w14:solidFill>
                </w14:textFill>
              </w:rPr>
            </w:pPr>
            <w:r>
              <w:rPr>
                <w:rFonts w:hint="eastAsia" w:ascii="宋体" w:hAnsi="宋体" w:cs="宋体"/>
                <w:b w:val="0"/>
                <w:color w:val="000000" w:themeColor="text1"/>
                <w:szCs w:val="21"/>
                <w:highlight w:val="none"/>
                <w14:textFill>
                  <w14:solidFill>
                    <w14:schemeClr w14:val="tx1"/>
                  </w14:solidFill>
                </w14:textFill>
              </w:rPr>
              <w:t xml:space="preserve">保证措施</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jc w:val="left"/>
              <w:rPr>
                <w:rFonts w:hint="eastAsia" w:ascii="宋体" w:hAnsi="宋体" w:eastAsia="宋体"/>
                <w:b w:val="0"/>
                <w:color w:val="000000" w:themeColor="text1"/>
                <w:sz w:val="21"/>
                <w:szCs w:val="24"/>
                <w:highlight w:val="none"/>
                <w14:textFill>
                  <w14:solidFill>
                    <w14:schemeClr w14:val="tx1"/>
                  </w14:solidFill>
                </w14:textFill>
              </w:rPr>
            </w:pPr>
            <w:r>
              <w:rPr>
                <w:rFonts w:hint="eastAsia" w:ascii="宋体" w:hAnsi="宋体" w:eastAsia="宋体"/>
                <w:b w:val="0"/>
                <w:color w:val="000000" w:themeColor="text1"/>
                <w:sz w:val="21"/>
                <w:szCs w:val="24"/>
                <w:highlight w:val="none"/>
                <w14:textFill>
                  <w14:solidFill>
                    <w14:schemeClr w14:val="tx1"/>
                  </w14:solidFill>
                </w14:textFill>
              </w:rPr>
              <w:t xml:space="preserve">检测及技术服务工作的各项保证措施（包括保证检</w:t>
            </w:r>
            <w:r/>
          </w:p>
          <w:p>
            <w:pPr>
              <w:jc w:val="left"/>
              <w:rPr>
                <w:rFonts w:hint="eastAsia" w:ascii="宋体" w:hAnsi="宋体" w:eastAsia="宋体"/>
                <w:b w:val="0"/>
                <w:color w:val="000000" w:themeColor="text1"/>
                <w:sz w:val="21"/>
                <w:szCs w:val="24"/>
                <w:highlight w:val="none"/>
                <w14:textFill>
                  <w14:solidFill>
                    <w14:schemeClr w14:val="tx1"/>
                  </w14:solidFill>
                </w14:textFill>
              </w:rPr>
            </w:pPr>
            <w:r>
              <w:rPr>
                <w:rFonts w:hint="eastAsia" w:ascii="宋体" w:hAnsi="宋体" w:eastAsia="宋体"/>
                <w:b w:val="0"/>
                <w:color w:val="000000" w:themeColor="text1"/>
                <w:sz w:val="21"/>
                <w:szCs w:val="24"/>
                <w:highlight w:val="none"/>
                <w14:textFill>
                  <w14:solidFill>
                    <w14:schemeClr w14:val="tx1"/>
                  </w14:solidFill>
                </w14:textFill>
              </w:rPr>
              <w:t xml:space="preserve">测精度的技术措施、检测进度计划及保证检测进度</w:t>
            </w:r>
            <w:r/>
          </w:p>
          <w:p>
            <w:pPr>
              <w:jc w:val="left"/>
              <w:rPr>
                <w:rFonts w:hint="eastAsia" w:ascii="宋体" w:hAnsi="宋体" w:eastAsia="宋体"/>
                <w:b w:val="0"/>
                <w:color w:val="000000" w:themeColor="text1"/>
                <w:sz w:val="21"/>
                <w:szCs w:val="24"/>
                <w:highlight w:val="none"/>
                <w14:textFill>
                  <w14:solidFill>
                    <w14:schemeClr w14:val="tx1"/>
                  </w14:solidFill>
                </w14:textFill>
              </w:rPr>
            </w:pPr>
            <w:r>
              <w:rPr>
                <w:rFonts w:hint="eastAsia" w:ascii="宋体" w:hAnsi="宋体" w:eastAsia="宋体"/>
                <w:b w:val="0"/>
                <w:color w:val="000000" w:themeColor="text1"/>
                <w:sz w:val="21"/>
                <w:szCs w:val="24"/>
                <w:highlight w:val="none"/>
                <w14:textFill>
                  <w14:solidFill>
                    <w14:schemeClr w14:val="tx1"/>
                  </w14:solidFill>
                </w14:textFill>
              </w:rPr>
              <w:t xml:space="preserve">的措施、检测工作质量与服务保证措施、技术服务</w:t>
            </w:r>
            <w:r/>
          </w:p>
          <w:p>
            <w:pPr>
              <w:jc w:val="left"/>
              <w:rPr>
                <w:rFonts w:hint="eastAsia"/>
                <w:color w:val="000000" w:themeColor="text1"/>
                <w:highlight w:val="none"/>
                <w14:textFill>
                  <w14:solidFill>
                    <w14:schemeClr w14:val="tx1"/>
                  </w14:solidFill>
                </w14:textFill>
              </w:rPr>
            </w:pPr>
            <w:r>
              <w:rPr>
                <w:rFonts w:hint="eastAsia" w:ascii="宋体" w:hAnsi="宋体" w:eastAsia="宋体"/>
                <w:b w:val="0"/>
                <w:color w:val="000000" w:themeColor="text1"/>
                <w:sz w:val="21"/>
                <w:szCs w:val="24"/>
                <w:highlight w:val="none"/>
                <w14:textFill>
                  <w14:solidFill>
                    <w14:schemeClr w14:val="tx1"/>
                  </w14:solidFill>
                </w14:textFill>
              </w:rPr>
              <w:t xml:space="preserve">支撑条件、安全生产管理措施</w:t>
            </w:r>
            <w:r>
              <w:rPr>
                <w:rFonts w:hint="eastAsia" w:ascii="宋体" w:hAnsi="宋体" w:eastAsia="宋体"/>
                <w:b w:val="0"/>
                <w:color w:val="000000" w:themeColor="text1"/>
                <w:sz w:val="21"/>
                <w:szCs w:val="24"/>
                <w:highlight w:val="none"/>
                <w:lang w:eastAsia="zh-CN"/>
                <w14:textFill>
                  <w14:solidFill>
                    <w14:schemeClr w14:val="tx1"/>
                  </w14:solidFill>
                </w14:textFill>
              </w:rPr>
              <w:t xml:space="preserve">、</w:t>
            </w:r>
            <w:r>
              <w:rPr>
                <w:rFonts w:hint="eastAsia" w:ascii="宋体" w:hAnsi="宋体" w:eastAsia="宋体"/>
                <w:b w:val="0"/>
                <w:color w:val="000000" w:themeColor="text1"/>
                <w:sz w:val="21"/>
                <w:szCs w:val="24"/>
                <w:highlight w:val="none"/>
                <w:lang w:val="en-US" w:eastAsia="zh-CN"/>
                <w14:textFill>
                  <w14:solidFill>
                    <w14:schemeClr w14:val="tx1"/>
                  </w14:solidFill>
                </w14:textFill>
              </w:rPr>
              <w:t xml:space="preserve">特殊情况应急预案</w:t>
            </w:r>
            <w:r>
              <w:rPr>
                <w:rFonts w:hint="eastAsia" w:ascii="宋体" w:hAnsi="宋体" w:eastAsia="宋体"/>
                <w:b w:val="0"/>
                <w:color w:val="000000" w:themeColor="text1"/>
                <w:sz w:val="21"/>
                <w:szCs w:val="24"/>
                <w:highlight w:val="none"/>
                <w14:textFill>
                  <w14:solidFill>
                    <w14:schemeClr w14:val="tx1"/>
                  </w14:solidFill>
                </w14:textFill>
              </w:rPr>
              <w:t xml:space="preserve">等）齐全完善得</w:t>
            </w:r>
            <w:r>
              <w:rPr>
                <w:rFonts w:hint="eastAsia" w:ascii="宋体" w:hAnsi="宋体" w:eastAsia="宋体"/>
                <w:b w:val="0"/>
                <w:color w:val="000000" w:themeColor="text1"/>
                <w:sz w:val="21"/>
                <w:szCs w:val="24"/>
                <w:highlight w:val="none"/>
                <w:lang w:val="en-US" w:eastAsia="zh-CN"/>
                <w14:textFill>
                  <w14:solidFill>
                    <w14:schemeClr w14:val="tx1"/>
                  </w14:solidFill>
                </w14:textFill>
              </w:rPr>
              <w:t xml:space="preserve">12</w:t>
            </w:r>
            <w:r>
              <w:rPr>
                <w:rFonts w:hint="eastAsia" w:ascii="宋体" w:hAnsi="宋体" w:eastAsia="宋体"/>
                <w:b w:val="0"/>
                <w:color w:val="000000" w:themeColor="text1"/>
                <w:sz w:val="21"/>
                <w:szCs w:val="24"/>
                <w:highlight w:val="none"/>
                <w14:textFill>
                  <w14:solidFill>
                    <w14:schemeClr w14:val="tx1"/>
                  </w14:solidFill>
                </w14:textFill>
              </w:rPr>
              <w:t xml:space="preserve">分，</w:t>
            </w:r>
            <w:r>
              <w:rPr>
                <w:rFonts w:hint="eastAsia" w:ascii="宋体" w:hAnsi="宋体"/>
                <w:color w:val="000000" w:themeColor="text1"/>
                <w:szCs w:val="21"/>
                <w:highlight w:val="none"/>
                <w14:textFill>
                  <w14:solidFill>
                    <w14:schemeClr w14:val="tx1"/>
                  </w14:solidFill>
                </w14:textFill>
              </w:rPr>
              <w:t xml:space="preserve">每项方案全面清晰、详实合理且满足本项目建设需求的得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分，方案与采购需求偏差较大或未作完整叙述的不得分，本项最高得</w:t>
            </w:r>
            <w:r>
              <w:rPr>
                <w:rFonts w:hint="eastAsia" w:ascii="宋体" w:hAnsi="宋体"/>
                <w:color w:val="000000" w:themeColor="text1"/>
                <w:szCs w:val="21"/>
                <w:highlight w:val="none"/>
                <w:lang w:val="en-US" w:eastAsia="zh-CN"/>
                <w14:textFill>
                  <w14:solidFill>
                    <w14:schemeClr w14:val="tx1"/>
                  </w14:solidFill>
                </w14:textFill>
              </w:rPr>
              <w:t xml:space="preserve">12</w:t>
            </w:r>
            <w:r>
              <w:rPr>
                <w:rFonts w:hint="eastAsia" w:ascii="宋体" w:hAnsi="宋体"/>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276" w:lineRule="auto"/>
              <w:rPr>
                <w:rFonts w:hint="eastAsia" w:ascii="宋体" w:hAnsi="宋体"/>
                <w:color w:val="000000" w:themeColor="text1"/>
                <w:szCs w:val="21"/>
                <w:highlight w:val="none"/>
                <w14:textFill>
                  <w14:solidFill>
                    <w14:schemeClr w14:val="tx1"/>
                  </w14:solidFill>
                </w14:textFill>
              </w:rPr>
            </w:pPr>
            <w:r>
              <w:rPr>
                <w:rFonts w:hint="eastAsia" w:ascii="宋体" w:hAnsi="宋体"/>
                <w:b w:val="0"/>
                <w:color w:val="000000" w:themeColor="text1"/>
                <w:szCs w:val="21"/>
                <w:highlight w:val="none"/>
                <w:lang w:val="en-US" w:eastAsia="zh-CN"/>
                <w14:textFill>
                  <w14:solidFill>
                    <w14:schemeClr w14:val="tx1"/>
                  </w14:solidFill>
                </w14:textFill>
              </w:rPr>
              <w:t xml:space="preserve">12</w:t>
            </w:r>
            <w:r/>
          </w:p>
        </w:tc>
      </w:tr>
      <w:tr>
        <w:trPr>
          <w:jc w:val="center"/>
          <w:trHeight w:val="795"/>
        </w:trPr>
        <w:tc>
          <w:tcPr>
            <w:tcBorders>
              <w:left w:val="single" w:color="auto" w:sz="4" w:space="0"/>
              <w:right w:val="single" w:color="auto" w:sz="4" w:space="0"/>
            </w:tcBorders>
            <w:tcW w:w="1771"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themeColor="text1"/>
                <w:szCs w:val="21"/>
                <w:highlight w:val="none"/>
                <w:lang w:bidi="ar"/>
                <w14:textFill>
                  <w14:solidFill>
                    <w14:schemeClr w14:val="tx1"/>
                  </w14:solidFill>
                </w14:textFill>
              </w:rPr>
            </w:pPr>
            <w:r>
              <w:rPr>
                <w:rFonts w:hint="eastAsia" w:ascii="宋体" w:hAnsi="宋体" w:cs="宋体"/>
                <w:b w:val="0"/>
                <w:color w:val="000000" w:themeColor="text1"/>
                <w:szCs w:val="21"/>
                <w:highlight w:val="none"/>
                <w14:textFill>
                  <w14:solidFill>
                    <w14:schemeClr w14:val="tx1"/>
                  </w14:solidFill>
                </w14:textFill>
              </w:rPr>
              <w:t xml:space="preserve">重点、难点检测项目的解决方案</w:t>
            </w:r>
            <w:r>
              <w:rPr>
                <w:rFonts w:hint="eastAsia" w:ascii="宋体" w:hAnsi="宋体" w:cs="宋体"/>
                <w:b w:val="0"/>
                <w:color w:val="000000" w:themeColor="text1"/>
                <w:szCs w:val="21"/>
                <w:highlight w:val="none"/>
                <w:lang w:val="en-US" w:eastAsia="zh-CN"/>
                <w14:textFill>
                  <w14:solidFill>
                    <w14:schemeClr w14:val="tx1"/>
                  </w14:solidFill>
                </w14:textFill>
              </w:rPr>
              <w:t xml:space="preserve">及</w:t>
            </w:r>
            <w:r>
              <w:rPr>
                <w:rFonts w:hint="eastAsia" w:ascii="宋体" w:hAnsi="宋体" w:eastAsia="宋体"/>
                <w:color w:val="000000" w:themeColor="text1"/>
                <w:sz w:val="21"/>
                <w:szCs w:val="24"/>
                <w:highlight w:val="none"/>
                <w14:textFill>
                  <w14:solidFill>
                    <w14:schemeClr w14:val="tx1"/>
                  </w14:solidFill>
                </w14:textFill>
              </w:rPr>
              <w:t xml:space="preserve">合理化建议</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jc w:val="left"/>
              <w:rPr>
                <w:rFonts w:hint="eastAsia" w:ascii="宋体" w:hAnsi="宋体"/>
                <w:color w:val="000000" w:themeColor="text1"/>
                <w:sz w:val="21"/>
                <w:highlight w:val="none"/>
                <w14:textFill>
                  <w14:solidFill>
                    <w14:schemeClr w14:val="tx1"/>
                  </w14:solidFill>
                </w14:textFill>
              </w:rPr>
            </w:pPr>
            <w:r>
              <w:rPr>
                <w:rFonts w:hint="eastAsia" w:ascii="宋体" w:hAnsi="宋体" w:eastAsia="宋体"/>
                <w:color w:val="000000" w:themeColor="text1"/>
                <w:sz w:val="21"/>
                <w:szCs w:val="24"/>
                <w:highlight w:val="none"/>
                <w14:textFill>
                  <w14:solidFill>
                    <w14:schemeClr w14:val="tx1"/>
                  </w14:solidFill>
                </w14:textFill>
              </w:rPr>
              <w:t xml:space="preserve">投标人</w:t>
            </w:r>
            <w:r>
              <w:rPr>
                <w:rFonts w:hint="eastAsia" w:ascii="宋体" w:hAnsi="宋体" w:eastAsia="宋体"/>
                <w:color w:val="000000" w:themeColor="text1"/>
                <w:sz w:val="21"/>
                <w:szCs w:val="24"/>
                <w:highlight w:val="none"/>
                <w:lang w:val="en-US" w:eastAsia="zh-CN"/>
                <w14:textFill>
                  <w14:solidFill>
                    <w14:schemeClr w14:val="tx1"/>
                  </w14:solidFill>
                </w14:textFill>
              </w:rPr>
              <w:t xml:space="preserve">针对</w:t>
            </w:r>
            <w:r>
              <w:rPr>
                <w:rFonts w:hint="eastAsia" w:ascii="宋体" w:hAnsi="宋体" w:eastAsia="宋体"/>
                <w:color w:val="000000" w:themeColor="text1"/>
                <w:sz w:val="21"/>
                <w:szCs w:val="24"/>
                <w:highlight w:val="none"/>
                <w14:textFill>
                  <w14:solidFill>
                    <w14:schemeClr w14:val="tx1"/>
                  </w14:solidFill>
                </w14:textFill>
              </w:rPr>
              <w:t xml:space="preserve">本项目质量检测工作</w:t>
            </w:r>
            <w:r>
              <w:rPr>
                <w:rFonts w:hint="eastAsia" w:ascii="宋体" w:hAnsi="宋体" w:eastAsia="宋体"/>
                <w:color w:val="000000" w:themeColor="text1"/>
                <w:sz w:val="21"/>
                <w:szCs w:val="24"/>
                <w:highlight w:val="none"/>
                <w:lang w:val="en-US" w:eastAsia="zh-CN"/>
                <w14:textFill>
                  <w14:solidFill>
                    <w14:schemeClr w14:val="tx1"/>
                  </w14:solidFill>
                </w14:textFill>
              </w:rPr>
              <w:t xml:space="preserve">重点、难点问题的解决方案并</w:t>
            </w:r>
            <w:r>
              <w:rPr>
                <w:rFonts w:hint="eastAsia" w:ascii="宋体" w:hAnsi="宋体" w:eastAsia="宋体"/>
                <w:color w:val="000000" w:themeColor="text1"/>
                <w:sz w:val="21"/>
                <w:szCs w:val="24"/>
                <w:highlight w:val="none"/>
                <w14:textFill>
                  <w14:solidFill>
                    <w14:schemeClr w14:val="tx1"/>
                  </w14:solidFill>
                </w14:textFill>
              </w:rPr>
              <w:t xml:space="preserve">提出的合理化建议，</w:t>
            </w:r>
            <w:r>
              <w:rPr>
                <w:rFonts w:hint="eastAsia" w:ascii="宋体" w:hAnsi="宋体"/>
                <w:color w:val="000000" w:themeColor="text1"/>
                <w:szCs w:val="21"/>
                <w:highlight w:val="none"/>
                <w14:textFill>
                  <w14:solidFill>
                    <w14:schemeClr w14:val="tx1"/>
                  </w14:solidFill>
                </w14:textFill>
              </w:rPr>
              <w:t xml:space="preserve">每项方案全面清晰、详实合理且满足本项目建设需求的得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分，方案与采购需求偏差较大或未作完整叙述的不得分，本项最高得</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b w:val="0"/>
                <w:color w:val="000000" w:themeColor="text1"/>
                <w:szCs w:val="21"/>
                <w:highlight w:val="none"/>
                <w:lang w:val="en-US" w:eastAsia="zh-CN"/>
                <w14:textFill>
                  <w14:solidFill>
                    <w14:schemeClr w14:val="tx1"/>
                  </w14:solidFill>
                </w14:textFill>
              </w:rPr>
              <w:t xml:space="preserve">6</w:t>
            </w:r>
            <w:r/>
          </w:p>
        </w:tc>
      </w:tr>
      <w:tr>
        <w:trPr>
          <w:jc w:val="center"/>
          <w:trHeight w:val="2029"/>
        </w:trPr>
        <w:tc>
          <w:tcPr>
            <w:tcBorders>
              <w:left w:val="single" w:color="auto" w:sz="4" w:space="0"/>
              <w:right w:val="single" w:color="auto" w:sz="4" w:space="0"/>
            </w:tcBorders>
            <w:tcW w:w="1771" w:type="dxa"/>
            <w:vAlign w:val="center"/>
            <w:vMerge w:val="restart"/>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综合实力</w:t>
            </w:r>
            <w:r/>
          </w:p>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（44分）</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①项目负责人具有工程类专业高级及以上技术职称得3分。（须提供人员的劳动合同和近三个月社保缴纳证明、职称证书相关证明材料扫描件。）</w:t>
            </w:r>
            <w:r/>
          </w:p>
          <w:p>
            <w:pPr>
              <w:jc w:val="left"/>
              <w:tabs>
                <w:tab w:val="left" w:pos="2340" w:leader="none"/>
              </w:tabs>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②项目负责人同时具有注册土木工程师或注册结构工程师的得1分。</w:t>
            </w:r>
            <w:r/>
          </w:p>
          <w:p>
            <w:pPr>
              <w:jc w:val="left"/>
              <w:tabs>
                <w:tab w:val="left" w:pos="2340" w:leader="none"/>
              </w:tabs>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注：需提供项目负责人的劳动合同和近三个月社保缴纳证明、职称证书、资格证书相关证明材料扫描件。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r>
      <w:tr>
        <w:trPr>
          <w:jc w:val="center"/>
          <w:trHeight w:val="94"/>
        </w:trPr>
        <w:tc>
          <w:tcPr>
            <w:tcBorders>
              <w:left w:val="single" w:color="auto" w:sz="4" w:space="0"/>
              <w:right w:val="single" w:color="auto" w:sz="4" w:space="0"/>
            </w:tcBorders>
            <w:tcW w:w="1771" w:type="dxa"/>
            <w:vAlign w:val="center"/>
            <w:vMerge w:val="continue"/>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项目组成员</w:t>
            </w:r>
            <w:r/>
          </w:p>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（除项目负责人）</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rPr>
                <w:rFonts w:ascii="Times New Roman" w:hAnsi="Times New Roman"/>
                <w:b/>
                <w:bCs/>
                <w:color w:val="000000" w:themeColor="text1"/>
                <w:szCs w:val="21"/>
                <w:highlight w:val="none"/>
                <w14:textFill>
                  <w14:solidFill>
                    <w14:schemeClr w14:val="tx1"/>
                  </w14:solidFill>
                </w14:textFill>
              </w:rPr>
            </w:pPr>
            <w:r>
              <w:rPr>
                <w:rFonts w:hint="eastAsia" w:ascii="宋体" w:hAnsi="Times New Roman" w:cs="宋体"/>
                <w:b/>
                <w:bCs/>
                <w:color w:val="000000" w:themeColor="text1"/>
                <w:szCs w:val="21"/>
                <w:highlight w:val="none"/>
                <w14:textFill>
                  <w14:solidFill>
                    <w14:schemeClr w14:val="tx1"/>
                  </w14:solidFill>
                </w14:textFill>
              </w:rPr>
              <w:t xml:space="preserve">①</w:t>
            </w:r>
            <w:r>
              <w:rPr>
                <w:rFonts w:hint="eastAsia" w:ascii="Times New Roman" w:hAnsi="Times New Roman"/>
                <w:b/>
                <w:bCs/>
                <w:color w:val="000000" w:themeColor="text1"/>
                <w:szCs w:val="21"/>
                <w:highlight w:val="none"/>
                <w14:textFill>
                  <w14:solidFill>
                    <w14:schemeClr w14:val="tx1"/>
                  </w14:solidFill>
                </w14:textFill>
              </w:rPr>
              <w:t xml:space="preserve">项目组成员（除项目负责人外）具有工程类中级及以上职称的得0.5分，最高得4分；</w:t>
            </w:r>
            <w:r/>
          </w:p>
          <w:p>
            <w:pPr>
              <w:rPr>
                <w:rFonts w:ascii="Times New Roman" w:hAnsi="Times New Roman"/>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②</w:t>
            </w:r>
            <w:r>
              <w:rPr>
                <w:rFonts w:hint="eastAsia" w:ascii="Times New Roman" w:hAnsi="Times New Roman" w:cs="Calibri"/>
                <w:b/>
                <w:bCs/>
                <w:color w:val="000000" w:themeColor="text1"/>
                <w:szCs w:val="21"/>
                <w:highlight w:val="none"/>
                <w14:textFill>
                  <w14:solidFill>
                    <w14:schemeClr w14:val="tx1"/>
                  </w14:solidFill>
                </w14:textFill>
              </w:rPr>
              <w:t xml:space="preserve">项目组成员</w:t>
            </w:r>
            <w:r>
              <w:rPr>
                <w:rFonts w:hint="eastAsia" w:ascii="Times New Roman" w:hAnsi="Times New Roman"/>
                <w:b/>
                <w:bCs/>
                <w:color w:val="000000" w:themeColor="text1"/>
                <w:szCs w:val="21"/>
                <w:highlight w:val="none"/>
                <w14:textFill>
                  <w14:solidFill>
                    <w14:schemeClr w14:val="tx1"/>
                  </w14:solidFill>
                </w14:textFill>
              </w:rPr>
              <w:t xml:space="preserve">（除项目负责人外）具有混凝土工程、岩土工程质量检测员资格证书得1分，最高得1分；</w:t>
            </w:r>
            <w:r/>
          </w:p>
          <w:p>
            <w:pPr>
              <w:rPr>
                <w:rFonts w:hint="default" w:ascii="Times New Roman" w:hAnsi="Times New Roman" w:eastAsia="宋体" w:cs="Calibri"/>
                <w:b/>
                <w:bCs/>
                <w:color w:val="000000" w:themeColor="text1"/>
                <w:szCs w:val="21"/>
                <w:highlight w:val="none"/>
                <w:lang w:val="en-US" w:eastAsia="zh-CN"/>
                <w14:textFill>
                  <w14:solidFill>
                    <w14:schemeClr w14:val="tx1"/>
                  </w14:solidFill>
                </w14:textFill>
              </w:rPr>
            </w:pPr>
            <w:r>
              <w:rPr>
                <w:rFonts w:hint="eastAsia" w:ascii="Times New Roman" w:hAnsi="Times New Roman" w:cs="Calibri"/>
                <w:b/>
                <w:bCs/>
                <w:color w:val="000000" w:themeColor="text1"/>
                <w:szCs w:val="21"/>
                <w:highlight w:val="none"/>
                <w14:textFill>
                  <w14:solidFill>
                    <w14:schemeClr w14:val="tx1"/>
                  </w14:solidFill>
                </w14:textFill>
              </w:rPr>
              <w:t xml:space="preserve">③项目组成员</w:t>
            </w:r>
            <w:r>
              <w:rPr>
                <w:rFonts w:hint="eastAsia" w:ascii="Times New Roman" w:hAnsi="Times New Roman"/>
                <w:b/>
                <w:bCs/>
                <w:color w:val="000000" w:themeColor="text1"/>
                <w:szCs w:val="21"/>
                <w:highlight w:val="none"/>
                <w14:textFill>
                  <w14:solidFill>
                    <w14:schemeClr w14:val="tx1"/>
                  </w14:solidFill>
                </w14:textFill>
              </w:rPr>
              <w:t xml:space="preserve">（除项目负责人外）具有注册土木工程师或注册结构工程师</w:t>
            </w:r>
            <w:r>
              <w:rPr>
                <w:rFonts w:hint="eastAsia" w:ascii="Times New Roman" w:hAnsi="Times New Roman" w:cs="Calibri"/>
                <w:b/>
                <w:bCs/>
                <w:color w:val="000000" w:themeColor="text1"/>
                <w:szCs w:val="21"/>
                <w:highlight w:val="none"/>
                <w14:textFill>
                  <w14:solidFill>
                    <w14:schemeClr w14:val="tx1"/>
                  </w14:solidFill>
                </w14:textFill>
              </w:rPr>
              <w:t xml:space="preserve">的得1分，最高得3分。</w:t>
            </w:r>
            <w:r/>
          </w:p>
          <w:p>
            <w:pPr>
              <w:jc w:val="left"/>
              <w:tabs>
                <w:tab w:val="left" w:pos="2340" w:leader="none"/>
              </w:tabs>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注：需提供人员的劳动合同和近三个月社保缴纳证明、职称证书、资格证书相关证明材料扫描件。</w:t>
            </w:r>
            <w:r/>
          </w:p>
          <w:p>
            <w:pPr>
              <w:jc w:val="left"/>
              <w:tabs>
                <w:tab w:val="left" w:pos="2340" w:leader="none"/>
              </w:tabs>
              <w:rPr>
                <w:rFonts w:hint="eastAsia" w:ascii="宋体" w:hAnsi="宋体"/>
                <w:b/>
                <w:bCs/>
                <w:color w:val="000000" w:themeColor="text1"/>
                <w:highlight w:val="none"/>
                <w14:textFill>
                  <w14:solidFill>
                    <w14:schemeClr w14:val="tx1"/>
                  </w14:solidFill>
                </w14:textFill>
              </w:rPr>
            </w:pPr>
            <w:r>
              <w:rPr>
                <w:rFonts w:hint="eastAsia"/>
                <w:b/>
                <w:bCs/>
                <w:caps/>
                <w:color w:val="000000" w:themeColor="text1"/>
                <w:highlight w:val="none"/>
                <w14:textFill>
                  <w14:solidFill>
                    <w14:schemeClr w14:val="tx1"/>
                  </w14:solidFill>
                </w14:textFill>
              </w:rPr>
              <w:t xml:space="preserve">（如有联合体投标，联合体各单位</w:t>
            </w:r>
            <w:r>
              <w:rPr>
                <w:rFonts w:hint="eastAsia"/>
                <w:b/>
                <w:bCs/>
                <w:caps/>
                <w:color w:val="000000" w:themeColor="text1"/>
                <w:highlight w:val="none"/>
                <w:lang w:val="en-US" w:eastAsia="zh-CN"/>
                <w14:textFill>
                  <w14:solidFill>
                    <w14:schemeClr w14:val="tx1"/>
                  </w14:solidFill>
                </w14:textFill>
              </w:rPr>
              <w:t xml:space="preserve">成员</w:t>
            </w:r>
            <w:r>
              <w:rPr>
                <w:rFonts w:hint="eastAsia"/>
                <w:b/>
                <w:bCs/>
                <w:caps/>
                <w:color w:val="000000" w:themeColor="text1"/>
                <w:highlight w:val="none"/>
                <w14:textFill>
                  <w14:solidFill>
                    <w14:schemeClr w14:val="tx1"/>
                  </w14:solidFill>
                </w14:textFill>
              </w:rPr>
              <w:t xml:space="preserve">均可计入）</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r>
      <w:tr>
        <w:trPr>
          <w:jc w:val="center"/>
          <w:trHeight w:val="303"/>
        </w:trPr>
        <w:tc>
          <w:tcPr>
            <w:tcBorders>
              <w:left w:val="single" w:color="auto" w:sz="4" w:space="0"/>
              <w:right w:val="single" w:color="auto" w:sz="4" w:space="0"/>
            </w:tcBorders>
            <w:tcW w:w="1771" w:type="dxa"/>
            <w:vAlign w:val="center"/>
            <w:vMerge w:val="continue"/>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体系认证</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tabs>
                <w:tab w:val="left" w:pos="960" w:leader="none"/>
              </w:tabs>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企业通过质量管理体系认证、环境管理体系认证、职业健康安全管理体系认证、</w:t>
            </w:r>
            <w:r>
              <w:rPr>
                <w:rFonts w:hint="eastAsia" w:ascii="宋体" w:hAnsi="宋体" w:cs="宋体"/>
                <w:color w:val="000000" w:themeColor="text1"/>
                <w:szCs w:val="21"/>
                <w:highlight w:val="none"/>
                <w:lang w:bidi="ar"/>
                <w14:textFill>
                  <w14:solidFill>
                    <w14:schemeClr w14:val="tx1"/>
                  </w14:solidFill>
                </w14:textFill>
              </w:rPr>
              <w:t xml:space="preserve">诚信管理体系认证并在有效期内的，每一项得</w:t>
            </w:r>
            <w:r>
              <w:rPr>
                <w:rFonts w:hint="eastAsia" w:ascii="Times New Roman" w:hAnsi="Times New Roman"/>
                <w:color w:val="000000" w:themeColor="text1"/>
                <w:szCs w:val="21"/>
                <w:highlight w:val="none"/>
                <w:lang w:bidi="ar"/>
                <w14:textFill>
                  <w14:solidFill>
                    <w14:schemeClr w14:val="tx1"/>
                  </w14:solidFill>
                </w14:textFill>
              </w:rPr>
              <w:t xml:space="preserve">1</w:t>
            </w:r>
            <w:r>
              <w:rPr>
                <w:rFonts w:hint="eastAsia" w:ascii="宋体" w:hAnsi="宋体" w:cs="宋体"/>
                <w:color w:val="000000" w:themeColor="text1"/>
                <w:szCs w:val="21"/>
                <w:highlight w:val="none"/>
                <w:lang w:bidi="ar"/>
                <w14:textFill>
                  <w14:solidFill>
                    <w14:schemeClr w14:val="tx1"/>
                  </w14:solidFill>
                </w14:textFill>
              </w:rPr>
              <w:t xml:space="preserve">分，最高得</w:t>
            </w:r>
            <w:r>
              <w:rPr>
                <w:rFonts w:hint="eastAsia" w:ascii="Times New Roman" w:hAnsi="Times New Roman"/>
                <w:color w:val="000000" w:themeColor="text1"/>
                <w:szCs w:val="21"/>
                <w:highlight w:val="none"/>
                <w:lang w:bidi="ar"/>
                <w14:textFill>
                  <w14:solidFill>
                    <w14:schemeClr w14:val="tx1"/>
                  </w14:solidFill>
                </w14:textFill>
              </w:rPr>
              <w:t xml:space="preserve">4</w:t>
            </w:r>
            <w:r>
              <w:rPr>
                <w:rFonts w:hint="eastAsia" w:ascii="宋体" w:hAnsi="宋体" w:cs="宋体"/>
                <w:color w:val="000000" w:themeColor="text1"/>
                <w:szCs w:val="21"/>
                <w:highlight w:val="none"/>
                <w:lang w:bidi="ar"/>
                <w14:textFill>
                  <w14:solidFill>
                    <w14:schemeClr w14:val="tx1"/>
                  </w14:solidFill>
                </w14:textFill>
              </w:rPr>
              <w:t xml:space="preserve">分</w:t>
            </w:r>
            <w:r>
              <w:rPr>
                <w:rFonts w:hint="eastAsia" w:ascii="Times New Roman" w:hAnsi="Times New Roman"/>
                <w:color w:val="000000" w:themeColor="text1"/>
                <w:highlight w:val="none"/>
                <w14:textFill>
                  <w14:solidFill>
                    <w14:schemeClr w14:val="tx1"/>
                  </w14:solidFill>
                </w14:textFill>
              </w:rPr>
              <w:t xml:space="preserve">。</w:t>
            </w:r>
            <w:r/>
          </w:p>
          <w:p>
            <w:pPr>
              <w:jc w:val="left"/>
              <w:tabs>
                <w:tab w:val="left" w:pos="2340" w:leader="none"/>
              </w:tabs>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注：</w:t>
            </w:r>
            <w:r>
              <w:rPr>
                <w:rFonts w:hint="eastAsia" w:ascii="Times New Roman" w:hAnsi="Times New Roman"/>
                <w:b/>
                <w:bCs/>
                <w:color w:val="000000" w:themeColor="text1"/>
                <w:highlight w:val="none"/>
                <w14:textFill>
                  <w14:solidFill>
                    <w14:schemeClr w14:val="tx1"/>
                  </w14:solidFill>
                </w14:textFill>
              </w:rPr>
              <w:t xml:space="preserve">需提供认证证书扫描件及对应证书在国家认可监督管理委员会官网查询结果的完整网页截图且显示为有效，未按要求提供的，对应项不得分。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r>
      <w:tr>
        <w:trPr>
          <w:jc w:val="center"/>
          <w:trHeight w:val="2198"/>
        </w:trPr>
        <w:tc>
          <w:tcPr>
            <w:tcBorders>
              <w:left w:val="single" w:color="auto" w:sz="4" w:space="0"/>
              <w:right w:val="single" w:color="auto" w:sz="4" w:space="0"/>
            </w:tcBorders>
            <w:tcW w:w="1771" w:type="dxa"/>
            <w:vAlign w:val="center"/>
            <w:vMerge w:val="continue"/>
            <w:textDirection w:val="lrTb"/>
            <w:noWrap w:val="false"/>
          </w:tcPr>
          <w:p>
            <w:pPr>
              <w:jc w:val="center"/>
              <w:spacing w:before="12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before="120"/>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检测能力</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①投标人具有CMA检验检测机构资质认定证书的，得2分；</w:t>
            </w:r>
            <w:r/>
          </w:p>
          <w:p>
            <w:pP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②经批准的检验检测能力表中检测参数包含：（1）混凝土</w:t>
            </w:r>
            <w:r>
              <w:rPr>
                <w:rFonts w:ascii="宋体" w:hAnsi="宋体" w:cs="宋体"/>
                <w:color w:val="000000" w:themeColor="text1"/>
                <w:szCs w:val="21"/>
                <w:highlight w:val="none"/>
                <w14:textFill>
                  <w14:solidFill>
                    <w14:schemeClr w14:val="tx1"/>
                  </w14:solidFill>
                </w14:textFill>
              </w:rPr>
              <w:t xml:space="preserve">配合比设计</w:t>
            </w:r>
            <w:r>
              <w:rPr>
                <w:rFonts w:hint="eastAsia" w:ascii="宋体" w:hAnsi="宋体" w:cs="宋体"/>
                <w:color w:val="000000" w:themeColor="text1"/>
                <w:szCs w:val="21"/>
                <w:highlight w:val="none"/>
                <w14:textFill>
                  <w14:solidFill>
                    <w14:schemeClr w14:val="tx1"/>
                  </w14:solidFill>
                </w14:textFill>
              </w:rPr>
              <w:t xml:space="preserve">；（2）</w:t>
            </w:r>
            <w:r>
              <w:rPr>
                <w:rFonts w:ascii="宋体" w:hAnsi="宋体" w:cs="宋体"/>
                <w:color w:val="000000" w:themeColor="text1"/>
                <w:szCs w:val="21"/>
                <w:highlight w:val="none"/>
                <w14:textFill>
                  <w14:solidFill>
                    <w14:schemeClr w14:val="tx1"/>
                  </w14:solidFill>
                </w14:textFill>
              </w:rPr>
              <w:t xml:space="preserve">内衬管弯曲模量</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弯曲强度</w:t>
            </w:r>
            <w:r>
              <w:rPr>
                <w:rFonts w:hint="eastAsia" w:ascii="宋体" w:hAnsi="宋体" w:cs="宋体"/>
                <w:color w:val="000000" w:themeColor="text1"/>
                <w:szCs w:val="21"/>
                <w:highlight w:val="none"/>
                <w14:textFill>
                  <w14:solidFill>
                    <w14:schemeClr w14:val="tx1"/>
                  </w14:solidFill>
                </w14:textFill>
              </w:rPr>
              <w:t xml:space="preserve">；（3）</w:t>
            </w:r>
            <w:r>
              <w:rPr>
                <w:rFonts w:ascii="宋体" w:hAnsi="宋体" w:cs="宋体"/>
                <w:color w:val="000000" w:themeColor="text1"/>
                <w:szCs w:val="21"/>
                <w:highlight w:val="none"/>
                <w14:textFill>
                  <w14:solidFill>
                    <w14:schemeClr w14:val="tx1"/>
                  </w14:solidFill>
                </w14:textFill>
              </w:rPr>
              <w:t xml:space="preserve">管材管件环刚度</w:t>
            </w:r>
            <w:r>
              <w:rPr>
                <w:rFonts w:hint="eastAsia" w:ascii="宋体" w:hAnsi="宋体" w:cs="宋体"/>
                <w:color w:val="000000" w:themeColor="text1"/>
                <w:szCs w:val="21"/>
                <w:highlight w:val="none"/>
                <w14:textFill>
                  <w14:solidFill>
                    <w14:schemeClr w14:val="tx1"/>
                  </w14:solidFill>
                </w14:textFill>
              </w:rPr>
              <w:t xml:space="preserve">、拉伸强度；（4）管材</w:t>
            </w:r>
            <w:r>
              <w:rPr>
                <w:rFonts w:ascii="宋体" w:hAnsi="宋体" w:cs="宋体"/>
                <w:color w:val="000000" w:themeColor="text1"/>
                <w:szCs w:val="21"/>
                <w:highlight w:val="none"/>
                <w14:textFill>
                  <w14:solidFill>
                    <w14:schemeClr w14:val="tx1"/>
                  </w14:solidFill>
                </w14:textFill>
              </w:rPr>
              <w:t xml:space="preserve">灰分</w:t>
            </w:r>
            <w:r>
              <w:rPr>
                <w:rFonts w:hint="eastAsia" w:ascii="宋体" w:hAnsi="宋体" w:cs="宋体"/>
                <w:color w:val="000000" w:themeColor="text1"/>
                <w:szCs w:val="21"/>
                <w:highlight w:val="none"/>
                <w14:textFill>
                  <w14:solidFill>
                    <w14:schemeClr w14:val="tx1"/>
                  </w14:solidFill>
                </w14:textFill>
              </w:rPr>
              <w:t xml:space="preserve">；（5）管材熔体质量流动速率；（6）</w:t>
            </w:r>
            <w:r>
              <w:rPr>
                <w:rFonts w:ascii="宋体" w:hAnsi="宋体" w:cs="宋体"/>
                <w:color w:val="000000" w:themeColor="text1"/>
                <w:szCs w:val="21"/>
                <w:highlight w:val="none"/>
                <w14:textFill>
                  <w14:solidFill>
                    <w14:schemeClr w14:val="tx1"/>
                  </w14:solidFill>
                </w14:textFill>
              </w:rPr>
              <w:t xml:space="preserve">建筑用碎石或明石或粗集料软弱颗粒含量</w:t>
            </w:r>
            <w:r>
              <w:rPr>
                <w:rFonts w:hint="eastAsia" w:ascii="宋体" w:hAnsi="宋体" w:cs="宋体"/>
                <w:color w:val="000000" w:themeColor="text1"/>
                <w:szCs w:val="21"/>
                <w:highlight w:val="none"/>
                <w14:textFill>
                  <w14:solidFill>
                    <w14:schemeClr w14:val="tx1"/>
                  </w14:solidFill>
                </w14:textFill>
              </w:rPr>
              <w:t xml:space="preserve">；（7）</w:t>
            </w:r>
            <w:r>
              <w:rPr>
                <w:rFonts w:ascii="宋体" w:hAnsi="宋体" w:cs="宋体"/>
                <w:color w:val="000000" w:themeColor="text1"/>
                <w:szCs w:val="21"/>
                <w:highlight w:val="none"/>
                <w14:textFill>
                  <w14:solidFill>
                    <w14:schemeClr w14:val="tx1"/>
                  </w14:solidFill>
                </w14:textFill>
              </w:rPr>
              <w:t xml:space="preserve">检查井盖承载力、残留变形</w:t>
            </w:r>
            <w:r>
              <w:rPr>
                <w:rFonts w:hint="eastAsia" w:ascii="宋体" w:hAnsi="宋体" w:cs="宋体"/>
                <w:color w:val="000000" w:themeColor="text1"/>
                <w:szCs w:val="21"/>
                <w:highlight w:val="none"/>
                <w14:textFill>
                  <w14:solidFill>
                    <w14:schemeClr w14:val="tx1"/>
                  </w14:solidFill>
                </w14:textFill>
              </w:rPr>
              <w:t xml:space="preserve">；（8）</w:t>
            </w:r>
            <w:r>
              <w:rPr>
                <w:rFonts w:ascii="宋体" w:hAnsi="宋体" w:cs="宋体"/>
                <w:color w:val="000000" w:themeColor="text1"/>
                <w:szCs w:val="21"/>
                <w:highlight w:val="none"/>
                <w14:textFill>
                  <w14:solidFill>
                    <w14:schemeClr w14:val="tx1"/>
                  </w14:solidFill>
                </w14:textFill>
              </w:rPr>
              <w:t xml:space="preserve">管材氧化诱导时间</w:t>
            </w:r>
            <w:r>
              <w:rPr>
                <w:rFonts w:hint="eastAsia" w:ascii="宋体" w:hAnsi="宋体" w:cs="宋体"/>
                <w:color w:val="000000" w:themeColor="text1"/>
                <w:szCs w:val="21"/>
                <w:highlight w:val="none"/>
                <w14:textFill>
                  <w14:solidFill>
                    <w14:schemeClr w14:val="tx1"/>
                  </w14:solidFill>
                </w14:textFill>
              </w:rPr>
              <w:t xml:space="preserve">；（9）</w:t>
            </w:r>
            <w:r>
              <w:rPr>
                <w:rFonts w:ascii="宋体" w:hAnsi="宋体" w:cs="宋体"/>
                <w:color w:val="000000" w:themeColor="text1"/>
                <w:szCs w:val="21"/>
                <w:highlight w:val="none"/>
                <w14:textFill>
                  <w14:solidFill>
                    <w14:schemeClr w14:val="tx1"/>
                  </w14:solidFill>
                </w14:textFill>
              </w:rPr>
              <w:t xml:space="preserve">矿渣粉活性指数</w:t>
            </w:r>
            <w:r>
              <w:rPr>
                <w:rFonts w:hint="eastAsia" w:ascii="宋体" w:hAnsi="宋体" w:cs="宋体"/>
                <w:color w:val="000000" w:themeColor="text1"/>
                <w:szCs w:val="21"/>
                <w:highlight w:val="none"/>
                <w14:textFill>
                  <w14:solidFill>
                    <w14:schemeClr w14:val="tx1"/>
                  </w14:solidFill>
                </w14:textFill>
              </w:rPr>
              <w:t xml:space="preserve">；（10）橡胶密封圈拉伸强度、</w:t>
            </w:r>
            <w:r>
              <w:rPr>
                <w:rFonts w:ascii="宋体" w:hAnsi="宋体" w:cs="宋体"/>
                <w:color w:val="000000" w:themeColor="text1"/>
                <w:szCs w:val="21"/>
                <w:highlight w:val="none"/>
                <w14:textFill>
                  <w14:solidFill>
                    <w14:schemeClr w14:val="tx1"/>
                  </w14:solidFill>
                </w14:textFill>
              </w:rPr>
              <w:t xml:space="preserve">热空气老化</w:t>
            </w:r>
            <w:r>
              <w:rPr>
                <w:rFonts w:hint="eastAsia" w:ascii="宋体" w:hAnsi="宋体" w:cs="宋体"/>
                <w:color w:val="000000" w:themeColor="text1"/>
                <w:szCs w:val="21"/>
                <w:highlight w:val="none"/>
                <w14:textFill>
                  <w14:solidFill>
                    <w14:schemeClr w14:val="tx1"/>
                  </w14:solidFill>
                </w14:textFill>
              </w:rPr>
              <w:t xml:space="preserve">；（11）</w:t>
            </w:r>
            <w:r>
              <w:rPr>
                <w:rFonts w:ascii="宋体" w:hAnsi="宋体" w:cs="宋体"/>
                <w:color w:val="000000" w:themeColor="text1"/>
                <w:szCs w:val="21"/>
                <w:highlight w:val="none"/>
                <w14:textFill>
                  <w14:solidFill>
                    <w14:schemeClr w14:val="tx1"/>
                  </w14:solidFill>
                </w14:textFill>
              </w:rPr>
              <w:t xml:space="preserve">沥青软化点</w:t>
            </w:r>
            <w:r>
              <w:rPr>
                <w:rFonts w:hint="eastAsia" w:ascii="宋体" w:hAnsi="宋体" w:cs="宋体"/>
                <w:color w:val="000000" w:themeColor="text1"/>
                <w:szCs w:val="21"/>
                <w:highlight w:val="none"/>
                <w14:textFill>
                  <w14:solidFill>
                    <w14:schemeClr w14:val="tx1"/>
                  </w14:solidFill>
                </w14:textFill>
              </w:rPr>
              <w:t xml:space="preserve">；（12）</w:t>
            </w:r>
            <w:r>
              <w:rPr>
                <w:rFonts w:ascii="宋体" w:hAnsi="宋体" w:cs="宋体"/>
                <w:color w:val="000000" w:themeColor="text1"/>
                <w:szCs w:val="21"/>
                <w:highlight w:val="none"/>
                <w14:textFill>
                  <w14:solidFill>
                    <w14:schemeClr w14:val="tx1"/>
                  </w14:solidFill>
                </w14:textFill>
              </w:rPr>
              <w:t xml:space="preserve">电气系统</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设备</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绝缘电阻、接地电阻</w:t>
            </w:r>
            <w:r>
              <w:rPr>
                <w:rFonts w:hint="eastAsia" w:ascii="宋体" w:hAnsi="宋体" w:cs="宋体"/>
                <w:color w:val="000000" w:themeColor="text1"/>
                <w:szCs w:val="21"/>
                <w:highlight w:val="none"/>
                <w14:textFill>
                  <w14:solidFill>
                    <w14:schemeClr w14:val="tx1"/>
                  </w14:solidFill>
                </w14:textFill>
              </w:rPr>
              <w:t xml:space="preserve">；（13）水利机械振动位移，振动速度，噪声；（14）金属涂层厚度，每个得1分。</w:t>
            </w:r>
            <w:r/>
          </w:p>
          <w:p>
            <w:pPr>
              <w:tabs>
                <w:tab w:val="left" w:pos="960" w:leader="none"/>
              </w:tabs>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注：需</w:t>
            </w:r>
            <w:r>
              <w:rPr>
                <w:rFonts w:hint="eastAsia" w:ascii="宋体" w:hAnsi="宋体" w:cs="宋体"/>
                <w:b/>
                <w:bCs/>
                <w:color w:val="000000" w:themeColor="text1"/>
                <w:szCs w:val="21"/>
                <w:highlight w:val="none"/>
                <w14:textFill>
                  <w14:solidFill>
                    <w14:schemeClr w14:val="tx1"/>
                  </w14:solidFill>
                </w14:textFill>
              </w:rPr>
              <w:t xml:space="preserve">提供相关证书及能力表原件扫描件并加盖公章，否则不得分。</w:t>
            </w:r>
            <w:r/>
          </w:p>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b/>
                <w:bCs/>
                <w:caps/>
                <w:color w:val="000000" w:themeColor="text1"/>
                <w:highlight w:val="none"/>
                <w14:textFill>
                  <w14:solidFill>
                    <w14:schemeClr w14:val="tx1"/>
                  </w14:solidFill>
                </w14:textFill>
              </w:rPr>
              <w:t xml:space="preserve">（如有联合体投标，联合体各单位</w:t>
            </w:r>
            <w:r>
              <w:rPr>
                <w:rFonts w:hint="eastAsia" w:eastAsia="宋体"/>
                <w:b/>
                <w:bCs/>
                <w:caps/>
                <w:color w:val="000000" w:themeColor="text1"/>
                <w:highlight w:val="none"/>
                <w14:textFill>
                  <w14:solidFill>
                    <w14:schemeClr w14:val="tx1"/>
                  </w14:solidFill>
                </w14:textFill>
              </w:rPr>
              <w:t xml:space="preserve">检测</w:t>
            </w:r>
            <w:r>
              <w:rPr>
                <w:rFonts w:hint="eastAsia" w:eastAsia="宋体"/>
                <w:b/>
                <w:bCs/>
                <w:caps/>
                <w:color w:val="000000" w:themeColor="text1"/>
                <w:highlight w:val="none"/>
                <w:lang w:val="en-US" w:eastAsia="zh-CN"/>
                <w14:textFill>
                  <w14:solidFill>
                    <w14:schemeClr w14:val="tx1"/>
                  </w14:solidFill>
                </w14:textFill>
              </w:rPr>
              <w:t xml:space="preserve">参数</w:t>
            </w:r>
            <w:r>
              <w:rPr>
                <w:rFonts w:hint="eastAsia"/>
                <w:b/>
                <w:bCs/>
                <w:caps/>
                <w:color w:val="000000" w:themeColor="text1"/>
                <w:highlight w:val="none"/>
                <w14:textFill>
                  <w14:solidFill>
                    <w14:schemeClr w14:val="tx1"/>
                  </w14:solidFill>
                </w14:textFill>
              </w:rPr>
              <w:t xml:space="preserve">均可计入）</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w:t>
            </w:r>
            <w:r/>
          </w:p>
        </w:tc>
      </w:tr>
      <w:tr>
        <w:trPr>
          <w:jc w:val="center"/>
          <w:trHeight w:val="1053"/>
        </w:trPr>
        <w:tc>
          <w:tcPr>
            <w:tcBorders>
              <w:left w:val="single" w:color="auto" w:sz="4" w:space="0"/>
              <w:right w:val="single" w:color="auto" w:sz="4" w:space="0"/>
            </w:tcBorders>
            <w:tcW w:w="1771" w:type="dxa"/>
            <w:vAlign w:val="center"/>
            <w:vMerge w:val="continue"/>
            <w:textDirection w:val="lrTb"/>
            <w:noWrap w:val="false"/>
          </w:tcPr>
          <w:p>
            <w:pPr>
              <w:jc w:val="center"/>
              <w:spacing w:before="12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Borders>
              <w:top w:val="single" w:color="auto" w:sz="4" w:space="0"/>
              <w:left w:val="single" w:color="auto" w:sz="4" w:space="0"/>
              <w:right w:val="single" w:color="auto" w:sz="4" w:space="0"/>
            </w:tcBorders>
            <w:tcW w:w="1771" w:type="dxa"/>
            <w:vAlign w:val="center"/>
            <w:textDirection w:val="lrTb"/>
            <w:noWrap w:val="false"/>
          </w:tcPr>
          <w:p>
            <w:pPr>
              <w:jc w:val="center"/>
              <w:spacing w:before="120"/>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类似业绩</w:t>
            </w:r>
            <w:r/>
          </w:p>
        </w:tc>
        <w:tc>
          <w:tcPr>
            <w:tcBorders>
              <w:top w:val="single" w:color="auto" w:sz="4" w:space="0"/>
              <w:left w:val="single" w:color="auto" w:sz="4" w:space="0"/>
              <w:bottom w:val="single" w:color="auto" w:sz="4" w:space="0"/>
              <w:right w:val="single" w:color="auto" w:sz="4" w:space="0"/>
            </w:tcBorders>
            <w:tcW w:w="5317" w:type="dxa"/>
            <w:vAlign w:val="center"/>
            <w:textDirection w:val="lrTb"/>
            <w:noWrap w:val="false"/>
          </w:tcPr>
          <w:p>
            <w:pPr>
              <w:jc w:val="left"/>
              <w:tabs>
                <w:tab w:val="left" w:pos="2340" w:leader="none"/>
              </w:tabs>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投标单位自2022年10月以来（以合同签订日期为准）承担过类似市政工程（含管道）、排水工程或管道工程质量检测项目业绩，有一个得3分，最高得12分。</w:t>
            </w:r>
            <w:r/>
          </w:p>
          <w:p>
            <w:pPr>
              <w:pStyle w:val="1011"/>
              <w:ind w:right="102"/>
              <w:spacing w:before="46"/>
              <w:tabs>
                <w:tab w:val="left" w:pos="2340" w:leader="none"/>
              </w:tabs>
              <w:rPr>
                <w:rFonts w:hint="eastAsia"/>
                <w:b/>
                <w:bCs/>
                <w:color w:val="000000" w:themeColor="text1"/>
                <w:szCs w:val="22"/>
                <w:highlight w:val="none"/>
                <w14:textFill>
                  <w14:solidFill>
                    <w14:schemeClr w14:val="tx1"/>
                  </w14:solidFill>
                </w14:textFill>
              </w:rPr>
            </w:pPr>
            <w:r>
              <w:rPr>
                <w:rFonts w:hint="eastAsia"/>
                <w:b/>
                <w:bCs/>
                <w:color w:val="000000" w:themeColor="text1"/>
                <w:szCs w:val="22"/>
                <w:highlight w:val="none"/>
                <w14:textFill>
                  <w14:solidFill>
                    <w14:schemeClr w14:val="tx1"/>
                  </w14:solidFill>
                </w14:textFill>
              </w:rPr>
              <w:t xml:space="preserve">注：提供</w:t>
            </w:r>
            <w:r>
              <w:rPr>
                <w:rFonts w:hint="eastAsia"/>
                <w:b/>
                <w:bCs/>
                <w:color w:val="000000" w:themeColor="text1"/>
                <w:szCs w:val="22"/>
                <w:highlight w:val="none"/>
                <w:lang w:val="en-US"/>
                <w14:textFill>
                  <w14:solidFill>
                    <w14:schemeClr w14:val="tx1"/>
                  </w14:solidFill>
                </w14:textFill>
              </w:rPr>
              <w:t xml:space="preserve">检测</w:t>
            </w:r>
            <w:r>
              <w:rPr>
                <w:rFonts w:hint="eastAsia"/>
                <w:b/>
                <w:bCs/>
                <w:color w:val="000000" w:themeColor="text1"/>
                <w:szCs w:val="22"/>
                <w:highlight w:val="none"/>
                <w14:textFill>
                  <w14:solidFill>
                    <w14:schemeClr w14:val="tx1"/>
                  </w14:solidFill>
                </w14:textFill>
              </w:rPr>
              <w:t xml:space="preserve">合同扫描件</w:t>
            </w:r>
            <w:r/>
          </w:p>
          <w:p>
            <w:pPr>
              <w:jc w:val="center"/>
              <w:spacing w:line="360" w:lineRule="auto"/>
              <w:rPr>
                <w:rFonts w:hint="eastAsia"/>
                <w:b/>
                <w:bCs/>
                <w:color w:val="000000" w:themeColor="text1"/>
                <w:szCs w:val="22"/>
                <w:highlight w:val="none"/>
                <w14:textFill>
                  <w14:solidFill>
                    <w14:schemeClr w14:val="tx1"/>
                  </w14:solidFill>
                </w14:textFill>
              </w:rPr>
            </w:pPr>
            <w:r>
              <w:rPr>
                <w:rFonts w:hint="eastAsia"/>
                <w:b/>
                <w:bCs/>
                <w:caps/>
                <w:color w:val="000000" w:themeColor="text1"/>
                <w:highlight w:val="none"/>
                <w14:textFill>
                  <w14:solidFill>
                    <w14:schemeClr w14:val="tx1"/>
                  </w14:solidFill>
                </w14:textFill>
              </w:rPr>
              <w:t xml:space="preserve">（如有联合体投标，联合体各单位业绩均可计入）</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w:t>
            </w:r>
            <w:bookmarkEnd w:id="137"/>
            <w:r/>
            <w:bookmarkEnd w:id="138"/>
            <w:r/>
            <w:r/>
          </w:p>
        </w:tc>
      </w:tr>
    </w:tbl>
    <w:p>
      <w:pPr>
        <w:ind w:firstLine="424"/>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备注：</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1、投标报价超过最高限价的，投标人不得进入评标程序。</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3、评分标准中评分的每一条，各投标人均应提供相关的资料并作出相应的对比供评分评判。</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4、防止虚假应标，采购代理机构及采购单位有权对中标单位所有证书和业绩的真实性进行核查，如有不实，将取消中标资格，并按相关规定进行处理。</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5、为确保货物或服务质量，投标单位除价格分之外技术部分的分值低于其总分的75%作为无效标处理。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方正仿宋_GBK">
    <w:panose1 w:val="020B0503020202020204"/>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SimSun">
    <w:panose1 w:val="02010600030101010101"/>
  </w:font>
  <w:font w:name="Helvetica">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left"/>
      <w:rPr>
        <w:rFonts w:hint="eastAsia" w:ascii="宋体" w:hAnsi="宋体" w:eastAsia="宋体" w:cs="宋体"/>
        <w:sz w:val="21"/>
        <w:szCs w:val="21"/>
      </w:rPr>
      <w:pBdr>
        <w:bottom w:val="single" w:color="auto" w:sz="4" w:space="0"/>
      </w:pBd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41630" cy="363855"/>
              <wp:effectExtent l="0" t="0" r="1270" b="444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
                      <a:stretch/>
                    </pic:blipFill>
                    <pic:spPr bwMode="auto">
                      <a:xfrm>
                        <a:off x="0" y="0"/>
                        <a:ext cx="341630" cy="363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9pt;height:28.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JSZC-320583-SZRY-G2026-0001</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pStyle w:val="1019"/>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5 Char"/>
    <w:basedOn w:val="752"/>
    <w:link w:val="747"/>
    <w:uiPriority w:val="9"/>
    <w:rPr>
      <w:rFonts w:ascii="Arial" w:hAnsi="Arial" w:eastAsia="Arial" w:cs="Arial"/>
      <w:b/>
      <w:bCs/>
      <w:sz w:val="24"/>
      <w:szCs w:val="24"/>
    </w:rPr>
  </w:style>
  <w:style w:type="character" w:styleId="713">
    <w:name w:val="Heading 6 Char"/>
    <w:basedOn w:val="752"/>
    <w:link w:val="748"/>
    <w:uiPriority w:val="9"/>
    <w:rPr>
      <w:rFonts w:ascii="Arial" w:hAnsi="Arial" w:eastAsia="Arial" w:cs="Arial"/>
      <w:b/>
      <w:bCs/>
      <w:sz w:val="22"/>
      <w:szCs w:val="22"/>
    </w:rPr>
  </w:style>
  <w:style w:type="character" w:styleId="714">
    <w:name w:val="Heading 7 Char"/>
    <w:basedOn w:val="752"/>
    <w:link w:val="749"/>
    <w:uiPriority w:val="9"/>
    <w:rPr>
      <w:rFonts w:ascii="Arial" w:hAnsi="Arial" w:eastAsia="Arial" w:cs="Arial"/>
      <w:b/>
      <w:bCs/>
      <w:i/>
      <w:iCs/>
      <w:sz w:val="22"/>
      <w:szCs w:val="22"/>
    </w:rPr>
  </w:style>
  <w:style w:type="character" w:styleId="715">
    <w:name w:val="Heading 8 Char"/>
    <w:basedOn w:val="752"/>
    <w:link w:val="750"/>
    <w:uiPriority w:val="9"/>
    <w:rPr>
      <w:rFonts w:ascii="Arial" w:hAnsi="Arial" w:eastAsia="Arial" w:cs="Arial"/>
      <w:i/>
      <w:iCs/>
      <w:sz w:val="22"/>
      <w:szCs w:val="22"/>
    </w:rPr>
  </w:style>
  <w:style w:type="character" w:styleId="716">
    <w:name w:val="Heading 9 Char"/>
    <w:basedOn w:val="752"/>
    <w:link w:val="751"/>
    <w:uiPriority w:val="9"/>
    <w:rPr>
      <w:rFonts w:ascii="Arial" w:hAnsi="Arial" w:eastAsia="Arial" w:cs="Arial"/>
      <w:i/>
      <w:iCs/>
      <w:sz w:val="21"/>
      <w:szCs w:val="21"/>
    </w:rPr>
  </w:style>
  <w:style w:type="character" w:styleId="717">
    <w:name w:val="Subtitle Char"/>
    <w:basedOn w:val="752"/>
    <w:link w:val="776"/>
    <w:uiPriority w:val="11"/>
    <w:rPr>
      <w:sz w:val="24"/>
      <w:szCs w:val="24"/>
    </w:rPr>
  </w:style>
  <w:style w:type="character" w:styleId="718">
    <w:name w:val="Quote Char"/>
    <w:link w:val="811"/>
    <w:uiPriority w:val="29"/>
    <w:rPr>
      <w:i/>
    </w:rPr>
  </w:style>
  <w:style w:type="character" w:styleId="719">
    <w:name w:val="Intense Quote Char"/>
    <w:link w:val="813"/>
    <w:uiPriority w:val="30"/>
    <w:rPr>
      <w:i/>
    </w:rPr>
  </w:style>
  <w:style w:type="table" w:styleId="720">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9">
    <w:name w:val="Footnote Text Char"/>
    <w:link w:val="777"/>
    <w:uiPriority w:val="99"/>
    <w:rPr>
      <w:sz w:val="18"/>
    </w:rPr>
  </w:style>
  <w:style w:type="character" w:styleId="740">
    <w:name w:val="Endnote Text Char"/>
    <w:link w:val="770"/>
    <w:uiPriority w:val="99"/>
    <w:rPr>
      <w:sz w:val="20"/>
    </w:rPr>
  </w:style>
  <w:style w:type="paragraph" w:styleId="741">
    <w:name w:val="TOC Heading"/>
    <w:uiPriority w:val="39"/>
    <w:unhideWhenUsed/>
  </w:style>
  <w:style w:type="paragraph" w:styleId="742"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43">
    <w:name w:val="Heading 1"/>
    <w:basedOn w:val="742"/>
    <w:next w:val="742"/>
    <w:uiPriority w:val="0"/>
    <w:qFormat/>
    <w:pPr>
      <w:keepLines/>
      <w:keepNext/>
      <w:spacing w:before="340" w:after="330" w:line="576" w:lineRule="auto"/>
      <w:outlineLvl w:val="0"/>
    </w:pPr>
    <w:rPr>
      <w:rFonts w:eastAsia="楷体_GB2312"/>
      <w:b/>
      <w:sz w:val="44"/>
      <w:szCs w:val="20"/>
    </w:rPr>
  </w:style>
  <w:style w:type="paragraph" w:styleId="744">
    <w:name w:val="Heading 2"/>
    <w:basedOn w:val="742"/>
    <w:next w:val="742"/>
    <w:link w:val="947"/>
    <w:uiPriority w:val="0"/>
    <w:qFormat/>
    <w:pPr>
      <w:keepLines/>
      <w:keepNext/>
      <w:spacing w:before="260" w:after="260" w:line="416" w:lineRule="auto"/>
      <w:outlineLvl w:val="1"/>
    </w:pPr>
    <w:rPr>
      <w:rFonts w:ascii="Cambria" w:hAnsi="Cambria"/>
      <w:b/>
      <w:bCs/>
      <w:sz w:val="32"/>
      <w:szCs w:val="32"/>
    </w:rPr>
  </w:style>
  <w:style w:type="paragraph" w:styleId="745">
    <w:name w:val="Heading 3"/>
    <w:basedOn w:val="742"/>
    <w:next w:val="742"/>
    <w:link w:val="948"/>
    <w:uiPriority w:val="0"/>
    <w:qFormat/>
    <w:pPr>
      <w:keepLines/>
      <w:keepNext/>
      <w:spacing w:before="260" w:after="260" w:line="416" w:lineRule="auto"/>
      <w:outlineLvl w:val="2"/>
    </w:pPr>
    <w:rPr>
      <w:b/>
      <w:bCs/>
      <w:sz w:val="32"/>
      <w:szCs w:val="32"/>
    </w:rPr>
  </w:style>
  <w:style w:type="paragraph" w:styleId="746">
    <w:name w:val="Heading 4"/>
    <w:basedOn w:val="742"/>
    <w:next w:val="742"/>
    <w:link w:val="949"/>
    <w:uiPriority w:val="0"/>
    <w:qFormat/>
    <w:pPr>
      <w:keepLines/>
      <w:keepNext/>
      <w:spacing w:before="280" w:after="290" w:line="376" w:lineRule="auto"/>
      <w:outlineLvl w:val="3"/>
    </w:pPr>
    <w:rPr>
      <w:rFonts w:ascii="Cambria" w:hAnsi="Cambria"/>
      <w:b/>
      <w:bCs/>
      <w:sz w:val="28"/>
      <w:szCs w:val="28"/>
    </w:rPr>
  </w:style>
  <w:style w:type="paragraph" w:styleId="747">
    <w:name w:val="Heading 5"/>
    <w:basedOn w:val="742"/>
    <w:next w:val="742"/>
    <w:link w:val="803"/>
    <w:uiPriority w:val="9"/>
    <w:unhideWhenUsed/>
    <w:qFormat/>
    <w:pPr>
      <w:keepLines/>
      <w:keepNext/>
      <w:spacing w:before="320" w:after="200"/>
      <w:outlineLvl w:val="4"/>
    </w:pPr>
    <w:rPr>
      <w:rFonts w:ascii="Arial" w:hAnsi="Arial" w:eastAsia="Arial" w:cs="Arial"/>
      <w:b/>
      <w:bCs/>
      <w:sz w:val="24"/>
    </w:rPr>
  </w:style>
  <w:style w:type="paragraph" w:styleId="748">
    <w:name w:val="Heading 6"/>
    <w:basedOn w:val="742"/>
    <w:next w:val="742"/>
    <w:link w:val="804"/>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806"/>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07"/>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spacing w:after="57"/>
    </w:pPr>
  </w:style>
  <w:style w:type="paragraph" w:styleId="755">
    <w:name w:val="Normal Indent"/>
    <w:basedOn w:val="742"/>
    <w:next w:val="742"/>
    <w:link w:val="950"/>
    <w:uiPriority w:val="0"/>
    <w:qFormat/>
    <w:pPr>
      <w:ind w:firstLine="420"/>
      <w:jc w:val="left"/>
    </w:pPr>
    <w:rPr>
      <w:rFonts w:eastAsia="楷体_GB2312"/>
      <w:sz w:val="24"/>
      <w:szCs w:val="20"/>
    </w:rPr>
  </w:style>
  <w:style w:type="paragraph" w:styleId="756">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Document Map"/>
    <w:basedOn w:val="743"/>
    <w:next w:val="758"/>
    <w:uiPriority w:val="0"/>
    <w:semiHidden/>
    <w:qFormat/>
    <w:pPr>
      <w:shd w:val="clear" w:color="auto" w:fill="000080"/>
    </w:pPr>
  </w:style>
  <w:style w:type="paragraph" w:styleId="758">
    <w:name w:val="annotation subject"/>
    <w:next w:val="742"/>
    <w:uiPriority w:val="0"/>
    <w:semiHidden/>
    <w:qFormat/>
    <w:pPr>
      <w:ind w:firstLine="4608"/>
      <w:spacing w:line="360" w:lineRule="auto"/>
    </w:pPr>
    <w:rPr>
      <w:rFonts w:ascii="宋体" w:hAnsi="宋体" w:eastAsia="宋体" w:cs="宋体"/>
      <w:lang w:val="en-US" w:eastAsia="zh-CN" w:bidi="ar-SA"/>
    </w:rPr>
  </w:style>
  <w:style w:type="paragraph" w:styleId="759">
    <w:name w:val="toa heading"/>
    <w:basedOn w:val="742"/>
    <w:next w:val="742"/>
    <w:uiPriority w:val="0"/>
    <w:qFormat/>
    <w:pPr>
      <w:ind w:left="3960"/>
      <w:jc w:val="left"/>
      <w:spacing w:before="120" w:after="60" w:line="360" w:lineRule="auto"/>
      <w:widowControl/>
    </w:pPr>
    <w:rPr>
      <w:rFonts w:ascii="Helvetica" w:hAnsi="Helvetica" w:eastAsia="楷体_GB2312"/>
      <w:b/>
      <w:sz w:val="24"/>
      <w:szCs w:val="20"/>
    </w:rPr>
  </w:style>
  <w:style w:type="paragraph" w:styleId="760">
    <w:name w:val="annotation text"/>
    <w:basedOn w:val="742"/>
    <w:link w:val="951"/>
    <w:uiPriority w:val="0"/>
    <w:qFormat/>
    <w:pPr>
      <w:jc w:val="left"/>
    </w:pPr>
  </w:style>
  <w:style w:type="paragraph" w:styleId="761">
    <w:name w:val="Body Text"/>
    <w:basedOn w:val="742"/>
    <w:next w:val="755"/>
    <w:uiPriority w:val="0"/>
    <w:qFormat/>
    <w:pPr>
      <w:jc w:val="center"/>
    </w:pPr>
    <w:rPr>
      <w:rFonts w:ascii="方正大黑简体" w:eastAsia="方正大黑简体"/>
      <w:position w:val="6"/>
      <w:sz w:val="30"/>
      <w:szCs w:val="20"/>
    </w:rPr>
  </w:style>
  <w:style w:type="paragraph" w:styleId="762">
    <w:name w:val="Body Text Indent"/>
    <w:basedOn w:val="742"/>
    <w:link w:val="946"/>
    <w:uiPriority w:val="0"/>
    <w:qFormat/>
    <w:pPr>
      <w:ind w:left="570"/>
      <w:spacing w:line="520" w:lineRule="exact"/>
    </w:pPr>
    <w:rPr>
      <w:rFonts w:ascii="方正仿宋简体" w:hAnsi="创艺简仿宋" w:eastAsia="方正仿宋简体"/>
      <w:sz w:val="24"/>
      <w:szCs w:val="20"/>
    </w:rPr>
  </w:style>
  <w:style w:type="paragraph" w:styleId="763">
    <w:name w:val="Block Text"/>
    <w:basedOn w:val="742"/>
    <w:next w:val="761"/>
    <w:uiPriority w:val="0"/>
    <w:qFormat/>
    <w:pPr>
      <w:ind w:right="210" w:firstLine="560"/>
      <w:spacing w:line="360" w:lineRule="auto"/>
    </w:pPr>
    <w:rPr>
      <w:rFonts w:ascii="宋体" w:hAnsi="宋体"/>
      <w:color w:val="000000"/>
      <w:spacing w:val="20"/>
      <w:sz w:val="24"/>
      <w:szCs w:val="18"/>
    </w:rPr>
  </w:style>
  <w:style w:type="paragraph" w:styleId="764">
    <w:name w:val="toc 5"/>
    <w:basedOn w:val="742"/>
    <w:next w:val="742"/>
    <w:uiPriority w:val="39"/>
    <w:unhideWhenUsed/>
    <w:qFormat/>
    <w:pPr>
      <w:ind w:left="1134"/>
      <w:spacing w:after="57"/>
    </w:pPr>
  </w:style>
  <w:style w:type="paragraph" w:styleId="765">
    <w:name w:val="toc 3"/>
    <w:basedOn w:val="742"/>
    <w:next w:val="742"/>
    <w:uiPriority w:val="39"/>
    <w:unhideWhenUsed/>
    <w:qFormat/>
    <w:pPr>
      <w:ind w:left="567"/>
      <w:spacing w:after="57"/>
    </w:pPr>
  </w:style>
  <w:style w:type="paragraph" w:styleId="766">
    <w:name w:val="Plain Text"/>
    <w:basedOn w:val="742"/>
    <w:link w:val="952"/>
    <w:uiPriority w:val="0"/>
    <w:qFormat/>
    <w:rPr>
      <w:rFonts w:ascii="宋体" w:hAnsi="Courier New" w:eastAsia="楷体_GB2312"/>
      <w:sz w:val="28"/>
      <w:szCs w:val="20"/>
    </w:rPr>
  </w:style>
  <w:style w:type="paragraph" w:styleId="767">
    <w:name w:val="toc 8"/>
    <w:basedOn w:val="742"/>
    <w:next w:val="742"/>
    <w:uiPriority w:val="39"/>
    <w:unhideWhenUsed/>
    <w:qFormat/>
    <w:pPr>
      <w:ind w:left="1984"/>
      <w:spacing w:after="57"/>
    </w:pPr>
  </w:style>
  <w:style w:type="paragraph" w:styleId="768">
    <w:name w:val="Date"/>
    <w:basedOn w:val="742"/>
    <w:next w:val="742"/>
    <w:uiPriority w:val="0"/>
    <w:qFormat/>
    <w:rPr>
      <w:rFonts w:hint="eastAsia" w:ascii="宋体" w:hAnsi="宋体" w:eastAsia="楷体_GB2312"/>
      <w:sz w:val="24"/>
      <w:szCs w:val="20"/>
    </w:rPr>
  </w:style>
  <w:style w:type="paragraph" w:styleId="769">
    <w:name w:val="Body Text Indent 2"/>
    <w:basedOn w:val="742"/>
    <w:uiPriority w:val="0"/>
    <w:qFormat/>
    <w:pPr>
      <w:ind w:firstLine="540"/>
      <w:spacing w:line="360" w:lineRule="auto"/>
    </w:pPr>
    <w:rPr>
      <w:rFonts w:ascii="宋体" w:hAnsi="宋体"/>
      <w:sz w:val="24"/>
    </w:rPr>
  </w:style>
  <w:style w:type="paragraph" w:styleId="770">
    <w:name w:val="endnote text"/>
    <w:basedOn w:val="742"/>
    <w:link w:val="944"/>
    <w:uiPriority w:val="99"/>
    <w:semiHidden/>
    <w:unhideWhenUsed/>
    <w:qFormat/>
    <w:rPr>
      <w:sz w:val="20"/>
    </w:rPr>
  </w:style>
  <w:style w:type="paragraph" w:styleId="771">
    <w:name w:val="Balloon Text"/>
    <w:basedOn w:val="742"/>
    <w:link w:val="953"/>
    <w:uiPriority w:val="0"/>
    <w:qFormat/>
    <w:rPr>
      <w:sz w:val="18"/>
      <w:szCs w:val="18"/>
    </w:rPr>
  </w:style>
  <w:style w:type="paragraph" w:styleId="772">
    <w:name w:val="Footer"/>
    <w:basedOn w:val="742"/>
    <w:link w:val="954"/>
    <w:uiPriority w:val="99"/>
    <w:qFormat/>
    <w:pPr>
      <w:jc w:val="left"/>
      <w:tabs>
        <w:tab w:val="center" w:pos="4153" w:leader="none"/>
        <w:tab w:val="right" w:pos="8306" w:leader="none"/>
      </w:tabs>
    </w:pPr>
    <w:rPr>
      <w:sz w:val="18"/>
      <w:szCs w:val="18"/>
    </w:rPr>
  </w:style>
  <w:style w:type="paragraph" w:styleId="773">
    <w:name w:val="Header"/>
    <w:basedOn w:val="742"/>
    <w:link w:val="955"/>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74">
    <w:name w:val="toc 1"/>
    <w:basedOn w:val="742"/>
    <w:next w:val="742"/>
    <w:uiPriority w:val="39"/>
    <w:qFormat/>
    <w:pPr>
      <w:jc w:val="left"/>
    </w:pPr>
    <w:rPr>
      <w:rFonts w:eastAsia="楷体_GB2312"/>
      <w:sz w:val="24"/>
      <w:szCs w:val="20"/>
    </w:rPr>
  </w:style>
  <w:style w:type="paragraph" w:styleId="775">
    <w:name w:val="toc 4"/>
    <w:basedOn w:val="742"/>
    <w:next w:val="742"/>
    <w:uiPriority w:val="39"/>
    <w:unhideWhenUsed/>
    <w:qFormat/>
    <w:pPr>
      <w:ind w:left="850"/>
      <w:spacing w:after="57"/>
    </w:pPr>
  </w:style>
  <w:style w:type="paragraph" w:styleId="776">
    <w:name w:val="Subtitle"/>
    <w:basedOn w:val="742"/>
    <w:next w:val="742"/>
    <w:link w:val="810"/>
    <w:uiPriority w:val="11"/>
    <w:qFormat/>
    <w:pPr>
      <w:spacing w:before="200" w:after="200"/>
    </w:pPr>
    <w:rPr>
      <w:sz w:val="24"/>
    </w:rPr>
  </w:style>
  <w:style w:type="paragraph" w:styleId="777">
    <w:name w:val="footnote text"/>
    <w:basedOn w:val="742"/>
    <w:link w:val="943"/>
    <w:uiPriority w:val="99"/>
    <w:semiHidden/>
    <w:unhideWhenUsed/>
    <w:qFormat/>
    <w:pPr>
      <w:spacing w:after="40"/>
    </w:pPr>
    <w:rPr>
      <w:sz w:val="18"/>
    </w:rPr>
  </w:style>
  <w:style w:type="paragraph" w:styleId="778">
    <w:name w:val="toc 6"/>
    <w:basedOn w:val="742"/>
    <w:next w:val="742"/>
    <w:uiPriority w:val="39"/>
    <w:unhideWhenUsed/>
    <w:qFormat/>
    <w:pPr>
      <w:ind w:left="1417"/>
      <w:spacing w:after="57"/>
    </w:pPr>
  </w:style>
  <w:style w:type="paragraph" w:styleId="779">
    <w:name w:val="Body Text Indent 3"/>
    <w:basedOn w:val="742"/>
    <w:uiPriority w:val="0"/>
    <w:qFormat/>
    <w:pPr>
      <w:ind w:left="420"/>
      <w:spacing w:after="120"/>
    </w:pPr>
    <w:rPr>
      <w:sz w:val="16"/>
      <w:szCs w:val="16"/>
    </w:rPr>
  </w:style>
  <w:style w:type="paragraph" w:styleId="780">
    <w:name w:val="table of figures"/>
    <w:basedOn w:val="742"/>
    <w:next w:val="742"/>
    <w:uiPriority w:val="99"/>
    <w:unhideWhenUsed/>
    <w:qFormat/>
  </w:style>
  <w:style w:type="paragraph" w:styleId="781">
    <w:name w:val="toc 2"/>
    <w:basedOn w:val="742"/>
    <w:next w:val="742"/>
    <w:uiPriority w:val="39"/>
    <w:unhideWhenUsed/>
    <w:qFormat/>
    <w:pPr>
      <w:ind w:left="283"/>
      <w:spacing w:after="57"/>
    </w:pPr>
  </w:style>
  <w:style w:type="paragraph" w:styleId="782">
    <w:name w:val="toc 9"/>
    <w:basedOn w:val="742"/>
    <w:next w:val="742"/>
    <w:uiPriority w:val="39"/>
    <w:unhideWhenUsed/>
    <w:qFormat/>
    <w:pPr>
      <w:ind w:left="2268"/>
      <w:spacing w:after="57"/>
    </w:pPr>
  </w:style>
  <w:style w:type="paragraph" w:styleId="783">
    <w:name w:val="Body Text 2"/>
    <w:basedOn w:val="742"/>
    <w:uiPriority w:val="0"/>
    <w:qFormat/>
    <w:pPr>
      <w:spacing w:after="120" w:line="480" w:lineRule="auto"/>
    </w:pPr>
  </w:style>
  <w:style w:type="paragraph" w:styleId="784">
    <w:name w:val="Message Header"/>
    <w:basedOn w:val="742"/>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85">
    <w:name w:val="HTML Preformatted"/>
    <w:basedOn w:val="742"/>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86">
    <w:name w:val="Normal (Web)"/>
    <w:basedOn w:val="742"/>
    <w:uiPriority w:val="0"/>
    <w:qFormat/>
    <w:pPr>
      <w:jc w:val="left"/>
      <w:spacing w:before="100" w:beforeAutospacing="1" w:after="100" w:afterAutospacing="1"/>
      <w:widowControl/>
    </w:pPr>
    <w:rPr>
      <w:rFonts w:ascii="宋体" w:hAnsi="宋体"/>
      <w:sz w:val="24"/>
    </w:rPr>
  </w:style>
  <w:style w:type="paragraph" w:styleId="787">
    <w:name w:val="Title"/>
    <w:basedOn w:val="742"/>
    <w:next w:val="742"/>
    <w:link w:val="956"/>
    <w:uiPriority w:val="0"/>
    <w:qFormat/>
    <w:pPr>
      <w:jc w:val="center"/>
      <w:spacing w:before="240" w:after="60"/>
      <w:outlineLvl w:val="0"/>
    </w:pPr>
    <w:rPr>
      <w:rFonts w:ascii="Cambria" w:hAnsi="Cambria"/>
      <w:b/>
      <w:bCs/>
      <w:sz w:val="32"/>
      <w:szCs w:val="32"/>
    </w:rPr>
  </w:style>
  <w:style w:type="paragraph" w:styleId="788">
    <w:name w:val="Body Text First Indent"/>
    <w:basedOn w:val="761"/>
    <w:next w:val="742"/>
    <w:uiPriority w:val="99"/>
    <w:unhideWhenUsed/>
    <w:qFormat/>
    <w:pPr>
      <w:ind w:firstLine="200"/>
    </w:pPr>
  </w:style>
  <w:style w:type="paragraph" w:styleId="789">
    <w:name w:val="Body Text First Indent 2"/>
    <w:basedOn w:val="762"/>
    <w:uiPriority w:val="0"/>
    <w:unhideWhenUsed/>
    <w:qFormat/>
    <w:pPr>
      <w:ind w:left="420" w:firstLine="420"/>
      <w:spacing w:line="360" w:lineRule="auto"/>
    </w:pPr>
    <w:rPr>
      <w:rFonts w:ascii="Times New Roman" w:hAnsi="Times New Roman" w:eastAsia="宋体"/>
      <w:spacing w:val="-4"/>
    </w:rPr>
  </w:style>
  <w:style w:type="table" w:styleId="790">
    <w:name w:val="Table Grid"/>
    <w:basedOn w:val="7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1">
    <w:name w:val="endnote reference"/>
    <w:basedOn w:val="752"/>
    <w:uiPriority w:val="99"/>
    <w:semiHidden/>
    <w:unhideWhenUsed/>
    <w:qFormat/>
    <w:rPr>
      <w:vertAlign w:val="superscript"/>
    </w:rPr>
  </w:style>
  <w:style w:type="character" w:styleId="792">
    <w:name w:val="page number"/>
    <w:basedOn w:val="752"/>
    <w:uiPriority w:val="0"/>
    <w:qFormat/>
  </w:style>
  <w:style w:type="character" w:styleId="793">
    <w:name w:val="FollowedHyperlink"/>
    <w:uiPriority w:val="99"/>
    <w:qFormat/>
    <w:rPr>
      <w:color w:val="606420"/>
      <w:u w:val="single"/>
    </w:rPr>
  </w:style>
  <w:style w:type="character" w:styleId="794">
    <w:name w:val="Hyperlink"/>
    <w:uiPriority w:val="99"/>
    <w:qFormat/>
    <w:rPr>
      <w:color w:val="0000ff"/>
      <w:u w:val="single"/>
    </w:rPr>
  </w:style>
  <w:style w:type="character" w:styleId="795">
    <w:name w:val="annotation reference"/>
    <w:basedOn w:val="752"/>
    <w:uiPriority w:val="99"/>
    <w:semiHidden/>
    <w:unhideWhenUsed/>
    <w:qFormat/>
    <w:rPr>
      <w:sz w:val="21"/>
      <w:szCs w:val="21"/>
    </w:rPr>
  </w:style>
  <w:style w:type="character" w:styleId="796">
    <w:name w:val="footnote reference"/>
    <w:basedOn w:val="752"/>
    <w:uiPriority w:val="99"/>
    <w:unhideWhenUsed/>
    <w:qFormat/>
    <w:rPr>
      <w:vertAlign w:val="superscript"/>
    </w:rPr>
  </w:style>
  <w:style w:type="paragraph" w:styleId="797" w:customStyle="1">
    <w:name w:val="正文1"/>
    <w:basedOn w:val="742"/>
    <w:next w:val="742"/>
    <w:uiPriority w:val="0"/>
    <w:qFormat/>
    <w:pPr>
      <w:ind w:left="2160"/>
      <w:spacing w:line="360" w:lineRule="auto"/>
      <w:tabs>
        <w:tab w:val="left" w:pos="1980" w:leader="none"/>
        <w:tab w:val="left" w:pos="2160" w:leader="none"/>
      </w:tabs>
    </w:pPr>
    <w:rPr>
      <w:rFonts w:ascii="宋体" w:hAnsi="宋体"/>
    </w:rPr>
  </w:style>
  <w:style w:type="paragraph" w:styleId="798" w:customStyle="1">
    <w:name w:val="样式  + 首行缩进:  2 字符"/>
    <w:basedOn w:val="742"/>
    <w:uiPriority w:val="0"/>
    <w:qFormat/>
    <w:pPr>
      <w:ind w:firstLine="524"/>
      <w:spacing w:line="360" w:lineRule="auto"/>
    </w:pPr>
    <w:rPr>
      <w:rFonts w:ascii="宋体" w:hAnsi="宋体"/>
      <w:spacing w:val="11"/>
      <w:sz w:val="24"/>
    </w:rPr>
  </w:style>
  <w:style w:type="character" w:styleId="799" w:customStyle="1">
    <w:name w:val="Heading 1 Char"/>
    <w:basedOn w:val="752"/>
    <w:uiPriority w:val="9"/>
    <w:qFormat/>
    <w:rPr>
      <w:rFonts w:ascii="Arial" w:hAnsi="Arial" w:eastAsia="Arial" w:cs="Arial"/>
      <w:sz w:val="40"/>
      <w:szCs w:val="40"/>
    </w:rPr>
  </w:style>
  <w:style w:type="character" w:styleId="800" w:customStyle="1">
    <w:name w:val="Heading 2 Char"/>
    <w:basedOn w:val="752"/>
    <w:uiPriority w:val="9"/>
    <w:qFormat/>
    <w:rPr>
      <w:rFonts w:ascii="Arial" w:hAnsi="Arial" w:eastAsia="Arial" w:cs="Arial"/>
      <w:sz w:val="34"/>
    </w:rPr>
  </w:style>
  <w:style w:type="character" w:styleId="801" w:customStyle="1">
    <w:name w:val="Heading 3 Char"/>
    <w:basedOn w:val="752"/>
    <w:uiPriority w:val="9"/>
    <w:qFormat/>
    <w:rPr>
      <w:rFonts w:ascii="Arial" w:hAnsi="Arial" w:eastAsia="Arial" w:cs="Arial"/>
      <w:sz w:val="30"/>
      <w:szCs w:val="30"/>
    </w:rPr>
  </w:style>
  <w:style w:type="character" w:styleId="802" w:customStyle="1">
    <w:name w:val="Heading 4 Char"/>
    <w:basedOn w:val="752"/>
    <w:uiPriority w:val="9"/>
    <w:qFormat/>
    <w:rPr>
      <w:rFonts w:ascii="Arial" w:hAnsi="Arial" w:eastAsia="Arial" w:cs="Arial"/>
      <w:b/>
      <w:bCs/>
      <w:sz w:val="26"/>
      <w:szCs w:val="26"/>
    </w:rPr>
  </w:style>
  <w:style w:type="character" w:styleId="803" w:customStyle="1">
    <w:name w:val="标题 5 字符"/>
    <w:basedOn w:val="752"/>
    <w:link w:val="747"/>
    <w:uiPriority w:val="9"/>
    <w:qFormat/>
    <w:rPr>
      <w:rFonts w:ascii="Arial" w:hAnsi="Arial" w:eastAsia="Arial" w:cs="Arial"/>
      <w:b/>
      <w:bCs/>
      <w:sz w:val="24"/>
      <w:szCs w:val="24"/>
    </w:rPr>
  </w:style>
  <w:style w:type="character" w:styleId="804" w:customStyle="1">
    <w:name w:val="标题 6 字符"/>
    <w:basedOn w:val="752"/>
    <w:link w:val="748"/>
    <w:uiPriority w:val="9"/>
    <w:qFormat/>
    <w:rPr>
      <w:rFonts w:ascii="Arial" w:hAnsi="Arial" w:eastAsia="Arial" w:cs="Arial"/>
      <w:b/>
      <w:bCs/>
      <w:sz w:val="22"/>
      <w:szCs w:val="22"/>
    </w:rPr>
  </w:style>
  <w:style w:type="character" w:styleId="805" w:customStyle="1">
    <w:name w:val="标题 7 字符"/>
    <w:basedOn w:val="752"/>
    <w:link w:val="749"/>
    <w:uiPriority w:val="9"/>
    <w:qFormat/>
    <w:rPr>
      <w:rFonts w:ascii="Arial" w:hAnsi="Arial" w:eastAsia="Arial" w:cs="Arial"/>
      <w:b/>
      <w:bCs/>
      <w:i/>
      <w:iCs/>
      <w:sz w:val="22"/>
      <w:szCs w:val="22"/>
    </w:rPr>
  </w:style>
  <w:style w:type="character" w:styleId="806" w:customStyle="1">
    <w:name w:val="标题 8 字符"/>
    <w:basedOn w:val="752"/>
    <w:link w:val="750"/>
    <w:uiPriority w:val="9"/>
    <w:qFormat/>
    <w:rPr>
      <w:rFonts w:ascii="Arial" w:hAnsi="Arial" w:eastAsia="Arial" w:cs="Arial"/>
      <w:i/>
      <w:iCs/>
      <w:sz w:val="22"/>
      <w:szCs w:val="22"/>
    </w:rPr>
  </w:style>
  <w:style w:type="character" w:styleId="807" w:customStyle="1">
    <w:name w:val="标题 9 字符"/>
    <w:basedOn w:val="752"/>
    <w:link w:val="751"/>
    <w:uiPriority w:val="9"/>
    <w:qFormat/>
    <w:rPr>
      <w:rFonts w:ascii="Arial" w:hAnsi="Arial" w:eastAsia="Arial" w:cs="Arial"/>
      <w:i/>
      <w:iCs/>
      <w:sz w:val="21"/>
      <w:szCs w:val="21"/>
    </w:rPr>
  </w:style>
  <w:style w:type="paragraph" w:styleId="808">
    <w:name w:val="No Spacing"/>
    <w:uiPriority w:val="1"/>
    <w:qFormat/>
    <w:rPr>
      <w:rFonts w:ascii="Times New Roman" w:hAnsi="Times New Roman" w:eastAsia="宋体" w:cs="Times New Roman"/>
      <w:lang w:val="en-US" w:eastAsia="zh-CN" w:bidi="ar-SA"/>
    </w:rPr>
  </w:style>
  <w:style w:type="character" w:styleId="809" w:customStyle="1">
    <w:name w:val="Title Char"/>
    <w:basedOn w:val="752"/>
    <w:uiPriority w:val="10"/>
    <w:qFormat/>
    <w:rPr>
      <w:sz w:val="48"/>
      <w:szCs w:val="48"/>
    </w:rPr>
  </w:style>
  <w:style w:type="character" w:styleId="810" w:customStyle="1">
    <w:name w:val="副标题 字符"/>
    <w:basedOn w:val="752"/>
    <w:link w:val="776"/>
    <w:uiPriority w:val="11"/>
    <w:qFormat/>
    <w:rPr>
      <w:sz w:val="24"/>
      <w:szCs w:val="24"/>
    </w:rPr>
  </w:style>
  <w:style w:type="paragraph" w:styleId="811">
    <w:name w:val="Quote"/>
    <w:basedOn w:val="742"/>
    <w:next w:val="742"/>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42"/>
    <w:next w:val="742"/>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Header Char"/>
    <w:basedOn w:val="752"/>
    <w:uiPriority w:val="99"/>
    <w:qFormat/>
  </w:style>
  <w:style w:type="character" w:styleId="816" w:customStyle="1">
    <w:name w:val="Footer Char"/>
    <w:basedOn w:val="752"/>
    <w:uiPriority w:val="99"/>
    <w:qFormat/>
  </w:style>
  <w:style w:type="character" w:styleId="817" w:customStyle="1">
    <w:name w:val="Caption Char"/>
    <w:uiPriority w:val="99"/>
    <w:qFormat/>
  </w:style>
  <w:style w:type="table" w:styleId="818"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9" w:customStyle="1">
    <w:name w:val="无格式表格 1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basedOn w:val="7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basedOn w:val="7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basedOn w:val="7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basedOn w:val="7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basedOn w:val="7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basedOn w:val="7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basedOn w:val="7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basedOn w:val="7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basedOn w:val="7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basedOn w:val="7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basedOn w:val="7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basedOn w:val="7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basedOn w:val="7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basedOn w:val="7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basedOn w:val="7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basedOn w:val="7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basedOn w:val="7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basedOn w:val="7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basedOn w:val="7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basedOn w:val="7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basedOn w:val="7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5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basedOn w:val="7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basedOn w:val="7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basedOn w:val="7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basedOn w:val="7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basedOn w:val="7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basedOn w:val="7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77"/>
    <w:uiPriority w:val="99"/>
    <w:qFormat/>
    <w:rPr>
      <w:sz w:val="18"/>
    </w:rPr>
  </w:style>
  <w:style w:type="character" w:styleId="944" w:customStyle="1">
    <w:name w:val="尾注文本 字符"/>
    <w:link w:val="770"/>
    <w:uiPriority w:val="99"/>
    <w:qFormat/>
    <w:rPr>
      <w:sz w:val="20"/>
    </w:rPr>
  </w:style>
  <w:style w:type="paragraph" w:styleId="945" w:customStyle="1">
    <w:name w:val="TOC 标题1"/>
    <w:uiPriority w:val="39"/>
    <w:unhideWhenUsed/>
    <w:qFormat/>
    <w:rPr>
      <w:rFonts w:ascii="Times New Roman" w:hAnsi="Times New Roman" w:eastAsia="宋体" w:cs="Times New Roman"/>
      <w:lang w:val="en-US" w:eastAsia="zh-CN" w:bidi="ar-SA"/>
    </w:rPr>
  </w:style>
  <w:style w:type="character" w:styleId="946" w:customStyle="1">
    <w:name w:val="正文文本缩进 字符"/>
    <w:link w:val="762"/>
    <w:uiPriority w:val="0"/>
    <w:qFormat/>
    <w:rPr>
      <w:rFonts w:ascii="方正仿宋简体" w:hAnsi="创艺简仿宋" w:eastAsia="方正仿宋简体"/>
      <w:sz w:val="24"/>
    </w:rPr>
  </w:style>
  <w:style w:type="character" w:styleId="947" w:customStyle="1">
    <w:name w:val="标题 2 字符"/>
    <w:link w:val="744"/>
    <w:uiPriority w:val="0"/>
    <w:qFormat/>
    <w:rPr>
      <w:rFonts w:ascii="Cambria" w:hAnsi="Cambria"/>
      <w:b/>
      <w:bCs/>
      <w:sz w:val="32"/>
      <w:szCs w:val="32"/>
    </w:rPr>
  </w:style>
  <w:style w:type="character" w:styleId="948" w:customStyle="1">
    <w:name w:val="标题 3 字符"/>
    <w:link w:val="745"/>
    <w:uiPriority w:val="0"/>
    <w:semiHidden/>
    <w:qFormat/>
    <w:rPr>
      <w:b/>
      <w:bCs/>
      <w:sz w:val="32"/>
      <w:szCs w:val="32"/>
    </w:rPr>
  </w:style>
  <w:style w:type="character" w:styleId="949" w:customStyle="1">
    <w:name w:val="标题 4 字符"/>
    <w:link w:val="746"/>
    <w:uiPriority w:val="0"/>
    <w:qFormat/>
    <w:rPr>
      <w:rFonts w:ascii="Cambria" w:hAnsi="Cambria" w:eastAsia="宋体" w:cs="Times New Roman"/>
      <w:b/>
      <w:bCs/>
      <w:sz w:val="28"/>
      <w:szCs w:val="28"/>
    </w:rPr>
  </w:style>
  <w:style w:type="character" w:styleId="950" w:customStyle="1">
    <w:name w:val="正文缩进 字符1"/>
    <w:link w:val="755"/>
    <w:uiPriority w:val="0"/>
    <w:qFormat/>
    <w:rPr>
      <w:rFonts w:eastAsia="楷体_GB2312"/>
      <w:sz w:val="24"/>
    </w:rPr>
  </w:style>
  <w:style w:type="character" w:styleId="951" w:customStyle="1">
    <w:name w:val="批注文字 字符"/>
    <w:link w:val="760"/>
    <w:uiPriority w:val="0"/>
    <w:qFormat/>
    <w:rPr>
      <w:sz w:val="21"/>
      <w:szCs w:val="24"/>
    </w:rPr>
  </w:style>
  <w:style w:type="character" w:styleId="952" w:customStyle="1">
    <w:name w:val="纯文本 字符"/>
    <w:link w:val="766"/>
    <w:uiPriority w:val="0"/>
    <w:qFormat/>
    <w:rPr>
      <w:rFonts w:ascii="宋体" w:hAnsi="Courier New" w:eastAsia="楷体_GB2312"/>
      <w:sz w:val="28"/>
    </w:rPr>
  </w:style>
  <w:style w:type="character" w:styleId="953" w:customStyle="1">
    <w:name w:val="批注框文本 字符"/>
    <w:link w:val="771"/>
    <w:uiPriority w:val="0"/>
    <w:qFormat/>
    <w:rPr>
      <w:sz w:val="18"/>
      <w:szCs w:val="18"/>
    </w:rPr>
  </w:style>
  <w:style w:type="character" w:styleId="954" w:customStyle="1">
    <w:name w:val="页脚 字符"/>
    <w:link w:val="772"/>
    <w:uiPriority w:val="99"/>
    <w:qFormat/>
    <w:rPr>
      <w:sz w:val="18"/>
      <w:szCs w:val="18"/>
    </w:rPr>
  </w:style>
  <w:style w:type="character" w:styleId="955" w:customStyle="1">
    <w:name w:val="页眉 字符"/>
    <w:link w:val="773"/>
    <w:uiPriority w:val="99"/>
    <w:qFormat/>
    <w:rPr>
      <w:rFonts w:eastAsia="楷体_GB2312"/>
      <w:sz w:val="18"/>
    </w:rPr>
  </w:style>
  <w:style w:type="character" w:styleId="956" w:customStyle="1">
    <w:name w:val="标题 字符"/>
    <w:link w:val="787"/>
    <w:uiPriority w:val="0"/>
    <w:qFormat/>
    <w:rPr>
      <w:rFonts w:ascii="Cambria" w:hAnsi="Cambria" w:cs="Times New Roman"/>
      <w:b/>
      <w:bCs/>
      <w:sz w:val="32"/>
      <w:szCs w:val="32"/>
    </w:rPr>
  </w:style>
  <w:style w:type="paragraph" w:styleId="957" w:customStyle="1">
    <w:name w:val="段"/>
    <w:next w:val="742"/>
    <w:uiPriority w:val="0"/>
    <w:qFormat/>
    <w:pPr>
      <w:ind w:firstLine="200"/>
      <w:jc w:val="both"/>
    </w:pPr>
    <w:rPr>
      <w:rFonts w:ascii="宋体" w:hAnsi="Calibri" w:eastAsia="Times New Roman" w:cs="Times New Roman"/>
      <w:sz w:val="21"/>
      <w:lang w:val="en-US" w:eastAsia="zh-CN" w:bidi="ar-SA"/>
    </w:rPr>
  </w:style>
  <w:style w:type="character" w:styleId="958" w:customStyle="1">
    <w:name w:val="font21"/>
    <w:uiPriority w:val="0"/>
    <w:qFormat/>
    <w:rPr>
      <w:rFonts w:hint="eastAsia" w:ascii="宋体" w:hAnsi="宋体" w:eastAsia="宋体" w:cs="宋体"/>
      <w:color w:val="000000"/>
      <w:sz w:val="24"/>
      <w:szCs w:val="24"/>
      <w:u w:val="none"/>
    </w:rPr>
  </w:style>
  <w:style w:type="character" w:styleId="959" w:customStyle="1">
    <w:name w:val="font81"/>
    <w:uiPriority w:val="0"/>
    <w:qFormat/>
    <w:rPr>
      <w:rFonts w:hint="default" w:ascii="Futura Md BT" w:hAnsi="Futura Md BT" w:eastAsia="Futura Md BT" w:cs="Futura Md BT"/>
      <w:color w:val="000000"/>
      <w:sz w:val="20"/>
      <w:szCs w:val="20"/>
      <w:u w:val="none"/>
    </w:rPr>
  </w:style>
  <w:style w:type="character" w:styleId="960" w:customStyle="1">
    <w:name w:val="font71"/>
    <w:uiPriority w:val="0"/>
    <w:qFormat/>
    <w:rPr>
      <w:rFonts w:hint="eastAsia" w:ascii="宋体" w:hAnsi="宋体" w:eastAsia="宋体" w:cs="宋体"/>
      <w:color w:val="000000"/>
      <w:sz w:val="18"/>
      <w:szCs w:val="18"/>
      <w:u w:val="none"/>
    </w:rPr>
  </w:style>
  <w:style w:type="character" w:styleId="961" w:customStyle="1">
    <w:name w:val="font31"/>
    <w:uiPriority w:val="0"/>
    <w:qFormat/>
    <w:rPr>
      <w:rFonts w:hint="eastAsia" w:ascii="宋体" w:hAnsi="宋体" w:eastAsia="宋体" w:cs="宋体"/>
      <w:color w:val="000000"/>
      <w:sz w:val="20"/>
      <w:szCs w:val="20"/>
      <w:u w:val="none"/>
    </w:rPr>
  </w:style>
  <w:style w:type="character" w:styleId="962" w:customStyle="1">
    <w:name w:val="font51"/>
    <w:uiPriority w:val="0"/>
    <w:qFormat/>
    <w:rPr>
      <w:rFonts w:hint="default" w:ascii="Futura Md BT" w:hAnsi="Futura Md BT" w:eastAsia="Futura Md BT" w:cs="Futura Md BT"/>
      <w:color w:val="000000"/>
      <w:sz w:val="18"/>
      <w:szCs w:val="18"/>
      <w:u w:val="none"/>
    </w:rPr>
  </w:style>
  <w:style w:type="character" w:styleId="963" w:customStyle="1">
    <w:name w:val="font61"/>
    <w:uiPriority w:val="0"/>
    <w:qFormat/>
    <w:rPr>
      <w:rFonts w:ascii="Wingdings 2" w:hAnsi="Wingdings 2" w:eastAsia="Wingdings 2" w:cs="Wingdings 2"/>
      <w:color w:val="000000"/>
      <w:sz w:val="20"/>
      <w:szCs w:val="20"/>
      <w:u w:val="none"/>
    </w:rPr>
  </w:style>
  <w:style w:type="character" w:styleId="964" w:customStyle="1">
    <w:name w:val="font11"/>
    <w:uiPriority w:val="0"/>
    <w:qFormat/>
    <w:rPr>
      <w:rFonts w:hint="eastAsia" w:ascii="宋体" w:hAnsi="宋体" w:eastAsia="宋体" w:cs="宋体"/>
      <w:color w:val="000000"/>
      <w:sz w:val="21"/>
      <w:szCs w:val="21"/>
      <w:u w:val="none"/>
    </w:rPr>
  </w:style>
  <w:style w:type="character" w:styleId="965" w:customStyle="1">
    <w:name w:val="font01"/>
    <w:uiPriority w:val="0"/>
    <w:qFormat/>
    <w:rPr>
      <w:rFonts w:hint="eastAsia" w:ascii="宋体" w:hAnsi="宋体" w:eastAsia="宋体" w:cs="宋体"/>
      <w:color w:val="000000"/>
      <w:sz w:val="20"/>
      <w:szCs w:val="20"/>
      <w:u w:val="none"/>
    </w:rPr>
  </w:style>
  <w:style w:type="character" w:styleId="966" w:customStyle="1">
    <w:name w:val="Plain Text Char"/>
    <w:link w:val="967"/>
    <w:uiPriority w:val="0"/>
    <w:qFormat/>
    <w:rPr>
      <w:rFonts w:ascii="宋体" w:hAnsi="Courier New" w:eastAsia="楷体_GB2312"/>
      <w:sz w:val="26"/>
    </w:rPr>
  </w:style>
  <w:style w:type="paragraph" w:styleId="967" w:customStyle="1">
    <w:name w:val="纯文本5"/>
    <w:basedOn w:val="742"/>
    <w:link w:val="966"/>
    <w:uiPriority w:val="0"/>
    <w:qFormat/>
    <w:rPr>
      <w:rFonts w:ascii="宋体" w:hAnsi="Courier New" w:eastAsia="楷体_GB2312"/>
      <w:sz w:val="26"/>
      <w:szCs w:val="20"/>
    </w:rPr>
  </w:style>
  <w:style w:type="paragraph" w:styleId="968" w:customStyle="1">
    <w:name w:val="font8"/>
    <w:basedOn w:val="742"/>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69" w:customStyle="1">
    <w:name w:val="xl25"/>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0" w:customStyle="1">
    <w:name w:val="xl37"/>
    <w:basedOn w:val="74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71" w:customStyle="1">
    <w:name w:val="xl30"/>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72" w:customStyle="1">
    <w:name w:val="xl34"/>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3" w:customStyle="1">
    <w:name w:val="xl27"/>
    <w:basedOn w:val="74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74" w:customStyle="1">
    <w:name w:val="xl33"/>
    <w:basedOn w:val="742"/>
    <w:uiPriority w:val="0"/>
    <w:qFormat/>
    <w:pPr>
      <w:jc w:val="center"/>
      <w:spacing w:before="100" w:beforeAutospacing="1" w:after="100" w:afterAutospacing="1"/>
      <w:widowControl/>
    </w:pPr>
    <w:rPr>
      <w:sz w:val="24"/>
    </w:rPr>
  </w:style>
  <w:style w:type="paragraph" w:styleId="975" w:customStyle="1">
    <w:name w:val="xl42"/>
    <w:basedOn w:val="742"/>
    <w:uiPriority w:val="0"/>
    <w:qFormat/>
    <w:pPr>
      <w:jc w:val="left"/>
      <w:spacing w:before="100" w:beforeAutospacing="1" w:after="100" w:afterAutospacing="1"/>
      <w:widowControl/>
      <w:pBdr>
        <w:top w:val="single" w:color="auto" w:sz="4" w:space="0"/>
      </w:pBdr>
    </w:pPr>
    <w:rPr>
      <w:sz w:val="24"/>
    </w:rPr>
  </w:style>
  <w:style w:type="paragraph" w:styleId="976" w:customStyle="1">
    <w:name w:val="正文2"/>
    <w:basedOn w:val="742"/>
    <w:uiPriority w:val="0"/>
    <w:qFormat/>
    <w:pPr>
      <w:ind w:firstLine="200"/>
      <w:jc w:val="left"/>
      <w:spacing w:after="160" w:line="360" w:lineRule="auto"/>
      <w:widowControl/>
    </w:pPr>
    <w:rPr>
      <w:szCs w:val="20"/>
    </w:rPr>
  </w:style>
  <w:style w:type="paragraph" w:styleId="977" w:customStyle="1">
    <w:name w:val="xl36"/>
    <w:basedOn w:val="742"/>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78" w:customStyle="1">
    <w:name w:val="font0"/>
    <w:basedOn w:val="742"/>
    <w:uiPriority w:val="0"/>
    <w:qFormat/>
    <w:pPr>
      <w:jc w:val="left"/>
      <w:spacing w:before="100" w:beforeAutospacing="1" w:after="100" w:afterAutospacing="1"/>
      <w:widowControl/>
    </w:pPr>
    <w:rPr>
      <w:rFonts w:hint="eastAsia" w:ascii="宋体" w:hAnsi="宋体"/>
      <w:sz w:val="24"/>
    </w:rPr>
  </w:style>
  <w:style w:type="paragraph" w:styleId="979" w:customStyle="1">
    <w:name w:val="首行缩进"/>
    <w:basedOn w:val="742"/>
    <w:uiPriority w:val="0"/>
    <w:qFormat/>
    <w:pPr>
      <w:ind w:firstLine="480"/>
    </w:pPr>
    <w:rPr>
      <w:szCs w:val="20"/>
      <w:lang w:val="zh-CN"/>
    </w:rPr>
  </w:style>
  <w:style w:type="paragraph" w:styleId="980" w:customStyle="1">
    <w:name w:val="_Style 12"/>
    <w:basedOn w:val="757"/>
    <w:uiPriority w:val="0"/>
    <w:qFormat/>
    <w:pPr>
      <w:jc w:val="left"/>
      <w:spacing w:line="360" w:lineRule="auto"/>
      <w:widowControl/>
    </w:pPr>
    <w:rPr>
      <w:sz w:val="24"/>
    </w:rPr>
  </w:style>
  <w:style w:type="paragraph" w:styleId="981" w:customStyle="1">
    <w:name w:val="xl31"/>
    <w:basedOn w:val="742"/>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82" w:customStyle="1">
    <w:name w:val="xl47"/>
    <w:basedOn w:val="742"/>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83" w:customStyle="1">
    <w:name w:val="font7"/>
    <w:basedOn w:val="742"/>
    <w:uiPriority w:val="0"/>
    <w:qFormat/>
    <w:pPr>
      <w:jc w:val="left"/>
      <w:spacing w:before="100" w:beforeAutospacing="1" w:after="100" w:afterAutospacing="1"/>
      <w:widowControl/>
    </w:pPr>
    <w:rPr>
      <w:sz w:val="24"/>
    </w:rPr>
  </w:style>
  <w:style w:type="paragraph" w:styleId="984">
    <w:name w:val="List Paragraph"/>
    <w:basedOn w:val="742"/>
    <w:uiPriority w:val="34"/>
    <w:qFormat/>
    <w:pPr>
      <w:ind w:firstLine="420"/>
    </w:pPr>
  </w:style>
  <w:style w:type="paragraph" w:styleId="985" w:customStyle="1">
    <w:name w:val="font5"/>
    <w:basedOn w:val="742"/>
    <w:uiPriority w:val="0"/>
    <w:qFormat/>
    <w:pPr>
      <w:jc w:val="left"/>
      <w:spacing w:before="100" w:beforeAutospacing="1" w:after="100" w:afterAutospacing="1"/>
      <w:widowControl/>
    </w:pPr>
    <w:rPr>
      <w:rFonts w:hint="eastAsia" w:ascii="宋体" w:hAnsi="宋体"/>
      <w:sz w:val="24"/>
    </w:rPr>
  </w:style>
  <w:style w:type="paragraph" w:styleId="986" w:customStyle="1">
    <w:name w:val="纯文本11"/>
    <w:basedOn w:val="742"/>
    <w:uiPriority w:val="0"/>
    <w:qFormat/>
    <w:rPr>
      <w:rFonts w:hint="eastAsia" w:ascii="宋体" w:hAnsi="Courier New" w:eastAsia="楷体_GB2312"/>
      <w:sz w:val="28"/>
      <w:szCs w:val="20"/>
    </w:rPr>
  </w:style>
  <w:style w:type="paragraph" w:styleId="987" w:customStyle="1">
    <w:name w:val="xl49"/>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88" w:customStyle="1">
    <w:name w:val="xl2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89" w:customStyle="1">
    <w:name w:val="Plain Text1"/>
    <w:basedOn w:val="742"/>
    <w:uiPriority w:val="0"/>
    <w:qFormat/>
    <w:rPr>
      <w:rFonts w:ascii="宋体" w:hAnsi="Courier New" w:eastAsia="楷体_GB2312"/>
      <w:sz w:val="28"/>
      <w:szCs w:val="20"/>
    </w:rPr>
  </w:style>
  <w:style w:type="paragraph" w:styleId="990" w:customStyle="1">
    <w:name w:val="纯文本1"/>
    <w:basedOn w:val="742"/>
    <w:uiPriority w:val="0"/>
    <w:qFormat/>
    <w:rPr>
      <w:rFonts w:hint="eastAsia" w:ascii="宋体" w:hAnsi="Courier New" w:eastAsia="楷体_GB2312"/>
      <w:sz w:val="28"/>
      <w:szCs w:val="20"/>
    </w:rPr>
  </w:style>
  <w:style w:type="paragraph" w:styleId="991" w:customStyle="1">
    <w:name w:val="xl28"/>
    <w:basedOn w:val="742"/>
    <w:uiPriority w:val="0"/>
    <w:qFormat/>
    <w:pPr>
      <w:jc w:val="left"/>
      <w:spacing w:before="100" w:beforeAutospacing="1" w:after="100" w:afterAutospacing="1"/>
      <w:widowControl/>
    </w:pPr>
    <w:rPr>
      <w:sz w:val="24"/>
    </w:rPr>
  </w:style>
  <w:style w:type="paragraph" w:styleId="992" w:customStyle="1">
    <w:name w:val="xl32"/>
    <w:basedOn w:val="742"/>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93" w:customStyle="1">
    <w:name w:val="xl48"/>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94" w:customStyle="1">
    <w:name w:val="xl38"/>
    <w:basedOn w:val="74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95" w:customStyle="1">
    <w:name w:val="xl43"/>
    <w:basedOn w:val="742"/>
    <w:uiPriority w:val="0"/>
    <w:qFormat/>
    <w:pPr>
      <w:jc w:val="center"/>
      <w:spacing w:before="100" w:beforeAutospacing="1" w:after="100" w:afterAutospacing="1"/>
      <w:widowControl/>
    </w:pPr>
    <w:rPr>
      <w:rFonts w:ascii="宋体" w:hAnsi="宋体"/>
      <w:b/>
      <w:bCs/>
      <w:sz w:val="32"/>
      <w:szCs w:val="32"/>
    </w:rPr>
  </w:style>
  <w:style w:type="paragraph" w:styleId="996" w:customStyle="1">
    <w:name w:val="Char Char1"/>
    <w:basedOn w:val="742"/>
    <w:uiPriority w:val="0"/>
    <w:qFormat/>
    <w:pPr>
      <w:jc w:val="left"/>
      <w:spacing w:after="160" w:line="240" w:lineRule="exact"/>
      <w:widowControl/>
    </w:pPr>
    <w:rPr>
      <w:rFonts w:ascii="Verdana" w:hAnsi="Verdana"/>
      <w:sz w:val="20"/>
      <w:szCs w:val="20"/>
      <w:lang w:eastAsia="en-US"/>
    </w:rPr>
  </w:style>
  <w:style w:type="paragraph" w:styleId="997" w:customStyle="1">
    <w:name w:val="xl44"/>
    <w:basedOn w:val="742"/>
    <w:uiPriority w:val="0"/>
    <w:qFormat/>
    <w:pPr>
      <w:jc w:val="left"/>
      <w:spacing w:before="100" w:beforeAutospacing="1" w:after="100" w:afterAutospacing="1"/>
      <w:widowControl/>
    </w:pPr>
    <w:rPr>
      <w:sz w:val="24"/>
    </w:rPr>
  </w:style>
  <w:style w:type="paragraph" w:styleId="998" w:customStyle="1">
    <w:name w:val="xl51"/>
    <w:basedOn w:val="742"/>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99" w:customStyle="1">
    <w:name w:val="xl52"/>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00" w:customStyle="1">
    <w:name w:val="xl53"/>
    <w:basedOn w:val="742"/>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01" w:customStyle="1">
    <w:name w:val="xl41"/>
    <w:basedOn w:val="742"/>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02" w:customStyle="1">
    <w:name w:val="xl55"/>
    <w:basedOn w:val="74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03" w:customStyle="1">
    <w:name w:val="font6"/>
    <w:basedOn w:val="742"/>
    <w:uiPriority w:val="0"/>
    <w:qFormat/>
    <w:pPr>
      <w:jc w:val="left"/>
      <w:spacing w:before="100" w:beforeAutospacing="1" w:after="100" w:afterAutospacing="1"/>
      <w:widowControl/>
    </w:pPr>
    <w:rPr>
      <w:rFonts w:hint="eastAsia" w:ascii="宋体" w:hAnsi="宋体"/>
      <w:sz w:val="18"/>
      <w:szCs w:val="18"/>
    </w:rPr>
  </w:style>
  <w:style w:type="paragraph" w:styleId="1004" w:customStyle="1">
    <w:name w:val="xl29"/>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05" w:customStyle="1">
    <w:name w:val="Char Char Char"/>
    <w:basedOn w:val="742"/>
    <w:uiPriority w:val="0"/>
    <w:qFormat/>
    <w:pPr>
      <w:ind w:left="495" w:hanging="495"/>
      <w:tabs>
        <w:tab w:val="left" w:pos="495" w:leader="none"/>
        <w:tab w:val="left" w:pos="1545" w:leader="none"/>
      </w:tabs>
    </w:pPr>
    <w:rPr>
      <w:rFonts w:ascii="宋体" w:hAnsi="宋体"/>
    </w:rPr>
  </w:style>
  <w:style w:type="paragraph" w:styleId="1006" w:customStyle="1">
    <w:name w:val="xl24"/>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7" w:customStyle="1">
    <w:name w:val="xl50"/>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08" w:customStyle="1">
    <w:name w:val="xl40"/>
    <w:basedOn w:val="742"/>
    <w:uiPriority w:val="0"/>
    <w:qFormat/>
    <w:pPr>
      <w:jc w:val="left"/>
      <w:spacing w:before="100" w:beforeAutospacing="1" w:after="100" w:afterAutospacing="1"/>
      <w:widowControl/>
      <w:pBdr>
        <w:bottom w:val="single" w:color="auto" w:sz="4" w:space="0"/>
      </w:pBdr>
    </w:pPr>
    <w:rPr>
      <w:sz w:val="24"/>
    </w:rPr>
  </w:style>
  <w:style w:type="paragraph" w:styleId="1009" w:customStyle="1">
    <w:name w:val="xl45"/>
    <w:basedOn w:val="742"/>
    <w:uiPriority w:val="0"/>
    <w:qFormat/>
    <w:pPr>
      <w:jc w:val="left"/>
      <w:spacing w:before="100" w:beforeAutospacing="1" w:after="100" w:afterAutospacing="1"/>
      <w:widowControl/>
    </w:pPr>
    <w:rPr>
      <w:rFonts w:hint="eastAsia" w:ascii="仿宋_GB2312" w:hAnsi="宋体" w:eastAsia="仿宋_GB2312"/>
      <w:sz w:val="24"/>
    </w:rPr>
  </w:style>
  <w:style w:type="paragraph" w:styleId="1010" w:customStyle="1">
    <w:name w:val="xl35"/>
    <w:basedOn w:val="74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11" w:customStyle="1">
    <w:name w:val="Table Paragraph"/>
    <w:basedOn w:val="742"/>
    <w:uiPriority w:val="1"/>
    <w:qFormat/>
    <w:rPr>
      <w:rFonts w:ascii="宋体" w:hAnsi="宋体" w:cs="宋体"/>
      <w:lang w:val="zh-CN" w:bidi="zh-CN"/>
    </w:rPr>
  </w:style>
  <w:style w:type="paragraph" w:styleId="1012" w:customStyle="1">
    <w:name w:val="列出段落1"/>
    <w:basedOn w:val="742"/>
    <w:uiPriority w:val="0"/>
    <w:qFormat/>
    <w:pPr>
      <w:ind w:firstLine="420"/>
    </w:pPr>
    <w:rPr>
      <w:szCs w:val="22"/>
    </w:rPr>
  </w:style>
  <w:style w:type="paragraph" w:styleId="1013" w:customStyle="1">
    <w:name w:val="xl46"/>
    <w:basedOn w:val="742"/>
    <w:uiPriority w:val="0"/>
    <w:qFormat/>
    <w:pPr>
      <w:jc w:val="left"/>
      <w:spacing w:before="100" w:beforeAutospacing="1" w:after="100" w:afterAutospacing="1"/>
      <w:widowControl/>
    </w:pPr>
    <w:rPr>
      <w:rFonts w:hint="eastAsia" w:ascii="仿宋_GB2312" w:hAnsi="宋体" w:eastAsia="仿宋_GB2312"/>
      <w:sz w:val="24"/>
    </w:rPr>
  </w:style>
  <w:style w:type="paragraph" w:styleId="1014" w:customStyle="1">
    <w:name w:val="纯文本4"/>
    <w:basedOn w:val="742"/>
    <w:uiPriority w:val="0"/>
    <w:qFormat/>
    <w:rPr>
      <w:rFonts w:ascii="宋体" w:hAnsi="Courier New" w:eastAsia="楷体_GB2312"/>
      <w:sz w:val="26"/>
      <w:szCs w:val="20"/>
    </w:rPr>
  </w:style>
  <w:style w:type="paragraph" w:styleId="1015" w:customStyle="1">
    <w:name w:val="List Paragraph1"/>
    <w:basedOn w:val="742"/>
    <w:uiPriority w:val="0"/>
    <w:qFormat/>
    <w:pPr>
      <w:ind w:firstLine="420"/>
    </w:pPr>
    <w:rPr>
      <w:szCs w:val="22"/>
    </w:rPr>
  </w:style>
  <w:style w:type="paragraph" w:styleId="1016" w:customStyle="1">
    <w:name w:val="xl54"/>
    <w:basedOn w:val="742"/>
    <w:uiPriority w:val="0"/>
    <w:qFormat/>
    <w:pPr>
      <w:jc w:val="center"/>
      <w:spacing w:before="100" w:beforeAutospacing="1" w:after="100" w:afterAutospacing="1"/>
      <w:widowControl/>
    </w:pPr>
    <w:rPr>
      <w:rFonts w:hint="eastAsia" w:ascii="隶书" w:hAnsi="宋体" w:eastAsia="隶书"/>
      <w:sz w:val="48"/>
      <w:szCs w:val="48"/>
    </w:rPr>
  </w:style>
  <w:style w:type="paragraph" w:styleId="1017" w:customStyle="1">
    <w:name w:val="p0"/>
    <w:uiPriority w:val="0"/>
    <w:qFormat/>
    <w:rPr>
      <w:rFonts w:ascii="Calibri" w:hAnsi="Calibri" w:eastAsia="宋体" w:cs="Times New Roman"/>
      <w:szCs w:val="21"/>
      <w:lang w:val="en-US" w:eastAsia="zh-CN" w:bidi="ar-SA"/>
    </w:rPr>
  </w:style>
  <w:style w:type="paragraph" w:styleId="1018" w:customStyle="1">
    <w:name w:val="纯文本2"/>
    <w:basedOn w:val="742"/>
    <w:uiPriority w:val="0"/>
    <w:qFormat/>
    <w:rPr>
      <w:rFonts w:ascii="宋体" w:hAnsi="Courier New" w:eastAsia="楷体_GB2312"/>
      <w:sz w:val="28"/>
      <w:szCs w:val="20"/>
    </w:rPr>
  </w:style>
  <w:style w:type="paragraph" w:styleId="1019" w:customStyle="1">
    <w:name w:val="Char"/>
    <w:basedOn w:val="742"/>
    <w:uiPriority w:val="0"/>
    <w:qFormat/>
    <w:pPr>
      <w:numPr>
        <w:ilvl w:val="0"/>
        <w:numId w:val="1"/>
      </w:numPr>
    </w:pPr>
    <w:rPr>
      <w:sz w:val="24"/>
    </w:rPr>
  </w:style>
  <w:style w:type="paragraph" w:styleId="1020" w:customStyle="1">
    <w:name w:val="纯文本21"/>
    <w:basedOn w:val="742"/>
    <w:uiPriority w:val="0"/>
    <w:qFormat/>
    <w:rPr>
      <w:rFonts w:ascii="宋体" w:hAnsi="Courier New" w:eastAsia="楷体_GB2312"/>
      <w:sz w:val="26"/>
      <w:szCs w:val="20"/>
    </w:rPr>
  </w:style>
  <w:style w:type="paragraph" w:styleId="1021" w:customStyle="1">
    <w:name w:val="xl39"/>
    <w:basedOn w:val="742"/>
    <w:uiPriority w:val="0"/>
    <w:qFormat/>
    <w:pPr>
      <w:jc w:val="left"/>
      <w:spacing w:before="100" w:beforeAutospacing="1" w:after="100" w:afterAutospacing="1"/>
      <w:widowControl/>
      <w:pBdr>
        <w:bottom w:val="single" w:color="auto" w:sz="4" w:space="0"/>
      </w:pBdr>
    </w:pPr>
    <w:rPr>
      <w:rFonts w:ascii="宋体" w:hAnsi="宋体"/>
      <w:sz w:val="24"/>
    </w:rPr>
  </w:style>
  <w:style w:type="table" w:styleId="1022" w:customStyle="1">
    <w:name w:val="网格型1"/>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3" w:customStyle="1">
    <w:name w:val="Char Char16"/>
    <w:uiPriority w:val="0"/>
    <w:qFormat/>
    <w:rPr>
      <w:rFonts w:ascii="Arial" w:hAnsi="Arial" w:eastAsia="黑体"/>
      <w:sz w:val="21"/>
      <w:szCs w:val="21"/>
      <w:lang w:bidi="ar-SA"/>
    </w:rPr>
  </w:style>
  <w:style w:type="character" w:styleId="1024" w:customStyle="1">
    <w:name w:val="正文缩进 字符"/>
    <w:uiPriority w:val="0"/>
    <w:qFormat/>
    <w:rPr>
      <w:rFonts w:eastAsia="楷体_GB2312"/>
      <w:sz w:val="24"/>
    </w:rPr>
  </w:style>
  <w:style w:type="paragraph" w:styleId="1025" w:customStyle="1">
    <w:name w:val="正文文本缩进1"/>
    <w:basedOn w:val="742"/>
    <w:uiPriority w:val="0"/>
    <w:qFormat/>
    <w:pPr>
      <w:ind w:firstLine="420"/>
      <w:spacing w:line="360" w:lineRule="auto"/>
    </w:pPr>
  </w:style>
  <w:style w:type="paragraph" w:styleId="1026" w:customStyle="1">
    <w:name w:val="正文缩进1"/>
    <w:basedOn w:val="742"/>
    <w:next w:val="742"/>
    <w:uiPriority w:val="0"/>
    <w:qFormat/>
    <w:pPr>
      <w:ind w:firstLine="420"/>
    </w:pPr>
  </w:style>
  <w:style w:type="character" w:styleId="1027" w:customStyle="1">
    <w:name w:val="正文缩进 Char1"/>
    <w:uiPriority w:val="0"/>
    <w:qFormat/>
    <w:rPr>
      <w:rFonts w:eastAsia="楷体_GB2312"/>
      <w:sz w:val="24"/>
      <w:lang w:val="en-US" w:eastAsia="zh-CN" w:bidi="ar-SA"/>
    </w:rPr>
  </w:style>
  <w:style w:type="character" w:styleId="1028" w:customStyle="1">
    <w:name w:val="NormalCharacter"/>
    <w:uiPriority w:val="0"/>
    <w:semiHidden/>
    <w:qFormat/>
  </w:style>
  <w:style w:type="paragraph" w:styleId="1029" w:customStyle="1">
    <w:name w:val="_Style 122"/>
    <w:basedOn w:val="762"/>
    <w:next w:val="789"/>
    <w:uiPriority w:val="0"/>
    <w:unhideWhenUsed/>
    <w:qFormat/>
    <w:pPr>
      <w:ind w:left="420" w:firstLine="420"/>
      <w:spacing w:line="360" w:lineRule="auto"/>
    </w:pPr>
    <w:rPr>
      <w:rFonts w:ascii="Times New Roman" w:hAnsi="Times New Roman" w:eastAsia="宋体"/>
      <w:spacing w:val="-4"/>
    </w:rPr>
  </w:style>
  <w:style w:type="paragraph" w:styleId="1030" w:customStyle="1">
    <w:name w:val="Plain Text11"/>
    <w:basedOn w:val="742"/>
    <w:uiPriority w:val="0"/>
    <w:qFormat/>
    <w:rPr>
      <w:rFonts w:ascii="宋体" w:hAnsi="Courier New" w:eastAsia="楷体_GB2312"/>
      <w:sz w:val="28"/>
      <w:szCs w:val="20"/>
    </w:rPr>
  </w:style>
  <w:style w:type="paragraph" w:styleId="1031" w:customStyle="1">
    <w:name w:val="纯文本12"/>
    <w:basedOn w:val="742"/>
    <w:uiPriority w:val="0"/>
    <w:qFormat/>
    <w:rPr>
      <w:rFonts w:hint="eastAsia" w:ascii="宋体" w:hAnsi="Courier New" w:eastAsia="楷体_GB2312"/>
      <w:sz w:val="28"/>
      <w:szCs w:val="20"/>
    </w:rPr>
  </w:style>
  <w:style w:type="paragraph" w:styleId="1032" w:customStyle="1">
    <w:name w:val="纯文本3"/>
    <w:basedOn w:val="742"/>
    <w:uiPriority w:val="0"/>
    <w:qFormat/>
    <w:rPr>
      <w:rFonts w:hint="eastAsia" w:ascii="宋体" w:hAnsi="Courier New" w:eastAsia="楷体_GB2312"/>
      <w:sz w:val="28"/>
      <w:szCs w:val="20"/>
    </w:rPr>
  </w:style>
  <w:style w:type="character" w:styleId="1033" w:customStyle="1">
    <w:name w:val="ask-title2"/>
    <w:basedOn w:val="752"/>
    <w:uiPriority w:val="0"/>
    <w:qFormat/>
  </w:style>
  <w:style w:type="paragraph" w:styleId="1034" w:customStyle="1">
    <w:name w:val="普通正文"/>
    <w:basedOn w:val="742"/>
    <w:uiPriority w:val="0"/>
    <w:qFormat/>
    <w:pPr>
      <w:ind w:firstLine="480"/>
      <w:jc w:val="left"/>
      <w:spacing w:before="120" w:after="120" w:line="360" w:lineRule="auto"/>
    </w:pPr>
    <w:rPr>
      <w:rFonts w:ascii="Arial" w:hAnsi="Arial"/>
      <w:sz w:val="24"/>
    </w:rPr>
  </w:style>
  <w:style w:type="character" w:styleId="1035" w:customStyle="1">
    <w:name w:val="font112"/>
    <w:basedOn w:val="752"/>
    <w:uiPriority w:val="0"/>
    <w:qFormat/>
    <w:rPr>
      <w:rFonts w:hint="default" w:ascii="方正仿宋_GBK" w:hAnsi="方正仿宋_GBK" w:eastAsia="方正仿宋_GBK" w:cs="方正仿宋_GBK"/>
      <w:color w:val="000000"/>
      <w:sz w:val="28"/>
      <w:szCs w:val="28"/>
      <w:u w:val="none"/>
    </w:rPr>
  </w:style>
  <w:style w:type="character" w:styleId="1036" w:customStyle="1">
    <w:name w:val="font131"/>
    <w:basedOn w:val="752"/>
    <w:uiPriority w:val="0"/>
    <w:qFormat/>
    <w:rPr>
      <w:rFonts w:hint="default" w:ascii="方正仿宋_GBK" w:hAnsi="方正仿宋_GBK" w:eastAsia="方正仿宋_GBK" w:cs="方正仿宋_GBK"/>
      <w:color w:val="000000"/>
      <w:sz w:val="22"/>
      <w:szCs w:val="22"/>
      <w:u w:val="none"/>
    </w:rPr>
  </w:style>
  <w:style w:type="character" w:styleId="1037" w:customStyle="1">
    <w:name w:val="font121"/>
    <w:basedOn w:val="752"/>
    <w:uiPriority w:val="0"/>
    <w:qFormat/>
    <w:rPr>
      <w:rFonts w:hint="default" w:ascii="Times New Roman" w:hAnsi="Times New Roman" w:cs="Times New Roman"/>
      <w:color w:val="000000"/>
      <w:sz w:val="22"/>
      <w:szCs w:val="22"/>
      <w:u w:val="none"/>
    </w:rPr>
  </w:style>
  <w:style w:type="character" w:styleId="1038" w:customStyle="1">
    <w:name w:val="font41"/>
    <w:basedOn w:val="752"/>
    <w:uiPriority w:val="0"/>
    <w:qFormat/>
    <w:rPr>
      <w:rFonts w:hint="eastAsia" w:ascii="宋体" w:hAnsi="宋体" w:eastAsia="宋体" w:cs="宋体"/>
      <w:color w:val="000000"/>
      <w:sz w:val="21"/>
      <w:szCs w:val="21"/>
      <w:u w:val="none"/>
    </w:rPr>
  </w:style>
  <w:style w:type="paragraph" w:styleId="1039" w:customStyle="1">
    <w:name w:val="正文缩进11"/>
    <w:basedOn w:val="742"/>
    <w:next w:val="742"/>
    <w:uiPriority w:val="0"/>
    <w:qFormat/>
    <w:pPr>
      <w:ind w:firstLine="420"/>
      <w:jc w:val="left"/>
    </w:pPr>
    <w:rPr>
      <w:rFonts w:eastAsia="楷体_GB2312"/>
      <w:sz w:val="24"/>
      <w:szCs w:val="20"/>
    </w:rPr>
  </w:style>
  <w:style w:type="paragraph" w:styleId="1040" w:customStyle="1">
    <w:name w:val="普通(网站)1"/>
    <w:basedOn w:val="742"/>
    <w:uiPriority w:val="99"/>
    <w:qFormat/>
    <w:pPr>
      <w:jc w:val="left"/>
      <w:spacing w:beforeAutospacing="1" w:afterAutospacing="1"/>
    </w:pPr>
    <w:rPr>
      <w:sz w:val="24"/>
    </w:rPr>
  </w:style>
  <w:style w:type="character" w:styleId="1041" w:customStyle="1">
    <w:name w:val="active16"/>
    <w:basedOn w:val="752"/>
    <w:uiPriority w:val="0"/>
    <w:qFormat/>
    <w:rPr>
      <w:color w:val="ffffff"/>
      <w:shd w:val="clear" w:color="auto" w:fill="0f5bb9"/>
    </w:rPr>
  </w:style>
  <w:style w:type="paragraph" w:styleId="1042" w:customStyle="1">
    <w:name w:val="索引 41"/>
    <w:basedOn w:val="742"/>
    <w:next w:val="742"/>
    <w:uiPriority w:val="0"/>
    <w:semiHidden/>
    <w:qFormat/>
    <w:pPr>
      <w:ind w:left="1260"/>
    </w:pPr>
    <w:rPr>
      <w:rFonts w:ascii="Calibri" w:hAnsi="Calibri" w:eastAsia="Calibri" w:cs="宋体"/>
      <w:sz w:val="20"/>
      <w:lang w:val="zh-CN"/>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孙佳</cp:lastModifiedBy>
  <cp:revision>14</cp:revision>
  <dcterms:created xsi:type="dcterms:W3CDTF">2026-01-06T02:27:00Z</dcterms:created>
  <dcterms:modified xsi:type="dcterms:W3CDTF">2026-01-26T05:56:28Z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2052-12.1.0.24657</vt:lpwstr>
  </property>
  <property fmtid="{D5CDD505-2E9C-101B-9397-08002B2CF9AE}" pid="10" name="ICV">
    <vt:lpwstr>677088B1F8E343AA9800514181EFE686_13</vt:lpwstr>
  </property>
  <property fmtid="{D5CDD505-2E9C-101B-9397-08002B2CF9AE}" pid="11" name="KSOTemplateDocerSaveRecord">
    <vt:lpwstr>eyJoZGlkIjoiYzcwNzA1MzI3N2JjMTIzYzgwNDI2OTFmMDdjMWUwYzEiLCJ1c2VySWQiOiIyMzk5MTY5NCJ9</vt:lpwstr>
  </property>
</Properties>
</file>