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pacing w:val="60"/>
          <w:sz w:val="116"/>
          <w:szCs w:val="116"/>
          <w:highlight w:val="none"/>
        </w:rPr>
      </w:pPr>
      <w:r>
        <w:rPr>
          <w:rFonts w:hint="eastAsia" w:ascii="宋体" w:hAnsi="宋体" w:cs="宋体"/>
          <w:b/>
          <w:bCs/>
          <w:color w:val="000000"/>
          <w:spacing w:val="60"/>
          <w:sz w:val="116"/>
          <w:szCs w:val="116"/>
          <w:highlight w:val="none"/>
        </w:rPr>
      </w:r>
      <w:r/>
    </w:p>
    <w:p>
      <w:pPr>
        <w:jc w:val="center"/>
        <w:rPr>
          <w:rFonts w:hint="eastAsia" w:ascii="宋体" w:hAnsi="宋体" w:cs="宋体"/>
          <w:b/>
          <w:bCs/>
          <w:color w:val="000000"/>
          <w:spacing w:val="60"/>
          <w:sz w:val="116"/>
          <w:szCs w:val="116"/>
          <w:highlight w:val="none"/>
        </w:rPr>
      </w:pPr>
      <w:r>
        <w:rPr>
          <w:rFonts w:hint="eastAsia" w:ascii="宋体" w:hAnsi="宋体" w:cs="宋体"/>
          <w:b/>
          <w:bCs/>
          <w:color w:val="000000"/>
          <w:spacing w:val="60"/>
          <w:sz w:val="116"/>
          <w:szCs w:val="116"/>
          <w:highlight w:val="none"/>
        </w:rPr>
        <w:t xml:space="preserve">政府采购</w:t>
      </w:r>
      <w:r/>
    </w:p>
    <w:p>
      <w:pPr>
        <w:jc w:val="center"/>
        <w:rPr>
          <w:rFonts w:hint="eastAsia" w:ascii="宋体" w:hAnsi="宋体" w:cs="宋体"/>
          <w:b/>
          <w:bCs/>
          <w:color w:val="000000"/>
          <w:sz w:val="116"/>
          <w:szCs w:val="116"/>
          <w:highlight w:val="none"/>
        </w:rPr>
      </w:pPr>
      <w:r>
        <w:rPr>
          <w:rFonts w:hint="eastAsia" w:ascii="宋体" w:hAnsi="宋体" w:cs="宋体"/>
          <w:b/>
          <w:bCs/>
          <w:color w:val="000000"/>
          <w:spacing w:val="60"/>
          <w:sz w:val="116"/>
          <w:szCs w:val="116"/>
          <w:highlight w:val="none"/>
        </w:rPr>
        <w:t xml:space="preserve">招标</w:t>
      </w:r>
      <w:r>
        <w:rPr>
          <w:rFonts w:hint="eastAsia" w:ascii="宋体" w:hAnsi="宋体" w:cs="宋体"/>
          <w:b/>
          <w:bCs/>
          <w:color w:val="000000"/>
          <w:sz w:val="116"/>
          <w:szCs w:val="116"/>
          <w:highlight w:val="none"/>
        </w:rPr>
        <w:t xml:space="preserve">文件</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64"/>
        <w:ind w:firstLine="420"/>
        <w:rPr>
          <w:rFonts w:hint="eastAsia"/>
          <w:color w:val="000000"/>
          <w:highlight w:val="none"/>
        </w:rPr>
      </w:pPr>
      <w:r>
        <w:rPr>
          <w:rFonts w:hint="eastAsia"/>
          <w:color w:val="000000"/>
          <w:highlight w:val="none"/>
        </w:rPr>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JSZC-320509-ZHTX-G2026-0002</w:t>
      </w:r>
      <w:r/>
    </w:p>
    <w:p>
      <w:pPr>
        <w:ind w:firstLine="640"/>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采购项目：</w:t>
      </w:r>
      <w:r>
        <w:rPr>
          <w:rFonts w:hint="eastAsia" w:ascii="宋体" w:hAnsi="宋体" w:cs="宋体"/>
          <w:color w:val="000000"/>
          <w:sz w:val="32"/>
          <w:szCs w:val="32"/>
          <w:highlight w:val="none"/>
          <w:lang w:eastAsia="zh-CN"/>
        </w:rPr>
        <w:t xml:space="preserve">盛泽镇园区路消防站消防车采购</w:t>
      </w:r>
      <w:r/>
    </w:p>
    <w:p>
      <w:pPr>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采购类别：货物类</w:t>
      </w:r>
      <w:r/>
    </w:p>
    <w:p>
      <w:pPr>
        <w:ind w:firstLine="640"/>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采购单位：</w:t>
      </w:r>
      <w:r>
        <w:rPr>
          <w:rFonts w:hint="eastAsia" w:ascii="宋体" w:hAnsi="宋体" w:cs="宋体"/>
          <w:color w:val="000000"/>
          <w:sz w:val="32"/>
          <w:szCs w:val="32"/>
          <w:highlight w:val="none"/>
          <w:lang w:eastAsia="zh-CN"/>
        </w:rPr>
        <w:t xml:space="preserve">苏州市吴江区盛泽镇人民政府</w:t>
      </w:r>
      <w:r/>
    </w:p>
    <w:p>
      <w:pPr>
        <w:ind w:right="-159" w:firstLine="3680"/>
        <w:spacing w:line="48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939"/>
        <w:rPr>
          <w:highlight w:val="none"/>
        </w:rPr>
      </w:pPr>
      <w:r>
        <w:rPr>
          <w:highlight w:val="none"/>
        </w:rPr>
      </w:r>
      <w:r/>
    </w:p>
    <w:p>
      <w:pPr>
        <w:pStyle w:val="1165"/>
        <w:rPr>
          <w:rFonts w:hint="eastAsia"/>
          <w:color w:val="000000"/>
          <w:highlight w:val="none"/>
        </w:rPr>
      </w:pPr>
      <w:r>
        <w:rPr>
          <w:rFonts w:hint="eastAsia"/>
          <w:color w:val="000000"/>
          <w:highlight w:val="none"/>
        </w:rPr>
      </w:r>
      <w:r/>
    </w:p>
    <w:p>
      <w:pPr>
        <w:jc w:val="center"/>
        <w:spacing w:line="480" w:lineRule="auto"/>
        <w:rPr>
          <w:rFonts w:hint="eastAsia" w:ascii="宋体" w:hAnsi="宋体" w:cs="宋体"/>
          <w:color w:val="000000"/>
          <w:sz w:val="32"/>
          <w:szCs w:val="32"/>
          <w:highlight w:val="none"/>
        </w:rPr>
      </w:pPr>
      <w:r>
        <w:rPr>
          <w:rFonts w:hint="eastAsia" w:ascii="宋体" w:hAnsi="宋体" w:eastAsia="宋体" w:cs="宋体"/>
          <w:spacing w:val="-14"/>
          <w:sz w:val="30"/>
          <w:highlight w:val="none"/>
        </w:rPr>
        <mc:AlternateContent>
          <mc:Choice Requires="wpg">
            <w:drawing>
              <wp:inline xmlns:wp="http://schemas.openxmlformats.org/drawingml/2006/wordprocessingDrawing" distT="0" distB="0" distL="0" distR="0">
                <wp:extent cx="1248410" cy="12700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7"/>
                        <a:stretch/>
                      </pic:blipFill>
                      <pic:spPr bwMode="auto">
                        <a:xfrm>
                          <a:off x="0" y="0"/>
                          <a:ext cx="1248932" cy="127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8.3pt;height:100.0pt;mso-wrap-distance-left:0.0pt;mso-wrap-distance-top:0.0pt;mso-wrap-distance-right:0.0pt;mso-wrap-distance-bottom:0.0pt;" stroked="f">
                <v:path textboxrect="0,0,0,0"/>
                <v:imagedata r:id="rId17" o:title=""/>
              </v:shape>
            </w:pict>
          </mc:Fallback>
        </mc:AlternateContent>
      </w:r>
      <w:r/>
    </w:p>
    <w:p>
      <w:pPr>
        <w:jc w:val="center"/>
        <w:rPr>
          <w:rFonts w:cs="宋体"/>
          <w:sz w:val="32"/>
          <w:highlight w:val="none"/>
        </w:rPr>
      </w:pPr>
      <w:r>
        <w:rPr>
          <w:rFonts w:hint="eastAsia" w:ascii="宋体" w:hAnsi="宋体" w:cs="宋体"/>
          <w:color w:val="000000"/>
          <w:sz w:val="32"/>
          <w:szCs w:val="32"/>
          <w:highlight w:val="none"/>
          <w:lang w:eastAsia="zh-CN"/>
        </w:rPr>
        <w:t xml:space="preserve">中</w:t>
      </w:r>
      <w:r>
        <w:rPr>
          <w:rFonts w:hint="eastAsia" w:cs="宋体"/>
          <w:sz w:val="32"/>
          <w:highlight w:val="none"/>
        </w:rPr>
        <w:t xml:space="preserve">汇通项目管理咨询（苏州）有限公司</w:t>
      </w:r>
      <w:r/>
    </w:p>
    <w:p>
      <w:pPr>
        <w:jc w:val="center"/>
        <w:rPr>
          <w:rFonts w:cs="宋体"/>
          <w:sz w:val="32"/>
          <w:highlight w:val="none"/>
        </w:rPr>
      </w:pPr>
      <w:r>
        <w:rPr>
          <w:rFonts w:hint="eastAsia" w:cs="宋体"/>
          <w:sz w:val="32"/>
          <w:highlight w:val="none"/>
        </w:rPr>
        <w:t xml:space="preserve">二〇二</w:t>
      </w:r>
      <w:r>
        <w:rPr>
          <w:rFonts w:hint="eastAsia" w:cs="宋体"/>
          <w:sz w:val="32"/>
          <w:highlight w:val="none"/>
          <w:lang w:val="en-US" w:eastAsia="zh-CN"/>
        </w:rPr>
        <w:t xml:space="preserve">六</w:t>
      </w:r>
      <w:r>
        <w:rPr>
          <w:rFonts w:hint="eastAsia" w:cs="宋体"/>
          <w:sz w:val="32"/>
          <w:highlight w:val="none"/>
        </w:rPr>
        <w:t xml:space="preserve">年</w:t>
      </w:r>
      <w:r>
        <w:rPr>
          <w:rFonts w:hint="eastAsia" w:cs="宋体"/>
          <w:sz w:val="32"/>
          <w:highlight w:val="none"/>
          <w:lang w:val="en-US" w:eastAsia="zh-CN"/>
        </w:rPr>
        <w:t xml:space="preserve">二</w:t>
      </w:r>
      <w:r>
        <w:rPr>
          <w:rFonts w:hint="eastAsia" w:cs="宋体"/>
          <w:sz w:val="32"/>
          <w:highlight w:val="none"/>
        </w:rPr>
        <w:t xml:space="preserve">月</w:t>
      </w:r>
      <w:r/>
    </w:p>
    <w:p>
      <w:pPr>
        <w:jc w:val="both"/>
        <w:widowControl w:val="off"/>
        <w:rPr>
          <w:rFonts w:hint="eastAsia" w:ascii="宋体" w:hAnsi="宋体" w:cs="宋体"/>
          <w:color w:val="000000"/>
          <w:sz w:val="32"/>
          <w:szCs w:val="32"/>
          <w:highlight w:val="none"/>
        </w:rPr>
        <w:sectPr>
          <w:headerReference w:type="default" r:id="rId9"/>
          <w:headerReference w:type="first" r:id="rId10"/>
          <w:footerReference w:type="default" r:id="rId11"/>
          <w:footerReference w:type="even" r:id="rId12"/>
          <w:footnotePr/>
          <w:endnotePr/>
          <w:type w:val="nextPage"/>
          <w:pgSz w:w="11906" w:h="16838" w:orient="portrait"/>
          <w:pgMar w:top="1331" w:right="1797" w:bottom="1440" w:left="1797" w:header="851" w:footer="992" w:gutter="0"/>
          <w:cols w:num="1" w:sep="0" w:space="1701" w:equalWidth="1"/>
          <w:docGrid w:linePitch="360"/>
          <w:titlePg/>
        </w:sectPr>
      </w:pPr>
      <w:r>
        <w:rPr>
          <w:rFonts w:hint="eastAsia" w:ascii="宋体" w:hAnsi="宋体" w:cs="宋体"/>
          <w:color w:val="000000"/>
          <w:sz w:val="32"/>
          <w:szCs w:val="32"/>
          <w:highlight w:val="none"/>
        </w:rPr>
      </w:r>
      <w:r/>
    </w:p>
    <w:p>
      <w:pPr>
        <w:pStyle w:val="1141"/>
        <w:ind w:left="0" w:right="420"/>
        <w:jc w:val="center"/>
        <w:spacing w:after="0" w:line="276"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前 附 表</w:t>
      </w:r>
      <w:r/>
    </w:p>
    <w:tbl>
      <w:tblPr>
        <w:tblStyle w:val="913"/>
        <w:tblW w:w="9059" w:type="dxa"/>
        <w:tblInd w:w="0" w:type="dxa"/>
        <w:tblLayout w:type="fixed"/>
        <w:tblCellMar>
          <w:left w:w="108" w:type="dxa"/>
          <w:top w:w="0" w:type="dxa"/>
          <w:right w:w="108" w:type="dxa"/>
          <w:bottom w:w="0" w:type="dxa"/>
        </w:tblCellMar>
        <w:tblLook w:val="04A0" w:firstRow="1" w:lastRow="0" w:firstColumn="1" w:lastColumn="0" w:noHBand="0" w:noVBand="1"/>
      </w:tblPr>
      <w:tblGrid>
        <w:gridCol w:w="608"/>
        <w:gridCol w:w="1593"/>
        <w:gridCol w:w="6858"/>
      </w:tblGrid>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内               容</w:t>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JSZC-320509-ZHTX-G2026-0002</w:t>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盛泽镇园区路消防站消防车采购</w:t>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tabs>
                <w:tab w:val="left" w:pos="252"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采购代理机构</w:t>
            </w:r>
            <w:r/>
          </w:p>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名称：中汇通项目管理咨询（苏州）有限公司</w:t>
            </w:r>
            <w:r/>
          </w:p>
          <w:p>
            <w:pPr>
              <w:ind w:left="0"/>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地址：苏州工业园区苏绣路89号恒宇广场B幢803室</w:t>
            </w:r>
            <w:r/>
          </w:p>
          <w:p>
            <w:pPr>
              <w:ind w:left="0"/>
              <w:jc w:val="left"/>
              <w:spacing w:line="440" w:lineRule="exact"/>
              <w:rPr>
                <w:rFonts w:hint="eastAsia" w:ascii="宋体" w:hAnsi="宋体"/>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联系人：</w:t>
            </w:r>
            <w:r>
              <w:rPr>
                <w:rFonts w:hint="eastAsia" w:ascii="宋体" w:hAnsi="宋体" w:eastAsia="宋体" w:cs="Times New Roman"/>
                <w:b w:val="0"/>
                <w:bCs/>
                <w:color w:val="000000"/>
                <w:sz w:val="21"/>
                <w:szCs w:val="21"/>
                <w:highlight w:val="none"/>
                <w:lang w:val="zh-CN" w:eastAsia="zh-CN"/>
              </w:rPr>
              <w:t xml:space="preserve">仲兰兰、杭锋、朱梅华、郭丽、时妹、徐梦娣</w:t>
            </w:r>
            <w:r/>
          </w:p>
          <w:p>
            <w:pPr>
              <w:ind w:left="0"/>
              <w:jc w:val="left"/>
              <w:spacing w:line="440" w:lineRule="exact"/>
              <w:rPr>
                <w:color w:val="000000"/>
                <w:highlight w:val="none"/>
              </w:rPr>
            </w:pPr>
            <w:r>
              <w:rPr>
                <w:rFonts w:hint="eastAsia" w:ascii="宋体" w:hAnsi="宋体"/>
                <w:color w:val="000000"/>
                <w:sz w:val="21"/>
                <w:szCs w:val="21"/>
                <w:highlight w:val="none"/>
                <w:lang w:val="zh-CN"/>
              </w:rPr>
              <w:t xml:space="preserve">联系方式：0512-62626796-8023/8025</w:t>
            </w:r>
            <w:r/>
          </w:p>
        </w:tc>
      </w:tr>
      <w:tr>
        <w:trPr>
          <w:trHeight w:val="174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名称：</w:t>
            </w:r>
            <w:r>
              <w:rPr>
                <w:rFonts w:hint="eastAsia" w:ascii="宋体" w:hAnsi="宋体" w:cs="Times New Roman"/>
                <w:color w:val="000000"/>
                <w:sz w:val="21"/>
                <w:szCs w:val="21"/>
                <w:highlight w:val="none"/>
                <w:lang w:val="en-US" w:eastAsia="zh-CN"/>
              </w:rPr>
              <w:t xml:space="preserve">苏州市吴江区盛泽镇人民政府</w:t>
            </w:r>
            <w:r/>
          </w:p>
          <w:p>
            <w:pPr>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地址：</w:t>
            </w:r>
            <w:r>
              <w:rPr>
                <w:rFonts w:hint="eastAsia" w:ascii="宋体" w:hAnsi="宋体" w:cs="Times New Roman"/>
                <w:color w:val="000000"/>
                <w:sz w:val="21"/>
                <w:szCs w:val="21"/>
                <w:highlight w:val="none"/>
                <w:lang w:val="en-US" w:eastAsia="zh-CN"/>
              </w:rPr>
              <w:t xml:space="preserve">江苏省苏州市吴江区盛泽镇舜湖西路2099号</w:t>
            </w:r>
            <w:r/>
          </w:p>
          <w:p>
            <w:pPr>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联系人：</w:t>
            </w:r>
            <w:r>
              <w:rPr>
                <w:rFonts w:hint="eastAsia" w:ascii="宋体" w:hAnsi="宋体" w:cs="Times New Roman"/>
                <w:color w:val="000000"/>
                <w:sz w:val="21"/>
                <w:szCs w:val="21"/>
                <w:highlight w:val="none"/>
                <w:lang w:val="en-US" w:eastAsia="zh-CN"/>
              </w:rPr>
              <w:t xml:space="preserve">封岩</w:t>
            </w:r>
            <w:r>
              <w:rPr>
                <w:rFonts w:hint="eastAsia" w:ascii="宋体" w:hAnsi="宋体" w:eastAsia="宋体" w:cs="Times New Roman"/>
                <w:color w:val="000000"/>
                <w:sz w:val="21"/>
                <w:szCs w:val="21"/>
                <w:highlight w:val="none"/>
                <w:lang w:val="en-US" w:eastAsia="zh-CN"/>
              </w:rPr>
              <w:t xml:space="preserve"> </w:t>
            </w:r>
            <w:r/>
          </w:p>
          <w:p>
            <w:pPr>
              <w:ind w:left="0"/>
              <w:jc w:val="left"/>
              <w:spacing w:line="44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联系方式：</w:t>
            </w:r>
            <w:r>
              <w:rPr>
                <w:rFonts w:hint="eastAsia" w:ascii="宋体" w:hAnsi="宋体" w:cs="Times New Roman"/>
                <w:color w:val="000000"/>
                <w:sz w:val="21"/>
                <w:szCs w:val="21"/>
                <w:highlight w:val="none"/>
                <w:lang w:val="en-US" w:eastAsia="zh-CN"/>
              </w:rPr>
              <w:t xml:space="preserve">0512-63959416</w:t>
            </w:r>
            <w:r>
              <w:rPr>
                <w:rFonts w:hint="eastAsia" w:ascii="宋体" w:hAnsi="宋体" w:eastAsia="宋体" w:cs="Times New Roman"/>
                <w:color w:val="000000"/>
                <w:sz w:val="21"/>
                <w:szCs w:val="21"/>
                <w:highlight w:val="none"/>
                <w:lang w:val="en-US" w:eastAsia="zh-CN"/>
              </w:rPr>
              <w:t xml:space="preserve"> </w:t>
            </w:r>
            <w:r/>
          </w:p>
        </w:tc>
      </w:tr>
      <w:tr>
        <w:trPr>
          <w:trHeight w:val="6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详见招标文件</w:t>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本项目不收取投标保证金</w:t>
            </w:r>
            <w:r>
              <w:rPr>
                <w:rFonts w:hint="eastAsia" w:ascii="宋体" w:hAnsi="宋体"/>
                <w:color w:val="000000"/>
                <w:sz w:val="21"/>
                <w:szCs w:val="21"/>
                <w:highlight w:val="none"/>
                <w:lang w:eastAsia="zh-CN"/>
              </w:rPr>
              <w:t xml:space="preserve">，但须提供《投标（响应）保证承诺书》（格式见招标文件附件）。</w:t>
            </w:r>
            <w:r/>
          </w:p>
        </w:tc>
      </w:tr>
      <w:tr>
        <w:trPr>
          <w:trHeight w:val="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九十天（日历日）</w:t>
            </w:r>
            <w:r/>
          </w:p>
        </w:tc>
      </w:tr>
      <w:tr>
        <w:trPr>
          <w:trHeight w:val="7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获取招标文件</w:t>
            </w:r>
            <w:r/>
          </w:p>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自公告发布之日起5个工作日</w:t>
            </w:r>
            <w:r/>
          </w:p>
        </w:tc>
      </w:tr>
      <w:tr>
        <w:trPr>
          <w:trHeight w:val="1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投标文件网上</w:t>
            </w:r>
            <w:r/>
          </w:p>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s="Times New Roman"/>
                <w:color w:val="000000"/>
                <w:sz w:val="21"/>
                <w:szCs w:val="21"/>
                <w:highlight w:val="none"/>
                <w:u w:val="none"/>
              </w:rPr>
            </w:pPr>
            <w:r>
              <w:rPr>
                <w:rFonts w:hint="eastAsia" w:ascii="宋体" w:hAnsi="宋体" w:cs="Times New Roman"/>
                <w:color w:val="000000"/>
                <w:sz w:val="21"/>
                <w:szCs w:val="21"/>
                <w:highlight w:val="none"/>
                <w:u w:val="none"/>
                <w:lang w:eastAsia="zh-CN"/>
              </w:rPr>
              <w:t xml:space="preserve">2026年3月4日</w:t>
            </w:r>
            <w:r>
              <w:rPr>
                <w:rFonts w:hint="eastAsia" w:ascii="宋体" w:hAnsi="宋体" w:cs="Times New Roman"/>
                <w:color w:val="000000"/>
                <w:sz w:val="21"/>
                <w:szCs w:val="21"/>
                <w:highlight w:val="none"/>
                <w:u w:val="none"/>
                <w:lang w:val="en-US" w:eastAsia="zh-CN"/>
              </w:rPr>
              <w:t xml:space="preserve">13:30</w:t>
            </w:r>
            <w:r>
              <w:rPr>
                <w:rFonts w:hint="eastAsia" w:ascii="宋体" w:hAnsi="宋体" w:cs="Times New Roman"/>
                <w:color w:val="000000"/>
                <w:sz w:val="21"/>
                <w:szCs w:val="21"/>
                <w:highlight w:val="none"/>
                <w:u w:val="none"/>
              </w:rPr>
              <w:t xml:space="preserve">（北京时间）</w:t>
            </w:r>
            <w:r>
              <w:rPr>
                <w:rFonts w:ascii="宋体" w:hAnsi="宋体" w:cs="Times New Roman"/>
                <w:color w:val="000000"/>
                <w:sz w:val="21"/>
                <w:szCs w:val="21"/>
                <w:highlight w:val="none"/>
                <w:u w:val="none"/>
              </w:rPr>
              <w:t xml:space="preserve"> </w:t>
            </w:r>
            <w:r/>
          </w:p>
          <w:p>
            <w:pPr>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投标文件必须在截止时间前完成提交（上传），逾期提交（上传）的投标文件恕不接受。</w:t>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开标时间</w:t>
            </w:r>
            <w:r/>
          </w:p>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s="Times New Roman"/>
                <w:color w:val="000000"/>
                <w:sz w:val="21"/>
                <w:szCs w:val="21"/>
                <w:highlight w:val="none"/>
                <w:u w:val="none"/>
              </w:rPr>
            </w:pPr>
            <w:r>
              <w:rPr>
                <w:rFonts w:hint="eastAsia" w:ascii="宋体" w:hAnsi="宋体" w:cs="Times New Roman"/>
                <w:color w:val="000000"/>
                <w:sz w:val="21"/>
                <w:szCs w:val="21"/>
                <w:highlight w:val="none"/>
                <w:u w:val="none"/>
                <w:lang w:eastAsia="zh-CN"/>
              </w:rPr>
              <w:t xml:space="preserve">2026年3月4日</w:t>
            </w:r>
            <w:r>
              <w:rPr>
                <w:rFonts w:hint="eastAsia" w:ascii="宋体" w:hAnsi="宋体" w:cs="Times New Roman"/>
                <w:color w:val="000000"/>
                <w:sz w:val="21"/>
                <w:szCs w:val="21"/>
                <w:highlight w:val="none"/>
                <w:u w:val="none"/>
                <w:lang w:val="en-US" w:eastAsia="zh-CN"/>
              </w:rPr>
              <w:t xml:space="preserve">13:30</w:t>
            </w:r>
            <w:r>
              <w:rPr>
                <w:rFonts w:hint="eastAsia" w:ascii="宋体" w:hAnsi="宋体" w:cs="Times New Roman"/>
                <w:color w:val="000000"/>
                <w:sz w:val="21"/>
                <w:szCs w:val="21"/>
                <w:highlight w:val="none"/>
                <w:u w:val="none"/>
              </w:rPr>
              <w:t xml:space="preserve">（北京时间）</w:t>
            </w:r>
            <w:r/>
          </w:p>
          <w:p>
            <w:pPr>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“苏采云”系统（网址：</w:t>
            </w:r>
            <w:r>
              <w:rPr>
                <w:rFonts w:ascii="宋体" w:hAnsi="宋体" w:cs="Times New Roman"/>
                <w:color w:val="000000"/>
                <w:sz w:val="21"/>
                <w:szCs w:val="21"/>
                <w:highlight w:val="none"/>
              </w:rPr>
              <w:t xml:space="preserve">http://jszfcg.jsczt.cn/</w:t>
            </w:r>
            <w:r>
              <w:rPr>
                <w:rFonts w:hint="eastAsia" w:ascii="宋体" w:hAnsi="宋体" w:cs="Times New Roman"/>
                <w:color w:val="000000"/>
                <w:sz w:val="21"/>
                <w:szCs w:val="21"/>
                <w:highlight w:val="none"/>
              </w:rPr>
              <w:t xml:space="preserve">）</w:t>
            </w:r>
            <w:r/>
          </w:p>
          <w:p>
            <w:pPr>
              <w:ind w:left="0"/>
              <w:jc w:val="left"/>
              <w:spacing w:line="440" w:lineRule="exact"/>
              <w:rPr>
                <w:rFonts w:ascii="宋体" w:hAnsi="宋体" w:cs="Times New Roman"/>
                <w:color w:val="000000"/>
                <w:sz w:val="21"/>
                <w:szCs w:val="21"/>
                <w:highlight w:val="none"/>
              </w:rPr>
            </w:pPr>
            <w:r>
              <w:rPr>
                <w:rFonts w:hint="eastAsia" w:ascii="宋体" w:hAnsi="宋体"/>
                <w:b/>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8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312" w:lineRule="auto"/>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评标时间</w:t>
            </w:r>
            <w:r/>
          </w:p>
          <w:p>
            <w:pPr>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eastAsia="zh-CN"/>
              </w:rPr>
              <w:t xml:space="preserve">2026年</w:t>
            </w:r>
            <w:r>
              <w:rPr>
                <w:rFonts w:hint="eastAsia" w:ascii="宋体" w:hAnsi="宋体" w:cs="Times New Roman"/>
                <w:color w:val="000000"/>
                <w:sz w:val="21"/>
                <w:szCs w:val="21"/>
                <w:highlight w:val="none"/>
                <w:u w:val="none"/>
                <w:lang w:eastAsia="zh-CN"/>
              </w:rPr>
              <w:t xml:space="preserve">3月4</w:t>
            </w:r>
            <w:r>
              <w:rPr>
                <w:rFonts w:hint="eastAsia" w:ascii="宋体" w:hAnsi="宋体" w:eastAsia="宋体" w:cs="Times New Roman"/>
                <w:color w:val="000000"/>
                <w:sz w:val="21"/>
                <w:szCs w:val="21"/>
                <w:highlight w:val="none"/>
                <w:u w:val="none"/>
                <w:lang w:eastAsia="zh-CN"/>
              </w:rPr>
              <w:t xml:space="preserve">日</w:t>
            </w:r>
            <w:r>
              <w:rPr>
                <w:rFonts w:hint="eastAsia" w:ascii="宋体" w:hAnsi="宋体" w:eastAsia="宋体" w:cs="Times New Roman"/>
                <w:color w:val="000000"/>
                <w:sz w:val="21"/>
                <w:szCs w:val="21"/>
                <w:highlight w:val="none"/>
                <w:u w:val="none"/>
                <w:lang w:val="en-US" w:eastAsia="zh-CN"/>
              </w:rPr>
              <w:t xml:space="preserve">13:30</w:t>
            </w:r>
            <w:r>
              <w:rPr>
                <w:rFonts w:hint="eastAsia" w:ascii="宋体" w:hAnsi="宋体" w:eastAsia="宋体" w:cs="Times New Roman"/>
                <w:color w:val="000000"/>
                <w:sz w:val="21"/>
                <w:szCs w:val="21"/>
                <w:highlight w:val="none"/>
                <w:u w:val="none"/>
              </w:rPr>
              <w:t xml:space="preserve">（北京时间）</w:t>
            </w:r>
            <w:r/>
          </w:p>
          <w:p>
            <w:pPr>
              <w:ind w:left="0"/>
              <w:jc w:val="left"/>
              <w:spacing w:line="440" w:lineRule="exact"/>
              <w:rPr>
                <w:rFonts w:ascii="宋体" w:hAnsi="宋体" w:cs="Times New Roman"/>
                <w:color w:val="000000"/>
                <w:sz w:val="21"/>
                <w:szCs w:val="21"/>
                <w:highlight w:val="none"/>
              </w:rPr>
            </w:pPr>
            <w:r>
              <w:rPr>
                <w:rFonts w:hint="eastAsia" w:ascii="宋体" w:hAnsi="宋体" w:eastAsia="宋体" w:cs="Times New Roman"/>
                <w:color w:val="000000"/>
                <w:sz w:val="21"/>
                <w:szCs w:val="21"/>
                <w:highlight w:val="none"/>
                <w:u w:val="none"/>
                <w:lang w:eastAsia="zh-CN"/>
              </w:rPr>
              <w:t xml:space="preserve">苏州市吴江区开平路998号行政服务中心3楼</w:t>
            </w:r>
            <w:r>
              <w:rPr>
                <w:rFonts w:hint="eastAsia" w:ascii="宋体" w:hAnsi="宋体" w:eastAsia="宋体" w:cs="Times New Roman"/>
                <w:color w:val="000000"/>
                <w:sz w:val="21"/>
                <w:szCs w:val="21"/>
                <w:highlight w:val="none"/>
                <w:u w:val="none"/>
              </w:rPr>
              <w:t xml:space="preserve"> </w:t>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ascii="宋体" w:hAnsi="宋体" w:cs="Times New Roman"/>
                <w:color w:val="000000"/>
                <w:highlight w:val="none"/>
              </w:rPr>
            </w:pPr>
            <w:r>
              <w:rPr>
                <w:rFonts w:hint="eastAsia" w:ascii="宋体" w:hAnsi="宋体" w:cs="Arial"/>
                <w:color w:val="000000"/>
                <w:sz w:val="21"/>
                <w:szCs w:val="21"/>
                <w:highlight w:val="none"/>
              </w:rPr>
              <w:t xml:space="preserve">本项目采用电子投标文件，投标人按照招标文件要求制作上传电子投标文件，投标人无需提供纸质投标文件。</w:t>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hAnsi="宋体" w:cs="宋体"/>
                <w:color w:val="000000"/>
                <w:sz w:val="21"/>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cs="宋体"/>
                <w:bCs/>
                <w:color w:val="000000"/>
                <w:sz w:val="21"/>
                <w:szCs w:val="21"/>
                <w:highlight w:val="none"/>
                <w:lang w:eastAsia="zh-CN"/>
              </w:rPr>
            </w:pPr>
            <w:r>
              <w:rPr>
                <w:rFonts w:hint="eastAsia" w:hAnsi="宋体" w:cs="宋体"/>
                <w:color w:val="000000"/>
                <w:sz w:val="21"/>
                <w:szCs w:val="21"/>
                <w:highlight w:val="none"/>
              </w:rPr>
              <w:t xml:space="preserve">由中标单位</w:t>
            </w:r>
            <w:r>
              <w:rPr>
                <w:rFonts w:hint="eastAsia" w:ascii="宋体" w:hAnsi="宋体" w:cs="宋体"/>
                <w:bCs/>
                <w:color w:val="000000"/>
                <w:sz w:val="21"/>
                <w:szCs w:val="21"/>
                <w:highlight w:val="none"/>
              </w:rPr>
              <w:t xml:space="preserve">在领取中标通知书时付清</w:t>
            </w:r>
            <w:r>
              <w:rPr>
                <w:rFonts w:hint="eastAsia" w:ascii="宋体" w:hAnsi="宋体" w:cs="宋体"/>
                <w:bCs/>
                <w:color w:val="000000"/>
                <w:sz w:val="21"/>
                <w:szCs w:val="21"/>
                <w:highlight w:val="none"/>
                <w:lang w:eastAsia="zh-CN"/>
              </w:rPr>
              <w:t xml:space="preserve">。</w:t>
            </w:r>
            <w:r/>
          </w:p>
          <w:p>
            <w:pPr>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预算金额100万元以下部分按该部分预算金额的1.5%计算，预算金额100（含）～500万元部分按该部分预算金额的1.1%计算，预算金额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en-US" w:eastAsia="zh-CN"/>
              </w:rPr>
              <w:t xml:space="preserve">00（含）～</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00万元部分按该部分预算金额的</w:t>
            </w:r>
            <w:r>
              <w:rPr>
                <w:rFonts w:hint="eastAsia" w:ascii="宋体" w:hAnsi="宋体" w:cs="宋体"/>
                <w:bCs/>
                <w:color w:val="000000"/>
                <w:sz w:val="21"/>
                <w:szCs w:val="21"/>
                <w:highlight w:val="none"/>
                <w:lang w:val="en-US" w:eastAsia="zh-CN"/>
              </w:rPr>
              <w:t xml:space="preserve">0.8</w:t>
            </w:r>
            <w:r>
              <w:rPr>
                <w:rFonts w:hint="eastAsia" w:ascii="宋体" w:hAnsi="宋体" w:eastAsia="宋体" w:cs="宋体"/>
                <w:bCs/>
                <w:color w:val="000000"/>
                <w:sz w:val="21"/>
                <w:szCs w:val="21"/>
                <w:highlight w:val="none"/>
                <w:lang w:val="en-US" w:eastAsia="zh-CN"/>
              </w:rPr>
              <w:t xml:space="preserve">%计算</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按上述比例差额定率累进法进行计取。</w:t>
            </w:r>
            <w:r/>
          </w:p>
          <w:p>
            <w:pPr>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服务费交纳账户：中汇通项目管理咨询（苏州）有限公司</w:t>
            </w:r>
            <w:r/>
          </w:p>
          <w:p>
            <w:pPr>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账号：51711000001563</w:t>
            </w:r>
            <w:r/>
          </w:p>
          <w:p>
            <w:pPr>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开户银行：苏州银行园区支行营业部</w:t>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val="en-US" w:eastAsia="zh-CN"/>
              </w:rPr>
              <w:t xml:space="preserve">无</w:t>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165"/>
              <w:ind w:left="0" w:firstLine="0"/>
              <w:spacing w:line="44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hint="eastAsia" w:ascii="宋体" w:hAnsi="宋体" w:cs="宋体"/>
                <w:color w:val="000000"/>
                <w:sz w:val="21"/>
                <w:szCs w:val="21"/>
                <w:highlight w:val="none"/>
                <w:lang w:val="en-US" w:eastAsia="zh-CN"/>
              </w:rPr>
              <w:t xml:space="preserve">  </w:t>
            </w:r>
            <w:r/>
          </w:p>
          <w:p>
            <w:pPr>
              <w:pStyle w:val="1165"/>
              <w:ind w:left="0" w:firstLine="0"/>
              <w:spacing w:line="440" w:lineRule="exact"/>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（四）因重大变故，采购任务取消的。</w:t>
            </w:r>
            <w:r/>
          </w:p>
        </w:tc>
      </w:tr>
      <w:tr>
        <w:trPr>
          <w:trHeight w:val="2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（五）法律、法规和招标文件规定的其他无效情形。</w:t>
            </w:r>
            <w:r/>
          </w:p>
        </w:tc>
      </w:tr>
    </w:tbl>
    <w:p>
      <w:pPr>
        <w:rPr>
          <w:rFonts w:hint="eastAsia"/>
          <w:color w:val="000000"/>
          <w:highlight w:val="none"/>
        </w:rPr>
      </w:pPr>
      <w:r>
        <w:rPr>
          <w:rFonts w:hint="eastAsia"/>
          <w:color w:val="000000"/>
          <w:highlight w:val="none"/>
        </w:rPr>
      </w:r>
      <w:r/>
    </w:p>
    <w:p>
      <w:pPr>
        <w:rPr>
          <w:rFonts w:hint="eastAsia"/>
          <w:color w:val="000000"/>
          <w:highlight w:val="none"/>
        </w:rPr>
        <w:sectPr>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highlight w:val="none"/>
        </w:rPr>
      </w:r>
      <w:r/>
    </w:p>
    <w:p>
      <w:p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p>
    <w:p>
      <w:pPr>
        <w:pStyle w:val="1138"/>
        <w:spacing w:line="360" w:lineRule="auto"/>
        <w:tabs>
          <w:tab w:val="right" w:pos="8246" w:leader="dot"/>
        </w:tabs>
        <w:rPr>
          <w:rFonts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TOC \o "1-3" \h \z \u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"_Toc48639301"</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第一章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投标邀请函</w:t>
      </w:r>
      <w:r>
        <w:rPr>
          <w:rFonts w:ascii="宋体" w:hAnsi="宋体" w:eastAsia="宋体"/>
          <w:color w:val="000000"/>
          <w:sz w:val="32"/>
          <w:szCs w:val="32"/>
          <w:highlight w:val="none"/>
        </w:rPr>
        <w:tab/>
      </w:r>
      <w:r>
        <w:rPr>
          <w:rFonts w:hint="eastAsia" w:ascii="宋体" w:hAnsi="宋体" w:eastAsia="宋体"/>
          <w:color w:val="000000"/>
          <w:sz w:val="32"/>
          <w:szCs w:val="32"/>
          <w:highlight w:val="none"/>
        </w:rPr>
        <w:t xml:space="preserve">3</w:t>
      </w:r>
      <w:r>
        <w:rPr>
          <w:rFonts w:ascii="宋体" w:hAnsi="宋体" w:eastAsia="宋体"/>
          <w:color w:val="000000"/>
          <w:sz w:val="32"/>
          <w:szCs w:val="32"/>
          <w:highlight w:val="none"/>
        </w:rPr>
        <w:fldChar w:fldCharType="end"/>
      </w:r>
      <w:r/>
    </w:p>
    <w:p>
      <w:pPr>
        <w:pStyle w:val="1138"/>
        <w:spacing w:line="360" w:lineRule="auto"/>
        <w:tabs>
          <w:tab w:val="right" w:pos="8246" w:leader="dot"/>
        </w:tabs>
        <w:rPr>
          <w:rFonts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"_Toc48639302"</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第二章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投标人须知</w:t>
      </w:r>
      <w:r>
        <w:rPr>
          <w:rFonts w:ascii="宋体" w:hAnsi="宋体" w:eastAsia="宋体"/>
          <w:color w:val="000000"/>
          <w:sz w:val="32"/>
          <w:szCs w:val="32"/>
          <w:highlight w:val="none"/>
        </w:rPr>
        <w:tab/>
      </w:r>
      <w:r>
        <w:rPr>
          <w:rFonts w:hint="eastAsia" w:ascii="宋体" w:hAnsi="宋体" w:eastAsia="宋体"/>
          <w:color w:val="000000"/>
          <w:sz w:val="32"/>
          <w:szCs w:val="32"/>
          <w:highlight w:val="none"/>
        </w:rPr>
        <w:t xml:space="preserve">8</w:t>
      </w:r>
      <w:r>
        <w:rPr>
          <w:rFonts w:ascii="宋体" w:hAnsi="宋体" w:eastAsia="宋体"/>
          <w:color w:val="000000"/>
          <w:sz w:val="32"/>
          <w:szCs w:val="32"/>
          <w:highlight w:val="none"/>
        </w:rPr>
        <w:fldChar w:fldCharType="end"/>
      </w:r>
      <w:r/>
    </w:p>
    <w:p>
      <w:pPr>
        <w:pStyle w:val="1138"/>
        <w:spacing w:line="360" w:lineRule="auto"/>
        <w:tabs>
          <w:tab w:val="right" w:pos="8246" w:leader="dot"/>
        </w:tabs>
        <w:rPr>
          <w:rFonts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"_Toc48639327"</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第三章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投标文件格式</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_Toc48639327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19</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fldChar w:fldCharType="end"/>
      </w:r>
      <w:r/>
    </w:p>
    <w:p>
      <w:pPr>
        <w:pStyle w:val="1138"/>
        <w:spacing w:line="360" w:lineRule="auto"/>
        <w:tabs>
          <w:tab w:val="right" w:pos="8246" w:leader="dot"/>
        </w:tabs>
        <w:rPr>
          <w:rFonts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"_Toc48639349"</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第四章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招标书</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_Toc48639349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47</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fldChar w:fldCharType="end"/>
      </w:r>
      <w:r/>
    </w:p>
    <w:p>
      <w:pPr>
        <w:pStyle w:val="1138"/>
        <w:spacing w:line="360" w:lineRule="auto"/>
        <w:tabs>
          <w:tab w:val="right" w:pos="8246" w:leader="dot"/>
        </w:tabs>
        <w:rPr>
          <w:rFonts w:hint="eastAsia"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"_Toc48639352"</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第五章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合同一般条款</w:t>
      </w:r>
      <w:r>
        <w:rPr>
          <w:rFonts w:ascii="宋体" w:hAnsi="宋体" w:eastAsia="宋体"/>
          <w:color w:val="000000"/>
          <w:sz w:val="32"/>
          <w:szCs w:val="32"/>
          <w:highlight w:val="none"/>
        </w:rPr>
        <w:tab/>
      </w:r>
      <w:r>
        <w:rPr>
          <w:rFonts w:hint="eastAsia" w:ascii="宋体" w:hAnsi="宋体" w:eastAsia="宋体"/>
          <w:color w:val="000000"/>
          <w:sz w:val="32"/>
          <w:szCs w:val="32"/>
          <w:highlight w:val="none"/>
        </w:rPr>
        <w:t xml:space="preserve">4</w:t>
      </w:r>
      <w:r>
        <w:rPr>
          <w:rFonts w:ascii="宋体" w:hAnsi="宋体" w:eastAsia="宋体"/>
          <w:color w:val="000000"/>
          <w:sz w:val="32"/>
          <w:szCs w:val="32"/>
          <w:highlight w:val="none"/>
        </w:rPr>
        <w:fldChar w:fldCharType="end"/>
      </w:r>
      <w:r>
        <w:rPr>
          <w:rStyle w:val="1160"/>
          <w:rFonts w:hint="eastAsia" w:ascii="宋体" w:hAnsi="宋体" w:eastAsia="宋体"/>
          <w:color w:val="000000"/>
          <w:sz w:val="32"/>
          <w:szCs w:val="32"/>
          <w:highlight w:val="none"/>
        </w:rPr>
        <w:t xml:space="preserve">9</w:t>
      </w:r>
      <w:r/>
    </w:p>
    <w:p>
      <w:pPr>
        <w:pStyle w:val="1138"/>
        <w:spacing w:line="360" w:lineRule="auto"/>
        <w:tabs>
          <w:tab w:val="right" w:pos="8246" w:leader="dot"/>
        </w:tabs>
        <w:rPr>
          <w:rFonts w:hint="eastAsia" w:ascii="宋体" w:hAnsi="宋体" w:eastAsia="宋体"/>
          <w:color w:val="000000"/>
          <w:sz w:val="32"/>
          <w:szCs w:val="3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"_Toc48639383"</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第六章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合同特殊条款</w:t>
      </w:r>
      <w:r>
        <w:rPr>
          <w:rFonts w:ascii="宋体" w:hAnsi="宋体" w:eastAsia="宋体"/>
          <w:color w:val="000000"/>
          <w:sz w:val="32"/>
          <w:szCs w:val="32"/>
          <w:highlight w:val="none"/>
        </w:rPr>
        <w:tab/>
      </w:r>
      <w:r>
        <w:rPr>
          <w:rFonts w:hint="eastAsia" w:ascii="宋体" w:hAnsi="宋体" w:eastAsia="宋体"/>
          <w:color w:val="000000"/>
          <w:sz w:val="32"/>
          <w:szCs w:val="32"/>
          <w:highlight w:val="none"/>
        </w:rPr>
        <w:t xml:space="preserve">5</w:t>
      </w:r>
      <w:r>
        <w:rPr>
          <w:rFonts w:ascii="宋体" w:hAnsi="宋体" w:eastAsia="宋体"/>
          <w:color w:val="000000"/>
          <w:sz w:val="32"/>
          <w:szCs w:val="32"/>
          <w:highlight w:val="none"/>
        </w:rPr>
        <w:fldChar w:fldCharType="end"/>
      </w:r>
      <w:r>
        <w:rPr>
          <w:rStyle w:val="1160"/>
          <w:rFonts w:hint="eastAsia" w:ascii="宋体" w:hAnsi="宋体" w:eastAsia="宋体"/>
          <w:color w:val="000000"/>
          <w:sz w:val="32"/>
          <w:szCs w:val="32"/>
          <w:highlight w:val="none"/>
        </w:rPr>
        <w:t xml:space="preserve">4</w:t>
      </w:r>
      <w:r/>
    </w:p>
    <w:p>
      <w:pPr>
        <w:pStyle w:val="1138"/>
        <w:spacing w:line="360" w:lineRule="auto"/>
        <w:tabs>
          <w:tab w:val="right" w:pos="8246" w:leader="dot"/>
        </w:tabs>
        <w:rPr>
          <w:rFonts w:ascii="宋体" w:hAnsi="宋体" w:eastAsia="宋体"/>
          <w:color w:val="000000"/>
          <w:sz w:val="21"/>
          <w:szCs w:val="22"/>
          <w:highlight w:val="none"/>
        </w:rPr>
      </w:pPr>
      <w:r>
        <w:rPr>
          <w:rFonts w:ascii="宋体" w:hAnsi="宋体" w:eastAsia="宋体"/>
          <w:color w:val="000000"/>
          <w:sz w:val="32"/>
          <w:szCs w:val="32"/>
          <w:highlight w:val="none"/>
        </w:rPr>
        <w:fldChar w:fldCharType="begin"/>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instrText xml:space="preserve">HYPERLINK \l "_Toc48639392"</w:instrText>
      </w:r>
      <w:r>
        <w:rPr>
          <w:rStyle w:val="1160"/>
          <w:rFonts w:ascii="宋体" w:hAnsi="宋体" w:eastAsia="宋体"/>
          <w:color w:val="000000"/>
          <w:sz w:val="32"/>
          <w:szCs w:val="32"/>
          <w:highlight w:val="none"/>
        </w:rPr>
        <w:instrText xml:space="preserve"> </w:instrText>
      </w:r>
      <w:r>
        <w:rPr>
          <w:rFonts w:ascii="宋体" w:hAnsi="宋体" w:eastAsia="宋体"/>
          <w:color w:val="000000"/>
          <w:sz w:val="32"/>
          <w:szCs w:val="32"/>
          <w:highlight w:val="none"/>
        </w:rPr>
        <w:fldChar w:fldCharType="separate"/>
      </w:r>
      <w:r>
        <w:rPr>
          <w:rStyle w:val="1160"/>
          <w:rFonts w:hint="eastAsia" w:ascii="宋体" w:hAnsi="宋体" w:eastAsia="宋体"/>
          <w:color w:val="000000"/>
          <w:sz w:val="32"/>
          <w:szCs w:val="32"/>
          <w:highlight w:val="none"/>
        </w:rPr>
        <w:t xml:space="preserve">第七章</w:t>
      </w:r>
      <w:r>
        <w:rPr>
          <w:rStyle w:val="1160"/>
          <w:rFonts w:ascii="宋体" w:hAnsi="宋体" w:eastAsia="宋体"/>
          <w:color w:val="000000"/>
          <w:sz w:val="32"/>
          <w:szCs w:val="32"/>
          <w:highlight w:val="none"/>
        </w:rPr>
        <w:t xml:space="preserve"> </w:t>
      </w:r>
      <w:r>
        <w:rPr>
          <w:rStyle w:val="1160"/>
          <w:rFonts w:hint="eastAsia" w:ascii="宋体" w:hAnsi="宋体" w:eastAsia="宋体"/>
          <w:color w:val="000000"/>
          <w:sz w:val="32"/>
          <w:szCs w:val="32"/>
          <w:highlight w:val="none"/>
        </w:rPr>
        <w:t xml:space="preserve">评标方法、评分标准</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_Toc48639392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76</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fldChar w:fldCharType="end"/>
      </w:r>
      <w:r/>
    </w:p>
    <w:p>
      <w:pPr>
        <w:spacing w:line="360" w:lineRule="auto"/>
        <w:rPr>
          <w:rFonts w:ascii="宋体" w:hAnsi="宋体"/>
          <w:color w:val="000000"/>
          <w:sz w:val="28"/>
          <w:szCs w:val="28"/>
          <w:highlight w:val="none"/>
        </w:rPr>
      </w:pPr>
      <w:r>
        <w:rPr>
          <w:rFonts w:ascii="宋体" w:hAnsi="宋体"/>
          <w:color w:val="000000"/>
          <w:sz w:val="32"/>
          <w:szCs w:val="32"/>
          <w:highlight w:val="none"/>
        </w:rPr>
        <w:fldChar w:fldCharType="end"/>
      </w:r>
      <w:r/>
    </w:p>
    <w:p>
      <w:pPr>
        <w:pStyle w:val="1087"/>
        <w:jc w:val="center"/>
        <w:spacing w:after="312"/>
        <w:rPr>
          <w:rFonts w:hint="eastAsia"/>
          <w:color w:val="000000"/>
          <w:highlight w:val="none"/>
        </w:rPr>
      </w:pPr>
      <w:r/>
      <w:bookmarkStart w:id="139" w:name="_GoBack"/>
      <w:r/>
      <w:bookmarkEnd w:id="139"/>
      <w:r>
        <w:rPr>
          <w:rFonts w:hint="eastAsia"/>
          <w:color w:val="000000"/>
          <w:szCs w:val="28"/>
          <w:highlight w:val="none"/>
        </w:rPr>
        <w:br w:type="page" w:clear="all"/>
      </w:r>
      <w:bookmarkStart w:id="0" w:name="_Toc48639301"/>
      <w:r>
        <w:rPr>
          <w:rFonts w:hint="eastAsia"/>
          <w:color w:val="000000"/>
          <w:highlight w:val="none"/>
        </w:rPr>
        <w:t xml:space="preserve">第一章   投标邀请函</w:t>
      </w:r>
      <w:bookmarkEnd w:id="0"/>
      <w:r/>
      <w:bookmarkStart w:id="1" w:name="OLE_LINK4"/>
      <w:r/>
      <w:bookmarkStart w:id="2" w:name="OLE_LINK7"/>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vAlign w:val="top"/>
            <w:textDirection w:val="lrTb"/>
            <w:noWrap w:val="false"/>
          </w:tcPr>
          <w:p>
            <w:pPr>
              <w:pStyle w:val="1179"/>
              <w:ind w:firstLine="420"/>
              <w:rPr>
                <w:rFonts w:hint="eastAsia" w:ascii="宋体" w:hAnsi="宋体"/>
                <w:color w:val="000000"/>
                <w:sz w:val="21"/>
                <w:szCs w:val="21"/>
                <w:highlight w:val="none"/>
              </w:rPr>
            </w:pPr>
            <w:r/>
            <w:bookmarkStart w:id="3" w:name="OLE_LINK2"/>
            <w:r>
              <w:rPr>
                <w:rFonts w:hint="eastAsia" w:ascii="宋体" w:hAnsi="宋体"/>
                <w:color w:val="000000"/>
                <w:sz w:val="21"/>
                <w:szCs w:val="21"/>
                <w:highlight w:val="none"/>
              </w:rPr>
              <w:t xml:space="preserve">项目概况</w:t>
            </w:r>
            <w:r/>
          </w:p>
          <w:p>
            <w:pPr>
              <w:pStyle w:val="1179"/>
              <w:ind w:firstLine="420"/>
              <w:rPr>
                <w:rFonts w:hint="eastAsia" w:ascii="宋体" w:hAnsi="宋体"/>
                <w:color w:val="000000"/>
                <w:sz w:val="21"/>
                <w:szCs w:val="21"/>
                <w:highlight w:val="none"/>
                <w:u w:val="single"/>
              </w:rPr>
            </w:pPr>
            <w:r>
              <w:rPr>
                <w:rFonts w:hint="eastAsia" w:ascii="宋体" w:hAnsi="宋体" w:cs="宋体"/>
                <w:bCs/>
                <w:color w:val="000000"/>
                <w:sz w:val="21"/>
                <w:szCs w:val="21"/>
                <w:highlight w:val="none"/>
                <w:u w:val="none"/>
                <w:lang w:eastAsia="zh-CN"/>
              </w:rPr>
              <w:t xml:space="preserve">盛泽镇园区路消防站消防车采购</w:t>
            </w:r>
            <w:r>
              <w:rPr>
                <w:rFonts w:hint="eastAsia" w:ascii="宋体" w:hAnsi="宋体" w:cs="宋体"/>
                <w:bCs/>
                <w:color w:val="000000"/>
                <w:sz w:val="21"/>
                <w:szCs w:val="21"/>
                <w:highlight w:val="none"/>
                <w:u w:val="none"/>
                <w:lang w:val="en-US" w:eastAsia="zh-CN"/>
              </w:rPr>
              <w:t xml:space="preserve">JSZC-320509-ZHTX-G2026-0002</w:t>
            </w:r>
            <w:r>
              <w:rPr>
                <w:rFonts w:hint="eastAsia" w:ascii="宋体" w:hAnsi="宋体" w:cs="宋体"/>
                <w:bCs/>
                <w:color w:val="000000"/>
                <w:sz w:val="21"/>
                <w:szCs w:val="21"/>
                <w:highlight w:val="none"/>
                <w:u w:val="none"/>
              </w:rPr>
              <w:t xml:space="preserve">招标项目的潜在投标人应在“苏采云”系统</w:t>
            </w:r>
            <w:r>
              <w:rPr>
                <w:rFonts w:hint="eastAsia"/>
                <w:color w:val="000000"/>
                <w:sz w:val="21"/>
                <w:szCs w:val="21"/>
                <w:highlight w:val="none"/>
                <w:u w:val="none"/>
                <w:shd w:val="clear" w:color="auto" w:fill="ffffff"/>
              </w:rPr>
              <w:t xml:space="preserve">获取采购文件，</w:t>
            </w:r>
            <w:r>
              <w:rPr>
                <w:rFonts w:hint="eastAsia" w:ascii="Times New Roman" w:hAnsi="Times New Roman" w:eastAsia="宋体" w:cs="Times New Roman"/>
                <w:color w:val="000000"/>
                <w:sz w:val="21"/>
                <w:szCs w:val="21"/>
                <w:highlight w:val="none"/>
                <w:u w:val="none"/>
                <w:shd w:val="clear" w:color="auto" w:fill="ffffff"/>
              </w:rPr>
              <w:t xml:space="preserve">并于202</w:t>
            </w:r>
            <w:r>
              <w:rPr>
                <w:rFonts w:hint="eastAsia" w:ascii="Times New Roman" w:hAnsi="Times New Roman" w:eastAsia="宋体" w:cs="Times New Roman"/>
                <w:color w:val="000000"/>
                <w:sz w:val="21"/>
                <w:szCs w:val="21"/>
                <w:highlight w:val="none"/>
                <w:u w:val="none"/>
                <w:shd w:val="clear" w:color="auto" w:fill="ffffff"/>
                <w:lang w:val="en-US" w:eastAsia="zh-CN"/>
              </w:rPr>
              <w:t xml:space="preserve">6</w:t>
            </w:r>
            <w:r>
              <w:rPr>
                <w:rFonts w:hint="eastAsia" w:ascii="Times New Roman" w:hAnsi="Times New Roman" w:eastAsia="宋体" w:cs="Times New Roman"/>
                <w:color w:val="000000"/>
                <w:sz w:val="21"/>
                <w:szCs w:val="21"/>
                <w:highlight w:val="none"/>
                <w:u w:val="none"/>
                <w:shd w:val="clear" w:color="auto" w:fill="ffffff"/>
              </w:rPr>
              <w:t xml:space="preserve">-</w:t>
            </w:r>
            <w:r>
              <w:rPr>
                <w:rFonts w:hint="eastAsia" w:ascii="Times New Roman" w:hAnsi="Times New Roman" w:eastAsia="宋体" w:cs="Times New Roman"/>
                <w:color w:val="000000"/>
                <w:sz w:val="21"/>
                <w:szCs w:val="21"/>
                <w:highlight w:val="none"/>
                <w:u w:val="none"/>
                <w:shd w:val="clear" w:color="auto" w:fill="ffffff"/>
              </w:rPr>
              <w:t xml:space="preserve">03-04</w:t>
            </w:r>
            <w:r>
              <w:rPr>
                <w:rFonts w:hint="eastAsia" w:ascii="Times New Roman" w:hAnsi="Times New Roman" w:eastAsia="宋体" w:cs="Times New Roman"/>
                <w:color w:val="000000"/>
                <w:sz w:val="21"/>
                <w:szCs w:val="21"/>
                <w:highlight w:val="none"/>
                <w:u w:val="none"/>
                <w:shd w:val="clear" w:color="auto" w:fill="ffffff"/>
                <w:lang w:val="en-US" w:eastAsia="zh-CN"/>
              </w:rPr>
              <w:t xml:space="preserve"> </w:t>
            </w:r>
            <w:r>
              <w:rPr>
                <w:rFonts w:hint="eastAsia" w:ascii="Times New Roman" w:hAnsi="Times New Roman" w:eastAsia="宋体" w:cs="Times New Roman"/>
                <w:color w:val="000000"/>
                <w:sz w:val="21"/>
                <w:szCs w:val="21"/>
                <w:highlight w:val="none"/>
                <w:u w:val="none"/>
                <w:shd w:val="clear" w:color="auto" w:fill="ffffff"/>
              </w:rPr>
              <w:t xml:space="preserve"> </w:t>
            </w:r>
            <w:r>
              <w:rPr>
                <w:rFonts w:hint="eastAsia" w:ascii="Times New Roman" w:hAnsi="Times New Roman" w:eastAsia="宋体" w:cs="Times New Roman"/>
                <w:color w:val="000000"/>
                <w:sz w:val="21"/>
                <w:szCs w:val="21"/>
                <w:highlight w:val="none"/>
                <w:u w:val="none"/>
                <w:shd w:val="clear" w:color="auto" w:fill="ffffff"/>
                <w:lang w:val="en-US" w:eastAsia="zh-CN"/>
              </w:rPr>
              <w:t xml:space="preserve">13</w:t>
            </w:r>
            <w:r>
              <w:rPr>
                <w:rFonts w:hint="eastAsia" w:ascii="Times New Roman" w:hAnsi="Times New Roman" w:eastAsia="宋体" w:cs="Times New Roman"/>
                <w:color w:val="000000"/>
                <w:sz w:val="21"/>
                <w:szCs w:val="21"/>
                <w:highlight w:val="none"/>
                <w:u w:val="none"/>
                <w:shd w:val="clear" w:color="auto" w:fill="ffffff"/>
              </w:rPr>
              <w:t xml:space="preserve">:30（</w:t>
            </w:r>
            <w:r>
              <w:rPr>
                <w:rFonts w:hint="eastAsia"/>
                <w:color w:val="000000"/>
                <w:sz w:val="21"/>
                <w:szCs w:val="21"/>
                <w:highlight w:val="none"/>
                <w:u w:val="none"/>
                <w:shd w:val="clear" w:color="auto" w:fill="ffffff"/>
              </w:rPr>
              <w:t xml:space="preserve">北京时间）前提交投标文件。</w:t>
            </w:r>
            <w:r/>
          </w:p>
        </w:tc>
      </w:tr>
    </w:tbl>
    <w:p>
      <w:pPr>
        <w:ind w:firstLine="420"/>
        <w:spacing w:line="360" w:lineRule="auto"/>
        <w:rPr>
          <w:rFonts w:hint="eastAsia" w:ascii="宋体" w:hAnsi="宋体" w:cs="宋体"/>
          <w:b/>
          <w:color w:val="000000"/>
          <w:sz w:val="21"/>
          <w:szCs w:val="21"/>
          <w:highlight w:val="none"/>
        </w:rPr>
      </w:pPr>
      <w:r/>
      <w:bookmarkStart w:id="4" w:name="OLE_LINK1"/>
      <w:r/>
      <w:bookmarkStart w:id="5" w:name="OLE_LINK3"/>
      <w:r>
        <w:rPr>
          <w:rFonts w:hint="eastAsia" w:ascii="宋体" w:hAnsi="宋体" w:cs="宋体"/>
          <w:b/>
          <w:color w:val="000000"/>
          <w:sz w:val="21"/>
          <w:szCs w:val="21"/>
          <w:highlight w:val="none"/>
        </w:rPr>
        <w:t xml:space="preserve">一、项目基本情况</w:t>
      </w:r>
      <w:r/>
    </w:p>
    <w:p>
      <w:pPr>
        <w:pStyle w:val="1164"/>
        <w:ind w:firstLine="422"/>
        <w:spacing w:line="360" w:lineRule="auto"/>
        <w:rPr>
          <w:rFonts w:hint="eastAsia" w:hAnsi="宋体" w:eastAsia="宋体" w:cs="宋体"/>
          <w:b w:val="0"/>
          <w:bCs w:val="0"/>
          <w:color w:val="000000"/>
          <w:highlight w:val="none"/>
          <w:lang w:eastAsia="zh-CN"/>
        </w:rPr>
      </w:pPr>
      <w:r>
        <w:rPr>
          <w:rFonts w:hint="eastAsia" w:eastAsia="宋体"/>
          <w:b w:val="0"/>
          <w:bCs w:val="0"/>
          <w:color w:val="000000"/>
          <w:highlight w:val="none"/>
        </w:rPr>
        <w:t xml:space="preserve">项目编号：</w:t>
      </w:r>
      <w:r>
        <w:rPr>
          <w:rFonts w:hint="eastAsia" w:hAnsi="宋体" w:eastAsia="宋体" w:cs="宋体"/>
          <w:b w:val="0"/>
          <w:bCs w:val="0"/>
          <w:color w:val="000000"/>
          <w:szCs w:val="21"/>
          <w:highlight w:val="none"/>
          <w:lang w:eastAsia="zh-CN"/>
        </w:rPr>
        <w:t xml:space="preserve">JSZC-320509-ZHTX-G2026-0002</w:t>
      </w:r>
      <w:r>
        <w:rPr>
          <w:rFonts w:hint="eastAsia" w:hAnsi="宋体" w:eastAsia="宋体" w:cs="宋体"/>
          <w:b w:val="0"/>
          <w:bCs w:val="0"/>
          <w:color w:val="000000"/>
          <w:szCs w:val="21"/>
          <w:highlight w:val="none"/>
          <w:lang w:eastAsia="zh-CN"/>
        </w:rPr>
      </w:r>
      <w:r/>
    </w:p>
    <w:p>
      <w:pPr>
        <w:pStyle w:val="1164"/>
        <w:ind w:firstLine="422"/>
        <w:spacing w:line="360" w:lineRule="auto"/>
        <w:rPr>
          <w:rFonts w:hint="eastAsia" w:hAnsi="宋体" w:eastAsia="宋体" w:cs="宋体"/>
          <w:b w:val="0"/>
          <w:bCs w:val="0"/>
          <w:color w:val="000000"/>
          <w:highlight w:val="none"/>
          <w:lang w:eastAsia="zh-CN"/>
        </w:rPr>
      </w:pPr>
      <w:r>
        <w:rPr>
          <w:rFonts w:hint="eastAsia" w:hAnsi="宋体" w:eastAsia="宋体" w:cs="宋体"/>
          <w:b w:val="0"/>
          <w:bCs w:val="0"/>
          <w:color w:val="000000"/>
          <w:szCs w:val="21"/>
          <w:highlight w:val="none"/>
          <w:lang w:eastAsia="zh-CN"/>
        </w:rPr>
      </w:r>
      <w:r>
        <w:rPr>
          <w:rFonts w:hint="eastAsia" w:eastAsia="宋体"/>
          <w:b w:val="0"/>
          <w:bCs w:val="0"/>
          <w:color w:val="000000"/>
          <w:highlight w:val="none"/>
        </w:rPr>
        <w:t xml:space="preserve">项目名称：</w:t>
      </w:r>
      <w:r>
        <w:rPr>
          <w:rFonts w:hint="eastAsia" w:eastAsia="宋体"/>
          <w:b w:val="0"/>
          <w:bCs w:val="0"/>
          <w:color w:val="000000"/>
          <w:highlight w:val="none"/>
          <w:lang w:eastAsia="zh-CN"/>
        </w:rPr>
        <w:t xml:space="preserve">盛泽镇园区路消防站消防车采购</w:t>
      </w:r>
      <w:r>
        <w:rPr>
          <w:rFonts w:hint="eastAsia" w:hAnsi="宋体" w:eastAsia="宋体" w:cs="宋体"/>
          <w:b w:val="0"/>
          <w:bCs w:val="0"/>
          <w:color w:val="000000"/>
          <w:szCs w:val="21"/>
          <w:highlight w:val="none"/>
          <w:lang w:eastAsia="zh-CN"/>
        </w:rPr>
      </w:r>
      <w:r/>
    </w:p>
    <w:p>
      <w:pPr>
        <w:pStyle w:val="1164"/>
        <w:ind w:firstLine="422"/>
        <w:spacing w:line="360" w:lineRule="auto"/>
        <w:rPr>
          <w:rFonts w:hint="eastAsia" w:ascii="宋体" w:hAnsi="Times New Roman" w:eastAsia="宋体" w:cs="Times New Roman"/>
          <w:b w:val="0"/>
          <w:bCs w:val="0"/>
          <w:color w:val="000000"/>
          <w:highlight w:val="none"/>
        </w:rPr>
      </w:pPr>
      <w:r>
        <w:rPr>
          <w:rFonts w:hint="eastAsia" w:eastAsia="宋体"/>
          <w:b w:val="0"/>
          <w:bCs w:val="0"/>
          <w:color w:val="000000"/>
          <w:highlight w:val="none"/>
        </w:rPr>
        <w:t xml:space="preserve">预算金</w:t>
      </w:r>
      <w:r>
        <w:rPr>
          <w:rFonts w:hint="eastAsia" w:ascii="宋体" w:hAnsi="Times New Roman" w:eastAsia="宋体" w:cs="Times New Roman"/>
          <w:b w:val="0"/>
          <w:bCs w:val="0"/>
          <w:color w:val="000000"/>
          <w:highlight w:val="none"/>
        </w:rPr>
        <w:t xml:space="preserve">额</w:t>
      </w:r>
      <w:r>
        <w:rPr>
          <w:rFonts w:hint="eastAsia" w:ascii="宋体" w:hAnsi="Times New Roman" w:eastAsia="宋体" w:cs="Times New Roman"/>
          <w:b w:val="0"/>
          <w:bCs w:val="0"/>
          <w:color w:val="000000"/>
          <w:highlight w:val="none"/>
          <w:lang w:eastAsia="zh-CN"/>
        </w:rPr>
        <w:t xml:space="preserve">：674</w:t>
      </w:r>
      <w:r>
        <w:rPr>
          <w:rFonts w:hint="eastAsia" w:ascii="宋体" w:hAnsi="Times New Roman" w:eastAsia="宋体" w:cs="Times New Roman"/>
          <w:b w:val="0"/>
          <w:bCs w:val="0"/>
          <w:color w:val="000000"/>
          <w:highlight w:val="none"/>
        </w:rPr>
        <w:t xml:space="preserve">.000000万元</w:t>
      </w:r>
      <w:r/>
    </w:p>
    <w:p>
      <w:pPr>
        <w:pStyle w:val="1164"/>
        <w:ind w:firstLine="422"/>
        <w:spacing w:line="360" w:lineRule="auto"/>
        <w:rPr>
          <w:rFonts w:hint="eastAsia" w:ascii="宋体" w:hAnsi="Times New Roman" w:eastAsia="宋体" w:cs="Times New Roman"/>
          <w:b w:val="0"/>
          <w:bCs w:val="0"/>
          <w:color w:val="000000"/>
          <w:highlight w:val="none"/>
        </w:rPr>
      </w:pPr>
      <w:r>
        <w:rPr>
          <w:rFonts w:hint="eastAsia" w:ascii="宋体" w:hAnsi="Times New Roman" w:eastAsia="宋体" w:cs="Times New Roman"/>
          <w:b w:val="0"/>
          <w:bCs w:val="0"/>
          <w:color w:val="000000"/>
          <w:highlight w:val="none"/>
        </w:rPr>
        <w:t xml:space="preserve">最高限价（如有）：</w:t>
      </w:r>
      <w:r>
        <w:rPr>
          <w:rFonts w:hint="eastAsia" w:eastAsia="宋体" w:cs="Times New Roman"/>
          <w:b w:val="0"/>
          <w:bCs w:val="0"/>
          <w:color w:val="000000"/>
          <w:highlight w:val="none"/>
          <w:lang w:val="en-US" w:eastAsia="zh-CN"/>
        </w:rPr>
        <w:t xml:space="preserve">674</w:t>
      </w:r>
      <w:r>
        <w:rPr>
          <w:rFonts w:hint="eastAsia" w:ascii="宋体" w:hAnsi="Times New Roman" w:eastAsia="宋体" w:cs="Times New Roman"/>
          <w:b w:val="0"/>
          <w:bCs w:val="0"/>
          <w:color w:val="000000"/>
          <w:highlight w:val="none"/>
        </w:rPr>
        <w:t xml:space="preserve">.000000万元</w:t>
      </w:r>
      <w:r/>
    </w:p>
    <w:p>
      <w:pPr>
        <w:pStyle w:val="1164"/>
        <w:ind w:firstLine="422"/>
        <w:spacing w:line="360" w:lineRule="auto"/>
        <w:rPr>
          <w:rFonts w:hint="eastAsia" w:ascii="宋体" w:hAnsi="Times New Roman" w:eastAsia="宋体" w:cs="Times New Roman"/>
          <w:b w:val="0"/>
          <w:bCs w:val="0"/>
          <w:color w:val="000000"/>
          <w:highlight w:val="none"/>
        </w:rPr>
      </w:pPr>
      <w:r>
        <w:rPr>
          <w:rFonts w:hint="eastAsia" w:ascii="宋体" w:hAnsi="Times New Roman" w:eastAsia="宋体" w:cs="Times New Roman"/>
          <w:b w:val="0"/>
          <w:bCs w:val="0"/>
          <w:color w:val="000000"/>
          <w:highlight w:val="none"/>
        </w:rPr>
        <w:t xml:space="preserve">采购需求：</w:t>
      </w:r>
      <w:r/>
    </w:p>
    <w:p>
      <w:pPr>
        <w:pStyle w:val="1164"/>
        <w:ind w:firstLine="422"/>
        <w:spacing w:line="360" w:lineRule="auto"/>
        <w:rPr>
          <w:rFonts w:ascii="宋体" w:hAnsi="Times New Roman" w:eastAsia="宋体" w:cs="Times New Roman"/>
          <w:b w:val="0"/>
          <w:bCs w:val="0"/>
          <w:color w:val="000000"/>
          <w:highlight w:val="none"/>
          <w:lang w:val="en-US" w:eastAsia="zh-CN"/>
        </w:rPr>
      </w:pPr>
      <w:r>
        <w:rPr>
          <w:rFonts w:hint="eastAsia" w:ascii="宋体" w:hAnsi="Times New Roman" w:eastAsia="宋体" w:cs="Times New Roman"/>
          <w:b w:val="0"/>
          <w:bCs w:val="0"/>
          <w:color w:val="000000"/>
          <w:highlight w:val="none"/>
          <w:lang w:val="en-US" w:eastAsia="zh-CN"/>
        </w:rPr>
        <w:t xml:space="preserve">采购清单</w:t>
      </w:r>
      <w:r>
        <w:rPr>
          <w:rFonts w:hint="eastAsia" w:ascii="宋体" w:hAnsi="宋体" w:eastAsia="宋体" w:cs="宋体"/>
          <w:color w:val="000000"/>
          <w:szCs w:val="21"/>
          <w:highlight w:val="none"/>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具体内容详见招标文件）</w:t>
      </w:r>
      <w:r/>
    </w:p>
    <w:tbl>
      <w:tblPr>
        <w:tblStyle w:val="913"/>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339"/>
        <w:gridCol w:w="1002"/>
        <w:gridCol w:w="1200"/>
        <w:gridCol w:w="3417"/>
      </w:tblGrid>
      <w:tr>
        <w:trPr>
          <w:jc w:val="center"/>
        </w:trPr>
        <w:tc>
          <w:tcPr>
            <w:tcW w:w="993"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序号</w:t>
            </w:r>
            <w:r/>
          </w:p>
        </w:tc>
        <w:tc>
          <w:tcPr>
            <w:tcW w:w="2339"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002"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数量</w:t>
            </w:r>
            <w:r/>
          </w:p>
        </w:tc>
        <w:tc>
          <w:tcPr>
            <w:tcW w:w="120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单位</w:t>
            </w:r>
            <w:r/>
          </w:p>
        </w:tc>
        <w:tc>
          <w:tcPr>
            <w:tcW w:w="3417"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备注</w:t>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3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中型泡沫消防车</w:t>
            </w:r>
            <w:r/>
          </w:p>
        </w:tc>
        <w:tc>
          <w:tcPr>
            <w:tcW w:w="100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辆</w:t>
            </w:r>
            <w:r/>
          </w:p>
        </w:tc>
        <w:tc>
          <w:tcPr>
            <w:tcW w:w="3417" w:type="dxa"/>
            <w:vAlign w:val="center"/>
            <w:vMerge w:val="restart"/>
            <w:textDirection w:val="lrTb"/>
            <w:noWrap w:val="false"/>
          </w:tcPr>
          <w:p>
            <w:pPr>
              <w:jc w:val="center"/>
              <w:spacing w:line="360" w:lineRule="auto"/>
              <w:rPr>
                <w:rFonts w:hint="default" w:ascii="宋体" w:hAnsi="宋体" w:eastAsia="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t xml:space="preserve">不接受整车进口产品投标</w:t>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W w:w="2339"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重型泡沫消防车</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辆</w:t>
            </w:r>
            <w:r/>
          </w:p>
        </w:tc>
        <w:tc>
          <w:tcPr>
            <w:tcW w:w="3417" w:type="dxa"/>
            <w:vAlign w:val="center"/>
            <w:vMerge w:val="continue"/>
            <w:textDirection w:val="lrTb"/>
            <w:noWrap w:val="false"/>
          </w:tcPr>
          <w:p>
            <w:pPr>
              <w:jc w:val="center"/>
              <w:spacing w:line="360" w:lineRule="auto"/>
              <w:rPr>
                <w:rFonts w:hint="eastAsia" w:ascii="宋体" w:hAnsi="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W w:w="2339"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压缩空气泡沫消防车</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辆</w:t>
            </w:r>
            <w:r/>
          </w:p>
        </w:tc>
        <w:tc>
          <w:tcPr>
            <w:tcW w:w="3417" w:type="dxa"/>
            <w:vAlign w:val="center"/>
            <w:vMerge w:val="continue"/>
            <w:textDirection w:val="lrTb"/>
            <w:noWrap w:val="false"/>
          </w:tcPr>
          <w:p>
            <w:pPr>
              <w:jc w:val="center"/>
              <w:spacing w:line="360" w:lineRule="auto"/>
              <w:rPr>
                <w:rFonts w:hint="eastAsia" w:ascii="宋体" w:hAnsi="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r>
            <w:r/>
          </w:p>
        </w:tc>
      </w:tr>
    </w:tbl>
    <w:p>
      <w:pPr>
        <w:ind w:firstLine="420"/>
        <w:spacing w:line="360" w:lineRule="auto"/>
        <w:rPr>
          <w:rFonts w:hint="eastAsia" w:ascii="宋体" w:hAnsi="宋体" w:cs="宋体"/>
          <w:color w:val="000000"/>
          <w:sz w:val="21"/>
          <w:szCs w:val="21"/>
          <w:highlight w:val="none"/>
        </w:rPr>
      </w:pPr>
      <w:r>
        <w:rPr>
          <w:rFonts w:hint="eastAsia" w:ascii="宋体" w:hAnsi="宋体" w:cs="宋体"/>
          <w:b w:val="0"/>
          <w:bCs w:val="0"/>
          <w:color w:val="000000"/>
          <w:sz w:val="21"/>
          <w:szCs w:val="21"/>
          <w:highlight w:val="none"/>
        </w:rPr>
        <w:t xml:space="preserve">合同履行期限：</w:t>
      </w:r>
      <w:r>
        <w:rPr>
          <w:rFonts w:hint="eastAsia" w:ascii="宋体" w:hAnsi="宋体" w:cs="宋体"/>
          <w:color w:val="000000"/>
          <w:sz w:val="21"/>
          <w:szCs w:val="21"/>
          <w:highlight w:val="none"/>
          <w:lang w:eastAsia="zh-CN"/>
        </w:rPr>
        <w:t xml:space="preserve">自合同签订生效后10个月内完成全部采购内容的供货安装调试并交付正常使用；整车质保2年，免费保修期为自货物验收合格之日起计算</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eastAsia="宋体"/>
          <w:b w:val="0"/>
          <w:bCs/>
          <w:color w:val="000000"/>
          <w:sz w:val="21"/>
          <w:szCs w:val="21"/>
          <w:highlight w:val="none"/>
          <w:lang w:eastAsia="zh-CN"/>
        </w:rPr>
      </w:pPr>
      <w:r>
        <w:rPr>
          <w:rFonts w:hint="eastAsia" w:ascii="宋体" w:hAnsi="宋体"/>
          <w:b w:val="0"/>
          <w:bCs/>
          <w:color w:val="000000"/>
          <w:sz w:val="21"/>
          <w:szCs w:val="21"/>
          <w:highlight w:val="none"/>
        </w:rPr>
        <w:t xml:space="preserve">本项目（是/否）接受联合体投标：否</w:t>
      </w:r>
      <w:r/>
    </w:p>
    <w:p>
      <w:pPr>
        <w:ind w:firstLine="42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二、申请人的资格要求：</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满足《中华人民共和国政府采购法》第二十二条规定；</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具有独立承担民事责任的能力。</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具有良好的商业信誉和健全的财务会计制度。</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具有履行合同所必需的设备和专业技术能力。</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有依法缴纳税收和社会保障资金的良好记录。</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参加政府采购活动前三年内，在经营活动中没有重大违法记录。</w:t>
      </w:r>
      <w:r/>
    </w:p>
    <w:p>
      <w:pPr>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6.法律、行政法规规定的其他条件</w:t>
      </w:r>
      <w:r>
        <w:rPr>
          <w:rFonts w:hint="eastAsia" w:ascii="宋体" w:hAnsi="宋体" w:eastAsia="宋体" w:cs="Times New Roman"/>
          <w:color w:val="000000"/>
          <w:sz w:val="21"/>
          <w:szCs w:val="21"/>
          <w:highlight w:val="none"/>
        </w:rPr>
        <w:t xml:space="preserve">。</w:t>
      </w:r>
      <w:r/>
    </w:p>
    <w:p>
      <w:pPr>
        <w:ind w:firstLine="42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lang w:eastAsia="zh-CN"/>
        </w:rPr>
        <w:t xml:space="preserve">）落实政府采购政策需满足的资格要求：</w:t>
      </w:r>
      <w:r/>
    </w:p>
    <w:p>
      <w:pPr>
        <w:ind w:firstLine="420"/>
        <w:spacing w:line="360" w:lineRule="auto"/>
        <w:rPr>
          <w:rFonts w:hint="eastAsia" w:ascii="宋体" w:hAnsi="宋体"/>
          <w:color w:val="000000"/>
          <w:sz w:val="21"/>
          <w:szCs w:val="21"/>
          <w:highlight w:val="none"/>
          <w:lang w:eastAsia="zh-CN"/>
        </w:rPr>
      </w:pPr>
      <w:r>
        <w:rPr>
          <w:rFonts w:ascii="宋体" w:hAnsi="宋体" w:eastAsia="宋体" w:cs="宋体"/>
          <w:color w:val="000000"/>
          <w:sz w:val="21"/>
          <w:highlight w:val="none"/>
        </w:rPr>
        <w:t xml:space="preserve">根据《政府采购促进中小企业发展管理办法》的相关规定，本项目专门面向中小企业采购（</w:t>
      </w:r>
      <w:r>
        <w:rPr>
          <w:rFonts w:hint="eastAsia" w:ascii="宋体" w:hAnsi="宋体" w:eastAsia="宋体" w:cs="宋体"/>
          <w:color w:val="000000"/>
          <w:sz w:val="21"/>
          <w:highlight w:val="none"/>
          <w:lang w:val="en-US" w:eastAsia="zh-CN"/>
        </w:rPr>
        <w:t xml:space="preserve">投标单位</w:t>
      </w:r>
      <w:r>
        <w:rPr>
          <w:rFonts w:ascii="宋体" w:hAnsi="宋体" w:eastAsia="宋体" w:cs="宋体"/>
          <w:color w:val="000000"/>
          <w:sz w:val="21"/>
          <w:highlight w:val="none"/>
        </w:rPr>
        <w:t xml:space="preserve">必须为中小微企业或残疾人福利性单位或监狱企业，并在</w:t>
      </w:r>
      <w:r>
        <w:rPr>
          <w:rFonts w:hint="eastAsia" w:ascii="宋体" w:hAnsi="宋体" w:eastAsia="宋体" w:cs="宋体"/>
          <w:color w:val="000000"/>
          <w:sz w:val="21"/>
          <w:highlight w:val="none"/>
          <w:lang w:val="en-US" w:eastAsia="zh-CN"/>
        </w:rPr>
        <w:t xml:space="preserve">投标</w:t>
      </w:r>
      <w:r>
        <w:rPr>
          <w:rFonts w:ascii="宋体" w:hAnsi="宋体" w:eastAsia="宋体" w:cs="宋体"/>
          <w:color w:val="000000"/>
          <w:sz w:val="21"/>
          <w:highlight w:val="none"/>
        </w:rPr>
        <w:t xml:space="preserve">文件中提供相关声明函，否则为无效投标），所属行业为</w:t>
      </w:r>
      <w:r>
        <w:rPr>
          <w:rFonts w:hint="eastAsia" w:ascii="宋体" w:hAnsi="宋体"/>
          <w:color w:val="000000"/>
          <w:sz w:val="21"/>
          <w:szCs w:val="21"/>
          <w:highlight w:val="none"/>
          <w:u w:val="none"/>
        </w:rPr>
        <w:t xml:space="preserve">工业</w:t>
      </w:r>
      <w:r>
        <w:rPr>
          <w:rFonts w:hint="eastAsia" w:ascii="宋体" w:hAnsi="宋体"/>
          <w:color w:val="000000"/>
          <w:sz w:val="21"/>
          <w:szCs w:val="21"/>
          <w:highlight w:val="none"/>
          <w:lang w:eastAsia="zh-CN"/>
        </w:rPr>
        <w:t xml:space="preserve">。</w:t>
      </w:r>
      <w:r/>
    </w:p>
    <w:p>
      <w:pPr>
        <w:ind w:firstLine="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三</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本项目的特定资格要求：</w:t>
      </w:r>
      <w:r/>
    </w:p>
    <w:p>
      <w:pPr>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color w:val="000000"/>
          <w:sz w:val="21"/>
          <w:szCs w:val="21"/>
          <w:highlight w:val="none"/>
          <w:lang w:val="en-US" w:eastAsia="zh-CN"/>
        </w:rPr>
        <w:t xml:space="preserve">1.未被“信用中国”网站（www.creditchina.gov.cn）列入失信被执行人、重大税收违法案件当事人名</w:t>
      </w:r>
      <w:r>
        <w:rPr>
          <w:rFonts w:hint="eastAsia" w:ascii="宋体" w:hAnsi="宋体" w:eastAsia="宋体" w:cs="Times New Roman"/>
          <w:color w:val="000000"/>
          <w:sz w:val="21"/>
          <w:szCs w:val="21"/>
          <w:highlight w:val="none"/>
          <w:lang w:val="en-US" w:eastAsia="zh-CN"/>
        </w:rPr>
        <w:t xml:space="preserve">单、政府采购严重失信行为记录名单。</w:t>
      </w:r>
      <w:r>
        <w:rPr>
          <w:rFonts w:hint="eastAsia" w:ascii="宋体" w:hAnsi="宋体" w:eastAsia="宋体" w:cs="Times New Roman"/>
          <w:color w:val="000000"/>
          <w:sz w:val="21"/>
          <w:szCs w:val="21"/>
          <w:highlight w:val="none"/>
          <w:lang w:val="en-US" w:eastAsia="zh-CN"/>
        </w:rPr>
      </w:r>
      <w:r/>
    </w:p>
    <w:p>
      <w:pPr>
        <w:ind w:firstLine="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bookmarkStart w:id="6" w:name="_Toc9927"/>
      <w:r>
        <w:rPr>
          <w:rFonts w:hint="eastAsia" w:ascii="宋体" w:hAnsi="宋体" w:eastAsia="宋体" w:cs="Times New Roman"/>
          <w:color w:val="000000"/>
          <w:sz w:val="21"/>
          <w:szCs w:val="21"/>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bookmarkEnd w:id="6"/>
      <w:r>
        <w:rPr>
          <w:rFonts w:hint="eastAsia" w:ascii="宋体" w:hAnsi="宋体" w:eastAsia="宋体" w:cs="Times New Roman"/>
          <w:color w:val="000000"/>
          <w:sz w:val="21"/>
          <w:szCs w:val="21"/>
          <w:highlight w:val="none"/>
          <w:lang w:val="en-US" w:eastAsia="zh-CN"/>
        </w:rPr>
      </w:r>
      <w:r/>
    </w:p>
    <w:p>
      <w:pPr>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zh-CN" w:eastAsia="zh-CN"/>
        </w:rPr>
        <w:t xml:space="preserve">法人的分支机构不得参加本项目的采购活动(除银行、保险、石油石化、电力、电信等行业特殊情况外)。</w:t>
      </w:r>
      <w:r/>
    </w:p>
    <w:p>
      <w:pPr>
        <w:ind w:firstLine="42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三、获取招标文件</w:t>
      </w:r>
      <w:r/>
    </w:p>
    <w:p>
      <w:pPr>
        <w:ind w:firstLine="420"/>
        <w:spacing w:line="360" w:lineRule="auto"/>
        <w:rPr>
          <w:rFonts w:hint="eastAsia" w:ascii="宋体" w:hAnsi="宋体" w:eastAsia="宋体" w:cs="Times New Roman"/>
          <w:b w:val="0"/>
          <w:bCs/>
          <w:color w:val="000000"/>
          <w:sz w:val="21"/>
          <w:szCs w:val="21"/>
          <w:highlight w:val="none"/>
          <w:lang w:val="en-US" w:eastAsia="zh-CN"/>
        </w:rPr>
      </w:pPr>
      <w:r/>
      <w:bookmarkStart w:id="7" w:name="_Toc28359092"/>
      <w:r/>
      <w:bookmarkStart w:id="8" w:name="_Toc28359015"/>
      <w:r/>
      <w:bookmarkStart w:id="9" w:name="_Toc35393801"/>
      <w:r/>
      <w:bookmarkStart w:id="10" w:name="_Toc35393632"/>
      <w:r>
        <w:rPr>
          <w:rFonts w:hint="eastAsia" w:ascii="宋体" w:hAnsi="宋体" w:eastAsia="宋体" w:cs="Times New Roman"/>
          <w:b w:val="0"/>
          <w:bCs/>
          <w:color w:val="000000"/>
          <w:sz w:val="21"/>
          <w:szCs w:val="21"/>
          <w:highlight w:val="none"/>
          <w:lang w:val="en-US" w:eastAsia="zh-CN"/>
        </w:rPr>
        <w:t xml:space="preserve">时间：</w:t>
      </w:r>
      <w:r>
        <w:rPr>
          <w:rFonts w:ascii="宋体" w:hAnsi="宋体" w:eastAsia="宋体" w:cs="宋体"/>
          <w:color w:val="000000"/>
          <w:sz w:val="21"/>
          <w:highlight w:val="none"/>
        </w:rPr>
        <w:t xml:space="preserve">自招标文件公告发布之日起5个工作日 </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地点：“苏采云”系统 </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方式：“苏采云”系统线上获取 </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售价：0.00元 </w:t>
      </w:r>
      <w:r/>
    </w:p>
    <w:p>
      <w:pPr>
        <w:ind w:firstLine="420"/>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四、提交投标文件截止时间、开标时间和地点</w:t>
      </w:r>
      <w:r/>
    </w:p>
    <w:p>
      <w:pPr>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202</w:t>
      </w:r>
      <w:r>
        <w:rPr>
          <w:rFonts w:hint="eastAsia" w:ascii="宋体" w:hAnsi="宋体" w:eastAsia="宋体" w:cs="Times New Roman"/>
          <w:b w:val="0"/>
          <w:bCs/>
          <w:color w:val="000000"/>
          <w:sz w:val="21"/>
          <w:szCs w:val="21"/>
          <w:highlight w:val="none"/>
          <w:lang w:val="en-US" w:eastAsia="zh-CN"/>
        </w:rPr>
        <w:t xml:space="preserve">6</w:t>
      </w:r>
      <w:r>
        <w:rPr>
          <w:rFonts w:hint="eastAsia" w:ascii="宋体" w:hAnsi="宋体" w:eastAsia="宋体" w:cs="Times New Roman"/>
          <w:b w:val="0"/>
          <w:bCs/>
          <w:color w:val="000000"/>
          <w:sz w:val="21"/>
          <w:szCs w:val="21"/>
          <w:highlight w:val="none"/>
          <w:lang w:val="zh-CN" w:eastAsia="zh-CN"/>
        </w:rPr>
        <w:t xml:space="preserve">-03</w:t>
      </w:r>
      <w:r>
        <w:rPr>
          <w:rFonts w:hint="eastAsia" w:ascii="宋体" w:hAnsi="宋体" w:eastAsia="宋体" w:cs="Times New Roman"/>
          <w:b w:val="0"/>
          <w:bCs/>
          <w:color w:val="000000"/>
          <w:sz w:val="21"/>
          <w:szCs w:val="21"/>
          <w:highlight w:val="none"/>
          <w:lang w:val="zh-CN" w:eastAsia="zh-CN"/>
        </w:rPr>
        <w:t xml:space="preserve">-04</w:t>
      </w:r>
      <w:r>
        <w:rPr>
          <w:rFonts w:hint="eastAsia" w:ascii="宋体" w:hAnsi="宋体" w:cs="Times New Roman"/>
          <w:b w:val="0"/>
          <w:bCs/>
          <w:color w:val="000000"/>
          <w:sz w:val="21"/>
          <w:szCs w:val="21"/>
          <w:highlight w:val="none"/>
          <w:lang w:val="en-US" w:eastAsia="zh-CN"/>
        </w:rPr>
        <w:t xml:space="preserve"> </w:t>
      </w:r>
      <w:r>
        <w:rPr>
          <w:rFonts w:hint="eastAsia" w:ascii="宋体" w:hAnsi="宋体" w:eastAsia="宋体" w:cs="Times New Roman"/>
          <w:b w:val="0"/>
          <w:bCs/>
          <w:color w:val="000000"/>
          <w:sz w:val="21"/>
          <w:szCs w:val="21"/>
          <w:highlight w:val="none"/>
          <w:lang w:val="zh-CN" w:eastAsia="zh-CN"/>
        </w:rPr>
        <w:t xml:space="preserve"> </w:t>
      </w:r>
      <w:r>
        <w:rPr>
          <w:rFonts w:hint="eastAsia" w:ascii="宋体" w:hAnsi="宋体" w:eastAsia="宋体" w:cs="Times New Roman"/>
          <w:b w:val="0"/>
          <w:bCs/>
          <w:color w:val="000000"/>
          <w:sz w:val="21"/>
          <w:szCs w:val="21"/>
          <w:highlight w:val="none"/>
          <w:lang w:val="en-US" w:eastAsia="zh-CN"/>
        </w:rPr>
        <w:t xml:space="preserve">13</w:t>
      </w:r>
      <w:r>
        <w:rPr>
          <w:rFonts w:hint="eastAsia" w:ascii="宋体" w:hAnsi="宋体" w:eastAsia="宋体" w:cs="Times New Roman"/>
          <w:b w:val="0"/>
          <w:bCs/>
          <w:color w:val="000000"/>
          <w:sz w:val="21"/>
          <w:szCs w:val="21"/>
          <w:highlight w:val="none"/>
          <w:lang w:val="zh-CN" w:eastAsia="zh-CN"/>
        </w:rPr>
        <w:t xml:space="preserve">:30 （北京时间）</w:t>
      </w:r>
      <w:r/>
    </w:p>
    <w:p>
      <w:pPr>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地点：“苏采云”系统（网址：http://jszfcg.jsczt.cn/）。投标文件网上递交，不需要现场参加采购活动。 </w:t>
      </w:r>
      <w:bookmarkEnd w:id="7"/>
      <w:r/>
      <w:bookmarkEnd w:id="8"/>
      <w:r/>
      <w:bookmarkEnd w:id="9"/>
      <w:r/>
      <w:bookmarkEnd w:id="10"/>
      <w:r/>
      <w:r/>
    </w:p>
    <w:p>
      <w:pPr>
        <w:ind w:firstLine="420"/>
        <w:spacing w:line="360" w:lineRule="auto"/>
        <w:rPr>
          <w:rFonts w:hint="eastAsia" w:ascii="宋体" w:hAnsi="宋体"/>
          <w:b/>
          <w:bCs w:val="0"/>
          <w:color w:val="000000"/>
          <w:sz w:val="21"/>
          <w:szCs w:val="21"/>
          <w:highlight w:val="none"/>
        </w:rPr>
      </w:pPr>
      <w:r/>
      <w:bookmarkStart w:id="11" w:name="_Toc35393634"/>
      <w:r/>
      <w:bookmarkStart w:id="12" w:name="_Toc35393803"/>
      <w:r/>
      <w:bookmarkStart w:id="13" w:name="_Toc28359017"/>
      <w:r/>
      <w:bookmarkStart w:id="14" w:name="_Toc28359094"/>
      <w:r>
        <w:rPr>
          <w:rFonts w:hint="eastAsia" w:ascii="宋体" w:hAnsi="宋体"/>
          <w:b/>
          <w:bCs w:val="0"/>
          <w:color w:val="000000"/>
          <w:sz w:val="21"/>
          <w:szCs w:val="21"/>
          <w:highlight w:val="none"/>
        </w:rPr>
        <w:t xml:space="preserve">五、公告期限</w:t>
      </w:r>
      <w:bookmarkEnd w:id="11"/>
      <w:r/>
      <w:bookmarkEnd w:id="12"/>
      <w:r/>
      <w:bookmarkEnd w:id="13"/>
      <w:r/>
      <w:bookmarkEnd w:id="14"/>
      <w:r/>
      <w:r/>
    </w:p>
    <w:p>
      <w:pPr>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自本公告发布之日起</w:t>
      </w: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rPr>
        <w:t xml:space="preserve">个工作日。</w:t>
      </w:r>
      <w:r/>
    </w:p>
    <w:p>
      <w:pPr>
        <w:ind w:firstLine="420"/>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六、其他补充事宜</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1.采购文件获取方式：</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（1）CA证书办理</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（2）参与采购活动</w:t>
      </w:r>
      <w:r/>
    </w:p>
    <w:p>
      <w:pPr>
        <w:ind w:left="0" w:right="0" w:firstLine="420"/>
        <w:spacing w:before="0" w:after="0" w:line="85" w:lineRule="atLeas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0"/>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（3）电子投标准备</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注册咨询：18261002950；</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CA技术咨询电话：400-608-6099；</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签章使用问题：025-83633811、025-83633812、15380932027、15371015030；</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系统使用指导与咨询：联系电话：13914088964、18261002950；智能客服：登录苏采云系统后，联系系统右下方智能客服图标进行咨询。</w:t>
      </w:r>
      <w:r/>
    </w:p>
    <w:p>
      <w:pPr>
        <w:ind w:left="0" w:right="0" w:firstLine="0"/>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420"/>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3.有关本项目电子投标具体操作方法详见苏采云系统中的客户端使用说明和供应商《操作手册》。</w:t>
      </w:r>
      <w:r/>
    </w:p>
    <w:p>
      <w:pPr>
        <w:ind w:left="0" w:right="0" w:firstLine="420"/>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采购代理机构：中汇通项目管理咨询（苏州）有限公司</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地址：苏州工业园区苏绣路89号恒宇广场B幢803室</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联系人：仲兰兰、杭锋、朱梅华、郭丽、时妹、徐梦娣    </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联系电话：0512-62626796-8023/8025</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.根据苏州市财政局《关于深入开展苏州市政府采购合同信用融资业务的通知》相关要求，本项目支持政府采购合同信用融资。</w:t>
      </w:r>
      <w:r/>
    </w:p>
    <w:p>
      <w:pPr>
        <w:ind w:firstLine="420"/>
        <w:spacing w:line="360" w:lineRule="auto"/>
        <w:rPr>
          <w:rFonts w:hint="eastAsia" w:ascii="宋体" w:hAnsi="宋体"/>
          <w:b w:val="0"/>
          <w:bCs/>
          <w:color w:val="000000"/>
          <w:sz w:val="21"/>
          <w:szCs w:val="21"/>
          <w:highlight w:val="none"/>
        </w:rPr>
      </w:pP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.本次采购的相关信息刊登在苏州市政府采购网、江苏政府采购网、中国政府采购网。</w:t>
      </w:r>
      <w:r/>
    </w:p>
    <w:p>
      <w:pPr>
        <w:ind w:firstLine="42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七、对本次招标提出询问，请按以下方式联系</w:t>
      </w:r>
      <w:bookmarkStart w:id="15" w:name="_Hlk533436111"/>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1.采购人信息 </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单位名称：</w:t>
      </w:r>
      <w:r>
        <w:rPr>
          <w:rFonts w:hint="eastAsia" w:ascii="宋体" w:hAnsi="宋体" w:cs="Times New Roman"/>
          <w:b w:val="0"/>
          <w:bCs/>
          <w:color w:val="000000"/>
          <w:sz w:val="21"/>
          <w:szCs w:val="21"/>
          <w:highlight w:val="none"/>
          <w:lang w:val="en-US" w:eastAsia="zh-CN"/>
        </w:rPr>
        <w:t xml:space="preserve">苏州市吴江区盛泽镇人民政府</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单位地址：</w:t>
      </w:r>
      <w:r>
        <w:rPr>
          <w:rFonts w:hint="eastAsia" w:ascii="宋体" w:hAnsi="宋体" w:cs="Times New Roman"/>
          <w:b w:val="0"/>
          <w:bCs/>
          <w:color w:val="000000"/>
          <w:sz w:val="21"/>
          <w:szCs w:val="21"/>
          <w:highlight w:val="none"/>
          <w:lang w:val="en-US" w:eastAsia="zh-CN"/>
        </w:rPr>
        <w:t xml:space="preserve">江苏省苏州市吴江区盛泽镇舜湖西路2099号</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联系人：</w:t>
      </w:r>
      <w:r>
        <w:rPr>
          <w:rFonts w:hint="eastAsia" w:ascii="宋体" w:hAnsi="宋体" w:cs="Times New Roman"/>
          <w:b w:val="0"/>
          <w:bCs/>
          <w:color w:val="000000"/>
          <w:sz w:val="21"/>
          <w:szCs w:val="21"/>
          <w:highlight w:val="none"/>
          <w:lang w:val="en-US" w:eastAsia="zh-CN"/>
        </w:rPr>
        <w:t xml:space="preserve">封岩</w:t>
      </w:r>
      <w:r>
        <w:rPr>
          <w:rFonts w:hint="eastAsia" w:ascii="宋体" w:hAnsi="宋体" w:eastAsia="宋体" w:cs="Times New Roman"/>
          <w:b w:val="0"/>
          <w:bCs/>
          <w:color w:val="000000"/>
          <w:sz w:val="21"/>
          <w:szCs w:val="21"/>
          <w:highlight w:val="none"/>
          <w:lang w:val="en-US" w:eastAsia="zh-CN"/>
        </w:rPr>
        <w:t xml:space="preserve"> </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联系方式：</w:t>
      </w:r>
      <w:bookmarkEnd w:id="15"/>
      <w:r>
        <w:rPr>
          <w:rFonts w:hint="eastAsia" w:ascii="宋体" w:hAnsi="宋体" w:cs="Times New Roman"/>
          <w:color w:val="000000"/>
          <w:sz w:val="21"/>
          <w:szCs w:val="21"/>
          <w:highlight w:val="none"/>
          <w:lang w:val="en-US" w:eastAsia="zh-CN"/>
        </w:rPr>
        <w:t xml:space="preserve">0512-63959416</w:t>
      </w:r>
      <w:r>
        <w:rPr>
          <w:rFonts w:hint="eastAsia" w:ascii="宋体" w:hAnsi="宋体" w:eastAsia="宋体" w:cs="Times New Roman"/>
          <w:b w:val="0"/>
          <w:bCs/>
          <w:color w:val="000000"/>
          <w:sz w:val="21"/>
          <w:szCs w:val="21"/>
          <w:highlight w:val="none"/>
          <w:lang w:val="en-US" w:eastAsia="zh-CN"/>
        </w:rPr>
        <w:t xml:space="preserve"> </w:t>
      </w:r>
      <w:bookmarkEnd w:id="1"/>
      <w:r/>
      <w:bookmarkEnd w:id="2"/>
      <w:r/>
      <w:bookmarkEnd w:id="4"/>
      <w:r/>
      <w:bookmarkEnd w:id="5"/>
      <w:r/>
      <w:r/>
    </w:p>
    <w:p>
      <w:pPr>
        <w:ind w:firstLine="420"/>
        <w:spacing w:line="360" w:lineRule="auto"/>
        <w:rPr>
          <w:rFonts w:hint="eastAsia" w:ascii="宋体" w:hAnsi="宋体" w:eastAsia="宋体" w:cs="Times New Roman"/>
          <w:b w:val="0"/>
          <w:bCs/>
          <w:color w:val="000000"/>
          <w:sz w:val="21"/>
          <w:szCs w:val="21"/>
          <w:highlight w:val="none"/>
          <w:lang w:val="zh-CN"/>
        </w:rPr>
      </w:pPr>
      <w:r/>
      <w:bookmarkStart w:id="16" w:name="_Toc30403"/>
      <w:r>
        <w:rPr>
          <w:rFonts w:hint="eastAsia" w:ascii="宋体" w:hAnsi="宋体" w:eastAsia="宋体" w:cs="Times New Roman"/>
          <w:b w:val="0"/>
          <w:bCs/>
          <w:color w:val="000000"/>
          <w:sz w:val="21"/>
          <w:szCs w:val="21"/>
          <w:highlight w:val="none"/>
          <w:lang w:val="zh-CN"/>
        </w:rPr>
        <w:t xml:space="preserve">2</w:t>
      </w:r>
      <w:r>
        <w:rPr>
          <w:rFonts w:hint="eastAsia" w:ascii="宋体" w:hAnsi="宋体" w:eastAsia="宋体" w:cs="Times New Roman"/>
          <w:b w:val="0"/>
          <w:bCs/>
          <w:color w:val="000000"/>
          <w:sz w:val="21"/>
          <w:szCs w:val="21"/>
          <w:highlight w:val="none"/>
          <w:lang w:val="en-US" w:eastAsia="zh-CN"/>
        </w:rPr>
        <w:t xml:space="preserve">.</w:t>
      </w:r>
      <w:r>
        <w:rPr>
          <w:rFonts w:hint="eastAsia" w:ascii="宋体" w:hAnsi="宋体" w:eastAsia="宋体" w:cs="Times New Roman"/>
          <w:b w:val="0"/>
          <w:bCs/>
          <w:color w:val="000000"/>
          <w:sz w:val="21"/>
          <w:szCs w:val="21"/>
          <w:highlight w:val="none"/>
          <w:lang w:val="zh-CN"/>
        </w:rPr>
        <w:t xml:space="preserve">采</w:t>
      </w:r>
      <w:bookmarkEnd w:id="16"/>
      <w:r>
        <w:rPr>
          <w:rFonts w:hint="eastAsia" w:ascii="宋体" w:hAnsi="宋体" w:eastAsia="宋体" w:cs="Times New Roman"/>
          <w:b w:val="0"/>
          <w:bCs/>
          <w:color w:val="000000"/>
          <w:sz w:val="21"/>
          <w:szCs w:val="21"/>
          <w:highlight w:val="none"/>
          <w:lang w:val="zh-CN"/>
        </w:rPr>
        <w:t xml:space="preserve">购代理机构信息（如有）</w:t>
      </w:r>
      <w:r/>
    </w:p>
    <w:p>
      <w:pPr>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名称：中汇通项目管理咨询（苏州）有限公司</w:t>
      </w:r>
      <w:r/>
    </w:p>
    <w:p>
      <w:pPr>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地址：苏州工业园区苏绣路89号恒宇广场B幢803室</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zh-CN" w:eastAsia="zh-CN"/>
        </w:rPr>
        <w:t xml:space="preserve">联系人</w:t>
      </w:r>
      <w:r>
        <w:rPr>
          <w:rFonts w:hint="eastAsia" w:ascii="宋体" w:hAnsi="宋体" w:eastAsia="宋体" w:cs="Times New Roman"/>
          <w:b w:val="0"/>
          <w:bCs/>
          <w:color w:val="000000"/>
          <w:sz w:val="21"/>
          <w:szCs w:val="21"/>
          <w:highlight w:val="none"/>
          <w:lang w:val="zh-CN"/>
        </w:rPr>
        <w:t xml:space="preserve">：仲兰兰、杭锋、朱梅华、郭丽、时妹、徐梦娣</w:t>
      </w:r>
      <w:r/>
    </w:p>
    <w:p>
      <w:pPr>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联系方式：0512-62626796-8023</w:t>
      </w:r>
      <w:r/>
    </w:p>
    <w:p>
      <w:p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3.项目联系方式</w:t>
      </w:r>
      <w:r/>
    </w:p>
    <w:p>
      <w:pPr>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项目联系人：</w:t>
      </w:r>
      <w:r>
        <w:rPr>
          <w:rFonts w:hint="eastAsia" w:ascii="宋体" w:hAnsi="宋体" w:eastAsia="宋体" w:cs="Times New Roman"/>
          <w:b w:val="0"/>
          <w:bCs/>
          <w:color w:val="000000"/>
          <w:sz w:val="21"/>
          <w:szCs w:val="21"/>
          <w:highlight w:val="none"/>
          <w:lang w:val="zh-CN" w:eastAsia="zh-CN"/>
        </w:rPr>
        <w:t xml:space="preserve">仲兰兰、杭锋、朱梅华、郭丽、时妹、徐梦娣</w:t>
      </w:r>
      <w:r/>
    </w:p>
    <w:p>
      <w:pPr>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val="en-US" w:eastAsia="zh-CN"/>
        </w:rPr>
        <w:t xml:space="preserve">电话</w:t>
      </w:r>
      <w:r>
        <w:rPr>
          <w:rFonts w:hint="eastAsia" w:ascii="宋体" w:hAnsi="宋体" w:eastAsia="宋体" w:cs="Times New Roman"/>
          <w:b w:val="0"/>
          <w:bCs/>
          <w:color w:val="000000"/>
          <w:sz w:val="21"/>
          <w:szCs w:val="21"/>
          <w:highlight w:val="none"/>
          <w:lang w:val="zh-CN"/>
        </w:rPr>
        <w:t xml:space="preserve">：0512-62626796-8023</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bookmarkEnd w:id="3"/>
      <w:r/>
      <w:r/>
    </w:p>
    <w:p>
      <w:pPr>
        <w:ind w:firstLine="420"/>
        <w:jc w:val="center"/>
        <w:spacing w:line="360" w:lineRule="auto"/>
        <w:rPr>
          <w:rFonts w:hint="eastAsia"/>
          <w:color w:val="000000"/>
          <w:highlight w:val="none"/>
          <w:lang w:val="zh-CN"/>
        </w:rPr>
        <w:outlineLvl w:val="0"/>
      </w:pPr>
      <w:r>
        <w:rPr>
          <w:rFonts w:hint="eastAsia" w:ascii="宋体" w:hAnsi="宋体" w:cs="宋体"/>
          <w:color w:val="000000"/>
          <w:sz w:val="21"/>
          <w:szCs w:val="21"/>
          <w:highlight w:val="none"/>
        </w:rPr>
        <w:br w:type="page" w:clear="all"/>
      </w:r>
      <w:bookmarkStart w:id="17" w:name="_Toc48639302"/>
      <w:r>
        <w:rPr>
          <w:rFonts w:hint="eastAsia"/>
          <w:b/>
          <w:bCs/>
          <w:color w:val="000000"/>
          <w:highlight w:val="none"/>
        </w:rPr>
        <w:t xml:space="preserve">第二章  投标人须知</w:t>
      </w:r>
      <w:bookmarkEnd w:id="17"/>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一、说明和释义</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 说明</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组织的招标活动。</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1.4本招标文件中“★★”标示内容为实质性要求。</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 词语释义</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2.1招标代理机构：具体组织实施招标活动的法人。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2.2投标单位（人）：经认定有资格响应招标，参加投标竞争的法人或其他组织和自然人。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2.3响应：投标单位根据招标代理机构或招标代理机构发布的招标文件，编制投标文件并按规定投标的行为。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2.5甲方（采购单位）：合同中明确规定的实际购买货物和服务的法人或其他组织和自然人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2.6乙方（供应商）：合同中规定的向采购方提供货物和服务的法人或其他组织和自然人。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2.7服务：系指本次招标采购文件规定乙方应承担的服务。</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2.8天：日历日。</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2.9合同价款：根据合同规定，乙方在正确地履行合同义务后甲方应支付乙方的价款。</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2.10不可抗力：不能预见、不能避免并且不能克服的客观情况。</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2.11书面形式：指书面文字、合同书、信件和数据电文（包括传真、电子数据交换和电子邮件）等可以有形地表现所载内容的形式。</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2.12进口产品：指通过中国海关报关验收进入中国境内且产自境外的产品，具体按照苏财购〔2008〕14号江苏省财政厅转发财政部办公厅关于政府采购进口产品管理有关问题的通知的规定。</w:t>
      </w:r>
      <w:r/>
    </w:p>
    <w:p>
      <w:pP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★二、投标单位</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 合格投标单位的一般条件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3.1具有独立承担民事责任的能力；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3.2具有良好的商业信誉和健全的财务会计制度；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3.3具有履行合同所必需的设备和专业技术能力；</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3.4有依法缴纳税收和社会保障资金的良好记录；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3.5参加政府采购活动前三年内，在经营活动中没有重大违法记录；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3.6法律、行政法规规定的其他条件。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3.7投标邀请函中规定的其他条件。</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4. 投标单位代表</w:t>
      </w:r>
      <w:r/>
    </w:p>
    <w:p>
      <w:pPr>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4.1指全权代表投标单位参加投标活动并签署投标文件的人，如果投标单位代表不是法定代表人，须持有《法定代表人授权委托书》（详见统一格式）。 </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5. 投标费用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5.1无论投标过程中的做法和结果如何，投标单位自行承担所有与参加投标有关的全部费用。</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6. 联合投标及分包转包</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6.1本次招标不接受联合投标的方式；</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6.2本次招标不接受整车进口产品投标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不接受转包</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分包。</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 招标文件的说明</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7. 招标文件</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招标文件由招标文件总目录所列内容组成。投标单位应详细阅读招标文件的全部内容。不按招标文件的要求提供的投标文件和资料，可能导致投标被拒绝。</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8. 招标文件的澄清</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w:t>
      </w:r>
      <w:r>
        <w:rPr>
          <w:rFonts w:hint="eastAsia" w:ascii="宋体" w:hAnsi="宋体" w:cs="宋体"/>
          <w:color w:val="000000"/>
          <w:sz w:val="21"/>
          <w:szCs w:val="21"/>
          <w:highlight w:val="none"/>
          <w:lang w:val="zh-CN"/>
        </w:rPr>
        <w:t xml:space="preserve">投标人在收到招标文件后，若有问题需要澄清，</w:t>
      </w:r>
      <w:r>
        <w:rPr>
          <w:rFonts w:hint="eastAsia" w:ascii="宋体" w:hAnsi="宋体" w:cs="宋体"/>
          <w:color w:val="000000"/>
          <w:sz w:val="21"/>
          <w:szCs w:val="21"/>
          <w:highlight w:val="none"/>
        </w:rPr>
        <w:t xml:space="preserve">应在项目采购交易系统中提出，招标代理机构将以网上答复的方式予以解答（包括对询问的解释，但不说明来源），答复将通知相关的投标人。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2投标人的询问通知不得迟于招标文件规定时间。</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9. 招标文件的修改</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9.1在投标截止15日前，招标代理机构无论出于自己的考虑，还是出于对投标单位提问的澄清，均可对招标文件用补充文件的方式进行修改。</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9.2招标代理机构对招标文件的修改，将以苏州市政府采购网公示的补充通知的方式发出。补充文件将作为招标文件的组成部分，对所有投标单位有约束力。</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9.3为使投标单位有足够的时间按招标文件的修改要求考虑修正投标文件，或出于其他原因，招标代理机构有权推迟投标截止日期和开标日期，并将此变更通知上述每一投标单位。</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10. 勘察现场和网上询问</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.1勘察现场（勘察现场产生的费用由各投标单位自行承担）：</w:t>
      </w:r>
      <w:r>
        <w:rPr>
          <w:rFonts w:hint="eastAsia" w:ascii="宋体" w:hAnsi="宋体" w:cs="宋体"/>
          <w:color w:val="000000"/>
          <w:sz w:val="21"/>
          <w:szCs w:val="21"/>
          <w:highlight w:val="none"/>
        </w:rPr>
        <w:t xml:space="preserve">为更好地了解现场情况，各投标供应商可自行现场踏勘，未踏勘现场的供应商中标后，不得以不完全了解现场情况为理由而向采购单位提出任何索赔或其他要求，对此采购单位不承担任何责任并将不作任何答复。</w:t>
      </w:r>
      <w:r/>
    </w:p>
    <w:p>
      <w:pPr>
        <w:ind w:firstLine="420"/>
        <w:spacing w:line="360" w:lineRule="auto"/>
        <w:rPr>
          <w:rFonts w:hint="eastAsia" w:ascii="宋体" w:hAnsi="宋体"/>
          <w:color w:val="000000"/>
          <w:sz w:val="21"/>
          <w:szCs w:val="21"/>
          <w:highlight w:val="none"/>
        </w:rPr>
      </w:pPr>
      <w:r>
        <w:rPr>
          <w:rFonts w:hint="eastAsia" w:ascii="宋体" w:hAnsi="宋体" w:cs="宋体"/>
          <w:color w:val="000000"/>
          <w:sz w:val="21"/>
          <w:szCs w:val="21"/>
          <w:highlight w:val="none"/>
        </w:rPr>
        <w:t xml:space="preserve">10.2询问：可以邮件或书面形式提出疑问，代理机构邮箱：</w:t>
      </w:r>
      <w:r>
        <w:rPr>
          <w:rFonts w:hint="eastAsia" w:ascii="宋体" w:hAnsi="宋体" w:cs="宋体"/>
          <w:color w:val="000000"/>
          <w:sz w:val="21"/>
          <w:szCs w:val="21"/>
          <w:highlight w:val="none"/>
          <w:lang w:val="en-US" w:eastAsia="zh-CN"/>
        </w:rPr>
        <w:t xml:space="preserve">314968136</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qq</w:t>
      </w:r>
      <w:r>
        <w:rPr>
          <w:rFonts w:ascii="宋体" w:hAnsi="宋体" w:cs="宋体"/>
          <w:color w:val="000000"/>
          <w:sz w:val="21"/>
          <w:szCs w:val="21"/>
          <w:highlight w:val="none"/>
        </w:rPr>
        <w:t xml:space="preserve">.com</w:t>
      </w:r>
      <w:r>
        <w:rPr>
          <w:rFonts w:hint="eastAsia" w:ascii="宋体" w:hAnsi="宋体" w:cs="宋体"/>
          <w:color w:val="000000"/>
          <w:sz w:val="21"/>
          <w:szCs w:val="21"/>
          <w:highlight w:val="none"/>
        </w:rPr>
        <w:t xml:space="preserve">。代理机构收到询问后将在三个工作日内以提疑的同等方式予以解答（包括对询问的解释，但不说明来源），如有必要的，代理公司将发布补充通知予以澄清或更正。</w:t>
      </w:r>
      <w:r>
        <w:rPr>
          <w:rFonts w:hint="eastAsia" w:ascii="宋体" w:hAnsi="宋体" w:cs="宋体"/>
          <w:bCs/>
          <w:color w:val="000000"/>
          <w:sz w:val="21"/>
          <w:szCs w:val="21"/>
          <w:highlight w:val="none"/>
        </w:rPr>
        <w:t xml:space="preserve">投标人的询问通知不得迟于招标文件规定时间，在截止时间后不再接受任何答疑内容，如未提交，视为无疑问。</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四、投标文件说明</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11. 提示与要求</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11.1投标单位应仔细阅读招标文件的所有内容，按招标文件的要求提供投标文件，并保证所提供的全部资料的真实性，以使其投标对招标文件做出实质性响应，否则，其投标可能被拒绝。</w:t>
      </w:r>
      <w:r/>
    </w:p>
    <w:p>
      <w:pPr>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11.2无论是否递交投标文件，投标单位都应将招标文件及以后的所有通知、文件等视为保密文件。</w:t>
      </w:r>
      <w:r/>
    </w:p>
    <w:p>
      <w:pP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 投标文件计量单位和使用文字</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12.2投标文件应使用中文编制，投标文件中必须使用其他文字的，必须附有中文译本。对于未附有中文译本和中文译本不准确的投标文件可能引起的对投标单位不利的后果，招标代理机构概不负责。</w:t>
      </w:r>
      <w:r/>
    </w:p>
    <w:p>
      <w:pPr>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13. 投标文件的组成</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文件组成（部分格式见附件）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13.1</w:t>
      </w:r>
      <w:r>
        <w:rPr>
          <w:rFonts w:hint="eastAsia" w:ascii="宋体" w:hAnsi="宋体" w:cs="宋体"/>
          <w:b/>
          <w:bCs/>
          <w:color w:val="auto"/>
          <w:sz w:val="21"/>
          <w:szCs w:val="21"/>
          <w:highlight w:val="none"/>
        </w:rPr>
        <w:t xml:space="preserve">封面</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13.2</w:t>
      </w:r>
      <w:r>
        <w:rPr>
          <w:rFonts w:hint="eastAsia" w:ascii="宋体" w:hAnsi="宋体" w:cs="宋体"/>
          <w:b/>
          <w:bCs/>
          <w:color w:val="auto"/>
          <w:sz w:val="21"/>
          <w:szCs w:val="21"/>
          <w:highlight w:val="none"/>
        </w:rPr>
        <w:t xml:space="preserve">开标一览表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按系统内</w:t>
      </w:r>
      <w:r>
        <w:rPr>
          <w:rFonts w:hint="eastAsia" w:ascii="宋体" w:hAnsi="宋体" w:cs="宋体"/>
          <w:color w:val="000000"/>
          <w:sz w:val="21"/>
          <w:szCs w:val="21"/>
          <w:highlight w:val="none"/>
        </w:rPr>
        <w:t xml:space="preserve">统一格式）</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投标分项报价表</w:t>
      </w:r>
      <w:r>
        <w:rPr>
          <w:rFonts w:hint="eastAsia" w:ascii="宋体" w:hAnsi="宋体" w:cs="宋体"/>
          <w:b w:val="0"/>
          <w:bCs w:val="0"/>
          <w:color w:val="auto"/>
          <w:sz w:val="21"/>
          <w:szCs w:val="21"/>
          <w:highlight w:val="none"/>
        </w:rPr>
        <w:t xml:space="preserve">（格式见附件）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13.4资格审查文件</w:t>
      </w:r>
      <w:r/>
    </w:p>
    <w:p>
      <w:pPr>
        <w:ind w:firstLine="420"/>
        <w:keepLines w:val="0"/>
        <w:keepNext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13.4.1</w:t>
      </w:r>
      <w:r>
        <w:rPr>
          <w:rFonts w:hint="eastAsia" w:ascii="宋体" w:hAnsi="宋体" w:cs="宋体"/>
          <w:color w:val="auto"/>
          <w:sz w:val="21"/>
          <w:szCs w:val="21"/>
          <w:highlight w:val="none"/>
          <w:lang w:val="zh-CN"/>
        </w:rPr>
        <w:t xml:space="preserve">具有独立承担民事责任的能力证明：包括法人或者其他组织的营业执照等证明文件，自然人的身份证明；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13.4.2</w:t>
      </w:r>
      <w:r>
        <w:rPr>
          <w:rFonts w:hint="eastAsia" w:ascii="宋体" w:hAnsi="宋体" w:cs="宋体"/>
          <w:color w:val="auto"/>
          <w:sz w:val="21"/>
          <w:szCs w:val="21"/>
          <w:highlight w:val="none"/>
          <w:lang w:val="zh-CN"/>
        </w:rPr>
        <w:t xml:space="preserve">具有良好的商业信誉和健全的财务会计制度证明：提供最近一期（</w:t>
      </w:r>
      <w:r>
        <w:rPr>
          <w:rFonts w:hint="eastAsia" w:ascii="宋体" w:hAnsi="宋体" w:cs="宋体"/>
          <w:color w:val="auto"/>
          <w:sz w:val="21"/>
          <w:szCs w:val="21"/>
          <w:highlight w:val="none"/>
          <w:lang w:val="en-US" w:eastAsia="zh-CN"/>
        </w:rPr>
        <w:t xml:space="preserve">2024年或2025年</w:t>
      </w:r>
      <w:r>
        <w:rPr>
          <w:rFonts w:hint="eastAsia" w:ascii="宋体" w:hAnsi="宋体" w:cs="宋体"/>
          <w:color w:val="auto"/>
          <w:sz w:val="21"/>
          <w:szCs w:val="21"/>
          <w:highlight w:val="none"/>
          <w:lang w:val="zh-CN"/>
        </w:rPr>
        <w:t xml:space="preserve">）经审计的财务报告或企业最近一期的财务报表或其他组织、自然人及成立未满一年的法人提供基本开户银行出具的资信证明；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13.4.3</w:t>
      </w:r>
      <w:r>
        <w:rPr>
          <w:rFonts w:hint="eastAsia" w:ascii="宋体" w:hAnsi="宋体" w:eastAsia="宋体" w:cs="宋体"/>
          <w:color w:val="auto"/>
          <w:sz w:val="21"/>
          <w:highlight w:val="none"/>
        </w:rPr>
        <w:t xml:space="preserve">具有履行合同所必需的设备和专业技术能力</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提供</w:t>
      </w:r>
      <w:r>
        <w:rPr>
          <w:rFonts w:hint="eastAsia" w:ascii="宋体" w:hAnsi="宋体" w:cs="宋体"/>
          <w:color w:val="auto"/>
          <w:sz w:val="21"/>
          <w:szCs w:val="21"/>
          <w:highlight w:val="none"/>
          <w:lang w:val="zh-CN"/>
        </w:rPr>
        <w:t xml:space="preserve">证明材料或承诺；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13.4.4</w:t>
      </w:r>
      <w:r>
        <w:rPr>
          <w:rFonts w:hint="eastAsia" w:ascii="宋体" w:hAnsi="宋体" w:cs="宋体"/>
          <w:color w:val="auto"/>
          <w:sz w:val="21"/>
          <w:szCs w:val="21"/>
          <w:highlight w:val="none"/>
          <w:lang w:val="zh-CN"/>
        </w:rPr>
        <w:t xml:space="preserve">有依法缴纳税收和社会保障资金的良好记录：提供参加本次采购活动前的最新一期的依法缴纳税收的凭据和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color w:val="auto"/>
          <w:sz w:val="21"/>
          <w:szCs w:val="21"/>
          <w:highlight w:val="none"/>
          <w14:ligatures w14:val="none"/>
        </w:rPr>
      </w:pPr>
      <w:r>
        <w:rPr>
          <w:rFonts w:hint="eastAsia" w:ascii="宋体" w:hAnsi="宋体" w:cs="宋体"/>
          <w:color w:val="auto"/>
          <w:sz w:val="21"/>
          <w:szCs w:val="21"/>
          <w:highlight w:val="none"/>
          <w:lang w:val="en-US" w:eastAsia="zh-CN"/>
        </w:rPr>
        <w:t xml:space="preserve">13.4.5</w:t>
      </w:r>
      <w:r>
        <w:rPr>
          <w:rFonts w:hint="eastAsia" w:ascii="宋体" w:hAnsi="宋体" w:cs="宋体"/>
          <w:color w:val="auto"/>
          <w:sz w:val="21"/>
          <w:szCs w:val="21"/>
          <w:highlight w:val="none"/>
          <w:lang w:val="zh-CN"/>
        </w:rPr>
        <w:t xml:space="preserve">参加政府采购活动前三年内在经营活动中没有重大违法记录的书面声明</w:t>
      </w:r>
      <w:r>
        <w:rPr>
          <w:rFonts w:hint="eastAsia" w:ascii="宋体" w:hAnsi="宋体" w:cs="宋体"/>
          <w:color w:val="auto"/>
          <w:sz w:val="21"/>
          <w:szCs w:val="21"/>
          <w:highlight w:val="none"/>
          <w:lang w:val="zh-CN"/>
        </w:rPr>
        <w:t xml:space="preserve">函（格式自拟）；</w:t>
      </w:r>
      <w:r>
        <w:rPr>
          <w:rFonts w:hint="eastAsia" w:ascii="宋体" w:hAnsi="宋体" w:cs="宋体"/>
          <w:color w:val="auto"/>
          <w:sz w:val="21"/>
          <w:szCs w:val="21"/>
          <w:highlight w:val="none"/>
        </w:rPr>
      </w:r>
      <w:r/>
    </w:p>
    <w:p>
      <w:pPr>
        <w:ind w:firstLine="420"/>
        <w:spacing w:line="360" w:lineRule="auto"/>
        <w:rPr>
          <w:rFonts w:hint="eastAsia" w:ascii="宋体" w:hAnsi="宋体" w:cs="宋体"/>
          <w:iCs w:val="0"/>
          <w:color w:val="auto"/>
          <w:sz w:val="21"/>
          <w:szCs w:val="21"/>
          <w:highlight w:val="none"/>
          <w:shd w:val="clear" w:color="auto" w:fill="fafafa"/>
          <w14:ligatures w14:val="none"/>
        </w:rPr>
      </w:pPr>
      <w:r>
        <w:rPr>
          <w:rFonts w:hint="eastAsia" w:ascii="宋体" w:hAnsi="宋体" w:cs="宋体"/>
          <w:color w:val="auto"/>
          <w:sz w:val="21"/>
          <w:szCs w:val="21"/>
          <w:highlight w:val="none"/>
          <w:lang w:val="en-US" w:eastAsia="zh-CN"/>
        </w:rPr>
        <w:t xml:space="preserve">13.4.6</w:t>
      </w:r>
      <w:r>
        <w:rPr>
          <w:rFonts w:hint="eastAsia" w:ascii="宋体" w:hAnsi="宋体" w:cs="宋体"/>
          <w:color w:val="auto"/>
          <w:sz w:val="21"/>
          <w:szCs w:val="21"/>
          <w:highlight w:val="none"/>
        </w:rPr>
        <w:t xml:space="preserve">法律、行政法规规定的其他条件：提供书面声明函（格式自拟）</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13.4.7</w:t>
      </w:r>
      <w:r>
        <w:rPr>
          <w:rFonts w:hint="eastAsia" w:ascii="宋体" w:hAnsi="宋体" w:cs="宋体"/>
          <w:color w:val="auto"/>
          <w:sz w:val="21"/>
          <w:szCs w:val="21"/>
          <w:highlight w:val="none"/>
        </w:rPr>
        <w:t xml:space="preserve">《中小企业声明函》、《残疾人福利性单位声明函》</w:t>
      </w:r>
      <w:r>
        <w:rPr>
          <w:rFonts w:hint="eastAsia" w:ascii="宋体" w:hAnsi="宋体" w:cs="宋体"/>
          <w:color w:val="auto"/>
          <w:sz w:val="21"/>
          <w:szCs w:val="21"/>
          <w:highlight w:val="none"/>
        </w:rPr>
        <w:t xml:space="preserve">、《监狱企业证明文件》；（如涉及残疾人福利性单位、监狱企业视同小微企业）</w:t>
      </w:r>
      <w:r>
        <w:rPr>
          <w:rFonts w:hint="eastAsia" w:ascii="宋体" w:hAnsi="宋体" w:cs="宋体"/>
          <w:color w:val="auto"/>
          <w:sz w:val="21"/>
          <w:szCs w:val="21"/>
          <w:highlight w:val="none"/>
          <w:lang w:val="zh-CN"/>
        </w:rPr>
        <w:t xml:space="preserve">；（本项目专门面向中小企业采购。所属行业为</w:t>
      </w:r>
      <w:r>
        <w:rPr>
          <w:rFonts w:hint="eastAsia" w:ascii="宋体" w:hAnsi="宋体" w:cs="宋体"/>
          <w:color w:val="auto"/>
          <w:sz w:val="21"/>
          <w:szCs w:val="21"/>
          <w:highlight w:val="none"/>
          <w:lang w:val="en-US" w:eastAsia="zh-CN"/>
        </w:rPr>
        <w:t xml:space="preserve">工业</w:t>
      </w:r>
      <w:r>
        <w:rPr>
          <w:rFonts w:hint="eastAsia" w:ascii="宋体" w:hAnsi="宋体" w:cs="宋体"/>
          <w:color w:val="auto"/>
          <w:sz w:val="21"/>
          <w:szCs w:val="21"/>
          <w:highlight w:val="none"/>
          <w:lang w:val="zh-CN"/>
        </w:rPr>
        <w:t xml:space="preserve">。响应单位必须为中小微企业或残疾人福利性单位或监狱企业，并在响应文件中提供相关声明函或监狱企业证明文件，否则为无效投标）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13.4.8</w:t>
      </w:r>
      <w:r>
        <w:rPr>
          <w:rFonts w:hint="eastAsia" w:ascii="宋体" w:hAnsi="宋体" w:cs="宋体"/>
          <w:color w:val="auto"/>
          <w:sz w:val="21"/>
          <w:szCs w:val="21"/>
          <w:highlight w:val="none"/>
          <w:lang w:val="zh-CN"/>
        </w:rPr>
        <w:t xml:space="preserve">未被“信用中国”网站（www.creditchina.gov.cn）列入失信被执行人、重大税收违法案件当事人名单、政府采购严重失信行为记录名单</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zh-CN"/>
        </w:rPr>
        <w:t xml:space="preserve">根据供应商的实际情况提供或承诺</w:t>
      </w:r>
      <w:r>
        <w:rPr>
          <w:rFonts w:hint="eastAsia" w:ascii="宋体" w:hAnsi="宋体" w:cs="宋体"/>
          <w:color w:val="auto"/>
          <w:sz w:val="21"/>
          <w:szCs w:val="21"/>
          <w:highlight w:val="none"/>
          <w:lang w:val="zh-CN" w:eastAsia="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13.4.9</w:t>
      </w:r>
      <w:r>
        <w:rPr>
          <w:rFonts w:hint="eastAsia" w:ascii="宋体" w:hAnsi="宋体" w:cs="宋体"/>
          <w:color w:val="auto"/>
          <w:sz w:val="21"/>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zh-CN"/>
        </w:rPr>
        <w:t xml:space="preserve">根据供应商的实际情况提供或承诺</w:t>
      </w:r>
      <w:r>
        <w:rPr>
          <w:rFonts w:hint="eastAsia" w:ascii="宋体" w:hAnsi="宋体" w:cs="宋体"/>
          <w:color w:val="auto"/>
          <w:sz w:val="21"/>
          <w:szCs w:val="21"/>
          <w:highlight w:val="none"/>
          <w:lang w:val="zh-CN" w:eastAsia="zh-CN"/>
        </w:rPr>
        <w:t xml:space="preserve">；</w:t>
      </w:r>
      <w:r/>
    </w:p>
    <w:p>
      <w:pPr>
        <w:ind w:firstLine="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13.4.10</w:t>
      </w:r>
      <w:r>
        <w:rPr>
          <w:rFonts w:hint="eastAsia" w:ascii="宋体" w:hAnsi="宋体" w:cs="宋体"/>
          <w:color w:val="auto"/>
          <w:sz w:val="21"/>
          <w:szCs w:val="21"/>
          <w:highlight w:val="none"/>
          <w:lang w:val="zh-CN" w:eastAsia="zh-CN"/>
        </w:rPr>
        <w:t xml:space="preserve">法人的分支机构不得参加本项目的采购活动(除银行、保险、石油石化、电力、电信等行业特殊情况外)：根据供应商的实际情况提供或承诺。</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符合性审查文件</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.1投标函（格式见附件）；</w:t>
      </w:r>
      <w:r/>
    </w:p>
    <w:p>
      <w:pPr>
        <w:pStyle w:val="91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.2投标人基本情况表（格式见附件）</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关于资格文件的声明函；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13.5.4</w:t>
      </w:r>
      <w:r>
        <w:rPr>
          <w:rFonts w:hint="eastAsia" w:ascii="宋体" w:hAnsi="宋体" w:eastAsia="宋体" w:cs="宋体"/>
          <w:color w:val="auto"/>
          <w:sz w:val="21"/>
          <w:szCs w:val="21"/>
          <w:highlight w:val="none"/>
        </w:rPr>
        <w:t xml:space="preserve">投标人法定代表人身份证</w:t>
      </w:r>
      <w:r>
        <w:rPr>
          <w:rStyle w:val="1243"/>
          <w:rFonts w:hint="eastAsia" w:ascii="宋体" w:hAnsi="宋体" w:eastAsia="宋体" w:cs="Times New Roman"/>
          <w:bCs/>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法定代表人授权委托书（如有授权，格式见附件）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投标人授权代理人身份证</w:t>
      </w:r>
      <w:r>
        <w:rPr>
          <w:rStyle w:val="1243"/>
          <w:rFonts w:hint="eastAsia" w:ascii="宋体" w:hAnsi="宋体" w:eastAsia="宋体" w:cs="Times New Roman"/>
          <w:bCs/>
          <w:sz w:val="21"/>
          <w:szCs w:val="21"/>
          <w:highlight w:val="none"/>
        </w:rPr>
        <w:t xml:space="preserve">扫描件</w:t>
      </w:r>
      <w:r>
        <w:rPr>
          <w:rFonts w:hint="eastAsia" w:ascii="宋体" w:hAnsi="宋体" w:eastAsia="宋体" w:cs="宋体"/>
          <w:color w:val="auto"/>
          <w:sz w:val="21"/>
          <w:szCs w:val="21"/>
          <w:highlight w:val="none"/>
        </w:rPr>
        <w:t xml:space="preserve">（如有授权）；</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13.5.5</w:t>
      </w:r>
      <w:r>
        <w:rPr>
          <w:rFonts w:hint="eastAsia" w:ascii="宋体" w:hAnsi="宋体" w:eastAsia="宋体" w:cs="宋体"/>
          <w:color w:val="auto"/>
          <w:sz w:val="21"/>
          <w:szCs w:val="21"/>
          <w:highlight w:val="none"/>
        </w:rPr>
        <w:t xml:space="preserve">投标货物和服务数量、品牌、规格、质保期限说明表（本表格中不得出现价格）（格式见附件）；</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6技术响应对照</w:t>
      </w:r>
      <w:r>
        <w:rPr>
          <w:rFonts w:hint="eastAsia" w:ascii="宋体" w:hAnsi="宋体" w:eastAsia="宋体" w:cs="宋体"/>
          <w:color w:val="auto"/>
          <w:sz w:val="21"/>
          <w:szCs w:val="21"/>
          <w:highlight w:val="none"/>
        </w:rPr>
        <w:t xml:space="preserve">表（格式见附件）；</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商务条款偏离表（格式见附件）；</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对属于《节能产品政府采购品目清单》政府强制采购产品的，需提供该产品有效期内的认证等相关证明材料（如有）；</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★投标（响应）保证承诺书（必须提供，不提供视为无效标）；</w:t>
      </w:r>
      <w:r/>
    </w:p>
    <w:p>
      <w:pPr>
        <w:pStyle w:val="9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其他有关符合性证明的文件（实质性条款响应证明等）；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综合评审文件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.1</w:t>
      </w:r>
      <w:r>
        <w:rPr>
          <w:rStyle w:val="1250"/>
          <w:rFonts w:ascii="宋体" w:hAnsi="宋体"/>
          <w:color w:val="auto"/>
          <w:szCs w:val="21"/>
          <w:highlight w:val="none"/>
        </w:rPr>
        <w:t xml:space="preserve">质保期内备品备件、易损件一览表</w:t>
      </w:r>
      <w:r>
        <w:rPr>
          <w:rStyle w:val="1250"/>
          <w:rFonts w:ascii="宋体"/>
          <w:color w:val="auto"/>
          <w:szCs w:val="21"/>
          <w:highlight w:val="none"/>
        </w:rPr>
        <w:t xml:space="preserve">；</w:t>
      </w:r>
      <w:r>
        <w:rPr>
          <w:rStyle w:val="1250"/>
          <w:rFonts w:ascii="宋体" w:hAnsi="宋体"/>
          <w:color w:val="auto"/>
          <w:szCs w:val="21"/>
          <w:highlight w:val="none"/>
        </w:rPr>
        <w:t xml:space="preserve">质保期满后备品备件、易损件报价表</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.2</w:t>
      </w:r>
      <w:r>
        <w:rPr>
          <w:rStyle w:val="1250"/>
          <w:rFonts w:ascii="宋体" w:hAnsi="宋体"/>
          <w:color w:val="auto"/>
          <w:szCs w:val="21"/>
          <w:highlight w:val="none"/>
        </w:rPr>
        <w:t xml:space="preserve">交货计划及安装、调试、验收方案，产品质量承诺</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Style w:val="1250"/>
          <w:rFonts w:ascii="宋体" w:hAnsi="宋体"/>
          <w:color w:val="auto"/>
          <w:szCs w:val="21"/>
          <w:highlight w:val="none"/>
        </w:rPr>
        <w:t xml:space="preserve">产品的技术服务，售后服务体系与维保方案（包括投标单位提供保养、维修操作规程、设备保修期限等，质保期自安装调试验收合格起计算）</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投标单位</w:t>
      </w:r>
      <w:r>
        <w:rPr>
          <w:rFonts w:hint="eastAsia" w:ascii="宋体" w:hAnsi="宋体" w:cs="宋体"/>
          <w:color w:val="auto"/>
          <w:sz w:val="21"/>
          <w:szCs w:val="21"/>
          <w:highlight w:val="none"/>
          <w:lang w:val="en-US" w:eastAsia="zh-CN"/>
        </w:rPr>
        <w:t xml:space="preserve">类似项目</w:t>
      </w:r>
      <w:r>
        <w:rPr>
          <w:rFonts w:hint="eastAsia" w:ascii="宋体" w:hAnsi="宋体" w:cs="宋体"/>
          <w:color w:val="auto"/>
          <w:sz w:val="21"/>
          <w:szCs w:val="21"/>
          <w:highlight w:val="none"/>
        </w:rPr>
        <w:t xml:space="preserve">业绩</w:t>
      </w:r>
      <w:r>
        <w:rPr>
          <w:rFonts w:hint="eastAsia" w:ascii="宋体" w:hAnsi="宋体" w:cs="宋体"/>
          <w:color w:val="auto"/>
          <w:sz w:val="21"/>
          <w:szCs w:val="21"/>
          <w:highlight w:val="none"/>
          <w:lang w:val="en-US" w:eastAsia="zh-CN"/>
        </w:rPr>
        <w:t xml:space="preserve">情况</w:t>
      </w:r>
      <w:r>
        <w:rPr>
          <w:rFonts w:hint="eastAsia" w:ascii="宋体" w:hAnsi="宋体" w:cs="宋体"/>
          <w:color w:val="auto"/>
          <w:sz w:val="21"/>
          <w:szCs w:val="21"/>
          <w:highlight w:val="none"/>
          <w:lang w:val="zh-CN"/>
        </w:rPr>
        <w:t xml:space="preserve">表</w:t>
      </w:r>
      <w:r>
        <w:rPr>
          <w:rFonts w:hint="eastAsia" w:ascii="宋体" w:hAnsi="宋体" w:cs="宋体"/>
          <w:color w:val="auto"/>
          <w:sz w:val="21"/>
          <w:szCs w:val="21"/>
          <w:highlight w:val="none"/>
        </w:rPr>
        <w:t xml:space="preserve">（格式见附件）；</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13.6.5项目组人员表</w:t>
      </w:r>
      <w:r>
        <w:rPr>
          <w:rFonts w:hint="eastAsia" w:ascii="宋体" w:hAnsi="宋体" w:cs="宋体"/>
          <w:color w:val="auto"/>
          <w:sz w:val="21"/>
          <w:szCs w:val="21"/>
          <w:highlight w:val="none"/>
        </w:rPr>
        <w:t xml:space="preserve">（格式见附件）；</w:t>
      </w:r>
      <w:r/>
    </w:p>
    <w:p>
      <w:pPr>
        <w:ind w:firstLine="42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13.</w:t>
      </w:r>
      <w:r>
        <w:rPr>
          <w:rFonts w:hint="eastAsia" w:ascii="宋体" w:hAnsi="宋体" w:cs="宋体"/>
          <w:b w:val="0"/>
          <w:bCs w:val="0"/>
          <w:color w:val="auto"/>
          <w:sz w:val="21"/>
          <w:szCs w:val="21"/>
          <w:highlight w:val="none"/>
          <w:lang w:val="en-US" w:eastAsia="zh-CN"/>
        </w:rPr>
        <w:t xml:space="preserve">6.6</w:t>
      </w:r>
      <w:r>
        <w:rPr>
          <w:rFonts w:hint="eastAsia" w:ascii="宋体" w:hAnsi="宋体" w:cs="宋体"/>
          <w:b w:val="0"/>
          <w:bCs w:val="0"/>
          <w:color w:val="auto"/>
          <w:sz w:val="21"/>
          <w:szCs w:val="21"/>
          <w:highlight w:val="none"/>
        </w:rPr>
        <w:t xml:space="preserve">与此次招标有关的其他证明材料。</w:t>
      </w:r>
      <w:r/>
    </w:p>
    <w:p>
      <w:pPr>
        <w:ind w:firstLine="422"/>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13.7价格折扣响应文件</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13.7.1</w:t>
      </w:r>
      <w:r>
        <w:rPr>
          <w:rFonts w:hint="eastAsia" w:ascii="宋体" w:hAnsi="宋体" w:cs="宋体"/>
          <w:color w:val="auto"/>
          <w:sz w:val="21"/>
          <w:szCs w:val="21"/>
          <w:highlight w:val="none"/>
        </w:rPr>
        <w:t xml:space="preserve">《中小企业声明函》、《残疾人福利性单位声明函》、《监狱企业证明文件》；（如涉及残疾人福利性单位、监狱企业视同小微企业）</w:t>
      </w:r>
      <w:r>
        <w:rPr>
          <w:rFonts w:hint="eastAsia" w:ascii="宋体" w:hAnsi="宋体" w:cs="宋体"/>
          <w:color w:val="auto"/>
          <w:sz w:val="21"/>
          <w:szCs w:val="21"/>
          <w:highlight w:val="none"/>
          <w:lang w:val="zh-CN"/>
        </w:rPr>
        <w:t xml:space="preserve">；（本项目专门面向中小企业采购。所属行业为</w:t>
      </w:r>
      <w:r>
        <w:rPr>
          <w:rFonts w:hint="eastAsia" w:ascii="宋体" w:hAnsi="宋体" w:cs="宋体"/>
          <w:color w:val="auto"/>
          <w:sz w:val="21"/>
          <w:szCs w:val="21"/>
          <w:highlight w:val="none"/>
          <w:lang w:val="en-US" w:eastAsia="zh-CN"/>
        </w:rPr>
        <w:t xml:space="preserve">工业</w:t>
      </w:r>
      <w:r>
        <w:rPr>
          <w:rFonts w:hint="eastAsia" w:ascii="宋体" w:hAnsi="宋体" w:cs="宋体"/>
          <w:color w:val="auto"/>
          <w:sz w:val="21"/>
          <w:szCs w:val="21"/>
          <w:highlight w:val="none"/>
          <w:lang w:val="zh-CN"/>
        </w:rPr>
        <w:t xml:space="preserve">。响应单位必须为中小微企业或残疾人福利性单位或监狱企业，并在响应文件中提供相关声明函或监狱企业证明文件，否则为无效投标）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13.7.2关于符合本国产品标准的声明函。（如有）</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rPr>
        <w:t xml:space="preserve">（1）以上1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.4为资格审查要求提供的材料，是作为对投标</w:t>
      </w:r>
      <w:r>
        <w:rPr>
          <w:rFonts w:hint="eastAsia" w:ascii="宋体" w:hAnsi="宋体" w:eastAsia="宋体" w:cs="宋体"/>
          <w:b/>
          <w:color w:val="auto"/>
          <w:sz w:val="21"/>
          <w:szCs w:val="21"/>
          <w:highlight w:val="none"/>
          <w:lang w:val="en-US" w:eastAsia="zh-CN"/>
        </w:rPr>
        <w:t xml:space="preserve">人</w:t>
      </w:r>
      <w:r>
        <w:rPr>
          <w:rFonts w:hint="eastAsia" w:ascii="宋体" w:hAnsi="宋体" w:eastAsia="宋体" w:cs="宋体"/>
          <w:b/>
          <w:color w:val="auto"/>
          <w:sz w:val="21"/>
          <w:szCs w:val="21"/>
          <w:highlight w:val="none"/>
        </w:rPr>
        <w:t xml:space="preserve">资格审查、质疑身份认定的依据，投标人必须提供并加盖电子公章。否则，投标文件将被认定为不符合资格审查要求。</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rPr>
        <w:t xml:space="preserve">（2）以上1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.5为符合性审查须提供的资料，投标人必须提供并加盖电子公章。否则，投标文件将被认定为未实质性响应。</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.4-1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”中不得出现投标总报价。投标人所提交的资料的完整与否，将直接影响投标人的评分。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（4）制作电子投标文件时必须与投标文件制作软件目录一一对应，将相关资料上传至相应模块。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（5）开评标过程中如有问题采购代理机构工作人员会及时通过《投标供应商确认函》留存的手机号与投标</w:t>
      </w:r>
      <w:r>
        <w:rPr>
          <w:rFonts w:hint="eastAsia" w:ascii="宋体" w:hAnsi="宋体" w:eastAsia="宋体" w:cs="宋体"/>
          <w:b/>
          <w:color w:val="auto"/>
          <w:sz w:val="21"/>
          <w:szCs w:val="21"/>
          <w:highlight w:val="none"/>
          <w:lang w:val="en-US" w:eastAsia="zh-CN"/>
        </w:rPr>
        <w:t xml:space="preserve">人</w:t>
      </w:r>
      <w:r>
        <w:rPr>
          <w:rFonts w:hint="eastAsia" w:ascii="宋体" w:hAnsi="宋体" w:eastAsia="宋体" w:cs="宋体"/>
          <w:b/>
          <w:color w:val="auto"/>
          <w:sz w:val="21"/>
          <w:szCs w:val="21"/>
          <w:highlight w:val="none"/>
        </w:rPr>
        <w:t xml:space="preserve">联系。请投标</w:t>
      </w:r>
      <w:r>
        <w:rPr>
          <w:rFonts w:hint="eastAsia" w:ascii="宋体" w:hAnsi="宋体" w:eastAsia="宋体" w:cs="宋体"/>
          <w:b/>
          <w:color w:val="auto"/>
          <w:sz w:val="21"/>
          <w:szCs w:val="21"/>
          <w:highlight w:val="none"/>
          <w:lang w:val="en-US" w:eastAsia="zh-CN"/>
        </w:rPr>
        <w:t xml:space="preserve">人</w:t>
      </w:r>
      <w:r>
        <w:rPr>
          <w:rFonts w:hint="eastAsia" w:ascii="宋体" w:hAnsi="宋体" w:eastAsia="宋体" w:cs="宋体"/>
          <w:b/>
          <w:color w:val="auto"/>
          <w:sz w:val="21"/>
          <w:szCs w:val="21"/>
          <w:highlight w:val="none"/>
        </w:rPr>
        <w:t xml:space="preserve">确保该手机号通讯畅通，否则导致的不利后果由投标</w:t>
      </w:r>
      <w:r>
        <w:rPr>
          <w:rFonts w:hint="eastAsia" w:ascii="宋体" w:hAnsi="宋体" w:eastAsia="宋体" w:cs="宋体"/>
          <w:b/>
          <w:color w:val="auto"/>
          <w:sz w:val="21"/>
          <w:szCs w:val="21"/>
          <w:highlight w:val="none"/>
          <w:lang w:val="en-US" w:eastAsia="zh-CN"/>
        </w:rPr>
        <w:t xml:space="preserve">人</w:t>
      </w:r>
      <w:r>
        <w:rPr>
          <w:rFonts w:hint="eastAsia" w:ascii="宋体" w:hAnsi="宋体" w:eastAsia="宋体" w:cs="宋体"/>
          <w:b/>
          <w:color w:val="auto"/>
          <w:sz w:val="21"/>
          <w:szCs w:val="21"/>
          <w:highlight w:val="none"/>
        </w:rPr>
        <w:t xml:space="preserve">自行承担。</w:t>
      </w:r>
      <w:r/>
    </w:p>
    <w:p>
      <w:pPr>
        <w:ind w:firstLine="422"/>
        <w:spacing w:line="360" w:lineRule="auto"/>
        <w:rPr>
          <w:rFonts w:hint="eastAsia" w:ascii="宋体" w:hAnsi="宋体" w:cs="宋体"/>
          <w:b/>
          <w:bCs/>
          <w:color w:val="auto"/>
          <w:sz w:val="21"/>
          <w:szCs w:val="21"/>
          <w:highlight w:val="none"/>
          <w:u w:val="single"/>
        </w:rPr>
      </w:pPr>
      <w:r>
        <w:rPr>
          <w:rFonts w:hint="eastAsia" w:ascii="宋体" w:hAnsi="宋体" w:cs="宋体"/>
          <w:b/>
          <w:color w:val="auto"/>
          <w:sz w:val="21"/>
          <w:szCs w:val="21"/>
          <w:highlight w:val="none"/>
          <w:lang w:val="en-US" w:eastAsia="zh-CN"/>
        </w:rPr>
        <w:t xml:space="preserve">（6）</w:t>
      </w:r>
      <w:r>
        <w:rPr>
          <w:rFonts w:hint="eastAsia" w:ascii="宋体" w:hAnsi="宋体" w:cs="宋体"/>
          <w:b/>
          <w:bCs/>
          <w:color w:val="auto"/>
          <w:sz w:val="21"/>
          <w:szCs w:val="21"/>
          <w:highlight w:val="none"/>
        </w:rPr>
        <w:t xml:space="preserve">投</w:t>
      </w:r>
      <w:r>
        <w:rPr>
          <w:rFonts w:hint="eastAsia" w:ascii="宋体" w:hAnsi="宋体" w:cs="宋体"/>
          <w:b/>
          <w:color w:val="auto"/>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color w:val="auto"/>
          <w:sz w:val="21"/>
          <w:szCs w:val="21"/>
          <w:highlight w:val="none"/>
          <w:u w:val="single"/>
        </w:rPr>
        <w:t xml:space="preserve">上述文件内容分类如与电子文件内的编排顺序不一致，以软件格式中的顺序为准。</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14.</w:t>
      </w:r>
      <w:r>
        <w:rPr>
          <w:rFonts w:hint="eastAsia" w:hAnsi="宋体" w:cs="宋体"/>
          <w:b/>
          <w:bCs/>
          <w:color w:val="000000"/>
          <w:sz w:val="21"/>
          <w:szCs w:val="21"/>
          <w:highlight w:val="none"/>
          <w:lang w:val="zh-CN"/>
        </w:rPr>
        <w:t xml:space="preserve">投标文件编制要求</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.1投标文件按统一格式、顺序编写。</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.2《开标一览表》为在开标仪式上唱标的内容，要求按格式填写，统一规范，不得自行增减内容。</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15. 投标报价（编制）要求的说明</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15.1除非合同中另有规定，投标单位对《投标分项报价表》 中的全部货物和服务的报价应包括招标文件规定的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15.2《开标一览表》由法定代表人或委托代理人签署。</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15.3投标单位应对招标文件内所要采购的全部内容进行报价，只投其中部分内容者，其标书将被拒绝。但如果招标文件要求分标段投标的，则投标单位可以按招标文件要求有选择地只投其中一个或几个标段，也可以投全部标段，但各标段应分别计算填写单价和总价。</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15.4 本项目投标内容只允许一个报价，招标代理机构不接受任何有选择性的投标报价。</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15.5投标文件报价中的单价和总价全部采用人民币表示，除非合同的特殊条款另有规定。</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15.6最低的投标报价是中标的重要条件但不是唯一条件。</w:t>
      </w:r>
      <w:r/>
    </w:p>
    <w:p>
      <w:pPr>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16. 投标保证金</w:t>
      </w:r>
      <w:r/>
    </w:p>
    <w:p>
      <w:pPr>
        <w:ind w:firstLine="42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无，但须提供《投标（响应）保证承诺书》（格式见招标文件附件）</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★17. 投标文件的有效期</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17.1自开标日起90天内，投标书应保持有效。有效期短于这个规定期限的投标，将被拒绝。</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17.2在特殊情况下，招标代理机构可与投标单位协商延长投标书的有效期。这种要求和答复都应以书面、传真的形式进行。投标人可以拒绝这一要求而放弃投标。同意延长投标有效期的投标人既不能要求也不允许修改其投标文件。受投标有效期约束的所有权利与义务均延长至新的有效期。</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18. 投标文件的制作、签署、上传</w:t>
      </w:r>
      <w:r/>
    </w:p>
    <w:p>
      <w:pPr>
        <w:pStyle w:val="1165"/>
        <w:ind w:left="0"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.1本项目采用电子招投标形式，请供应商按照《苏采云系统供应商操作手册》进行制作、上传电子投标文件。</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.2制作电子投标文件时，应按照招标文件要求加盖投标人电子公章。</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五、投标文件的递交</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 投标文件的</w:t>
      </w:r>
      <w:r>
        <w:rPr>
          <w:rFonts w:hint="eastAsia" w:cs="宋体"/>
          <w:b/>
          <w:color w:val="000000"/>
          <w:sz w:val="21"/>
          <w:szCs w:val="21"/>
          <w:highlight w:val="none"/>
        </w:rPr>
        <w:t xml:space="preserve">制作、签署、上传</w:t>
      </w:r>
      <w:r/>
    </w:p>
    <w:p>
      <w:pPr>
        <w:pStyle w:val="1165"/>
        <w:ind w:firstLine="420"/>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lang w:val="en-US" w:eastAsia="zh-CN"/>
        </w:rPr>
        <w:t xml:space="preserve">9</w:t>
      </w:r>
      <w:r>
        <w:rPr>
          <w:rFonts w:hint="eastAsia" w:cs="宋体"/>
          <w:color w:val="000000"/>
          <w:sz w:val="21"/>
          <w:szCs w:val="21"/>
          <w:highlight w:val="none"/>
        </w:rPr>
        <w:t xml:space="preserve">.1投标人应当在投标截止时间前制作并上传电子投标文件。</w:t>
      </w:r>
      <w:r/>
    </w:p>
    <w:p>
      <w:pPr>
        <w:pStyle w:val="1246"/>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.2投标人通过</w:t>
      </w:r>
      <w:r>
        <w:rPr>
          <w:rFonts w:hint="eastAsia" w:ascii="宋体" w:hAnsi="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b/>
          <w:color w:val="000000"/>
          <w:sz w:val="21"/>
          <w:szCs w:val="21"/>
          <w:highlight w:val="none"/>
          <w:lang w:eastAsia="zh-CN"/>
        </w:rPr>
        <w:t xml:space="preserve">。</w:t>
      </w:r>
      <w:r/>
    </w:p>
    <w:p>
      <w:pPr>
        <w:pStyle w:val="124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纸质</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zh-CN"/>
        </w:rPr>
        <w:t xml:space="preserve">文件：</w:t>
      </w: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20. 投标截止时间</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20.1投标文件必须在投标截止时间前提交。</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20.2招标代理机构推迟投标截止时间时，应以网站公示的形式，通知所有投标单位。在这种情况下，招标代理机构和投标单位的权利和义务将受到新的截止期的约束。</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20.3在投标截止时间以后提交的投标文件，招标代理机构拒绝接收。</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20.4在投标截止时间止招标代理机构收到的投标文件少于三份，招标代理机构有权宣布本次招标失败。</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21. 投标文件的补充、修改和撤回</w:t>
      </w:r>
      <w:r/>
    </w:p>
    <w:p>
      <w:pPr>
        <w:pStyle w:val="1165"/>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前，可以对其电子投标文件进行补充、修改，具体操作方法见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之后，投标人不得对其电子投标文件作任何修改。</w:t>
      </w:r>
      <w:r/>
    </w:p>
    <w:p>
      <w:pPr>
        <w:pStyle w:val="1165"/>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前，可以撤回其电子投标文件，具体操作方法见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 开标和评标</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22. 开标</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21.1开标由采购代理机构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21.2开标时，由采购代理机构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21.3资格审查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21.3.1公开招标采购项目开标结束后，采购人或采购代理机构应当依法对投标人的资格进行审查，未通过资格审查的视为无效投标。</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23. 评标委员会或评标小组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23.1评标委员会或评标小组（以下简称评标委员会）成员由招标采购单位负责依法组织组建。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23.2评标委员会或评标小组负责具体的评标事务，并独立履行以下职责：</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23.2.1审查、评价投标文件是否符合招标文件的商务、技术等实质性要求；</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23.2.2要求投标单位对投标文件有关事项作出澄清或者说明；</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23.2.3对投标文件进行比较和评价；</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23.2.4确定中标候选人名单，以及根据采购人委托直接确定中标人；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23.2.5向采购人、采购代理机构或者有关部门报告评标中发现的违法行为。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23.3评标委员会成员应当履行下列义务：</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23.3.1遵纪守法，客观、公正、廉洁地履行职责；</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23.3.2按照招标文件规定的评标办法和评标标准进行评标，对评审意见承担个人责任；</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23.3.3对评标过程和结果，以及投标单位的商业秘密保密；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23.3.4参与评标报告的起草；</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23.3.5配合财政部门的投诉处理工作；</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23.3.6配合招标采购单位答复投标供应商提出的质疑。</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24. 评标内容的保密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24.2在投标文件的审查、澄清、评价和比较以及授予合同的过程中，投标单位对招标代理机构和评标委员会成员施加影响的任何行为，都将取消其中标资格。</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24.3在评标期间，招标代理机构将通过指定联络人与投标单位进行联系。</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25. 对投标文件初审</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投标文件有下列情况之一者将被拒绝，作无效投标处理：</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25.1.1投标文件未按照本须知规定签署和盖章；</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25.1.2未按本须知规定提交资格文件或资质不符合招标要求的；</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25.1.3与招标文件有重大偏离；</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25.1.4投标单位拒绝修正错误；</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25.1.5投标单位的报价是选择性的；</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25.1.6投标单位的报价只投了部分内容；</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25.1.7</w:t>
      </w:r>
      <w:r>
        <w:rPr>
          <w:rFonts w:hint="eastAsia" w:ascii="宋体" w:hAnsi="宋体" w:cs="宋体"/>
          <w:b/>
          <w:bCs/>
          <w:color w:val="000000"/>
          <w:sz w:val="21"/>
          <w:szCs w:val="21"/>
          <w:highlight w:val="none"/>
          <w:lang w:val="zh-CN"/>
        </w:rPr>
        <w:t xml:space="preserve">投标单位的报价不符合采购规定或经评标小组评定为无效报价；</w:t>
      </w:r>
      <w:r>
        <w:rPr>
          <w:rFonts w:hint="eastAsia" w:ascii="宋体" w:hAnsi="宋体" w:cs="宋体"/>
          <w:b/>
          <w:bCs/>
          <w:color w:val="000000"/>
          <w:sz w:val="21"/>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25.1.8其他被评委会认定无效的情况。</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.2.1查询时间：投标文件递交截止时间后。</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.2.2查询渠道：</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.2.3查询证据留存方式：</w:t>
      </w:r>
      <w:r>
        <w:rPr>
          <w:rFonts w:hint="eastAsia" w:ascii="宋体" w:hAnsi="宋体" w:eastAsia="宋体" w:cs="宋体"/>
          <w:color w:val="000000"/>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（1）被列入失信被执行人名单；</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（2）被列入重大税收违法案件当事人名单；</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w:t>
      </w:r>
      <w:r>
        <w:rPr>
          <w:rFonts w:hint="eastAsia" w:ascii="宋体" w:hAnsi="宋体" w:eastAsia="宋体" w:cs="宋体"/>
          <w:color w:val="000000"/>
          <w:sz w:val="21"/>
          <w:szCs w:val="21"/>
          <w:highlight w:val="none"/>
        </w:rPr>
        <w:t xml:space="preserve">违法行为处以</w:t>
      </w:r>
      <w:r>
        <w:rPr>
          <w:rFonts w:hint="eastAsia" w:ascii="宋体" w:hAnsi="宋体" w:eastAsia="宋体" w:cs="宋体"/>
          <w:color w:val="000000"/>
          <w:sz w:val="21"/>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服务范围、质量和性能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招标文件提供的工艺、材料、设备、参考的商标或样本目录号码等仅作为说明并没有限制性。</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评委会将对确定为实质上响应的投标进行审核，看其是否有计算上或累加上的算术错误，修正错误的原则如下：</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.2大写金额和小写金额不一致的，以大写金额为准；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.5同时出现两种以上不一致的，按照前款规定的顺序修正。修正后的报价按照《政府采购货物和服务</w:t>
      </w:r>
      <w:r>
        <w:rPr>
          <w:rFonts w:hint="eastAsia" w:ascii="宋体" w:hAnsi="宋体" w:eastAsia="宋体" w:cs="宋体"/>
          <w:color w:val="000000"/>
          <w:sz w:val="21"/>
          <w:szCs w:val="21"/>
          <w:highlight w:val="none"/>
        </w:rPr>
        <w:t xml:space="preserve">招标投标管理办法（中华人民共和国财政部令第87号）》第五十一条第二款的规定经投标单位确认后产生约束力，投标单位不确认的，其投标无效。</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评标委员会有权拒绝被确定为非实质性响应的投标，投标单位不能通过修正或撤销不符之处而使其投标成为实质性响应的投标。</w:t>
      </w:r>
      <w:r/>
    </w:p>
    <w:p>
      <w:pPr>
        <w:pStyle w:val="1165"/>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25.7评审过程中出现下列情况之一的，评审委员会应当启动异常低价投标（响应）审查程序：</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rPr>
        <w:t xml:space="preserve">；</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rPr>
        <w:t xml:space="preserve">；</w:t>
      </w:r>
      <w:r/>
    </w:p>
    <w:p>
      <w:pPr>
        <w:pStyle w:val="1165"/>
        <w:ind w:firstLine="42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③投标（响应）报价低于采购项目最高限价45%的，即投标（响应）报价&lt;采购项目最高限价×45%</w:t>
      </w:r>
      <w:r>
        <w:rPr>
          <w:rFonts w:hint="eastAsia" w:ascii="宋体" w:hAnsi="宋体" w:eastAsia="宋体" w:cs="宋体"/>
          <w:color w:val="000000"/>
          <w:sz w:val="21"/>
          <w:szCs w:val="21"/>
          <w:highlight w:val="none"/>
        </w:rPr>
        <w:t xml:space="preserve">；</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color w:val="000000"/>
          <w:sz w:val="21"/>
          <w:szCs w:val="21"/>
          <w:highlight w:val="none"/>
        </w:rPr>
        <w:t xml:space="preserve">。</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采购人可以结合具体项目实际情况，提高上述第1项至第3项中启动异常低价投标（响应）审查的数值标准，但是最高不得超过65%。</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相关法律法规对供应商报价有规定的，从其规定。</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评审委员会启动异常低价投标（响应）审查后，属于前述第1项至第4项情形的，</w:t>
      </w:r>
      <w:r>
        <w:rPr>
          <w:rFonts w:hint="eastAsia" w:ascii="宋体" w:hAnsi="宋体" w:eastAsia="宋体" w:cs="宋体"/>
          <w:color w:val="000000"/>
          <w:sz w:val="21"/>
          <w:szCs w:val="21"/>
          <w:highlight w:val="none"/>
          <w:lang w:val="en-US" w:eastAsia="zh-CN"/>
        </w:rPr>
        <w:t xml:space="preserve">会</w:t>
      </w:r>
      <w:r>
        <w:rPr>
          <w:rFonts w:hint="eastAsia" w:ascii="宋体" w:hAnsi="宋体" w:eastAsia="宋体" w:cs="宋体"/>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eastAsia="宋体" w:cs="宋体"/>
          <w:color w:val="000000"/>
          <w:sz w:val="21"/>
          <w:szCs w:val="21"/>
          <w:highlight w:val="none"/>
          <w:lang w:val="en-US" w:eastAsia="zh-CN"/>
        </w:rPr>
        <w:t xml:space="preserve">会</w:t>
      </w:r>
      <w:r>
        <w:rPr>
          <w:rFonts w:hint="eastAsia" w:ascii="宋体" w:hAnsi="宋体" w:eastAsia="宋体" w:cs="宋体"/>
          <w:color w:val="000000"/>
          <w:sz w:val="21"/>
          <w:szCs w:val="21"/>
          <w:highlight w:val="none"/>
        </w:rPr>
        <w:t xml:space="preserve">将其作为无效投标（响应）处理。</w:t>
      </w:r>
      <w:r/>
    </w:p>
    <w:p>
      <w:pPr>
        <w:pStyle w:val="116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采购人、采购代理机构</w:t>
      </w:r>
      <w:r>
        <w:rPr>
          <w:rFonts w:hint="eastAsia" w:ascii="宋体" w:hAnsi="宋体" w:eastAsia="宋体" w:cs="宋体"/>
          <w:color w:val="000000"/>
          <w:sz w:val="21"/>
          <w:szCs w:val="21"/>
          <w:highlight w:val="none"/>
          <w:lang w:val="en-US" w:eastAsia="zh-CN"/>
        </w:rPr>
        <w:t xml:space="preserve">会</w:t>
      </w:r>
      <w:r>
        <w:rPr>
          <w:rFonts w:hint="eastAsia" w:ascii="宋体" w:hAnsi="宋体" w:eastAsia="宋体" w:cs="宋体"/>
          <w:color w:val="000000"/>
          <w:sz w:val="21"/>
          <w:szCs w:val="21"/>
          <w:highlight w:val="none"/>
        </w:rPr>
        <w:t xml:space="preserve">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w:t>
      </w:r>
      <w:r>
        <w:rPr>
          <w:rFonts w:hint="eastAsia" w:ascii="宋体" w:hAnsi="宋体" w:eastAsia="宋体" w:cs="宋体"/>
          <w:color w:val="000000"/>
          <w:sz w:val="21"/>
          <w:szCs w:val="21"/>
          <w:highlight w:val="none"/>
          <w:lang w:val="en-US" w:eastAsia="zh-CN"/>
        </w:rPr>
        <w:t xml:space="preserve">会</w:t>
      </w:r>
      <w:r>
        <w:rPr>
          <w:rFonts w:hint="eastAsia" w:ascii="宋体" w:hAnsi="宋体" w:eastAsia="宋体" w:cs="宋体"/>
          <w:color w:val="000000"/>
          <w:sz w:val="21"/>
          <w:szCs w:val="21"/>
          <w:highlight w:val="none"/>
        </w:rPr>
        <w:t xml:space="preserve">严格遵守评审工作纪律，不得实施影响评审公正的行为。</w:t>
      </w:r>
      <w:r/>
    </w:p>
    <w:p>
      <w:pPr>
        <w:pStyle w:val="1165"/>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异常低价投标（响应）审查的启动原因、审查意见和审查结果</w:t>
      </w:r>
      <w:r>
        <w:rPr>
          <w:rFonts w:hint="eastAsia" w:ascii="宋体" w:hAnsi="宋体" w:eastAsia="宋体" w:cs="宋体"/>
          <w:color w:val="000000"/>
          <w:sz w:val="21"/>
          <w:szCs w:val="21"/>
          <w:highlight w:val="none"/>
          <w:lang w:val="en-US" w:eastAsia="zh-CN"/>
        </w:rPr>
        <w:t xml:space="preserve">会</w:t>
      </w:r>
      <w:r>
        <w:rPr>
          <w:rFonts w:hint="eastAsia" w:ascii="宋体" w:hAnsi="宋体" w:eastAsia="宋体" w:cs="宋体"/>
          <w:color w:val="000000"/>
          <w:sz w:val="21"/>
          <w:szCs w:val="21"/>
          <w:highlight w:val="none"/>
        </w:rPr>
        <w:t xml:space="preserve">在评审报告中记录，并随供应商提供的相关书面说明及证明材料，以及评审委员会有关互联网浏览、查询历史一并归档。</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26. 投标的澄清 </w:t>
      </w:r>
      <w:r/>
    </w:p>
    <w:p>
      <w:pPr>
        <w:pStyle w:val="1165"/>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165"/>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hint="eastAsia" w:ascii="宋体" w:hAnsi="宋体" w:cs="宋体"/>
          <w:color w:val="000000"/>
          <w:sz w:val="21"/>
          <w:szCs w:val="21"/>
          <w:highlight w:val="none"/>
        </w:rPr>
      </w:pPr>
      <w:r>
        <w:rPr>
          <w:rFonts w:hint="eastAsia" w:hAnsi="宋体" w:cs="宋体"/>
          <w:b/>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000000"/>
          <w:sz w:val="21"/>
          <w:szCs w:val="21"/>
          <w:highlight w:val="none"/>
        </w:rPr>
        <w:t xml:space="preserve">(</w:t>
      </w:r>
      <w:r>
        <w:rPr>
          <w:rFonts w:hint="eastAsia" w:hAnsi="宋体" w:cs="宋体"/>
          <w:b/>
          <w:color w:val="000000"/>
          <w:sz w:val="21"/>
          <w:szCs w:val="21"/>
          <w:highlight w:val="none"/>
        </w:rPr>
        <w:t xml:space="preserve">此处规定时间的计算以系统中的倒计时间为准，</w:t>
      </w:r>
      <w:r>
        <w:rPr>
          <w:rFonts w:hint="eastAsia" w:hAnsi="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hAnsi="宋体" w:cs="宋体"/>
          <w:color w:val="000000"/>
          <w:sz w:val="21"/>
          <w:szCs w:val="21"/>
          <w:highlight w:val="none"/>
          <w:lang w:val="zh-CN"/>
        </w:rPr>
        <w:t xml:space="preserve">。</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27．无效投标和废标</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27.1无效投标的具体情形有：</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w:t>
      </w:r>
      <w:r>
        <w:rPr>
          <w:rFonts w:hint="eastAsia" w:ascii="宋体" w:hAnsi="宋体" w:cs="宋体"/>
          <w:color w:val="000000"/>
          <w:sz w:val="21"/>
          <w:szCs w:val="21"/>
          <w:highlight w:val="none"/>
          <w:lang w:val="zh-CN"/>
        </w:rPr>
        <w:t xml:space="preserve">未按照招标文件的规定提交《投标（响应）保证承诺书》</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27.1.2投标文件未按招标文件要求签署、盖章的；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27.1.3不具备招标文件中规定的资格要求的；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27.1.4报价超过招标文件中规定的预算金额或者最高限价的；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27.1.5投标文件含有采购人不能接受的附加条件的；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27.1.6投标文件与招标文件有重大偏离；</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27.1.7平台报名系统内投标单位（投标单位）的报名名称（CA用户名）与投标文件中投标单位（投标单位）名称不一致的；</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27.1.8不同投标（响应）文件制作机器码一致的</w:t>
      </w:r>
      <w:r>
        <w:rPr>
          <w:rFonts w:hint="eastAsia" w:ascii="宋体" w:hAnsi="宋体" w:cs="宋体"/>
          <w:color w:val="000000"/>
          <w:sz w:val="21"/>
          <w:szCs w:val="21"/>
          <w:highlight w:val="none"/>
          <w:lang w:eastAsia="zh-CN"/>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27.1.9因投标单位自身原因导致网上投标文件无法递交的其他情况。</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法律、法规和招标文件规定的其他无效情形。</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27.2废标的具体情形有：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27.2.2出现影响采购公正的违法、违规行为的；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27.2.3投标单位的报价均超过了采购预算或最高限价，采购单位不能支付的；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27.2.4因重大变故，采购任务取消的。</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27.3投标单位应当遵循公平竞争的原则，不得恶意串通，不得妨碍其他投标单位的竞争行为，不得损害采购人或者其他投标单位的合法权益。</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评标过程中发现投标单位有下述情形的，评标小组应当认定其响应无效，并书面报告本级财政部门。</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有下列情形之一的，视为投标单位恶意串通，其投标无效：</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（1）不同投标单位的投标文件由同一单位或者个人编制；</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（2）不同投标单位委托同一单位或者个人办理投标事宜；</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（3）不同投标单位的投标文件载明的项目管理成员或者联系人员为同一人；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（4）不同投标单位的投标文件异常一致或者报价呈规律性差异；</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（5）不同投标单位的投标文件相互混装。</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28. 投标文件的评价和比较</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28.1招标采购单位对投标单位的资格条件进行审查，评标委员会将仅对按照本须知有关规定确定为实质上响应招标文件要求的投标文件进行评价和比较。</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评价和比较采用综合评分法，即在最大限度地满足招标文件实质性要求前提下，按照招标文件规定的各项因素进行综合评审后，以评标总得分最高的投标单位作为中标候选供应商或中标供应商。评标委员会严格按照招标文件的要求、条件、评分标准，对</w:t>
      </w:r>
      <w:r>
        <w:rPr>
          <w:rFonts w:hint="eastAsia" w:ascii="宋体" w:hAnsi="宋体" w:cs="宋体"/>
          <w:color w:val="000000"/>
          <w:sz w:val="21"/>
          <w:szCs w:val="21"/>
          <w:highlight w:val="none"/>
          <w:lang w:val="zh-CN"/>
        </w:rPr>
        <w:t xml:space="preserve">投标文件内容进行比较评价</w:t>
      </w:r>
      <w:r>
        <w:rPr>
          <w:rFonts w:hint="eastAsia" w:ascii="宋体" w:hAnsi="宋体" w:cs="宋体"/>
          <w:color w:val="000000"/>
          <w:sz w:val="21"/>
          <w:szCs w:val="21"/>
          <w:highlight w:val="none"/>
        </w:rPr>
        <w:t xml:space="preserve">，同时考虑以下因素：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28.2.1</w:t>
      </w:r>
      <w:r>
        <w:rPr>
          <w:rStyle w:val="1243"/>
          <w:rFonts w:hint="eastAsia" w:ascii="宋体" w:hAnsi="宋体" w:cs="宋体"/>
          <w:color w:val="000000"/>
          <w:szCs w:val="21"/>
          <w:highlight w:val="none"/>
        </w:rPr>
        <w:t xml:space="preserve">交货状态和交货期</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28.2.2</w:t>
      </w:r>
      <w:r>
        <w:rPr>
          <w:rStyle w:val="1243"/>
          <w:rFonts w:hint="eastAsia" w:ascii="宋体" w:hAnsi="宋体" w:cs="宋体"/>
          <w:color w:val="000000"/>
          <w:szCs w:val="21"/>
          <w:highlight w:val="none"/>
        </w:rPr>
        <w:t xml:space="preserve">零配件价格及维修服务措施</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28.2.3</w:t>
      </w:r>
      <w:r>
        <w:rPr>
          <w:rStyle w:val="1243"/>
          <w:rFonts w:hint="eastAsia" w:ascii="宋体" w:hAnsi="宋体" w:cs="宋体"/>
          <w:color w:val="000000"/>
          <w:szCs w:val="21"/>
          <w:highlight w:val="none"/>
        </w:rPr>
        <w:t xml:space="preserve">货物设备出厂验收情况</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28.2.4投标者的履约能力；</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28.2.5投标者提供的其他优惠条件；</w:t>
      </w:r>
      <w:r>
        <w:rPr>
          <w:rFonts w:hint="eastAsia" w:ascii="宋体" w:hAnsi="宋体" w:cs="宋体"/>
          <w:color w:val="000000"/>
          <w:sz w:val="21"/>
          <w:szCs w:val="21"/>
          <w:highlight w:val="none"/>
        </w:rPr>
        <w:tab/>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28.2.6参与苏州市吴江区政府采购工作的态度及信誉；</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28.2.7最低的投标报价是中标的重要条件但不是唯一条件。</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七、授予合同</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29. 中标单位的确认</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29.1评标委员会根据投标单位资格审查和符合性审查情况，对投标文件进行评价和比较，按照评标办法和标准进行评标，并按招标采购单位的委托向招标采购单位推荐中标单位。</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29.2经评标委员会评审并确定中标单位后，招标代理机构将在规定的时间内将中标结果在政府采购管理部门指定媒体上予以公示。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29.3政府采购合同履行中，采购人需追加与合同标的相同的货物、工程或服务的，在不改变合同其他条款的前提下，可以与供应商协商签订补充合同，但所有补充合同的采购金额不得超过原合同采购金额的10%。</w:t>
      </w:r>
      <w:r/>
    </w:p>
    <w:p>
      <w:pPr>
        <w:numPr>
          <w:ilvl w:val="0"/>
          <w:numId w:val="1"/>
        </w:num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质疑处理（按投标邀请函）</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31. 合同授予标准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31.1招标采购单位将与其投标文件在实质上响应招标文件要求和按本须知规定评选出的投标单位签订合同。确定为中标的投标单位必须具有实施本合同的能力和资源。</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31.3在合同签订之前，采购方有权对中标人的履约能力进行最后审查，如发现中标人提供的材料虚假或对标书所要求说明的情况故意隐瞒或虚报，则有权取消其签约资格，</w:t>
      </w:r>
      <w:r>
        <w:rPr>
          <w:rFonts w:hint="eastAsia" w:ascii="宋体" w:hAnsi="宋体" w:cs="宋体"/>
          <w:color w:val="000000"/>
          <w:sz w:val="21"/>
          <w:szCs w:val="21"/>
          <w:highlight w:val="none"/>
        </w:rPr>
        <w:t xml:space="preserve">重新组织招标。 </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32. 中标通知书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32.1确定出中标人后，采购代理机构在法定时间内向中标人发出中标通知书。</w:t>
      </w:r>
      <w:r>
        <w:rPr>
          <w:rFonts w:hint="eastAsia" w:ascii="宋体" w:hAnsi="宋体" w:eastAsia="宋体" w:cs="宋体"/>
          <w:b/>
          <w:bCs/>
          <w:color w:val="000000"/>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32.2中标通知书将成为合同的组成部分，对采购人和中标人具有同等法律效力。</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32.4中标通知书发出后，采购人不得违法改变中标结果，中标人无正当理由不得放弃中标。</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33. 合同的签订</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33.2签订合同及合同条款应以招标文件和中标单位的投标文件及其澄清文件为依据。</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w:t>
      </w:r>
      <w:r>
        <w:rPr>
          <w:rFonts w:hint="eastAsia" w:ascii="宋体" w:hAnsi="宋体" w:cs="宋体"/>
          <w:color w:val="000000"/>
          <w:sz w:val="21"/>
          <w:szCs w:val="21"/>
          <w:highlight w:val="none"/>
          <w:lang w:val="zh-CN"/>
        </w:rPr>
        <w:t xml:space="preserve">中标人无正当理由拒签合同的，或在签订合同时向采购单位提出附加条件或者更改合同实质性内容的，报相关政府采购监督部门处理。</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34. 中标服务费</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34.1中标单位须按前附表规定计算并支付中标服务费，该费用应在领取中标通知书时付清。</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34.1.1中标单位如果未按规定缴纳中标服务费，招标代理机构将保留诉讼的权利。</w:t>
      </w:r>
      <w:r/>
    </w:p>
    <w:p>
      <w:pPr>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35. 履约保证金：</w:t>
      </w:r>
      <w:r>
        <w:rPr>
          <w:rFonts w:hint="eastAsia" w:ascii="宋体" w:hAnsi="宋体" w:cs="宋体"/>
          <w:color w:val="000000"/>
          <w:sz w:val="21"/>
          <w:szCs w:val="21"/>
          <w:highlight w:val="none"/>
        </w:rPr>
        <w:t xml:space="preserve">无。</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36.监督</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36.1政府有关监督部门将对招投标全过程进行监督。</w:t>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37. 未尽事宜</w:t>
      </w:r>
      <w:r/>
    </w:p>
    <w:p>
      <w:pPr>
        <w:ind w:firstLine="420"/>
        <w:spacing w:line="360" w:lineRule="auto"/>
        <w:rPr>
          <w:rFonts w:hint="eastAsia" w:ascii="宋体" w:hAnsi="宋体" w:cs="宋体"/>
          <w:color w:val="000000"/>
          <w:szCs w:val="21"/>
          <w:highlight w:val="none"/>
        </w:rPr>
        <w:sectPr>
          <w:footnotePr/>
          <w:endnotePr/>
          <w:type w:val="nextPage"/>
          <w:pgSz w:w="11906" w:h="16838" w:orient="portrait"/>
          <w:pgMar w:top="1247" w:right="1304" w:bottom="1247" w:left="1304" w:header="851" w:footer="992" w:gutter="0"/>
          <w:cols w:num="1" w:sep="0" w:space="1701" w:equalWidth="1"/>
          <w:docGrid w:linePitch="360"/>
        </w:sectPr>
      </w:pPr>
      <w:r>
        <w:rPr>
          <w:rFonts w:hint="eastAsia" w:ascii="宋体" w:hAnsi="宋体" w:cs="宋体"/>
          <w:color w:val="000000"/>
          <w:sz w:val="21"/>
          <w:szCs w:val="21"/>
          <w:highlight w:val="none"/>
        </w:rPr>
        <w:t xml:space="preserve">按《中华人民共和国政府采购法》及其他有关政府采购的法律法规的规定执行。</w:t>
      </w:r>
      <w:r/>
    </w:p>
    <w:p>
      <w:pPr>
        <w:pStyle w:val="1087"/>
        <w:jc w:val="center"/>
        <w:spacing w:after="240"/>
        <w:rPr>
          <w:rFonts w:hint="eastAsia"/>
          <w:color w:val="000000"/>
          <w:highlight w:val="none"/>
        </w:rPr>
      </w:pPr>
      <w:r/>
      <w:bookmarkStart w:id="18" w:name="_Toc48639327"/>
      <w:r>
        <w:rPr>
          <w:rFonts w:hint="eastAsia"/>
          <w:color w:val="000000"/>
          <w:highlight w:val="none"/>
        </w:rPr>
        <w:t xml:space="preserve">第三章  投标文件格式</w:t>
      </w:r>
      <w:bookmarkEnd w:id="18"/>
      <w:r/>
      <w:r/>
    </w:p>
    <w:p>
      <w:pPr>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p>
    <w:p>
      <w:pPr>
        <w:ind w:firstLine="480"/>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格式1、投标函</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19" w:name="_Toc48639328"/>
      <w:r/>
      <w:bookmarkStart w:id="20" w:name="_Toc48639199"/>
      <w:r/>
      <w:bookmarkStart w:id="21" w:name="_Hlk142048403"/>
      <w:r>
        <w:rPr>
          <w:rFonts w:hint="eastAsia" w:ascii="宋体" w:hAnsi="宋体" w:cs="宋体"/>
          <w:b/>
          <w:color w:val="000000"/>
          <w:sz w:val="28"/>
          <w:szCs w:val="28"/>
          <w:highlight w:val="none"/>
          <w:lang w:val="zh-CN"/>
        </w:rPr>
        <w:t xml:space="preserve">投标函</w:t>
      </w:r>
      <w:bookmarkEnd w:id="19"/>
      <w:r/>
      <w:bookmarkEnd w:id="20"/>
      <w:r/>
      <w:r/>
    </w:p>
    <w:p>
      <w:pPr>
        <w:pStyle w:val="919"/>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中汇通项目管理咨询（苏州）有限公司</w:t>
      </w:r>
      <w:r>
        <w:rPr>
          <w:rFonts w:hint="eastAsia" w:cs="宋体"/>
          <w:color w:val="000000"/>
          <w:sz w:val="21"/>
          <w:szCs w:val="21"/>
          <w:highlight w:val="none"/>
        </w:rPr>
        <w:t xml:space="preserve"> ：</w:t>
      </w:r>
      <w:r/>
    </w:p>
    <w:p>
      <w:pPr>
        <w:pStyle w:val="919"/>
        <w:ind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我方收到贵公司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号招标文件，经仔细阅读和研究，我方决定参加投标。并向贵公司承诺：</w:t>
      </w:r>
      <w:r/>
    </w:p>
    <w:p>
      <w:pPr>
        <w:pStyle w:val="919"/>
        <w:ind w:firstLine="420"/>
        <w:spacing w:line="440" w:lineRule="exact"/>
        <w:rPr>
          <w:rFonts w:hint="eastAsia" w:ascii="宋体" w:hAnsi="宋体" w:eastAsia="宋体" w:cs="宋体"/>
          <w:color w:val="000000"/>
          <w:sz w:val="21"/>
          <w:szCs w:val="21"/>
          <w:highlight w:val="none"/>
        </w:rPr>
      </w:pPr>
      <w:r>
        <w:rPr>
          <w:rFonts w:hint="eastAsia" w:cs="宋体"/>
          <w:color w:val="000000"/>
          <w:sz w:val="21"/>
          <w:szCs w:val="21"/>
          <w:highlight w:val="none"/>
        </w:rPr>
        <w:t xml:space="preserve">1、我方愿意按照招标文件的一切要求，提供本项目的所有内容，我方的投标报价包括完成该项项目的一切费</w:t>
      </w:r>
      <w:r>
        <w:rPr>
          <w:rFonts w:hint="eastAsia" w:ascii="宋体" w:hAnsi="宋体" w:eastAsia="宋体" w:cs="宋体"/>
          <w:color w:val="000000"/>
          <w:sz w:val="21"/>
          <w:szCs w:val="21"/>
          <w:highlight w:val="none"/>
        </w:rPr>
        <w:t xml:space="preserve">用。</w:t>
      </w:r>
      <w:r/>
    </w:p>
    <w:p>
      <w:pPr>
        <w:pStyle w:val="91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pStyle w:val="91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3、我们已详细阅读全部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文件，包括更正公告(如有)，对</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文件及更正公告(如有)无任何异议。我们完全理解并同意放弃对这方面有不明及误解的权利。</w:t>
      </w:r>
      <w:r/>
    </w:p>
    <w:p>
      <w:pPr>
        <w:pStyle w:val="91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4、我方同意按招标文件中的规定，本投标书的有效期限为提交投标文件的截止之日起90天内。</w:t>
      </w:r>
      <w:r/>
    </w:p>
    <w:p>
      <w:pPr>
        <w:pStyle w:val="919"/>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919"/>
        <w:ind w:firstLine="420"/>
        <w:spacing w:line="440" w:lineRule="exact"/>
        <w:rPr>
          <w:rFonts w:hint="eastAsia" w:cs="宋体"/>
          <w:color w:val="000000"/>
          <w:sz w:val="21"/>
          <w:szCs w:val="21"/>
          <w:highlight w:val="none"/>
        </w:rPr>
      </w:pP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、我方认为贵方有权根据评标委员会的评审结果决定中标者，还认为贵方有权根据评标委员会的评审结果接受或拒绝所有的投标者。</w:t>
      </w:r>
      <w:r/>
    </w:p>
    <w:p>
      <w:pPr>
        <w:pStyle w:val="919"/>
        <w:ind w:firstLine="420"/>
        <w:spacing w:line="440" w:lineRule="exact"/>
        <w:rPr>
          <w:rFonts w:hint="eastAsia" w:cs="宋体"/>
          <w:color w:val="000000"/>
          <w:sz w:val="21"/>
          <w:szCs w:val="21"/>
          <w:highlight w:val="none"/>
        </w:rPr>
      </w:pPr>
      <w:r>
        <w:rPr>
          <w:rFonts w:hint="eastAsia" w:cs="宋体"/>
          <w:color w:val="000000"/>
          <w:sz w:val="21"/>
          <w:szCs w:val="21"/>
          <w:highlight w:val="none"/>
          <w:lang w:val="en-US" w:eastAsia="zh-CN"/>
        </w:rPr>
        <w:t xml:space="preserve">7</w:t>
      </w:r>
      <w:r>
        <w:rPr>
          <w:rFonts w:hint="eastAsia" w:cs="宋体"/>
          <w:color w:val="000000"/>
          <w:sz w:val="21"/>
          <w:szCs w:val="21"/>
          <w:highlight w:val="none"/>
        </w:rPr>
        <w:t xml:space="preserve">、我方同意因运输或装卸或吊装过程中的不当，造成货物或就位现场的设施、设备等损坏的，招标人有权要求我方全额赔偿。</w:t>
      </w:r>
      <w:r/>
    </w:p>
    <w:p>
      <w:pPr>
        <w:pStyle w:val="919"/>
        <w:ind w:firstLine="420"/>
        <w:spacing w:line="440" w:lineRule="exact"/>
        <w:rPr>
          <w:rFonts w:hint="eastAsia" w:cs="宋体"/>
          <w:color w:val="000000"/>
          <w:sz w:val="21"/>
          <w:szCs w:val="21"/>
          <w:highlight w:val="none"/>
        </w:rPr>
      </w:pPr>
      <w:r>
        <w:rPr>
          <w:rFonts w:hint="eastAsia" w:cs="宋体"/>
          <w:color w:val="000000"/>
          <w:sz w:val="21"/>
          <w:szCs w:val="21"/>
          <w:highlight w:val="none"/>
          <w:lang w:val="en-US" w:eastAsia="zh-CN"/>
        </w:rPr>
        <w:t xml:space="preserve">8</w:t>
      </w:r>
      <w:r>
        <w:rPr>
          <w:rFonts w:hint="eastAsia" w:cs="宋体"/>
          <w:color w:val="000000"/>
          <w:sz w:val="21"/>
          <w:szCs w:val="21"/>
          <w:highlight w:val="none"/>
        </w:rPr>
        <w:t xml:space="preserve">、我方愿意遵守招标公告及招标文件中所列的收费标准。</w:t>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、我方承诺在参加政府采购活动前三年内，在经营活动中没有重大违法记录。</w:t>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、我方同意中标人若无法按约定条款履行义务等行为，招标方有权取消我方的中标资格。</w:t>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、如果我方中标，我方愿意按招标文件规定支付中标服务费，如未按规定缴纳中标服务费，可提出诉讼的权力。</w:t>
      </w:r>
      <w:r/>
    </w:p>
    <w:p>
      <w:pPr>
        <w:pStyle w:val="919"/>
        <w:ind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13、与本投标有关的通讯地址：</w:t>
      </w:r>
      <w:r/>
    </w:p>
    <w:p>
      <w:pPr>
        <w:pStyle w:val="919"/>
        <w:spacing w:line="440" w:lineRule="exact"/>
        <w:rPr>
          <w:rFonts w:hint="eastAsia" w:cs="宋体"/>
          <w:color w:val="000000"/>
          <w:sz w:val="21"/>
          <w:szCs w:val="21"/>
          <w:highlight w:val="none"/>
        </w:rPr>
      </w:pPr>
      <w:r>
        <w:rPr>
          <w:rFonts w:hint="eastAsia" w:cs="宋体"/>
          <w:color w:val="000000"/>
          <w:sz w:val="21"/>
          <w:szCs w:val="21"/>
          <w:highlight w:val="none"/>
        </w:rPr>
        <w:t xml:space="preserve">单    位：                                 联 系 人：                   </w:t>
      </w:r>
      <w:r/>
    </w:p>
    <w:p>
      <w:pPr>
        <w:pStyle w:val="919"/>
        <w:spacing w:line="440" w:lineRule="exact"/>
        <w:rPr>
          <w:rFonts w:hint="eastAsia" w:ascii="宋体" w:hAnsi="宋体" w:eastAsia="宋体" w:cs="宋体"/>
          <w:color w:val="000000"/>
          <w:sz w:val="21"/>
          <w:szCs w:val="21"/>
          <w:highlight w:val="none"/>
        </w:rPr>
      </w:pPr>
      <w:r>
        <w:rPr>
          <w:rFonts w:hint="eastAsia" w:cs="宋体"/>
          <w:color w:val="000000"/>
          <w:sz w:val="21"/>
          <w:szCs w:val="21"/>
          <w:highlight w:val="none"/>
        </w:rPr>
        <w:t xml:space="preserve">地    址：    </w:t>
      </w:r>
      <w:r>
        <w:rPr>
          <w:rFonts w:hint="eastAsia" w:ascii="宋体" w:hAnsi="宋体" w:eastAsia="宋体" w:cs="宋体"/>
          <w:color w:val="000000"/>
          <w:sz w:val="21"/>
          <w:szCs w:val="21"/>
          <w:highlight w:val="none"/>
        </w:rPr>
        <w:t xml:space="preserve">                             邮政编码：                   </w:t>
      </w:r>
      <w:r/>
    </w:p>
    <w:p>
      <w:pPr>
        <w:pStyle w:val="91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传    真：                   </w:t>
      </w:r>
      <w:r/>
    </w:p>
    <w:p>
      <w:pPr>
        <w:pStyle w:val="91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p>
    <w:p>
      <w:pPr>
        <w:pStyle w:val="91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w:t>
      </w:r>
      <w:r>
        <w:rPr>
          <w:rFonts w:hint="eastAsia" w:ascii="宋体" w:hAnsi="宋体" w:eastAsia="宋体" w:cs="宋体"/>
          <w:color w:val="000000"/>
          <w:sz w:val="21"/>
          <w:szCs w:val="21"/>
          <w:highlight w:val="none"/>
        </w:rPr>
        <w:t xml:space="preserve">     年     月     日</w:t>
      </w:r>
      <w:r/>
    </w:p>
    <w:p>
      <w:pPr>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End w:id="21"/>
      <w:r>
        <w:rPr>
          <w:rFonts w:hint="eastAsia" w:ascii="宋体" w:hAnsi="宋体" w:cs="宋体"/>
          <w:b/>
          <w:color w:val="000000"/>
          <w:sz w:val="21"/>
          <w:szCs w:val="21"/>
          <w:highlight w:val="none"/>
        </w:rPr>
        <w:t xml:space="preserve">格式2、法人授权委托书</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22" w:name="_Toc48639200"/>
      <w:r/>
      <w:bookmarkStart w:id="23" w:name="_Toc48639329"/>
      <w:r/>
      <w:bookmarkStart w:id="24" w:name="_Hlk142048448"/>
      <w:r>
        <w:rPr>
          <w:rFonts w:hint="eastAsia" w:ascii="宋体" w:hAnsi="宋体" w:cs="宋体"/>
          <w:b/>
          <w:color w:val="000000"/>
          <w:sz w:val="28"/>
          <w:szCs w:val="28"/>
          <w:highlight w:val="none"/>
          <w:lang w:val="zh-CN"/>
        </w:rPr>
        <w:t xml:space="preserve">法人授权委托书</w:t>
      </w:r>
      <w:bookmarkEnd w:id="22"/>
      <w:r/>
      <w:bookmarkEnd w:id="23"/>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（姓名）为我公司代理人，以本公司的名义参加中汇通项目管理咨询（苏州）有限公司组织实施的编号为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号公开招标的招投标活动。代理人在开标、评标、合同谈判过程中所签署的一切文件和处理与这有关的一切事务，我均予以承认。</w:t>
      </w:r>
      <w:r/>
    </w:p>
    <w:p>
      <w:pPr>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p>
    <w:p>
      <w:pPr>
        <w:pStyle w:val="110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p>
    <w:p>
      <w:pPr>
        <w:pStyle w:val="110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法定代表人：（签字或签章）</w:t>
      </w:r>
      <w:r/>
    </w:p>
    <w:p>
      <w:pPr>
        <w:pStyle w:val="110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代理人：（签字或签章）</w:t>
      </w:r>
      <w:r/>
    </w:p>
    <w:p>
      <w:pPr>
        <w:pStyle w:val="110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w:t>
      </w:r>
      <w:r>
        <w:rPr>
          <w:rFonts w:hint="eastAsia" w:ascii="宋体" w:hAnsi="宋体" w:eastAsia="宋体" w:cs="宋体"/>
          <w:color w:val="000000"/>
          <w:sz w:val="21"/>
          <w:szCs w:val="21"/>
          <w:highlight w:val="none"/>
        </w:rPr>
        <w:t xml:space="preserve">     年     月     日</w:t>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End w:id="24"/>
      <w:r>
        <w:rPr>
          <w:rFonts w:hint="eastAsia" w:ascii="宋体" w:hAnsi="宋体" w:cs="宋体"/>
          <w:b/>
          <w:bCs/>
          <w:color w:val="000000"/>
          <w:sz w:val="21"/>
          <w:szCs w:val="21"/>
          <w:highlight w:val="none"/>
          <w:lang w:val="zh-CN"/>
        </w:rPr>
        <w:t xml:space="preserve">格式3、开标一览表</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25" w:name="_Toc48639201"/>
      <w:r/>
      <w:bookmarkStart w:id="26" w:name="_Toc48639330"/>
      <w:r/>
      <w:bookmarkStart w:id="27" w:name="_Hlk142048489"/>
      <w:r>
        <w:rPr>
          <w:rFonts w:hint="eastAsia" w:ascii="宋体" w:hAnsi="宋体" w:cs="宋体"/>
          <w:b/>
          <w:color w:val="000000"/>
          <w:sz w:val="28"/>
          <w:szCs w:val="28"/>
          <w:highlight w:val="none"/>
          <w:lang w:val="zh-CN"/>
        </w:rPr>
        <w:t xml:space="preserve">开标一览表</w:t>
      </w:r>
      <w:bookmarkEnd w:id="25"/>
      <w:r/>
      <w:bookmarkEnd w:id="26"/>
      <w:r/>
      <w:r/>
    </w:p>
    <w:p>
      <w:pPr>
        <w:ind w:firstLine="359"/>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采购编号：                                          单位：元</w:t>
      </w:r>
      <w:r/>
    </w:p>
    <w:tbl>
      <w:tblPr>
        <w:tblStyle w:val="913"/>
        <w:tblW w:w="45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2348"/>
        <w:gridCol w:w="1995"/>
        <w:gridCol w:w="1777"/>
      </w:tblGrid>
      <w:tr>
        <w:trPr>
          <w:jc w:val="center"/>
          <w:trHeight w:val="567"/>
        </w:trPr>
        <w:tc>
          <w:tcPr>
            <w:tcW w:w="1545"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t xml:space="preserve">标段号</w:t>
            </w:r>
            <w:r/>
          </w:p>
        </w:tc>
        <w:tc>
          <w:tcPr>
            <w:tcW w:w="2348"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t xml:space="preserve">项目名称</w:t>
            </w:r>
            <w:r/>
          </w:p>
        </w:tc>
        <w:tc>
          <w:tcPr>
            <w:tcW w:w="1995"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t xml:space="preserve">投标总价（元）</w:t>
            </w:r>
            <w:r/>
          </w:p>
        </w:tc>
        <w:tc>
          <w:tcPr>
            <w:tcW w:w="1777"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t xml:space="preserve">备注</w:t>
            </w:r>
            <w:r/>
          </w:p>
        </w:tc>
      </w:tr>
      <w:tr>
        <w:trPr>
          <w:jc w:val="center"/>
          <w:trHeight w:val="567"/>
        </w:trPr>
        <w:tc>
          <w:tcPr>
            <w:tcW w:w="1545"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r>
            <w:r/>
          </w:p>
        </w:tc>
        <w:tc>
          <w:tcPr>
            <w:tcW w:w="2348"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r>
            <w:r/>
          </w:p>
        </w:tc>
        <w:tc>
          <w:tcPr>
            <w:tcW w:w="1995"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r>
            <w:r/>
          </w:p>
        </w:tc>
        <w:tc>
          <w:tcPr>
            <w:tcW w:w="1777" w:type="dxa"/>
            <w:vAlign w:val="center"/>
            <w:textDirection w:val="lrTb"/>
            <w:noWrap w:val="false"/>
          </w:tcPr>
          <w:p>
            <w:pPr>
              <w:pStyle w:val="919"/>
              <w:jc w:val="center"/>
              <w:rPr>
                <w:rFonts w:hint="eastAsia" w:cs="宋体"/>
                <w:color w:val="000000"/>
                <w:sz w:val="21"/>
                <w:highlight w:val="none"/>
              </w:rPr>
            </w:pPr>
            <w:r>
              <w:rPr>
                <w:rFonts w:hint="eastAsia" w:cs="宋体"/>
                <w:color w:val="000000"/>
                <w:sz w:val="21"/>
                <w:highlight w:val="none"/>
              </w:rPr>
            </w:r>
            <w:r/>
          </w:p>
        </w:tc>
      </w:tr>
    </w:tbl>
    <w:p>
      <w:pPr>
        <w:ind w:firstLine="359"/>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注：投标总报价一次报定，包括</w:t>
      </w:r>
      <w:r>
        <w:rPr>
          <w:rFonts w:hint="eastAsia" w:ascii="宋体" w:hAnsi="宋体" w:eastAsia="宋体" w:cs="宋体"/>
          <w:color w:val="000000"/>
          <w:sz w:val="21"/>
          <w:szCs w:val="21"/>
          <w:highlight w:val="none"/>
          <w:lang w:eastAsia="zh-CN"/>
        </w:rPr>
        <w:t xml:space="preserve">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bookmarkEnd w:id="27"/>
      <w:r>
        <w:rPr>
          <w:rFonts w:hint="eastAsia" w:ascii="宋体" w:hAnsi="宋体" w:cs="宋体"/>
          <w:b/>
          <w:bCs/>
          <w:color w:val="000000"/>
          <w:sz w:val="21"/>
          <w:szCs w:val="21"/>
          <w:highlight w:val="none"/>
          <w:lang w:val="zh-CN"/>
        </w:rPr>
        <w:t xml:space="preserve">格式4、投标分项报价表（报价分析）</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28" w:name="_Hlk142048514"/>
      <w:r/>
      <w:bookmarkStart w:id="29" w:name="_Toc48639202"/>
      <w:r/>
      <w:bookmarkStart w:id="30" w:name="_Toc48639331"/>
      <w:r/>
      <w:bookmarkStart w:id="31" w:name="_Hlk142048538"/>
      <w:r>
        <w:rPr>
          <w:rFonts w:hint="eastAsia" w:ascii="宋体" w:hAnsi="宋体" w:cs="宋体"/>
          <w:b/>
          <w:color w:val="000000"/>
          <w:sz w:val="28"/>
          <w:szCs w:val="28"/>
          <w:highlight w:val="none"/>
          <w:lang w:val="zh-CN"/>
        </w:rPr>
        <w:t xml:space="preserve">投标分项报价表（</w:t>
      </w:r>
      <w:r>
        <w:rPr>
          <w:rFonts w:hint="eastAsia" w:ascii="宋体" w:hAnsi="宋体" w:cs="宋体"/>
          <w:b/>
          <w:color w:val="000000"/>
          <w:sz w:val="28"/>
          <w:szCs w:val="28"/>
          <w:highlight w:val="none"/>
        </w:rPr>
        <w:t xml:space="preserve">1</w:t>
      </w:r>
      <w:r>
        <w:rPr>
          <w:rFonts w:hint="eastAsia" w:ascii="宋体" w:hAnsi="宋体" w:cs="宋体"/>
          <w:b/>
          <w:color w:val="000000"/>
          <w:sz w:val="28"/>
          <w:szCs w:val="28"/>
          <w:highlight w:val="none"/>
          <w:lang w:val="zh-CN"/>
        </w:rPr>
        <w:t xml:space="preserve">）</w:t>
      </w:r>
      <w:r/>
    </w:p>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p>
    <w:tbl>
      <w:tblPr>
        <w:tblStyle w:val="913"/>
        <w:tblW w:w="86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4680"/>
        <w:gridCol w:w="1867"/>
      </w:tblGrid>
      <w:tr>
        <w:trPr>
          <w:jc w:val="center"/>
          <w:trHeight w:val="566"/>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p>
        </w:tc>
        <w:tc>
          <w:tcPr>
            <w:tcW w:w="1413"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费用明细</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费用（元）</w:t>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413"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货物费用</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413"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运输费用</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人工</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1413"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其他费用</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管理费</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1413"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税金</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利润</w:t>
            </w:r>
            <w:r/>
          </w:p>
        </w:tc>
        <w:tc>
          <w:tcPr>
            <w:tcW w:w="46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561"/>
        </w:trPr>
        <w:tc>
          <w:tcPr>
            <w:gridSpan w:val="2"/>
            <w:tcW w:w="2118" w:type="dxa"/>
            <w:vAlign w:val="center"/>
            <w:textDirection w:val="lrTb"/>
            <w:noWrap w:val="false"/>
          </w:tcPr>
          <w:p>
            <w:pPr>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p>
        </w:tc>
        <w:tc>
          <w:tcPr>
            <w:gridSpan w:val="2"/>
            <w:tcW w:w="6547"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p>
        </w:tc>
      </w:tr>
    </w:tbl>
    <w:p>
      <w:pPr>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注：1、本投标分项报价表的“项目总价之和”应与“开标一览表”投标总价一致。</w:t>
      </w:r>
      <w:r/>
    </w:p>
    <w:p>
      <w:pPr>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    2、各投标人应根据此表格式按项目分别填写报价详细清单。所列费用项目仅供参考，项目明细自拟。</w:t>
      </w:r>
      <w:r/>
    </w:p>
    <w:p>
      <w:pPr>
        <w:jc w:val="center"/>
        <w:spacing w:line="360" w:lineRule="auto"/>
        <w:widowControl w:val="off"/>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br w:type="page" w:clear="all"/>
      </w:r>
      <w:bookmarkEnd w:id="28"/>
      <w:r>
        <w:rPr>
          <w:rFonts w:hint="eastAsia" w:ascii="宋体" w:hAnsi="宋体" w:cs="宋体"/>
          <w:b/>
          <w:color w:val="000000"/>
          <w:sz w:val="28"/>
          <w:szCs w:val="28"/>
          <w:highlight w:val="none"/>
          <w:lang w:val="zh-CN"/>
        </w:rPr>
        <w:t xml:space="preserve">投标分项报价表</w:t>
      </w:r>
      <w:bookmarkEnd w:id="29"/>
      <w:r/>
      <w:bookmarkEnd w:id="30"/>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rPr>
        <w:t xml:space="preserve">2</w:t>
      </w:r>
      <w:r>
        <w:rPr>
          <w:rFonts w:hint="eastAsia" w:ascii="宋体" w:hAnsi="宋体" w:cs="宋体"/>
          <w:b/>
          <w:color w:val="000000"/>
          <w:sz w:val="28"/>
          <w:szCs w:val="28"/>
          <w:highlight w:val="none"/>
          <w:lang w:val="zh-CN"/>
        </w:rPr>
        <w:t xml:space="preserve">）</w:t>
      </w:r>
      <w:r/>
    </w:p>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165"/>
        <w:gridCol w:w="711"/>
        <w:gridCol w:w="9"/>
        <w:gridCol w:w="720"/>
        <w:gridCol w:w="720"/>
        <w:gridCol w:w="986"/>
        <w:gridCol w:w="881"/>
      </w:tblGrid>
      <w:tr>
        <w:trPr>
          <w:jc w:val="center"/>
          <w:trHeight w:val="566"/>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品牌、规格</w:t>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生产厂家</w:t>
            </w:r>
            <w:r/>
          </w:p>
        </w:tc>
        <w:tc>
          <w:tcPr>
            <w:gridSpan w:val="2"/>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交付期</w:t>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480"/>
        </w:trPr>
        <w:tc>
          <w:tcPr>
            <w:tcW w:w="70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Height w:val="561"/>
        </w:trPr>
        <w:tc>
          <w:tcPr>
            <w:gridSpan w:val="2"/>
            <w:tcW w:w="2118" w:type="dxa"/>
            <w:vAlign w:val="center"/>
            <w:textDirection w:val="lrTb"/>
            <w:noWrap w:val="false"/>
          </w:tcPr>
          <w:p>
            <w:pPr>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p>
        </w:tc>
        <w:tc>
          <w:tcPr>
            <w:gridSpan w:val="8"/>
            <w:tcW w:w="6547" w:type="dxa"/>
            <w:vAlign w:val="center"/>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p>
        </w:tc>
      </w:tr>
      <w:tr>
        <w:trPr>
          <w:jc w:val="center"/>
          <w:trHeight w:val="561"/>
        </w:trPr>
        <w:tc>
          <w:tcPr>
            <w:gridSpan w:val="10"/>
            <w:tcW w:w="8665" w:type="dxa"/>
            <w:vAlign w:val="center"/>
            <w:textDirection w:val="lrTb"/>
            <w:noWrap w:val="false"/>
          </w:tcPr>
          <w:p>
            <w:pP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交货时间：</w:t>
            </w:r>
            <w:r/>
          </w:p>
        </w:tc>
      </w:tr>
    </w:tbl>
    <w:p>
      <w:pPr>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注：1、本投标分项报价表的“项目总价之和”应与“开标一览表”投标总价一致。</w:t>
      </w:r>
      <w:r/>
    </w:p>
    <w:p>
      <w:pPr>
        <w:ind w:firstLine="420"/>
        <w:spacing w:line="360" w:lineRule="auto"/>
        <w:rPr>
          <w:rFonts w:hint="eastAsia" w:ascii="宋体" w:hAnsi="宋体" w:cs="宋体"/>
          <w:b/>
          <w:bCs/>
          <w:color w:val="000000"/>
          <w:sz w:val="21"/>
          <w:szCs w:val="21"/>
          <w:highlight w:val="none"/>
          <w:lang w:val="zh-CN"/>
        </w:rPr>
      </w:pPr>
      <w:r>
        <w:rPr>
          <w:rFonts w:hint="eastAsia" w:ascii="宋体" w:hAnsi="宋体" w:cs="宋体"/>
          <w:color w:val="000000"/>
          <w:sz w:val="21"/>
          <w:szCs w:val="21"/>
          <w:highlight w:val="none"/>
        </w:rPr>
        <w:t xml:space="preserve">    2、各投标人应根据此表格式按项目分别填写报价详细清单。</w:t>
      </w:r>
      <w:bookmarkEnd w:id="31"/>
      <w:r>
        <w:rPr>
          <w:rFonts w:hint="eastAsia" w:cs="宋体"/>
          <w:b/>
          <w:color w:val="000000"/>
          <w:sz w:val="21"/>
          <w:szCs w:val="21"/>
          <w:highlight w:val="none"/>
        </w:rPr>
        <w:br w:type="page" w:clear="all"/>
      </w:r>
      <w:r>
        <w:rPr>
          <w:rFonts w:hint="eastAsia" w:ascii="宋体" w:hAnsi="宋体" w:cs="宋体"/>
          <w:b/>
          <w:bCs/>
          <w:color w:val="000000"/>
          <w:sz w:val="21"/>
          <w:szCs w:val="21"/>
          <w:highlight w:val="none"/>
          <w:lang w:val="zh-CN"/>
        </w:rPr>
        <w:t xml:space="preserve">格式5、投标货物和服务数量、品牌、规格、质保期限说明表</w:t>
      </w:r>
      <w:r/>
    </w:p>
    <w:p>
      <w:pPr>
        <w:pStyle w:val="1125"/>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244"/>
        <w:jc w:val="center"/>
        <w:spacing w:line="360" w:lineRule="auto"/>
        <w:rPr>
          <w:rStyle w:val="1243"/>
          <w:b/>
          <w:color w:val="000000"/>
          <w:highlight w:val="none"/>
        </w:rPr>
      </w:pPr>
      <w:r>
        <w:rPr>
          <w:rStyle w:val="1243"/>
          <w:b/>
          <w:color w:val="000000"/>
          <w:highlight w:val="none"/>
        </w:rPr>
        <w:t xml:space="preserve">投标货物和服务数量、品牌、规格、</w:t>
      </w:r>
      <w:r>
        <w:rPr>
          <w:rStyle w:val="1243"/>
          <w:b/>
          <w:color w:val="000000"/>
          <w:szCs w:val="21"/>
          <w:highlight w:val="none"/>
        </w:rPr>
        <w:t xml:space="preserve">质保期限</w:t>
      </w:r>
      <w:r>
        <w:rPr>
          <w:rStyle w:val="1243"/>
          <w:b/>
          <w:color w:val="000000"/>
          <w:highlight w:val="none"/>
        </w:rPr>
        <w:t xml:space="preserve">说明表</w:t>
      </w:r>
      <w:r/>
    </w:p>
    <w:p>
      <w:pPr>
        <w:pStyle w:val="1244"/>
        <w:jc w:val="center"/>
        <w:spacing w:line="360" w:lineRule="auto"/>
        <w:rPr>
          <w:rStyle w:val="1243"/>
          <w:b/>
          <w:color w:val="000000"/>
          <w:highlight w:val="none"/>
        </w:rPr>
      </w:pPr>
      <w:r>
        <w:rPr>
          <w:rStyle w:val="1243"/>
          <w:b/>
          <w:color w:val="000000"/>
          <w:highlight w:val="none"/>
        </w:rPr>
        <w:t xml:space="preserve">（本表中不得出现价格）</w:t>
      </w:r>
      <w:r/>
    </w:p>
    <w:p>
      <w:pPr>
        <w:pStyle w:val="1244"/>
        <w:ind w:firstLine="315"/>
        <w:spacing w:line="360" w:lineRule="auto"/>
        <w:rPr>
          <w:rStyle w:val="1243"/>
          <w:color w:val="000000"/>
          <w:highlight w:val="none"/>
        </w:rPr>
      </w:pPr>
      <w:r>
        <w:rPr>
          <w:rStyle w:val="1243"/>
          <w:color w:val="000000"/>
          <w:highlight w:val="none"/>
        </w:rPr>
        <w:t xml:space="preserve">招标编号：                                        </w:t>
      </w:r>
      <w:r/>
    </w:p>
    <w:tbl>
      <w:tblPr>
        <w:tblStyle w:val="91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序号</w:t>
            </w:r>
            <w:r/>
          </w:p>
        </w:tc>
        <w:tc>
          <w:tcPr>
            <w:tcW w:w="1080" w:type="dxa"/>
            <w:vAlign w:val="top"/>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项目名称</w:t>
            </w:r>
            <w:r/>
          </w:p>
        </w:tc>
        <w:tc>
          <w:tcPr>
            <w:tcW w:w="1177" w:type="dxa"/>
            <w:vAlign w:val="center"/>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规格型号</w:t>
            </w:r>
            <w:r/>
          </w:p>
        </w:tc>
        <w:tc>
          <w:tcPr>
            <w:tcW w:w="1985" w:type="dxa"/>
            <w:vAlign w:val="center"/>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品牌、产地</w:t>
            </w:r>
            <w:r/>
          </w:p>
        </w:tc>
        <w:tc>
          <w:tcPr>
            <w:tcW w:w="1134" w:type="dxa"/>
            <w:vAlign w:val="top"/>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数量</w:t>
            </w:r>
            <w:r/>
          </w:p>
        </w:tc>
        <w:tc>
          <w:tcPr>
            <w:tcW w:w="1701" w:type="dxa"/>
            <w:vAlign w:val="top"/>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质保期限</w:t>
            </w:r>
            <w:r/>
          </w:p>
        </w:tc>
        <w:tc>
          <w:tcPr>
            <w:tcW w:w="1134" w:type="dxa"/>
            <w:vAlign w:val="top"/>
            <w:textDirection w:val="lrTb"/>
            <w:noWrap w:val="false"/>
          </w:tcPr>
          <w:p>
            <w:pPr>
              <w:jc w:val="center"/>
              <w:spacing w:line="500" w:lineRule="exact"/>
              <w:rPr>
                <w:rStyle w:val="1243"/>
                <w:color w:val="000000"/>
                <w:szCs w:val="24"/>
                <w:highlight w:val="none"/>
              </w:rPr>
            </w:pPr>
            <w:r>
              <w:rPr>
                <w:rStyle w:val="1243"/>
                <w:color w:val="000000"/>
                <w:szCs w:val="24"/>
                <w:highlight w:val="none"/>
              </w:rPr>
              <w:t xml:space="preserve">备注</w:t>
            </w:r>
            <w:r/>
          </w:p>
        </w:tc>
      </w:tr>
      <w:tr>
        <w:trPr/>
        <w:tc>
          <w:tcPr>
            <w:tcW w:w="828"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080"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177"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985"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701"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jc w:val="center"/>
              <w:spacing w:line="500" w:lineRule="exact"/>
              <w:rPr>
                <w:rStyle w:val="1243"/>
                <w:color w:val="000000"/>
                <w:szCs w:val="24"/>
                <w:highlight w:val="none"/>
              </w:rPr>
            </w:pPr>
            <w:r>
              <w:rPr>
                <w:color w:val="000000"/>
                <w:szCs w:val="24"/>
                <w:highlight w:val="none"/>
              </w:rPr>
            </w:r>
            <w:r/>
          </w:p>
        </w:tc>
      </w:tr>
      <w:tr>
        <w:trPr/>
        <w:tc>
          <w:tcPr>
            <w:tcW w:w="828"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080"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77"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985"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701"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spacing w:line="500" w:lineRule="exact"/>
              <w:rPr>
                <w:rStyle w:val="1243"/>
                <w:color w:val="000000"/>
                <w:szCs w:val="24"/>
                <w:highlight w:val="none"/>
              </w:rPr>
            </w:pPr>
            <w:r>
              <w:rPr>
                <w:color w:val="000000"/>
                <w:szCs w:val="24"/>
                <w:highlight w:val="none"/>
              </w:rPr>
            </w:r>
            <w:r/>
          </w:p>
        </w:tc>
      </w:tr>
      <w:tr>
        <w:trPr/>
        <w:tc>
          <w:tcPr>
            <w:tcW w:w="828"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080"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77"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985"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701" w:type="dxa"/>
            <w:vAlign w:val="top"/>
            <w:textDirection w:val="lrTb"/>
            <w:noWrap w:val="false"/>
          </w:tcPr>
          <w:p>
            <w:pPr>
              <w:spacing w:line="500" w:lineRule="exact"/>
              <w:rPr>
                <w:rStyle w:val="1243"/>
                <w:color w:val="000000"/>
                <w:szCs w:val="24"/>
                <w:highlight w:val="none"/>
              </w:rPr>
            </w:pPr>
            <w:r>
              <w:rPr>
                <w:color w:val="000000"/>
                <w:szCs w:val="24"/>
                <w:highlight w:val="none"/>
              </w:rPr>
            </w:r>
            <w:r/>
          </w:p>
        </w:tc>
        <w:tc>
          <w:tcPr>
            <w:tcW w:w="1134" w:type="dxa"/>
            <w:vAlign w:val="top"/>
            <w:textDirection w:val="lrTb"/>
            <w:noWrap w:val="false"/>
          </w:tcPr>
          <w:p>
            <w:pPr>
              <w:spacing w:line="500" w:lineRule="exact"/>
              <w:rPr>
                <w:rStyle w:val="1243"/>
                <w:color w:val="000000"/>
                <w:szCs w:val="24"/>
                <w:highlight w:val="none"/>
              </w:rPr>
            </w:pPr>
            <w:r>
              <w:rPr>
                <w:color w:val="000000"/>
                <w:szCs w:val="24"/>
                <w:highlight w:val="none"/>
              </w:rPr>
            </w:r>
            <w:r/>
          </w:p>
        </w:tc>
      </w:tr>
    </w:tbl>
    <w:p>
      <w:pPr>
        <w:pStyle w:val="1244"/>
        <w:jc w:val="left"/>
        <w:spacing w:line="360" w:lineRule="auto"/>
        <w:rPr>
          <w:rStyle w:val="1243"/>
          <w:color w:val="000000"/>
          <w:highlight w:val="none"/>
        </w:rPr>
      </w:pPr>
      <w:r>
        <w:rPr>
          <w:color w:val="000000"/>
          <w:highlight w:val="none"/>
        </w:rPr>
      </w:r>
      <w:r/>
    </w:p>
    <w:p>
      <w:pPr>
        <w:pStyle w:val="1244"/>
        <w:jc w:val="left"/>
        <w:spacing w:line="360" w:lineRule="auto"/>
        <w:rPr>
          <w:rStyle w:val="1243"/>
          <w:color w:val="000000"/>
          <w:highlight w:val="none"/>
        </w:rPr>
      </w:pPr>
      <w:r>
        <w:rPr>
          <w:rStyle w:val="1243"/>
          <w:color w:val="000000"/>
          <w:highlight w:val="none"/>
        </w:rPr>
        <w:t xml:space="preserve">投标单位：（公章）</w:t>
      </w:r>
      <w:r/>
    </w:p>
    <w:p>
      <w:pPr>
        <w:spacing w:line="360" w:lineRule="auto"/>
        <w:rPr>
          <w:rStyle w:val="1243"/>
          <w:color w:val="000000"/>
          <w:szCs w:val="24"/>
          <w:highlight w:val="none"/>
        </w:rPr>
      </w:pPr>
      <w:r>
        <w:rPr>
          <w:rStyle w:val="1243"/>
          <w:color w:val="000000"/>
          <w:szCs w:val="24"/>
          <w:highlight w:val="none"/>
        </w:rPr>
        <w:t xml:space="preserve">日期：           年  月  日</w:t>
      </w:r>
      <w:r/>
    </w:p>
    <w:p>
      <w:pPr>
        <w:spacing w:line="360" w:lineRule="auto"/>
        <w:rPr>
          <w:rStyle w:val="1243"/>
          <w:b/>
          <w:color w:val="000000"/>
          <w:szCs w:val="21"/>
          <w:highlight w:val="none"/>
        </w:rPr>
      </w:pPr>
      <w:r>
        <w:rPr>
          <w:rStyle w:val="1243"/>
          <w:b/>
          <w:color w:val="000000"/>
          <w:szCs w:val="24"/>
          <w:highlight w:val="none"/>
        </w:rPr>
        <w:t xml:space="preserve">备注：1、</w:t>
      </w:r>
      <w:r>
        <w:rPr>
          <w:rStyle w:val="1243"/>
          <w:b/>
          <w:color w:val="000000"/>
          <w:szCs w:val="21"/>
          <w:highlight w:val="none"/>
        </w:rPr>
        <w:t xml:space="preserve">投标单位应对各投标设备及部件的内容详细列出，信息应与“投标报价分析表”内容一致，本表中不得出现价格。</w:t>
      </w:r>
      <w:r/>
    </w:p>
    <w:p>
      <w:pPr>
        <w:pStyle w:val="1117"/>
        <w:rPr>
          <w:b/>
          <w:bCs/>
          <w:color w:val="000000"/>
          <w:sz w:val="21"/>
          <w:szCs w:val="21"/>
          <w:highlight w:val="none"/>
        </w:rPr>
      </w:pPr>
      <w:r>
        <w:rPr>
          <w:rFonts w:hint="eastAsia"/>
          <w:b/>
          <w:bCs/>
          <w:color w:val="000000"/>
          <w:sz w:val="21"/>
          <w:szCs w:val="21"/>
          <w:highlight w:val="none"/>
        </w:rPr>
        <w:t xml:space="preserve">（格式为参考，投标单位可参照下述格式自制表格投标，但至少应包括下述格式中的内容，没有参考格式的则可根据情况自行编制）</w:t>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pStyle w:val="1244"/>
        <w:spacing w:line="360" w:lineRule="auto"/>
        <w:rPr>
          <w:rStyle w:val="1243"/>
          <w:rFonts w:hint="eastAsia"/>
          <w:b/>
          <w:bCs/>
          <w:color w:val="000000"/>
          <w:szCs w:val="21"/>
          <w:highlight w:val="none"/>
        </w:rPr>
      </w:pPr>
      <w:r>
        <w:rPr>
          <w:rFonts w:hint="eastAsia"/>
          <w:b/>
          <w:bCs/>
          <w:color w:val="000000"/>
          <w:szCs w:val="21"/>
          <w:highlight w:val="none"/>
        </w:rPr>
      </w:r>
      <w:r/>
    </w:p>
    <w:p>
      <w:pPr>
        <w:spacing w:line="360" w:lineRule="auto"/>
        <w:rPr>
          <w:rFonts w:ascii="宋体" w:hAnsi="宋体"/>
          <w:b/>
          <w:bCs/>
          <w:sz w:val="21"/>
          <w:szCs w:val="21"/>
        </w:rPr>
      </w:pPr>
      <w:r>
        <w:rPr>
          <w:rFonts w:hint="eastAsia" w:ascii="宋体" w:hAnsi="宋体" w:cs="宋体"/>
          <w:b/>
          <w:bCs/>
          <w:sz w:val="21"/>
          <w:szCs w:val="21"/>
        </w:rPr>
        <w:t xml:space="preserve">附件</w:t>
      </w:r>
      <w:r>
        <w:rPr>
          <w:rFonts w:hint="eastAsia" w:ascii="宋体" w:hAnsi="宋体" w:cs="宋体"/>
          <w:b/>
          <w:bCs/>
          <w:sz w:val="21"/>
          <w:szCs w:val="21"/>
          <w:lang w:val="en-US" w:eastAsia="zh-CN"/>
        </w:rPr>
        <w:t xml:space="preserve">6</w:t>
      </w:r>
      <w:r>
        <w:rPr>
          <w:rFonts w:hint="eastAsia" w:ascii="宋体" w:hAnsi="宋体" w:cs="宋体"/>
          <w:b/>
          <w:bCs/>
          <w:sz w:val="21"/>
          <w:szCs w:val="21"/>
          <w:lang w:eastAsia="zh-CN"/>
        </w:rPr>
        <w:t xml:space="preserve">、</w:t>
      </w:r>
      <w:r>
        <w:rPr>
          <w:rFonts w:hint="eastAsia" w:ascii="宋体" w:hAnsi="宋体" w:cs="宋体"/>
          <w:b/>
          <w:bCs/>
          <w:sz w:val="21"/>
          <w:szCs w:val="21"/>
        </w:rPr>
        <w:t xml:space="preserve">随车器材清单</w:t>
      </w:r>
      <w:r/>
    </w:p>
    <w:p>
      <w:pPr>
        <w:ind w:firstLine="422"/>
        <w:jc w:val="center"/>
        <w:spacing w:line="360" w:lineRule="auto"/>
        <w:rPr>
          <w:rFonts w:ascii="宋体" w:hAnsi="宋体"/>
          <w:sz w:val="21"/>
          <w:szCs w:val="21"/>
          <w:lang w:val="zh-CN"/>
        </w:rPr>
      </w:pPr>
      <w:r>
        <w:rPr>
          <w:rFonts w:hint="eastAsia" w:ascii="宋体" w:hAnsi="宋体" w:cs="宋体"/>
          <w:b/>
          <w:bCs/>
          <w:sz w:val="21"/>
          <w:szCs w:val="21"/>
        </w:rPr>
        <w:t xml:space="preserve">随车器材清单</w:t>
      </w:r>
      <w:r/>
    </w:p>
    <w:p>
      <w:pPr>
        <w:ind w:firstLine="422"/>
        <w:spacing w:line="360" w:lineRule="auto"/>
        <w:rPr>
          <w:rFonts w:ascii="宋体" w:hAnsi="宋体"/>
          <w:sz w:val="21"/>
          <w:szCs w:val="21"/>
          <w:lang w:val="zh-CN"/>
        </w:rPr>
      </w:pPr>
      <w:r>
        <w:rPr>
          <w:rFonts w:hint="eastAsia" w:ascii="宋体" w:hAnsi="宋体"/>
          <w:sz w:val="21"/>
          <w:szCs w:val="21"/>
          <w:lang w:val="zh-CN"/>
        </w:rPr>
        <w:t xml:space="preserve">招标编号：</w:t>
      </w:r>
      <w:r/>
    </w:p>
    <w:tbl>
      <w:tblPr>
        <w:tblStyle w:val="913"/>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ascii="宋体" w:hAnsi="宋体"/>
                <w:sz w:val="21"/>
                <w:szCs w:val="21"/>
                <w:lang w:val="zh-CN"/>
              </w:rPr>
            </w:pPr>
            <w:r>
              <w:rPr>
                <w:rFonts w:hint="eastAsia" w:ascii="宋体" w:hAnsi="宋体"/>
                <w:sz w:val="21"/>
                <w:szCs w:val="21"/>
                <w:lang w:val="zh-CN"/>
              </w:rPr>
              <w:t xml:space="preserve">序号</w:t>
            </w:r>
            <w:r/>
          </w:p>
        </w:tc>
        <w:tc>
          <w:tcPr>
            <w:tcW w:w="1316" w:type="dxa"/>
            <w:vAlign w:val="center"/>
            <w:textDirection w:val="lrTb"/>
            <w:noWrap w:val="false"/>
          </w:tcPr>
          <w:p>
            <w:pPr>
              <w:rPr>
                <w:rFonts w:ascii="宋体" w:hAnsi="宋体"/>
                <w:sz w:val="21"/>
                <w:szCs w:val="21"/>
                <w:lang w:val="zh-CN"/>
              </w:rPr>
            </w:pPr>
            <w:r>
              <w:rPr>
                <w:rFonts w:hint="eastAsia" w:ascii="宋体" w:hAnsi="宋体"/>
                <w:sz w:val="21"/>
                <w:szCs w:val="21"/>
              </w:rPr>
              <w:t xml:space="preserve">器材</w:t>
            </w:r>
            <w:r>
              <w:rPr>
                <w:rFonts w:hint="eastAsia" w:ascii="宋体" w:hAnsi="宋体"/>
                <w:sz w:val="21"/>
                <w:szCs w:val="21"/>
                <w:lang w:val="zh-CN"/>
              </w:rPr>
              <w:t xml:space="preserve">名称</w:t>
            </w:r>
            <w:r/>
          </w:p>
        </w:tc>
        <w:tc>
          <w:tcPr>
            <w:tcW w:w="1034" w:type="dxa"/>
            <w:vAlign w:val="center"/>
            <w:textDirection w:val="lrTb"/>
            <w:noWrap w:val="false"/>
          </w:tcPr>
          <w:p>
            <w:pPr>
              <w:rPr>
                <w:rFonts w:ascii="宋体" w:hAnsi="宋体"/>
                <w:sz w:val="21"/>
                <w:szCs w:val="21"/>
              </w:rPr>
            </w:pPr>
            <w:r>
              <w:rPr>
                <w:rFonts w:hint="eastAsia" w:ascii="宋体" w:hAnsi="宋体"/>
                <w:sz w:val="21"/>
                <w:szCs w:val="21"/>
                <w:lang w:val="zh-CN"/>
              </w:rPr>
              <w:t xml:space="preserve">品牌、</w:t>
            </w:r>
            <w:r>
              <w:rPr>
                <w:rFonts w:hint="eastAsia" w:ascii="宋体" w:hAnsi="宋体"/>
                <w:sz w:val="21"/>
                <w:szCs w:val="21"/>
              </w:rPr>
              <w:t xml:space="preserve">型号</w:t>
            </w:r>
            <w:r/>
          </w:p>
        </w:tc>
        <w:tc>
          <w:tcPr>
            <w:tcW w:w="1276" w:type="dxa"/>
            <w:vAlign w:val="center"/>
            <w:textDirection w:val="lrTb"/>
            <w:noWrap w:val="false"/>
          </w:tcPr>
          <w:p>
            <w:pPr>
              <w:rPr>
                <w:rFonts w:ascii="宋体" w:hAnsi="宋体"/>
                <w:sz w:val="21"/>
                <w:szCs w:val="21"/>
              </w:rPr>
            </w:pPr>
            <w:r>
              <w:rPr>
                <w:rFonts w:hint="eastAsia" w:ascii="宋体" w:hAnsi="宋体"/>
                <w:sz w:val="21"/>
                <w:szCs w:val="21"/>
              </w:rPr>
              <w:t xml:space="preserve">生产厂家</w:t>
            </w:r>
            <w:r/>
          </w:p>
        </w:tc>
        <w:tc>
          <w:tcPr>
            <w:tcW w:w="803" w:type="dxa"/>
            <w:vAlign w:val="center"/>
            <w:textDirection w:val="lrTb"/>
            <w:noWrap w:val="false"/>
          </w:tcPr>
          <w:p>
            <w:pPr>
              <w:rPr>
                <w:rFonts w:ascii="宋体" w:hAnsi="宋体"/>
                <w:sz w:val="21"/>
                <w:szCs w:val="21"/>
                <w:lang w:val="zh-CN"/>
              </w:rPr>
            </w:pPr>
            <w:r>
              <w:rPr>
                <w:rFonts w:hint="eastAsia" w:ascii="宋体" w:hAnsi="宋体"/>
                <w:sz w:val="21"/>
                <w:szCs w:val="21"/>
                <w:lang w:val="zh-CN"/>
              </w:rPr>
              <w:t xml:space="preserve">单位</w:t>
            </w:r>
            <w:r/>
          </w:p>
        </w:tc>
        <w:tc>
          <w:tcPr>
            <w:tcW w:w="748" w:type="dxa"/>
            <w:vAlign w:val="center"/>
            <w:textDirection w:val="lrTb"/>
            <w:noWrap w:val="false"/>
          </w:tcPr>
          <w:p>
            <w:pPr>
              <w:rPr>
                <w:rFonts w:ascii="宋体" w:hAnsi="宋体"/>
                <w:sz w:val="21"/>
                <w:szCs w:val="21"/>
                <w:lang w:val="zh-CN"/>
              </w:rPr>
            </w:pPr>
            <w:r>
              <w:rPr>
                <w:rFonts w:hint="eastAsia" w:ascii="宋体" w:hAnsi="宋体"/>
                <w:sz w:val="21"/>
                <w:szCs w:val="21"/>
                <w:lang w:val="zh-CN"/>
              </w:rPr>
              <w:t xml:space="preserve">数量</w:t>
            </w:r>
            <w:r/>
          </w:p>
        </w:tc>
        <w:tc>
          <w:tcPr>
            <w:tcW w:w="748" w:type="dxa"/>
            <w:vAlign w:val="center"/>
            <w:textDirection w:val="lrTb"/>
            <w:noWrap w:val="false"/>
          </w:tcPr>
          <w:p>
            <w:pPr>
              <w:rPr>
                <w:rFonts w:ascii="宋体" w:hAnsi="宋体"/>
                <w:sz w:val="21"/>
                <w:szCs w:val="21"/>
                <w:lang w:val="zh-CN"/>
              </w:rPr>
            </w:pPr>
            <w:r>
              <w:rPr>
                <w:rFonts w:hint="eastAsia" w:ascii="宋体" w:hAnsi="宋体"/>
                <w:sz w:val="21"/>
                <w:szCs w:val="21"/>
                <w:lang w:val="zh-CN"/>
              </w:rPr>
              <w:t xml:space="preserve">单价</w:t>
            </w:r>
            <w:r/>
          </w:p>
        </w:tc>
        <w:tc>
          <w:tcPr>
            <w:tcW w:w="1024" w:type="dxa"/>
            <w:vAlign w:val="center"/>
            <w:textDirection w:val="lrTb"/>
            <w:noWrap w:val="false"/>
          </w:tcPr>
          <w:p>
            <w:pPr>
              <w:rPr>
                <w:rFonts w:ascii="宋体" w:hAnsi="宋体"/>
                <w:sz w:val="21"/>
                <w:szCs w:val="21"/>
                <w:lang w:val="zh-CN"/>
              </w:rPr>
            </w:pPr>
            <w:r>
              <w:rPr>
                <w:rFonts w:hint="eastAsia" w:ascii="宋体" w:hAnsi="宋体"/>
                <w:sz w:val="21"/>
                <w:szCs w:val="21"/>
                <w:lang w:val="zh-CN"/>
              </w:rPr>
              <w:t xml:space="preserve">总价</w:t>
            </w:r>
            <w:r/>
          </w:p>
        </w:tc>
        <w:tc>
          <w:tcPr>
            <w:tcW w:w="1875" w:type="dxa"/>
            <w:vAlign w:val="center"/>
            <w:textDirection w:val="lrTb"/>
            <w:noWrap w:val="false"/>
          </w:tcPr>
          <w:p>
            <w:pPr>
              <w:rPr>
                <w:rFonts w:ascii="宋体" w:hAnsi="宋体"/>
                <w:sz w:val="21"/>
                <w:szCs w:val="21"/>
              </w:rPr>
            </w:pPr>
            <w:r>
              <w:rPr>
                <w:rFonts w:hint="eastAsia" w:ascii="宋体" w:hAnsi="宋体"/>
                <w:sz w:val="21"/>
                <w:szCs w:val="21"/>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tcW w:w="63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316"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3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276" w:type="dxa"/>
            <w:vAlign w:val="center"/>
            <w:textDirection w:val="lrTb"/>
            <w:noWrap w:val="false"/>
          </w:tcPr>
          <w:p>
            <w:pPr>
              <w:ind w:firstLine="422"/>
              <w:jc w:val="center"/>
              <w:rPr>
                <w:rFonts w:ascii="宋体" w:hAnsi="宋体"/>
                <w:sz w:val="21"/>
                <w:szCs w:val="21"/>
              </w:rPr>
            </w:pPr>
            <w:r>
              <w:rPr>
                <w:rFonts w:ascii="宋体" w:hAnsi="宋体"/>
                <w:sz w:val="21"/>
                <w:szCs w:val="21"/>
              </w:rPr>
            </w:r>
            <w:r/>
          </w:p>
        </w:tc>
        <w:tc>
          <w:tcPr>
            <w:tcW w:w="803"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748"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024" w:type="dxa"/>
            <w:vAlign w:val="center"/>
            <w:textDirection w:val="lrTb"/>
            <w:noWrap w:val="false"/>
          </w:tcPr>
          <w:p>
            <w:pPr>
              <w:ind w:firstLine="422"/>
              <w:jc w:val="center"/>
              <w:rPr>
                <w:rFonts w:ascii="宋体" w:hAnsi="宋体"/>
                <w:sz w:val="21"/>
                <w:szCs w:val="21"/>
                <w:lang w:val="zh-CN"/>
              </w:rPr>
            </w:pPr>
            <w:r>
              <w:rPr>
                <w:rFonts w:ascii="宋体" w:hAnsi="宋体"/>
                <w:sz w:val="21"/>
                <w:szCs w:val="21"/>
                <w:lang w:val="zh-CN"/>
              </w:rPr>
            </w:r>
            <w:r/>
          </w:p>
        </w:tc>
        <w:tc>
          <w:tcPr>
            <w:tcW w:w="1875" w:type="dxa"/>
            <w:vAlign w:val="center"/>
            <w:textDirection w:val="lrTb"/>
            <w:noWrap w:val="false"/>
          </w:tcPr>
          <w:p>
            <w:pPr>
              <w:ind w:firstLine="422"/>
              <w:jc w:val="center"/>
              <w:rPr>
                <w:rFonts w:ascii="宋体" w:hAnsi="宋体"/>
                <w:sz w:val="21"/>
                <w:szCs w:val="21"/>
              </w:rPr>
            </w:pPr>
            <w:r>
              <w:rPr>
                <w:rFonts w:ascii="宋体" w:hAnsi="宋体"/>
                <w:sz w:val="21"/>
                <w:szCs w:val="21"/>
              </w:rPr>
            </w:r>
            <w:r/>
          </w:p>
        </w:tc>
      </w:tr>
      <w:tr>
        <w:trPr>
          <w:jc w:val="center"/>
          <w:trHeight w:val="20"/>
        </w:trPr>
        <w:tc>
          <w:tcPr>
            <w:gridSpan w:val="2"/>
            <w:tcW w:w="1954" w:type="dxa"/>
            <w:vAlign w:val="center"/>
            <w:textDirection w:val="lrTb"/>
            <w:noWrap w:val="false"/>
          </w:tcPr>
          <w:p>
            <w:pPr>
              <w:ind w:firstLine="422"/>
              <w:jc w:val="center"/>
              <w:rPr>
                <w:rFonts w:ascii="宋体" w:hAnsi="宋体"/>
                <w:sz w:val="21"/>
                <w:szCs w:val="21"/>
                <w:lang w:val="zh-CN"/>
              </w:rPr>
            </w:pPr>
            <w:r>
              <w:rPr>
                <w:rFonts w:hint="eastAsia" w:ascii="宋体" w:hAnsi="宋体"/>
                <w:sz w:val="21"/>
                <w:szCs w:val="21"/>
              </w:rPr>
              <w:t xml:space="preserve">合计金额</w:t>
            </w:r>
            <w:r>
              <w:rPr>
                <w:rFonts w:hint="eastAsia" w:ascii="宋体" w:hAnsi="宋体"/>
                <w:sz w:val="21"/>
                <w:szCs w:val="21"/>
                <w:lang w:val="zh-CN"/>
              </w:rPr>
              <w:t xml:space="preserve">：</w:t>
            </w:r>
            <w:r/>
          </w:p>
        </w:tc>
        <w:tc>
          <w:tcPr>
            <w:gridSpan w:val="7"/>
            <w:tcW w:w="7508" w:type="dxa"/>
            <w:vAlign w:val="center"/>
            <w:textDirection w:val="lrTb"/>
            <w:noWrap w:val="false"/>
          </w:tcPr>
          <w:p>
            <w:pPr>
              <w:ind w:firstLine="422"/>
              <w:jc w:val="center"/>
              <w:rPr>
                <w:rFonts w:ascii="宋体" w:hAnsi="宋体"/>
                <w:sz w:val="21"/>
                <w:szCs w:val="21"/>
              </w:rPr>
            </w:pPr>
            <w:r>
              <w:rPr>
                <w:rFonts w:hint="eastAsia" w:ascii="宋体" w:hAnsi="宋体"/>
                <w:sz w:val="21"/>
                <w:szCs w:val="21"/>
                <w:lang w:val="zh-CN"/>
              </w:rPr>
              <w:t xml:space="preserve">大写：元</w:t>
            </w:r>
            <w:r/>
          </w:p>
        </w:tc>
      </w:tr>
    </w:tbl>
    <w:p>
      <w:pPr>
        <w:pStyle w:val="1189"/>
        <w:ind w:firstLine="420"/>
        <w:spacing w:line="360" w:lineRule="auto"/>
        <w:rPr>
          <w:rFonts w:hAnsi="宋体" w:eastAsia="宋体"/>
          <w:sz w:val="21"/>
          <w:szCs w:val="21"/>
        </w:rPr>
      </w:pPr>
      <w:r>
        <w:rPr>
          <w:rFonts w:hAnsi="宋体" w:eastAsia="宋体"/>
          <w:sz w:val="21"/>
          <w:szCs w:val="21"/>
        </w:rPr>
      </w:r>
      <w:r/>
    </w:p>
    <w:p>
      <w:pPr>
        <w:pStyle w:val="1244"/>
        <w:jc w:val="left"/>
        <w:spacing w:line="360" w:lineRule="auto"/>
        <w:rPr>
          <w:rStyle w:val="1243"/>
          <w:color w:val="000000"/>
          <w:highlight w:val="none"/>
        </w:rPr>
      </w:pPr>
      <w:r>
        <w:rPr>
          <w:rStyle w:val="1243"/>
          <w:color w:val="000000"/>
          <w:highlight w:val="none"/>
        </w:rPr>
        <w:t xml:space="preserve">投标单位：（公章）</w:t>
      </w:r>
      <w:r/>
    </w:p>
    <w:p>
      <w:pPr>
        <w:pStyle w:val="1245"/>
        <w:ind w:firstLine="0"/>
        <w:spacing w:line="360" w:lineRule="auto"/>
        <w:rPr>
          <w:rStyle w:val="1243"/>
          <w:color w:val="000000"/>
          <w:szCs w:val="26"/>
          <w:highlight w:val="none"/>
        </w:rPr>
      </w:pPr>
      <w:r>
        <w:rPr>
          <w:rStyle w:val="1243"/>
          <w:color w:val="000000"/>
          <w:szCs w:val="26"/>
          <w:highlight w:val="none"/>
        </w:rPr>
        <w:t xml:space="preserve">法定代表人或委托代理人（签字或盖章）：</w:t>
      </w:r>
      <w:r/>
    </w:p>
    <w:p>
      <w:pPr>
        <w:pStyle w:val="1245"/>
        <w:ind w:firstLine="0"/>
        <w:spacing w:line="360" w:lineRule="auto"/>
        <w:rPr>
          <w:rStyle w:val="1243"/>
          <w:color w:val="000000"/>
          <w:szCs w:val="26"/>
          <w:highlight w:val="none"/>
        </w:rPr>
      </w:pPr>
      <w:r>
        <w:rPr>
          <w:rStyle w:val="1243"/>
          <w:color w:val="000000"/>
          <w:szCs w:val="26"/>
          <w:highlight w:val="none"/>
        </w:rPr>
        <w:t xml:space="preserve">日期：   年  月  日</w:t>
      </w:r>
      <w:r/>
    </w:p>
    <w:p>
      <w:pPr>
        <w:pStyle w:val="1244"/>
        <w:spacing w:line="360" w:lineRule="auto"/>
        <w:rPr>
          <w:rStyle w:val="1243"/>
          <w:rFonts w:hint="eastAsia"/>
          <w:b/>
          <w:bCs/>
          <w:color w:val="000000"/>
          <w:szCs w:val="21"/>
          <w:highlight w:val="none"/>
        </w:rPr>
      </w:pPr>
      <w:r>
        <w:rPr>
          <w:rStyle w:val="1243"/>
          <w:rFonts w:hint="eastAsia"/>
          <w:b/>
          <w:bCs/>
          <w:color w:val="000000"/>
          <w:szCs w:val="21"/>
          <w:highlight w:val="none"/>
        </w:rPr>
        <w:br w:type="page" w:clear="all"/>
      </w:r>
      <w:r>
        <w:rPr>
          <w:rFonts w:hint="eastAsia" w:hAnsi="宋体" w:eastAsia="宋体" w:cs="宋体"/>
          <w:b/>
          <w:bCs/>
          <w:color w:val="000000"/>
          <w:sz w:val="21"/>
          <w:szCs w:val="21"/>
          <w:highlight w:val="none"/>
          <w:lang w:val="zh-CN"/>
        </w:rPr>
        <w:t xml:space="preserve">格式</w:t>
      </w:r>
      <w:r>
        <w:rPr>
          <w:rFonts w:hint="eastAsia" w:hAnsi="宋体" w:eastAsia="宋体" w:cs="宋体"/>
          <w:b/>
          <w:bCs/>
          <w:color w:val="000000"/>
          <w:sz w:val="21"/>
          <w:szCs w:val="21"/>
          <w:highlight w:val="none"/>
          <w:lang w:val="en-US" w:eastAsia="zh-CN"/>
        </w:rPr>
        <w:t xml:space="preserve">7</w:t>
      </w:r>
      <w:r>
        <w:rPr>
          <w:rFonts w:hint="eastAsia" w:hAnsi="宋体" w:eastAsia="宋体" w:cs="宋体"/>
          <w:b/>
          <w:bCs/>
          <w:color w:val="000000"/>
          <w:sz w:val="21"/>
          <w:szCs w:val="21"/>
          <w:highlight w:val="none"/>
          <w:lang w:val="zh-CN"/>
        </w:rPr>
        <w:t xml:space="preserve">、</w:t>
      </w:r>
      <w:r>
        <w:rPr>
          <w:rStyle w:val="1243"/>
          <w:rFonts w:hint="eastAsia"/>
          <w:b/>
          <w:color w:val="000000"/>
          <w:highlight w:val="none"/>
        </w:rPr>
        <w:t xml:space="preserve">质保期内备品备件、易损件一览表</w:t>
      </w:r>
      <w:r/>
    </w:p>
    <w:p>
      <w:pPr>
        <w:pStyle w:val="1244"/>
        <w:jc w:val="center"/>
        <w:spacing w:line="360" w:lineRule="auto"/>
        <w:rPr>
          <w:rStyle w:val="1243"/>
          <w:rFonts w:hint="eastAsia"/>
          <w:b/>
          <w:color w:val="000000"/>
          <w:highlight w:val="none"/>
        </w:rPr>
      </w:pPr>
      <w:r>
        <w:rPr>
          <w:rStyle w:val="1243"/>
          <w:rFonts w:hint="eastAsia"/>
          <w:b/>
          <w:color w:val="000000"/>
          <w:highlight w:val="none"/>
        </w:rPr>
        <w:t xml:space="preserve">质保期内备品备件、易损件一览表</w:t>
      </w:r>
      <w:r/>
    </w:p>
    <w:p>
      <w:pPr>
        <w:pStyle w:val="1244"/>
        <w:ind w:firstLine="315"/>
        <w:spacing w:line="360" w:lineRule="auto"/>
        <w:rPr>
          <w:rStyle w:val="1243"/>
          <w:color w:val="000000"/>
          <w:highlight w:val="none"/>
        </w:rPr>
      </w:pPr>
      <w:r>
        <w:rPr>
          <w:rStyle w:val="1243"/>
          <w:color w:val="000000"/>
          <w:highlight w:val="none"/>
        </w:rPr>
        <w:t xml:space="preserve">招标编号：                                     </w:t>
      </w:r>
      <w:r/>
    </w:p>
    <w:tbl>
      <w:tblPr>
        <w:tblStyle w:val="9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77"/>
        <w:gridCol w:w="1777"/>
        <w:gridCol w:w="1779"/>
        <w:gridCol w:w="2930"/>
      </w:tblGrid>
      <w:tr>
        <w:trPr/>
        <w:tc>
          <w:tcPr>
            <w:tcW w:w="1075" w:type="dxa"/>
            <w:vAlign w:val="top"/>
            <w:textDirection w:val="lrTb"/>
            <w:noWrap w:val="false"/>
          </w:tcPr>
          <w:p>
            <w:pPr>
              <w:pStyle w:val="1245"/>
              <w:ind w:firstLine="0"/>
              <w:jc w:val="center"/>
              <w:spacing w:line="360" w:lineRule="auto"/>
              <w:rPr>
                <w:rStyle w:val="1243"/>
                <w:color w:val="000000"/>
                <w:highlight w:val="none"/>
              </w:rPr>
            </w:pPr>
            <w:r>
              <w:rPr>
                <w:rStyle w:val="1243"/>
                <w:color w:val="000000"/>
                <w:highlight w:val="none"/>
              </w:rPr>
              <w:t xml:space="preserve">设备（配件）名称</w:t>
            </w:r>
            <w:r/>
          </w:p>
        </w:tc>
        <w:tc>
          <w:tcPr>
            <w:tcW w:w="1075" w:type="dxa"/>
            <w:vAlign w:val="top"/>
            <w:textDirection w:val="lrTb"/>
            <w:noWrap w:val="false"/>
          </w:tcPr>
          <w:p>
            <w:pPr>
              <w:pStyle w:val="1245"/>
              <w:ind w:firstLine="0"/>
              <w:jc w:val="center"/>
              <w:spacing w:line="360" w:lineRule="auto"/>
              <w:rPr>
                <w:rStyle w:val="1243"/>
                <w:color w:val="000000"/>
                <w:highlight w:val="none"/>
              </w:rPr>
            </w:pPr>
            <w:r>
              <w:rPr>
                <w:rStyle w:val="1243"/>
                <w:color w:val="000000"/>
                <w:highlight w:val="none"/>
              </w:rPr>
              <w:t xml:space="preserve">型号规格</w:t>
            </w:r>
            <w:r/>
          </w:p>
        </w:tc>
        <w:tc>
          <w:tcPr>
            <w:tcW w:w="1076" w:type="dxa"/>
            <w:vAlign w:val="top"/>
            <w:textDirection w:val="lrTb"/>
            <w:noWrap w:val="false"/>
          </w:tcPr>
          <w:p>
            <w:pPr>
              <w:pStyle w:val="1245"/>
              <w:ind w:firstLine="0"/>
              <w:jc w:val="center"/>
              <w:spacing w:line="360" w:lineRule="auto"/>
              <w:rPr>
                <w:rStyle w:val="1243"/>
                <w:color w:val="000000"/>
                <w:highlight w:val="none"/>
              </w:rPr>
            </w:pPr>
            <w:r>
              <w:rPr>
                <w:rStyle w:val="1243"/>
                <w:color w:val="000000"/>
                <w:highlight w:val="none"/>
              </w:rPr>
              <w:t xml:space="preserve">数量</w:t>
            </w:r>
            <w:r/>
          </w:p>
        </w:tc>
        <w:tc>
          <w:tcPr>
            <w:tcW w:w="1772" w:type="dxa"/>
            <w:vAlign w:val="top"/>
            <w:textDirection w:val="lrTb"/>
            <w:noWrap w:val="false"/>
          </w:tcPr>
          <w:p>
            <w:pPr>
              <w:pStyle w:val="1245"/>
              <w:ind w:firstLine="0"/>
              <w:jc w:val="center"/>
              <w:spacing w:line="360" w:lineRule="auto"/>
              <w:rPr>
                <w:rStyle w:val="1243"/>
                <w:color w:val="000000"/>
                <w:highlight w:val="none"/>
              </w:rPr>
            </w:pPr>
            <w:r>
              <w:rPr>
                <w:rStyle w:val="1243"/>
                <w:color w:val="000000"/>
                <w:highlight w:val="none"/>
              </w:rPr>
              <w:t xml:space="preserve">备注</w:t>
            </w:r>
            <w:r/>
          </w:p>
        </w:tc>
      </w:tr>
      <w:tr>
        <w:trPr/>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6"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772"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r>
      <w:tr>
        <w:trPr/>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6"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772"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r>
      <w:tr>
        <w:trPr/>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5"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076"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c>
          <w:tcPr>
            <w:tcW w:w="1772" w:type="dxa"/>
            <w:vAlign w:val="top"/>
            <w:textDirection w:val="lrTb"/>
            <w:noWrap w:val="false"/>
          </w:tcPr>
          <w:p>
            <w:pPr>
              <w:pStyle w:val="1245"/>
              <w:ind w:firstLine="0"/>
              <w:spacing w:line="360" w:lineRule="auto"/>
              <w:rPr>
                <w:rStyle w:val="1243"/>
                <w:color w:val="000000"/>
                <w:highlight w:val="none"/>
              </w:rPr>
            </w:pPr>
            <w:r>
              <w:rPr>
                <w:color w:val="000000"/>
                <w:highlight w:val="none"/>
              </w:rPr>
            </w:r>
            <w:r/>
          </w:p>
        </w:tc>
      </w:tr>
    </w:tbl>
    <w:p>
      <w:pPr>
        <w:pStyle w:val="1244"/>
        <w:jc w:val="left"/>
        <w:spacing w:line="360" w:lineRule="auto"/>
        <w:rPr>
          <w:rStyle w:val="1243"/>
          <w:color w:val="000000"/>
          <w:highlight w:val="none"/>
        </w:rPr>
      </w:pPr>
      <w:r>
        <w:rPr>
          <w:rStyle w:val="1243"/>
          <w:color w:val="000000"/>
          <w:highlight w:val="none"/>
        </w:rPr>
        <w:t xml:space="preserve">投标单位：（公章）</w:t>
      </w:r>
      <w:r/>
    </w:p>
    <w:p>
      <w:pPr>
        <w:pStyle w:val="1245"/>
        <w:ind w:firstLine="0"/>
        <w:spacing w:line="360" w:lineRule="auto"/>
        <w:rPr>
          <w:rStyle w:val="1243"/>
          <w:color w:val="000000"/>
          <w:szCs w:val="26"/>
          <w:highlight w:val="none"/>
        </w:rPr>
      </w:pPr>
      <w:r>
        <w:rPr>
          <w:rStyle w:val="1243"/>
          <w:color w:val="000000"/>
          <w:szCs w:val="26"/>
          <w:highlight w:val="none"/>
        </w:rPr>
        <w:t xml:space="preserve">法定代表人或委托代理人（签字或盖章）：</w:t>
      </w:r>
      <w:r/>
    </w:p>
    <w:p>
      <w:pPr>
        <w:pStyle w:val="1245"/>
        <w:ind w:firstLine="0"/>
        <w:spacing w:line="360" w:lineRule="auto"/>
        <w:rPr>
          <w:rStyle w:val="1243"/>
          <w:color w:val="000000"/>
          <w:szCs w:val="26"/>
          <w:highlight w:val="none"/>
        </w:rPr>
      </w:pPr>
      <w:r>
        <w:rPr>
          <w:rStyle w:val="1243"/>
          <w:color w:val="000000"/>
          <w:szCs w:val="26"/>
          <w:highlight w:val="none"/>
        </w:rPr>
        <w:t xml:space="preserve">日期：   年  月  日</w:t>
      </w:r>
      <w:r/>
    </w:p>
    <w:p>
      <w:pPr>
        <w:spacing w:line="360" w:lineRule="auto"/>
        <w:rPr>
          <w:rStyle w:val="1243"/>
          <w:rFonts w:hint="eastAsia"/>
          <w:b/>
          <w:color w:val="000000"/>
          <w:szCs w:val="26"/>
          <w:highlight w:val="none"/>
        </w:rPr>
      </w:pPr>
      <w:r>
        <w:rPr>
          <w:rStyle w:val="1243"/>
          <w:color w:val="000000"/>
          <w:szCs w:val="26"/>
          <w:highlight w:val="none"/>
        </w:rPr>
        <w:t xml:space="preserve">注：1、各投标单位可参照上述格式自制《质保期内备品备件、易损件一览表》投标，本表格包括了质保期内所有备品备件，除特殊情况外，质保期内，采购单位不再另行支付备品备件费用</w:t>
      </w:r>
      <w:r>
        <w:rPr>
          <w:rStyle w:val="1243"/>
          <w:rFonts w:hint="eastAsia"/>
          <w:color w:val="000000"/>
          <w:szCs w:val="26"/>
          <w:highlight w:val="none"/>
        </w:rPr>
        <w:t xml:space="preserve">。</w:t>
      </w:r>
      <w:r/>
    </w:p>
    <w:p>
      <w:pPr>
        <w:jc w:val="both"/>
        <w:spacing w:line="360" w:lineRule="auto"/>
        <w:rPr>
          <w:rStyle w:val="1243"/>
          <w:rFonts w:hint="eastAsia"/>
          <w:b/>
          <w:color w:val="000000"/>
          <w:szCs w:val="26"/>
          <w:highlight w:val="none"/>
        </w:rPr>
        <w:outlineLvl w:val="1"/>
      </w:pPr>
      <w:r>
        <w:rPr>
          <w:rStyle w:val="1243"/>
          <w:rFonts w:hint="eastAsia"/>
          <w:b/>
          <w:color w:val="000000"/>
          <w:szCs w:val="26"/>
          <w:highlight w:val="none"/>
        </w:rPr>
        <w:br w:type="page" w:clear="all"/>
      </w:r>
      <w:r/>
    </w:p>
    <w:p>
      <w:pPr>
        <w:spacing w:line="360" w:lineRule="auto"/>
        <w:rPr>
          <w:rFonts w:ascii="宋体" w:hAnsi="宋体"/>
          <w:b/>
          <w:sz w:val="21"/>
          <w:szCs w:val="21"/>
          <w:lang w:val="zh-CN"/>
        </w:rPr>
      </w:pPr>
      <w:r>
        <w:rPr>
          <w:rFonts w:hint="eastAsia" w:ascii="宋体" w:hAnsi="宋体" w:cs="宋体"/>
          <w:b/>
          <w:bCs/>
          <w:sz w:val="21"/>
          <w:szCs w:val="21"/>
        </w:rPr>
        <w:t xml:space="preserve">附件</w:t>
      </w:r>
      <w:r>
        <w:rPr>
          <w:rFonts w:hint="eastAsia" w:ascii="宋体" w:hAnsi="宋体" w:cs="宋体"/>
          <w:b/>
          <w:bCs/>
          <w:sz w:val="21"/>
          <w:szCs w:val="21"/>
          <w:lang w:val="en-US" w:eastAsia="zh-CN"/>
        </w:rPr>
        <w:t xml:space="preserve">8、</w:t>
      </w:r>
      <w:r>
        <w:rPr>
          <w:rFonts w:hint="eastAsia" w:ascii="宋体" w:hAnsi="宋体"/>
          <w:b/>
          <w:sz w:val="21"/>
          <w:szCs w:val="21"/>
          <w:lang w:val="zh-CN"/>
        </w:rPr>
        <w:t xml:space="preserve">质保期满后</w:t>
      </w:r>
      <w:r>
        <w:rPr>
          <w:rFonts w:hint="eastAsia" w:ascii="宋体" w:hAnsi="宋体"/>
          <w:b/>
          <w:sz w:val="21"/>
          <w:szCs w:val="21"/>
        </w:rPr>
        <w:t xml:space="preserve">三年内</w:t>
      </w:r>
      <w:r>
        <w:rPr>
          <w:rFonts w:hint="eastAsia" w:ascii="宋体" w:hAnsi="宋体"/>
          <w:b/>
          <w:sz w:val="21"/>
          <w:szCs w:val="21"/>
          <w:lang w:val="zh-CN"/>
        </w:rPr>
        <w:t xml:space="preserve">备品备件、易损件报价表（不含在投标报价中）</w:t>
      </w:r>
      <w:r/>
    </w:p>
    <w:p>
      <w:pPr>
        <w:ind w:firstLine="480"/>
        <w:jc w:val="left"/>
        <w:rPr>
          <w:rFonts w:ascii="宋体" w:hAnsi="宋体"/>
          <w:b/>
          <w:sz w:val="21"/>
          <w:szCs w:val="21"/>
        </w:rPr>
      </w:pPr>
      <w:r>
        <w:rPr>
          <w:rFonts w:ascii="宋体" w:hAnsi="宋体"/>
          <w:b/>
          <w:sz w:val="21"/>
          <w:szCs w:val="21"/>
        </w:rPr>
      </w:r>
      <w:r/>
    </w:p>
    <w:p>
      <w:pPr>
        <w:jc w:val="center"/>
        <w:rPr>
          <w:rFonts w:ascii="宋体" w:hAnsi="宋体"/>
          <w:b/>
          <w:sz w:val="21"/>
          <w:szCs w:val="21"/>
          <w:lang w:val="zh-CN"/>
        </w:rPr>
      </w:pPr>
      <w:r>
        <w:rPr>
          <w:rFonts w:hint="eastAsia" w:ascii="宋体" w:hAnsi="宋体"/>
          <w:b/>
          <w:sz w:val="21"/>
          <w:szCs w:val="21"/>
          <w:lang w:val="zh-CN"/>
        </w:rPr>
        <w:t xml:space="preserve">质保期满后三年内备品备件、易损件报价表</w:t>
      </w:r>
      <w:r/>
    </w:p>
    <w:p>
      <w:pPr>
        <w:ind w:firstLine="502"/>
        <w:spacing w:line="360" w:lineRule="auto"/>
        <w:rPr>
          <w:rFonts w:ascii="宋体" w:hAnsi="宋体" w:cs="宋体"/>
          <w:spacing w:val="20"/>
          <w:sz w:val="21"/>
          <w:szCs w:val="21"/>
        </w:rPr>
      </w:pPr>
      <w:r>
        <w:rPr>
          <w:rFonts w:hint="eastAsia" w:ascii="宋体" w:hAnsi="宋体" w:cs="宋体"/>
          <w:spacing w:val="20"/>
          <w:sz w:val="21"/>
          <w:szCs w:val="21"/>
        </w:rPr>
        <w:t xml:space="preserve">招标编号：       </w:t>
      </w:r>
      <w:r/>
    </w:p>
    <w:tbl>
      <w:tblPr>
        <w:tblStyle w:val="913"/>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 w:val="21"/>
                <w:szCs w:val="21"/>
              </w:rPr>
            </w:pPr>
            <w:r>
              <w:rPr>
                <w:rFonts w:hint="eastAsia" w:ascii="宋体" w:hAnsi="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宋体" w:hAnsi="宋体"/>
                <w:bCs/>
                <w:sz w:val="21"/>
                <w:szCs w:val="21"/>
              </w:rPr>
            </w:pPr>
            <w:r>
              <w:rPr>
                <w:rFonts w:hint="eastAsia" w:ascii="宋体" w:hAnsi="宋体"/>
                <w:bCs/>
                <w:sz w:val="21"/>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宋体" w:hAnsi="宋体"/>
                <w:bCs/>
                <w:sz w:val="21"/>
                <w:szCs w:val="21"/>
              </w:rPr>
            </w:pPr>
            <w:r>
              <w:rPr>
                <w:rFonts w:hint="eastAsia" w:ascii="宋体" w:hAnsi="宋体"/>
                <w:bCs/>
                <w:sz w:val="21"/>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宋体" w:hAnsi="宋体"/>
                <w:bCs/>
                <w:sz w:val="21"/>
                <w:szCs w:val="21"/>
              </w:rPr>
            </w:pPr>
            <w:r>
              <w:rPr>
                <w:rFonts w:hint="eastAsia" w:ascii="宋体" w:hAnsi="宋体"/>
                <w:bCs/>
                <w:sz w:val="21"/>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宋体" w:hAnsi="宋体"/>
                <w:bCs/>
                <w:sz w:val="21"/>
                <w:szCs w:val="21"/>
              </w:rPr>
            </w:pPr>
            <w:r>
              <w:rPr>
                <w:rFonts w:hint="eastAsia" w:ascii="宋体" w:hAnsi="宋体"/>
                <w:bCs/>
                <w:sz w:val="21"/>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 w:val="21"/>
                <w:szCs w:val="21"/>
              </w:rPr>
            </w:pPr>
            <w:r>
              <w:rPr>
                <w:rFonts w:hint="eastAsia" w:ascii="宋体" w:hAnsi="宋体"/>
                <w:b/>
                <w:sz w:val="21"/>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 w:val="21"/>
                <w:szCs w:val="21"/>
              </w:rPr>
            </w:pPr>
            <w:r>
              <w:rPr>
                <w:rFonts w:hint="eastAsia" w:ascii="宋体" w:hAnsi="宋体"/>
                <w:b/>
                <w:sz w:val="21"/>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 w:val="21"/>
                <w:szCs w:val="21"/>
              </w:rPr>
            </w:pPr>
            <w:r>
              <w:rPr>
                <w:rFonts w:hint="eastAsia" w:ascii="宋体" w:hAnsi="宋体"/>
                <w:b/>
                <w:sz w:val="21"/>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 w:val="21"/>
                <w:szCs w:val="21"/>
              </w:rPr>
            </w:pPr>
            <w:r>
              <w:rPr>
                <w:rFonts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 w:val="21"/>
                <w:szCs w:val="21"/>
              </w:rPr>
            </w:pPr>
            <w:r>
              <w:rPr>
                <w:rFonts w:ascii="宋体" w:hAnsi="宋体"/>
                <w:b/>
                <w:sz w:val="21"/>
                <w:szCs w:val="21"/>
              </w:rPr>
            </w:r>
            <w:r/>
          </w:p>
        </w:tc>
      </w:tr>
    </w:tbl>
    <w:p>
      <w:pPr>
        <w:ind w:firstLine="422"/>
        <w:jc w:val="left"/>
        <w:spacing w:line="360" w:lineRule="auto"/>
        <w:rPr>
          <w:rFonts w:ascii="宋体" w:hAnsi="宋体"/>
          <w:sz w:val="21"/>
          <w:szCs w:val="21"/>
        </w:rPr>
      </w:pPr>
      <w:r>
        <w:rPr>
          <w:rFonts w:hint="eastAsia" w:ascii="宋体" w:hAnsi="宋体"/>
          <w:sz w:val="21"/>
          <w:szCs w:val="21"/>
        </w:rPr>
        <w:t xml:space="preserve">注：</w:t>
      </w:r>
      <w:r/>
    </w:p>
    <w:p>
      <w:pPr>
        <w:ind w:firstLine="422"/>
        <w:jc w:val="left"/>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、此报价作为最高限价，实际价格在中标后以双方协商为准。</w:t>
      </w:r>
      <w:r/>
    </w:p>
    <w:p>
      <w:pPr>
        <w:ind w:firstLine="422"/>
        <w:jc w:val="left"/>
        <w:spacing w:line="360" w:lineRule="auto"/>
        <w:widowControl/>
        <w:rPr>
          <w:rFonts w:ascii="宋体" w:hAnsi="宋体" w:cs="宋体"/>
          <w:sz w:val="21"/>
          <w:szCs w:val="21"/>
        </w:rPr>
      </w:pPr>
      <w:r>
        <w:rPr>
          <w:rFonts w:ascii="宋体" w:hAnsi="宋体" w:cs="宋体"/>
          <w:sz w:val="21"/>
          <w:szCs w:val="21"/>
        </w:rPr>
      </w:r>
      <w:r/>
    </w:p>
    <w:p>
      <w:pPr>
        <w:ind w:firstLine="422"/>
        <w:jc w:val="left"/>
        <w:spacing w:line="360" w:lineRule="auto"/>
        <w:widowControl/>
        <w:rPr>
          <w:rFonts w:ascii="宋体" w:hAnsi="宋体" w:cs="宋体"/>
          <w:sz w:val="21"/>
          <w:szCs w:val="21"/>
        </w:rPr>
      </w:pPr>
      <w:r>
        <w:rPr>
          <w:rFonts w:hint="eastAsia" w:ascii="宋体" w:hAnsi="宋体" w:cs="宋体"/>
          <w:sz w:val="21"/>
          <w:szCs w:val="21"/>
        </w:rPr>
        <w:t xml:space="preserve">投标人：（签章）</w:t>
      </w:r>
      <w:r/>
    </w:p>
    <w:p>
      <w:pPr>
        <w:ind w:firstLine="422"/>
        <w:jc w:val="left"/>
        <w:spacing w:line="360" w:lineRule="auto"/>
        <w:widowControl/>
        <w:rPr>
          <w:rFonts w:ascii="宋体" w:hAnsi="宋体" w:cs="宋体"/>
          <w:sz w:val="21"/>
          <w:szCs w:val="21"/>
        </w:rPr>
      </w:pPr>
      <w:r>
        <w:rPr>
          <w:rFonts w:hint="eastAsia" w:ascii="宋体" w:hAnsi="宋体" w:cs="宋体"/>
          <w:sz w:val="21"/>
          <w:szCs w:val="21"/>
        </w:rPr>
        <w:t xml:space="preserve">日期：         年         月       日</w:t>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 w:val="21"/>
          <w:szCs w:val="21"/>
          <w:highlight w:val="none"/>
        </w:rPr>
        <w:outlineLvl w:val="1"/>
      </w:pPr>
      <w:r>
        <w:rPr>
          <w:rFonts w:hint="eastAsia"/>
          <w:b/>
          <w:color w:val="000000"/>
          <w:sz w:val="21"/>
          <w:szCs w:val="21"/>
          <w:highlight w:val="none"/>
        </w:rPr>
      </w:r>
      <w:r/>
    </w:p>
    <w:p>
      <w:pPr>
        <w:jc w:val="both"/>
        <w:spacing w:line="360" w:lineRule="auto"/>
        <w:rPr>
          <w:rStyle w:val="1243"/>
          <w:rFonts w:hint="eastAsia"/>
          <w:b/>
          <w:color w:val="000000"/>
          <w:szCs w:val="26"/>
          <w:highlight w:val="none"/>
        </w:rPr>
        <w:outlineLvl w:val="1"/>
      </w:pPr>
      <w:r>
        <w:rPr>
          <w:rFonts w:hint="eastAsia"/>
          <w:b/>
          <w:color w:val="000000"/>
          <w:szCs w:val="26"/>
          <w:highlight w:val="none"/>
        </w:rPr>
      </w:r>
      <w:r/>
    </w:p>
    <w:p>
      <w:pPr>
        <w:jc w:val="both"/>
        <w:spacing w:line="360" w:lineRule="auto"/>
        <w:rPr>
          <w:rStyle w:val="1243"/>
          <w:b/>
          <w:color w:val="000000"/>
          <w:szCs w:val="26"/>
          <w:highlight w:val="none"/>
        </w:rPr>
        <w:outlineLvl w:val="1"/>
      </w:pPr>
      <w:r>
        <w:rPr>
          <w:rFonts w:hint="eastAsia" w:ascii="宋体" w:hAnsi="宋体" w:cs="宋体"/>
          <w:b/>
          <w:bCs/>
          <w:color w:val="000000"/>
          <w:sz w:val="21"/>
          <w:szCs w:val="21"/>
          <w:highlight w:val="none"/>
          <w:lang w:val="zh-CN"/>
        </w:rPr>
        <w:t xml:space="preserve">格式</w:t>
      </w:r>
      <w:r>
        <w:rPr>
          <w:rStyle w:val="1243"/>
          <w:rFonts w:hint="eastAsia" w:ascii="宋体" w:hAnsi="宋体" w:cs="宋体"/>
          <w:b/>
          <w:color w:val="000000"/>
          <w:szCs w:val="26"/>
          <w:highlight w:val="none"/>
          <w:lang w:val="en-US"/>
        </w:rPr>
        <w:t xml:space="preserve">9、</w:t>
      </w:r>
      <w:r>
        <w:rPr>
          <w:rStyle w:val="1243"/>
          <w:rFonts w:hint="eastAsia" w:ascii="宋体" w:hAnsi="宋体" w:cs="宋体"/>
          <w:b/>
          <w:color w:val="000000"/>
          <w:szCs w:val="26"/>
          <w:highlight w:val="none"/>
        </w:rPr>
        <w:t xml:space="preserve">技术响应对照表</w:t>
      </w:r>
      <w:r/>
    </w:p>
    <w:p>
      <w:pPr>
        <w:jc w:val="center"/>
        <w:spacing w:line="360" w:lineRule="auto"/>
        <w:rPr>
          <w:rStyle w:val="1243"/>
          <w:rFonts w:hint="eastAsia"/>
          <w:b/>
          <w:color w:val="000000"/>
          <w:szCs w:val="26"/>
          <w:highlight w:val="none"/>
        </w:rPr>
        <w:outlineLvl w:val="1"/>
      </w:pPr>
      <w:r>
        <w:rPr>
          <w:rStyle w:val="1243"/>
          <w:rFonts w:hint="eastAsia"/>
          <w:b/>
          <w:color w:val="000000"/>
          <w:szCs w:val="26"/>
          <w:highlight w:val="none"/>
        </w:rPr>
        <w:t xml:space="preserve">技术响应对照表</w:t>
      </w:r>
      <w:r/>
    </w:p>
    <w:p>
      <w:pPr>
        <w:spacing w:line="360" w:lineRule="auto"/>
        <w:rPr>
          <w:rStyle w:val="1243"/>
          <w:color w:val="000000"/>
          <w:spacing w:val="20"/>
          <w:szCs w:val="24"/>
          <w:highlight w:val="none"/>
        </w:rPr>
      </w:pPr>
      <w:r>
        <w:rPr>
          <w:rStyle w:val="1243"/>
          <w:color w:val="000000"/>
          <w:spacing w:val="20"/>
          <w:szCs w:val="24"/>
          <w:highlight w:val="none"/>
        </w:rPr>
        <w:t xml:space="preserve">招标编号：             </w:t>
      </w:r>
      <w:r>
        <w:rPr>
          <w:rStyle w:val="1243"/>
          <w:color w:val="000000"/>
          <w:szCs w:val="24"/>
          <w:highlight w:val="none"/>
        </w:rPr>
        <w:t xml:space="preserve">                 </w:t>
      </w:r>
      <w:r/>
    </w:p>
    <w:tbl>
      <w:tblPr>
        <w:tblStyle w:val="913"/>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jc w:val="center"/>
              <w:spacing w:line="360" w:lineRule="auto"/>
              <w:rPr>
                <w:rStyle w:val="1243"/>
                <w:color w:val="000000"/>
                <w:szCs w:val="24"/>
                <w:highlight w:val="none"/>
              </w:rPr>
            </w:pPr>
            <w:r>
              <w:rPr>
                <w:rStyle w:val="1243"/>
                <w:color w:val="000000"/>
                <w:szCs w:val="24"/>
                <w:highlight w:val="none"/>
              </w:rPr>
              <w:t xml:space="preserve">序号</w:t>
            </w:r>
            <w:r/>
          </w:p>
        </w:tc>
        <w:tc>
          <w:tcPr>
            <w:tcW w:w="1856" w:type="dxa"/>
            <w:vAlign w:val="center"/>
            <w:textDirection w:val="lrTb"/>
            <w:noWrap w:val="false"/>
          </w:tcPr>
          <w:p>
            <w:pPr>
              <w:jc w:val="center"/>
              <w:spacing w:line="360" w:lineRule="auto"/>
              <w:rPr>
                <w:rStyle w:val="1243"/>
                <w:color w:val="000000"/>
                <w:szCs w:val="24"/>
                <w:highlight w:val="none"/>
              </w:rPr>
            </w:pPr>
            <w:r>
              <w:rPr>
                <w:rStyle w:val="1243"/>
                <w:color w:val="000000"/>
                <w:szCs w:val="24"/>
                <w:highlight w:val="none"/>
              </w:rPr>
              <w:t xml:space="preserve">产品（服务）名称</w:t>
            </w:r>
            <w:r/>
          </w:p>
        </w:tc>
        <w:tc>
          <w:tcPr>
            <w:tcW w:w="1740" w:type="dxa"/>
            <w:vAlign w:val="center"/>
            <w:textDirection w:val="lrTb"/>
            <w:noWrap w:val="false"/>
          </w:tcPr>
          <w:p>
            <w:pPr>
              <w:jc w:val="center"/>
              <w:spacing w:line="360" w:lineRule="auto"/>
              <w:rPr>
                <w:rStyle w:val="1243"/>
                <w:color w:val="000000"/>
                <w:szCs w:val="24"/>
                <w:highlight w:val="none"/>
              </w:rPr>
            </w:pPr>
            <w:r>
              <w:rPr>
                <w:rStyle w:val="1243"/>
                <w:color w:val="000000"/>
                <w:szCs w:val="24"/>
                <w:highlight w:val="none"/>
              </w:rPr>
              <w:t xml:space="preserve">招标技术要求</w:t>
            </w:r>
            <w:r/>
          </w:p>
        </w:tc>
        <w:tc>
          <w:tcPr>
            <w:tcW w:w="1542" w:type="dxa"/>
            <w:vAlign w:val="center"/>
            <w:textDirection w:val="lrTb"/>
            <w:noWrap w:val="false"/>
          </w:tcPr>
          <w:p>
            <w:pPr>
              <w:jc w:val="center"/>
              <w:spacing w:line="360" w:lineRule="auto"/>
              <w:rPr>
                <w:rStyle w:val="1243"/>
                <w:color w:val="000000"/>
                <w:szCs w:val="24"/>
                <w:highlight w:val="none"/>
              </w:rPr>
            </w:pPr>
            <w:r>
              <w:rPr>
                <w:rStyle w:val="1243"/>
                <w:color w:val="000000"/>
                <w:szCs w:val="21"/>
                <w:highlight w:val="none"/>
              </w:rPr>
              <w:t xml:space="preserve">响应技术指标</w:t>
            </w:r>
            <w:r/>
          </w:p>
        </w:tc>
        <w:tc>
          <w:tcPr>
            <w:tcW w:w="3060" w:type="dxa"/>
            <w:vAlign w:val="center"/>
            <w:textDirection w:val="lrTb"/>
            <w:noWrap w:val="false"/>
          </w:tcPr>
          <w:p>
            <w:pPr>
              <w:jc w:val="center"/>
              <w:spacing w:line="360" w:lineRule="auto"/>
              <w:rPr>
                <w:rStyle w:val="1243"/>
                <w:color w:val="000000"/>
                <w:szCs w:val="24"/>
                <w:highlight w:val="none"/>
              </w:rPr>
            </w:pPr>
            <w:r>
              <w:rPr>
                <w:rStyle w:val="1243"/>
                <w:color w:val="000000"/>
                <w:szCs w:val="24"/>
                <w:highlight w:val="none"/>
              </w:rPr>
              <w:t xml:space="preserve">选择项</w:t>
            </w:r>
            <w:r/>
          </w:p>
          <w:p>
            <w:pPr>
              <w:jc w:val="center"/>
              <w:spacing w:line="360" w:lineRule="auto"/>
              <w:rPr>
                <w:rStyle w:val="1243"/>
                <w:color w:val="000000"/>
                <w:szCs w:val="24"/>
                <w:highlight w:val="none"/>
              </w:rPr>
            </w:pPr>
            <w:r>
              <w:rPr>
                <w:rStyle w:val="1243"/>
                <w:color w:val="000000"/>
                <w:szCs w:val="24"/>
                <w:highlight w:val="none"/>
              </w:rPr>
              <w:t xml:space="preserve">（正偏离、负偏离或无偏离）</w:t>
            </w:r>
            <w:r/>
          </w:p>
        </w:tc>
      </w:tr>
      <w:tr>
        <w:trPr>
          <w:trHeight w:val="340" w:hRule="exact"/>
        </w:trPr>
        <w:tc>
          <w:tcPr>
            <w:tcW w:w="78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856"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740"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54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3060" w:type="dxa"/>
            <w:vAlign w:val="top"/>
            <w:textDirection w:val="lrTb"/>
            <w:noWrap w:val="false"/>
          </w:tcPr>
          <w:p>
            <w:pPr>
              <w:spacing w:line="360" w:lineRule="auto"/>
              <w:rPr>
                <w:rStyle w:val="1243"/>
                <w:color w:val="000000"/>
                <w:szCs w:val="24"/>
                <w:highlight w:val="none"/>
              </w:rPr>
            </w:pPr>
            <w:r>
              <w:rPr>
                <w:color w:val="000000"/>
                <w:szCs w:val="24"/>
                <w:highlight w:val="none"/>
              </w:rPr>
            </w:r>
            <w:r/>
          </w:p>
        </w:tc>
      </w:tr>
      <w:tr>
        <w:trPr>
          <w:trHeight w:val="340" w:hRule="exact"/>
        </w:trPr>
        <w:tc>
          <w:tcPr>
            <w:tcW w:w="78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856"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740"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54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3060" w:type="dxa"/>
            <w:vAlign w:val="top"/>
            <w:textDirection w:val="lrTb"/>
            <w:noWrap w:val="false"/>
          </w:tcPr>
          <w:p>
            <w:pPr>
              <w:spacing w:line="360" w:lineRule="auto"/>
              <w:rPr>
                <w:rStyle w:val="1243"/>
                <w:color w:val="000000"/>
                <w:szCs w:val="24"/>
                <w:highlight w:val="none"/>
              </w:rPr>
            </w:pPr>
            <w:r>
              <w:rPr>
                <w:color w:val="000000"/>
                <w:szCs w:val="24"/>
                <w:highlight w:val="none"/>
              </w:rPr>
            </w:r>
            <w:r/>
          </w:p>
        </w:tc>
      </w:tr>
      <w:tr>
        <w:trPr>
          <w:trHeight w:val="340" w:hRule="exact"/>
        </w:trPr>
        <w:tc>
          <w:tcPr>
            <w:tcW w:w="78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856"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740"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54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3060" w:type="dxa"/>
            <w:vAlign w:val="top"/>
            <w:textDirection w:val="lrTb"/>
            <w:noWrap w:val="false"/>
          </w:tcPr>
          <w:p>
            <w:pPr>
              <w:spacing w:line="360" w:lineRule="auto"/>
              <w:rPr>
                <w:rStyle w:val="1243"/>
                <w:color w:val="000000"/>
                <w:szCs w:val="24"/>
                <w:highlight w:val="none"/>
              </w:rPr>
            </w:pPr>
            <w:r>
              <w:rPr>
                <w:color w:val="000000"/>
                <w:szCs w:val="24"/>
                <w:highlight w:val="none"/>
              </w:rPr>
            </w:r>
            <w:r/>
          </w:p>
        </w:tc>
      </w:tr>
      <w:tr>
        <w:trPr>
          <w:trHeight w:val="340" w:hRule="exact"/>
        </w:trPr>
        <w:tc>
          <w:tcPr>
            <w:tcW w:w="78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856"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740"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54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3060" w:type="dxa"/>
            <w:vAlign w:val="top"/>
            <w:textDirection w:val="lrTb"/>
            <w:noWrap w:val="false"/>
          </w:tcPr>
          <w:p>
            <w:pPr>
              <w:spacing w:line="360" w:lineRule="auto"/>
              <w:rPr>
                <w:rStyle w:val="1243"/>
                <w:color w:val="000000"/>
                <w:szCs w:val="24"/>
                <w:highlight w:val="none"/>
              </w:rPr>
            </w:pPr>
            <w:r>
              <w:rPr>
                <w:color w:val="000000"/>
                <w:szCs w:val="24"/>
                <w:highlight w:val="none"/>
              </w:rPr>
            </w:r>
            <w:r/>
          </w:p>
        </w:tc>
      </w:tr>
      <w:tr>
        <w:trPr>
          <w:trHeight w:val="340" w:hRule="exact"/>
        </w:trPr>
        <w:tc>
          <w:tcPr>
            <w:tcW w:w="78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856"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740"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1542" w:type="dxa"/>
            <w:vAlign w:val="top"/>
            <w:textDirection w:val="lrTb"/>
            <w:noWrap w:val="false"/>
          </w:tcPr>
          <w:p>
            <w:pPr>
              <w:spacing w:line="360" w:lineRule="auto"/>
              <w:rPr>
                <w:rStyle w:val="1243"/>
                <w:color w:val="000000"/>
                <w:szCs w:val="24"/>
                <w:highlight w:val="none"/>
              </w:rPr>
            </w:pPr>
            <w:r>
              <w:rPr>
                <w:color w:val="000000"/>
                <w:szCs w:val="24"/>
                <w:highlight w:val="none"/>
              </w:rPr>
            </w:r>
            <w:r/>
          </w:p>
        </w:tc>
        <w:tc>
          <w:tcPr>
            <w:tcW w:w="3060" w:type="dxa"/>
            <w:vAlign w:val="top"/>
            <w:textDirection w:val="lrTb"/>
            <w:noWrap w:val="false"/>
          </w:tcPr>
          <w:p>
            <w:pPr>
              <w:spacing w:line="360" w:lineRule="auto"/>
              <w:rPr>
                <w:rStyle w:val="1243"/>
                <w:color w:val="000000"/>
                <w:szCs w:val="24"/>
                <w:highlight w:val="none"/>
              </w:rPr>
            </w:pPr>
            <w:r>
              <w:rPr>
                <w:color w:val="000000"/>
                <w:szCs w:val="24"/>
                <w:highlight w:val="none"/>
              </w:rPr>
            </w:r>
            <w:r/>
          </w:p>
        </w:tc>
      </w:tr>
    </w:tbl>
    <w:p>
      <w:pPr>
        <w:pStyle w:val="1244"/>
        <w:jc w:val="left"/>
        <w:spacing w:line="400" w:lineRule="exact"/>
        <w:rPr>
          <w:rStyle w:val="1243"/>
          <w:color w:val="000000"/>
          <w:highlight w:val="none"/>
        </w:rPr>
      </w:pPr>
      <w:r>
        <w:rPr>
          <w:rStyle w:val="1243"/>
          <w:color w:val="000000"/>
          <w:highlight w:val="none"/>
        </w:rPr>
        <w:t xml:space="preserve">投标单位：（公章）</w:t>
      </w:r>
      <w:r/>
    </w:p>
    <w:p>
      <w:pPr>
        <w:pStyle w:val="1245"/>
        <w:ind w:firstLine="0"/>
        <w:spacing w:line="400" w:lineRule="exact"/>
        <w:rPr>
          <w:rStyle w:val="1243"/>
          <w:color w:val="000000"/>
          <w:szCs w:val="26"/>
          <w:highlight w:val="none"/>
        </w:rPr>
      </w:pPr>
      <w:r>
        <w:rPr>
          <w:rStyle w:val="1243"/>
          <w:color w:val="000000"/>
          <w:szCs w:val="26"/>
          <w:highlight w:val="none"/>
        </w:rPr>
        <w:t xml:space="preserve">法定代表人或委托代理人（签字或盖章）：</w:t>
      </w:r>
      <w:r/>
    </w:p>
    <w:p>
      <w:pPr>
        <w:pStyle w:val="1245"/>
        <w:ind w:firstLine="0"/>
        <w:spacing w:line="400" w:lineRule="exact"/>
        <w:rPr>
          <w:rStyle w:val="1243"/>
          <w:color w:val="000000"/>
          <w:szCs w:val="26"/>
          <w:highlight w:val="none"/>
        </w:rPr>
      </w:pPr>
      <w:r>
        <w:rPr>
          <w:rStyle w:val="1243"/>
          <w:color w:val="000000"/>
          <w:szCs w:val="26"/>
          <w:highlight w:val="none"/>
        </w:rPr>
        <w:t xml:space="preserve">日期：   年  月  日</w:t>
      </w:r>
      <w:r/>
    </w:p>
    <w:p>
      <w:pPr>
        <w:spacing w:line="400" w:lineRule="exact"/>
        <w:rPr>
          <w:rStyle w:val="1243"/>
          <w:color w:val="000000"/>
          <w:szCs w:val="24"/>
          <w:highlight w:val="none"/>
        </w:rPr>
      </w:pPr>
      <w:r>
        <w:rPr>
          <w:rStyle w:val="1243"/>
          <w:color w:val="000000"/>
          <w:szCs w:val="24"/>
          <w:highlight w:val="none"/>
        </w:rPr>
        <w:t xml:space="preserve">注：</w:t>
      </w:r>
      <w:r>
        <w:rPr>
          <w:rStyle w:val="1243"/>
          <w:b/>
          <w:bCs/>
          <w:color w:val="000000"/>
          <w:szCs w:val="21"/>
          <w:highlight w:val="none"/>
        </w:rPr>
        <w:t xml:space="preserve">1、各投标单位可参照上述格式自</w:t>
      </w:r>
      <w:r>
        <w:rPr>
          <w:rStyle w:val="1243"/>
          <w:b/>
          <w:color w:val="000000"/>
          <w:szCs w:val="21"/>
          <w:highlight w:val="none"/>
        </w:rPr>
        <w:t xml:space="preserve">制《技术响应对照表》进行投标。</w:t>
      </w:r>
      <w:r/>
    </w:p>
    <w:p>
      <w:pPr>
        <w:ind w:firstLine="422"/>
        <w:spacing w:line="400" w:lineRule="exact"/>
        <w:rPr>
          <w:rStyle w:val="1243"/>
          <w:b/>
          <w:bCs/>
          <w:color w:val="000000"/>
          <w:szCs w:val="21"/>
          <w:highlight w:val="none"/>
          <w:u w:val="single"/>
        </w:rPr>
      </w:pPr>
      <w:r>
        <w:rPr>
          <w:rStyle w:val="1243"/>
          <w:b/>
          <w:color w:val="000000"/>
          <w:szCs w:val="21"/>
          <w:highlight w:val="none"/>
        </w:rPr>
        <w:t xml:space="preserve">2、</w:t>
      </w:r>
      <w:r>
        <w:rPr>
          <w:rStyle w:val="1243"/>
          <w:b/>
          <w:color w:val="000000"/>
          <w:szCs w:val="21"/>
          <w:highlight w:val="none"/>
          <w:u w:val="single"/>
        </w:rPr>
        <w:t xml:space="preserve">投标单位必须对照招标文件的技术规格，逐条说明所提供的设备已对招标文件的技术规格做出了实质性的响应，并申明与技术规格条文的偏差和例</w:t>
      </w:r>
      <w:r>
        <w:rPr>
          <w:rStyle w:val="1243"/>
          <w:b/>
          <w:bCs/>
          <w:color w:val="000000"/>
          <w:szCs w:val="24"/>
          <w:highlight w:val="none"/>
          <w:u w:val="single"/>
        </w:rPr>
        <w:t xml:space="preserve">外。特别对有具体参数要求的指标，投标</w:t>
      </w:r>
      <w:r>
        <w:rPr>
          <w:rStyle w:val="1243"/>
          <w:b/>
          <w:color w:val="000000"/>
          <w:szCs w:val="21"/>
          <w:highlight w:val="none"/>
          <w:u w:val="single"/>
        </w:rPr>
        <w:t xml:space="preserve">单位</w:t>
      </w:r>
      <w:r>
        <w:rPr>
          <w:rStyle w:val="1243"/>
          <w:b/>
          <w:bCs/>
          <w:color w:val="000000"/>
          <w:szCs w:val="24"/>
          <w:highlight w:val="none"/>
          <w:u w:val="single"/>
        </w:rPr>
        <w:t xml:space="preserve">必须提供产品的具体参数值，</w:t>
      </w:r>
      <w:r>
        <w:rPr>
          <w:rStyle w:val="1243"/>
          <w:b/>
          <w:color w:val="000000"/>
          <w:szCs w:val="24"/>
          <w:highlight w:val="none"/>
          <w:u w:val="single"/>
        </w:rPr>
        <w:t xml:space="preserve">而不应以“全部符合”等字样来响应，否则将承担其投标被拒绝的风险。未列明的视为投标单位满足招标技术要求，</w:t>
      </w:r>
      <w:r>
        <w:rPr>
          <w:rStyle w:val="1243"/>
          <w:b/>
          <w:bCs/>
          <w:color w:val="000000"/>
          <w:szCs w:val="21"/>
          <w:highlight w:val="none"/>
          <w:u w:val="single"/>
        </w:rPr>
        <w:t xml:space="preserve">如中标后所供设备无法满足该项要求的，视为投标单位虚假应标。</w:t>
      </w:r>
      <w:r/>
    </w:p>
    <w:p>
      <w:pPr>
        <w:ind w:firstLine="422"/>
        <w:spacing w:line="400" w:lineRule="exact"/>
        <w:rPr>
          <w:rStyle w:val="1243"/>
          <w:rFonts w:ascii="Times New Roman" w:hAnsi="Times New Roman" w:eastAsia="宋体" w:cs="Times New Roman"/>
          <w:b/>
          <w:color w:val="000000"/>
          <w:szCs w:val="24"/>
          <w:highlight w:val="none"/>
        </w:rPr>
      </w:pPr>
      <w:r>
        <w:rPr>
          <w:rStyle w:val="1243"/>
          <w:b/>
          <w:color w:val="000000"/>
          <w:szCs w:val="24"/>
          <w:highlight w:val="none"/>
        </w:rPr>
        <w:t xml:space="preserve">3、各投标单位必须真实填写此表格内容，对于技术规格中重要技术条款（参数）的响应，投标人的投标文件中应提供技术支持资料（包括设备的样本、说明书、图纸等），若</w:t>
      </w:r>
      <w:r>
        <w:rPr>
          <w:rStyle w:val="1243"/>
          <w:rFonts w:ascii="Times New Roman" w:hAnsi="Times New Roman" w:eastAsia="宋体" w:cs="Times New Roman"/>
          <w:b/>
          <w:color w:val="000000"/>
          <w:szCs w:val="24"/>
          <w:highlight w:val="none"/>
        </w:rPr>
        <w:t xml:space="preserve">有虚假，将取消其投标资格或中标资格。</w:t>
      </w:r>
      <w:r/>
    </w:p>
    <w:p>
      <w:pPr>
        <w:ind w:firstLine="422"/>
        <w:spacing w:line="400" w:lineRule="exact"/>
        <w:rPr>
          <w:rStyle w:val="1243"/>
          <w:rFonts w:ascii="Times New Roman" w:hAnsi="Times New Roman" w:eastAsia="宋体" w:cs="Times New Roman"/>
          <w:b/>
          <w:color w:val="000000"/>
          <w:szCs w:val="24"/>
          <w:highlight w:val="none"/>
          <w:lang w:val="zh-CN"/>
        </w:rPr>
      </w:pPr>
      <w:r>
        <w:rPr>
          <w:rStyle w:val="1243"/>
          <w:rFonts w:ascii="Times New Roman" w:hAnsi="Times New Roman" w:eastAsia="宋体" w:cs="Times New Roman"/>
          <w:b/>
          <w:color w:val="000000"/>
          <w:szCs w:val="24"/>
          <w:highlight w:val="none"/>
        </w:rPr>
        <w:t xml:space="preserve">4、</w:t>
      </w:r>
      <w:r>
        <w:rPr>
          <w:rStyle w:val="1243"/>
          <w:rFonts w:ascii="Times New Roman" w:hAnsi="Times New Roman" w:eastAsia="宋体" w:cs="Times New Roman"/>
          <w:b/>
          <w:color w:val="000000"/>
          <w:szCs w:val="24"/>
          <w:highlight w:val="none"/>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2"/>
        <w:spacing w:line="400" w:lineRule="exact"/>
        <w:rPr>
          <w:rStyle w:val="1243"/>
          <w:rFonts w:hint="eastAsia" w:ascii="Times New Roman" w:hAnsi="Times New Roman" w:eastAsia="宋体" w:cs="Times New Roman"/>
          <w:b/>
          <w:color w:val="000000"/>
          <w:szCs w:val="24"/>
          <w:highlight w:val="none"/>
        </w:rPr>
      </w:pPr>
      <w:r>
        <w:rPr>
          <w:rStyle w:val="1243"/>
          <w:rFonts w:ascii="Times New Roman" w:hAnsi="Times New Roman" w:eastAsia="宋体" w:cs="Times New Roman"/>
          <w:b/>
          <w:color w:val="000000"/>
          <w:szCs w:val="24"/>
          <w:highlight w:val="none"/>
        </w:rPr>
        <w:t xml:space="preserve">5、投标单位应根据清单技术要求中要求提供相关资料证明的在投标文件中清晰的体现，应便于评标委员会评审。</w:t>
      </w:r>
      <w:r/>
    </w:p>
    <w:p>
      <w:pPr>
        <w:pStyle w:val="1108"/>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108"/>
        <w:ind w:firstLine="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zh-CN"/>
        </w:rPr>
        <w:t xml:space="preserve">商务条款偏离表</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32" w:name="_Toc48639337"/>
      <w:r/>
      <w:bookmarkStart w:id="33" w:name="_Toc48639208"/>
      <w:r>
        <w:rPr>
          <w:rFonts w:hint="eastAsia" w:ascii="宋体" w:hAnsi="宋体" w:cs="宋体"/>
          <w:b/>
          <w:color w:val="000000"/>
          <w:sz w:val="28"/>
          <w:szCs w:val="28"/>
          <w:highlight w:val="none"/>
          <w:lang w:val="zh-CN"/>
        </w:rPr>
        <w:t xml:space="preserve">商务条款偏离表</w:t>
      </w:r>
      <w:bookmarkEnd w:id="32"/>
      <w:r/>
      <w:bookmarkEnd w:id="33"/>
      <w:r/>
      <w:r/>
    </w:p>
    <w:p>
      <w:pPr>
        <w:pStyle w:val="1108"/>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p>
    <w:tbl>
      <w:tblPr>
        <w:tblStyle w:val="913"/>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p>
        </w:tc>
        <w:tc>
          <w:tcPr>
            <w:tcW w:w="3240"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招标文件的商务条款</w:t>
            </w:r>
            <w:r/>
          </w:p>
        </w:tc>
        <w:tc>
          <w:tcPr>
            <w:tcW w:w="3060"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投标文件的商务条款</w:t>
            </w:r>
            <w:r/>
          </w:p>
        </w:tc>
        <w:tc>
          <w:tcPr>
            <w:tcW w:w="1260"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w:t>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97"/>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
        </w:trPr>
        <w:tc>
          <w:tcPr>
            <w:tcW w:w="828"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p>
    <w:p>
      <w:pPr>
        <w:pStyle w:val="110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360" w:lineRule="auto"/>
        <w:widowControl w:val="off"/>
        <w:rPr>
          <w:rFonts w:hint="eastAsia" w:ascii="宋体" w:hAnsi="宋体" w:cs="宋体"/>
          <w:b/>
          <w:bCs/>
          <w:color w:val="000000"/>
          <w:sz w:val="21"/>
          <w:szCs w:val="21"/>
          <w:highlight w:val="none"/>
          <w:lang w:val="zh-CN"/>
        </w:rPr>
        <w:outlineLvl w:val="0"/>
      </w:pPr>
      <w:r>
        <w:rPr>
          <w:rFonts w:hint="eastAsia" w:ascii="宋体" w:hAnsi="宋体" w:cs="宋体"/>
          <w:color w:val="000000"/>
          <w:sz w:val="21"/>
          <w:szCs w:val="21"/>
          <w:highlight w:val="none"/>
        </w:rPr>
        <w:br w:type="page" w:clear="all"/>
      </w:r>
      <w:bookmarkStart w:id="34" w:name="_Toc48639209"/>
      <w:r/>
      <w:bookmarkStart w:id="35" w:name="_Toc48639338"/>
      <w:r>
        <w:rPr>
          <w:rFonts w:hint="eastAsia" w:ascii="宋体" w:hAnsi="宋体" w:cs="宋体"/>
          <w:b/>
          <w:bCs/>
          <w:color w:val="000000"/>
          <w:sz w:val="21"/>
          <w:szCs w:val="21"/>
          <w:highlight w:val="none"/>
        </w:rPr>
        <w:t xml:space="preserve">格</w:t>
      </w:r>
      <w:r>
        <w:rPr>
          <w:rFonts w:hint="eastAsia" w:ascii="宋体" w:hAnsi="宋体" w:cs="宋体"/>
          <w:b/>
          <w:bCs/>
          <w:color w:val="000000"/>
          <w:sz w:val="21"/>
          <w:szCs w:val="21"/>
          <w:highlight w:val="none"/>
          <w:lang w:val="zh-CN"/>
        </w:rPr>
        <w:t xml:space="preserve">式</w:t>
      </w:r>
      <w:r>
        <w:rPr>
          <w:rFonts w:hint="eastAsia" w:ascii="宋体" w:hAnsi="宋体" w:cs="宋体"/>
          <w:b/>
          <w:bCs/>
          <w:color w:val="000000"/>
          <w:sz w:val="21"/>
          <w:szCs w:val="21"/>
          <w:highlight w:val="none"/>
          <w:lang w:val="en-US" w:eastAsia="zh-CN"/>
        </w:rPr>
        <w:t xml:space="preserve">11</w:t>
      </w:r>
      <w:r>
        <w:rPr>
          <w:rFonts w:hint="eastAsia" w:ascii="宋体" w:hAnsi="宋体" w:cs="宋体"/>
          <w:b/>
          <w:bCs/>
          <w:color w:val="000000"/>
          <w:sz w:val="21"/>
          <w:szCs w:val="21"/>
          <w:highlight w:val="none"/>
          <w:lang w:val="zh-CN"/>
        </w:rPr>
        <w:t xml:space="preserve">、售后服务承诺书</w:t>
      </w:r>
      <w:bookmarkEnd w:id="34"/>
      <w:r/>
      <w:bookmarkEnd w:id="35"/>
      <w:r/>
      <w:r/>
    </w:p>
    <w:p>
      <w:pPr>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jc w:val="center"/>
        <w:spacing w:line="360" w:lineRule="auto"/>
        <w:widowControl w:val="off"/>
        <w:rPr>
          <w:rFonts w:hint="eastAsia" w:ascii="宋体" w:hAnsi="宋体" w:cs="宋体"/>
          <w:b/>
          <w:color w:val="000000"/>
          <w:sz w:val="28"/>
          <w:szCs w:val="28"/>
          <w:highlight w:val="none"/>
          <w:lang w:val="zh-CN"/>
        </w:rPr>
        <w:outlineLvl w:val="0"/>
      </w:pPr>
      <w:r/>
      <w:bookmarkStart w:id="36" w:name="_Toc48639339"/>
      <w:r/>
      <w:bookmarkStart w:id="37" w:name="_Toc48639210"/>
      <w:r>
        <w:rPr>
          <w:rFonts w:hint="eastAsia" w:ascii="宋体" w:hAnsi="宋体" w:cs="宋体"/>
          <w:b/>
          <w:color w:val="000000"/>
          <w:sz w:val="28"/>
          <w:szCs w:val="28"/>
          <w:highlight w:val="none"/>
          <w:lang w:val="zh-CN"/>
        </w:rPr>
        <w:t xml:space="preserve">售后服务承诺书</w:t>
      </w:r>
      <w:bookmarkEnd w:id="36"/>
      <w:r/>
      <w:bookmarkEnd w:id="37"/>
      <w:r/>
      <w:r/>
    </w:p>
    <w:p>
      <w:pPr>
        <w:pStyle w:val="1108"/>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p>
        </w:tc>
        <w:tc>
          <w:tcPr>
            <w:tcW w:w="3060"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p>
        </w:tc>
        <w:tc>
          <w:tcPr>
            <w:tcW w:w="1800"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p>
        </w:tc>
        <w:tc>
          <w:tcPr>
            <w:tcW w:w="2616" w:type="dxa"/>
            <w:vAlign w:val="center"/>
            <w:textDirection w:val="lrTb"/>
            <w:noWrap w:val="false"/>
          </w:tcPr>
          <w:p>
            <w:pPr>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3060" w:type="dxa"/>
            <w:vAlign w:val="center"/>
            <w:textDirection w:val="lrTb"/>
            <w:noWrap w:val="false"/>
          </w:tcPr>
          <w:p>
            <w:pPr>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质保期</w:t>
            </w:r>
            <w:r/>
          </w:p>
        </w:tc>
        <w:tc>
          <w:tcPr>
            <w:tcW w:w="180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3060" w:type="dxa"/>
            <w:vAlign w:val="center"/>
            <w:textDirection w:val="lrTb"/>
            <w:noWrap w:val="false"/>
          </w:tcPr>
          <w:p>
            <w:pPr>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p>
        </w:tc>
        <w:tc>
          <w:tcPr>
            <w:tcW w:w="180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3060" w:type="dxa"/>
            <w:vAlign w:val="center"/>
            <w:textDirection w:val="lrTb"/>
            <w:noWrap w:val="false"/>
          </w:tcPr>
          <w:p>
            <w:pPr>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p>
        </w:tc>
        <w:tc>
          <w:tcPr>
            <w:tcW w:w="180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3060" w:type="dxa"/>
            <w:vAlign w:val="center"/>
            <w:textDirection w:val="lrTb"/>
            <w:noWrap w:val="false"/>
          </w:tcPr>
          <w:p>
            <w:pPr>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p>
        </w:tc>
        <w:tc>
          <w:tcPr>
            <w:tcW w:w="180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306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p>
        </w:tc>
        <w:tc>
          <w:tcPr>
            <w:tcW w:w="1800"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注：1、针对服务内容有必须说明的事项，请在“备注”栏目内注明；</w:t>
      </w:r>
      <w:r/>
    </w:p>
    <w:p>
      <w:pPr>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2、如有其它售后服务内容，可自行参照填写。</w:t>
      </w:r>
      <w:r/>
    </w:p>
    <w:p>
      <w:pPr>
        <w:ind w:firstLine="420"/>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p>
    <w:p>
      <w:pPr>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pStyle w:val="1088"/>
        <w:ind w:left="567" w:hanging="567"/>
        <w:spacing w:before="0"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br w:type="page" w:clear="all"/>
      </w:r>
      <w:bookmarkStart w:id="38" w:name="_Toc48639211"/>
      <w:r/>
      <w:bookmarkStart w:id="39" w:name="_Toc48639340"/>
      <w:r>
        <w:rPr>
          <w:rFonts w:hint="eastAsia" w:ascii="宋体" w:hAnsi="宋体" w:eastAsia="宋体" w:cs="宋体"/>
          <w:color w:val="000000"/>
          <w:sz w:val="21"/>
          <w:szCs w:val="21"/>
          <w:highlight w:val="none"/>
          <w:lang w:val="zh-CN"/>
        </w:rPr>
        <w:t xml:space="preserve">格式</w:t>
      </w:r>
      <w:bookmarkStart w:id="40" w:name="_Ref392256331"/>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项目组</w:t>
      </w:r>
      <w:r>
        <w:rPr>
          <w:rFonts w:hint="eastAsia" w:ascii="宋体" w:hAnsi="宋体" w:eastAsia="宋体" w:cs="宋体"/>
          <w:color w:val="000000"/>
          <w:sz w:val="21"/>
          <w:szCs w:val="21"/>
          <w:highlight w:val="none"/>
          <w:lang w:val="zh-CN"/>
        </w:rPr>
        <w:t xml:space="preserve">人员表</w:t>
      </w:r>
      <w:bookmarkEnd w:id="38"/>
      <w:r/>
      <w:bookmarkEnd w:id="39"/>
      <w:r/>
      <w:bookmarkEnd w:id="40"/>
      <w:r/>
      <w:r/>
    </w:p>
    <w:p>
      <w:pPr>
        <w:jc w:val="center"/>
        <w:spacing w:line="360" w:lineRule="auto"/>
        <w:widowControl w:val="off"/>
        <w:rPr>
          <w:rFonts w:hint="eastAsia" w:ascii="宋体" w:hAnsi="宋体" w:cs="宋体"/>
          <w:b/>
          <w:color w:val="000000"/>
          <w:sz w:val="32"/>
          <w:szCs w:val="32"/>
          <w:highlight w:val="none"/>
          <w:lang w:val="zh-CN"/>
        </w:rPr>
      </w:pPr>
      <w:r/>
      <w:bookmarkStart w:id="41" w:name="gpcItem_pack_1_code_3"/>
      <w:r>
        <w:rPr>
          <w:rFonts w:hint="eastAsia" w:ascii="宋体" w:hAnsi="宋体" w:cs="宋体"/>
          <w:b/>
          <w:color w:val="000000"/>
          <w:sz w:val="32"/>
          <w:szCs w:val="32"/>
          <w:highlight w:val="none"/>
        </w:rPr>
        <w:t xml:space="preserve">项目组</w:t>
      </w:r>
      <w:r>
        <w:rPr>
          <w:rFonts w:hint="eastAsia" w:ascii="宋体" w:hAnsi="宋体" w:cs="宋体"/>
          <w:b/>
          <w:color w:val="000000"/>
          <w:sz w:val="32"/>
          <w:szCs w:val="32"/>
          <w:highlight w:val="none"/>
          <w:lang w:val="zh-CN"/>
        </w:rPr>
        <w:t xml:space="preserve">人员表</w:t>
      </w:r>
      <w:bookmarkEnd w:id="41"/>
      <w:r/>
      <w:r/>
    </w:p>
    <w:p>
      <w:pPr>
        <w:jc w:val="both"/>
        <w:spacing w:line="400" w:lineRule="exact"/>
        <w:rPr>
          <w:rFonts w:ascii="宋体" w:hAns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p>
    <w:tbl>
      <w:tblPr>
        <w:tblStyle w:val="913"/>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p>
        </w:tc>
        <w:tc>
          <w:tcPr>
            <w:tcW w:w="1410" w:type="dxa"/>
            <w:vAlign w:val="center"/>
            <w:textDirection w:val="lrTb"/>
            <w:noWrap w:val="false"/>
          </w:tcPr>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姓名</w:t>
            </w:r>
            <w:r/>
          </w:p>
        </w:tc>
        <w:tc>
          <w:tcPr>
            <w:tcW w:w="967" w:type="dxa"/>
            <w:vAlign w:val="center"/>
            <w:textDirection w:val="lrTb"/>
            <w:noWrap w:val="false"/>
          </w:tcPr>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性别</w:t>
            </w:r>
            <w:r/>
          </w:p>
        </w:tc>
        <w:tc>
          <w:tcPr>
            <w:tcW w:w="1221" w:type="dxa"/>
            <w:vAlign w:val="center"/>
            <w:textDirection w:val="lrTb"/>
            <w:noWrap w:val="false"/>
          </w:tcPr>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年龄</w:t>
            </w:r>
            <w:r/>
          </w:p>
        </w:tc>
        <w:tc>
          <w:tcPr>
            <w:tcW w:w="1220" w:type="dxa"/>
            <w:vAlign w:val="center"/>
            <w:textDirection w:val="lrTb"/>
            <w:noWrap w:val="false"/>
          </w:tcPr>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学历</w:t>
            </w:r>
            <w:r/>
          </w:p>
        </w:tc>
        <w:tc>
          <w:tcPr>
            <w:tcW w:w="1217" w:type="dxa"/>
            <w:vAlign w:val="center"/>
            <w:textDirection w:val="lrTb"/>
            <w:noWrap w:val="false"/>
          </w:tcPr>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职称</w:t>
            </w:r>
            <w:r/>
          </w:p>
        </w:tc>
      </w:tr>
      <w:tr>
        <w:trPr>
          <w:cantSplit/>
          <w:trHeight w:val="427"/>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2105" w:type="dxa"/>
            <w:vAlign w:val="center"/>
            <w:textDirection w:val="lrTb"/>
            <w:noWrap w:val="false"/>
          </w:tcPr>
          <w:p>
            <w:pPr>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39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2105" w:type="dxa"/>
            <w:vAlign w:val="center"/>
            <w:textDirection w:val="lrTb"/>
            <w:noWrap w:val="false"/>
          </w:tcPr>
          <w:p>
            <w:pPr>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108"/>
              <w:ind w:firstLine="0"/>
              <w:jc w:val="both"/>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2105" w:type="dxa"/>
            <w:vAlign w:val="center"/>
            <w:textDirection w:val="lrTb"/>
            <w:noWrap w:val="false"/>
          </w:tcPr>
          <w:p>
            <w:pPr>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2105" w:type="dxa"/>
            <w:vAlign w:val="center"/>
            <w:textDirection w:val="lrTb"/>
            <w:noWrap w:val="false"/>
          </w:tcPr>
          <w:p>
            <w:pPr>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2105" w:type="dxa"/>
            <w:vAlign w:val="center"/>
            <w:textDirection w:val="lrTb"/>
            <w:noWrap w:val="false"/>
          </w:tcPr>
          <w:p>
            <w:pPr>
              <w:pStyle w:val="1108"/>
              <w:ind w:firstLine="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108"/>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p>
        </w:tc>
        <w:tc>
          <w:tcPr>
            <w:tcW w:w="2105"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108"/>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108"/>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08"/>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投标人（公章）：</w:t>
      </w:r>
      <w:r/>
    </w:p>
    <w:p>
      <w:pPr>
        <w:pStyle w:val="1108"/>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法定代表人（投资人）或被授权人（签字或盖章）：</w:t>
      </w:r>
      <w:r>
        <w:rPr>
          <w:rFonts w:ascii="宋体" w:hAnsi="宋体" w:eastAsia="宋体"/>
          <w:color w:val="000000"/>
          <w:sz w:val="21"/>
          <w:szCs w:val="21"/>
          <w:highlight w:val="none"/>
        </w:rPr>
        <w:t xml:space="preserve">                        </w:t>
      </w:r>
      <w:r/>
    </w:p>
    <w:p>
      <w:pPr>
        <w:pStyle w:val="1108"/>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月</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日</w:t>
      </w:r>
      <w:r/>
    </w:p>
    <w:p>
      <w:pPr>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注：请按以上格式自制表格填写后投标。</w:t>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108"/>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8"/>
        <w:ind w:left="567" w:hanging="567"/>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br w:type="page" w:clear="all"/>
      </w:r>
      <w:bookmarkStart w:id="42" w:name="_Toc48639212"/>
      <w:r/>
      <w:bookmarkStart w:id="43" w:name="_Toc48639341"/>
      <w:r>
        <w:rPr>
          <w:rFonts w:hint="eastAsia" w:ascii="宋体" w:hAnsi="宋体" w:eastAsia="宋体" w:cs="宋体"/>
          <w:color w:val="000000"/>
          <w:sz w:val="21"/>
          <w:szCs w:val="21"/>
          <w:highlight w:val="none"/>
          <w:lang w:val="zh-CN"/>
        </w:rPr>
        <w:t xml:space="preserve">格式</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、项目实施方案</w:t>
      </w:r>
      <w:bookmarkEnd w:id="42"/>
      <w:r/>
      <w:bookmarkEnd w:id="43"/>
      <w:r/>
      <w:bookmarkStart w:id="44" w:name="gpcItem_pack_1_code_7"/>
      <w:r/>
      <w:r/>
    </w:p>
    <w:p>
      <w:pPr>
        <w:jc w:val="center"/>
        <w:spacing w:line="360" w:lineRule="auto"/>
        <w:widowControl w:val="off"/>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w:t>
      </w:r>
      <w:r>
        <w:rPr>
          <w:rFonts w:hint="eastAsia" w:ascii="宋体" w:hAnsi="宋体" w:cs="宋体"/>
          <w:b/>
          <w:color w:val="000000"/>
          <w:sz w:val="32"/>
          <w:szCs w:val="32"/>
          <w:highlight w:val="none"/>
          <w:lang w:val="zh-CN"/>
        </w:rPr>
        <w:t xml:space="preserve">实施方案</w:t>
      </w:r>
      <w:bookmarkEnd w:id="44"/>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提示：</w:t>
            </w:r>
            <w:r/>
          </w:p>
          <w:p>
            <w:pPr>
              <w:numPr>
                <w:ilvl w:val="0"/>
                <w:numId w:val="2"/>
              </w:numPr>
              <w:spacing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投标人应针对本次招标项目特点编写公司中标后拟采取的服务组织计划，包括人员安排、时间安排、设备机具的安排等，制度管理以及遇重大、紧急事项的应急措施等。</w:t>
            </w:r>
            <w:r/>
          </w:p>
          <w:p>
            <w:pP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2、投标人可根据结合招标文件要求及自身情况编写，本页不够可另加页附后。格式仅供参考，内容自拟。</w:t>
            </w:r>
            <w:r/>
          </w:p>
        </w:tc>
      </w:tr>
      <w:tr>
        <w:trPr>
          <w:trHeight w:val="7214"/>
        </w:trPr>
        <w:tc>
          <w:tcPr>
            <w:tcW w:w="8522" w:type="dxa"/>
            <w:vAlign w:val="top"/>
            <w:textDirection w:val="lrTb"/>
            <w:noWrap w:val="false"/>
          </w:tcPr>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spacing w:line="360" w:lineRule="auto"/>
              <w:tabs>
                <w:tab w:val="left" w:pos="132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投标人（公章）：</w:t>
            </w:r>
            <w:r>
              <w:rPr>
                <w:rFonts w:hint="eastAsia" w:ascii="宋体" w:hAnsi="宋体"/>
                <w:color w:val="000000"/>
                <w:sz w:val="21"/>
                <w:szCs w:val="21"/>
                <w:highlight w:val="none"/>
                <w:u w:val="single"/>
              </w:rPr>
              <w:t xml:space="preserve">                       </w:t>
            </w:r>
            <w:r/>
          </w:p>
          <w:p>
            <w:pPr>
              <w:ind w:firstLine="3150"/>
              <w:spacing w:line="360" w:lineRule="auto"/>
              <w:tabs>
                <w:tab w:val="left" w:pos="1320" w:leader="none"/>
              </w:tabs>
              <w:rPr>
                <w:rFonts w:hint="eastAsia" w:ascii="宋体" w:hAnsi="宋体"/>
                <w:bCs/>
                <w:color w:val="000000"/>
                <w:sz w:val="21"/>
                <w:szCs w:val="21"/>
                <w:highlight w:val="none"/>
              </w:rPr>
            </w:pPr>
            <w:r>
              <w:rPr>
                <w:rFonts w:hint="eastAsia" w:ascii="宋体" w:hAnsi="宋体"/>
                <w:bCs/>
                <w:color w:val="000000"/>
                <w:sz w:val="21"/>
                <w:szCs w:val="21"/>
                <w:highlight w:val="none"/>
              </w:rPr>
              <w:t xml:space="preserve">日  期：</w:t>
            </w:r>
            <w:r/>
          </w:p>
          <w:p>
            <w:pPr>
              <w:ind w:firstLine="210"/>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bCs/>
          <w:color w:val="000000"/>
          <w:sz w:val="21"/>
          <w:szCs w:val="21"/>
          <w:highlight w:val="none"/>
          <w:lang w:val="zh-CN"/>
        </w:rPr>
        <w:t xml:space="preserve">格式</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lang w:val="zh-CN"/>
        </w:rPr>
        <w:t xml:space="preserve">、类似</w:t>
      </w:r>
      <w:r>
        <w:rPr>
          <w:rFonts w:hint="eastAsia" w:ascii="宋体" w:hAnsi="宋体" w:cs="宋体"/>
          <w:b/>
          <w:bCs/>
          <w:color w:val="000000"/>
          <w:sz w:val="21"/>
          <w:szCs w:val="21"/>
          <w:highlight w:val="none"/>
          <w:lang w:val="zh-CN" w:eastAsia="zh-CN"/>
        </w:rPr>
        <w:t xml:space="preserve">项目</w:t>
      </w:r>
      <w:r>
        <w:rPr>
          <w:rFonts w:hint="eastAsia" w:ascii="宋体" w:hAnsi="宋体" w:cs="宋体"/>
          <w:b/>
          <w:bCs/>
          <w:color w:val="000000"/>
          <w:sz w:val="21"/>
          <w:szCs w:val="21"/>
          <w:highlight w:val="none"/>
          <w:lang w:val="zh-CN"/>
        </w:rPr>
        <w:t xml:space="preserve">业绩</w:t>
      </w:r>
      <w:r>
        <w:rPr>
          <w:rFonts w:hint="eastAsia" w:ascii="宋体" w:hAnsi="宋体" w:cs="宋体"/>
          <w:b/>
          <w:bCs/>
          <w:color w:val="000000"/>
          <w:sz w:val="21"/>
          <w:szCs w:val="21"/>
          <w:highlight w:val="none"/>
          <w:lang w:val="zh-CN" w:eastAsia="zh-CN"/>
        </w:rPr>
        <w:t xml:space="preserve">情况</w:t>
      </w:r>
      <w:r>
        <w:rPr>
          <w:rFonts w:hint="eastAsia" w:ascii="宋体" w:hAnsi="宋体" w:cs="宋体"/>
          <w:b/>
          <w:bCs/>
          <w:color w:val="000000"/>
          <w:sz w:val="21"/>
          <w:szCs w:val="21"/>
          <w:highlight w:val="none"/>
          <w:lang w:val="zh-CN"/>
        </w:rPr>
        <w:t xml:space="preserve">表</w:t>
      </w:r>
      <w:r/>
    </w:p>
    <w:p>
      <w:pPr>
        <w:jc w:val="center"/>
        <w:spacing w:line="360" w:lineRule="auto"/>
        <w:widowControl w:val="off"/>
        <w:rPr>
          <w:rFonts w:hint="eastAsia" w:ascii="宋体" w:hAnsi="宋体" w:cs="宋体"/>
          <w:b/>
          <w:color w:val="000000"/>
          <w:sz w:val="28"/>
          <w:szCs w:val="28"/>
          <w:highlight w:val="none"/>
          <w:lang w:val="zh-CN"/>
        </w:rPr>
        <w:outlineLvl w:val="0"/>
      </w:pPr>
      <w:r/>
      <w:bookmarkStart w:id="45" w:name="_Toc48639342"/>
      <w:r/>
      <w:bookmarkStart w:id="46" w:name="_Toc48639213"/>
      <w:r>
        <w:rPr>
          <w:rFonts w:hint="eastAsia" w:ascii="宋体" w:hAnsi="宋体" w:cs="宋体"/>
          <w:b/>
          <w:color w:val="000000"/>
          <w:sz w:val="28"/>
          <w:szCs w:val="28"/>
          <w:highlight w:val="none"/>
          <w:lang w:val="zh-CN"/>
        </w:rPr>
        <w:t xml:space="preserve">类似</w:t>
      </w:r>
      <w:r>
        <w:rPr>
          <w:rFonts w:hint="eastAsia" w:ascii="宋体" w:hAnsi="宋体" w:cs="宋体"/>
          <w:b/>
          <w:color w:val="000000"/>
          <w:sz w:val="28"/>
          <w:szCs w:val="28"/>
          <w:highlight w:val="none"/>
          <w:lang w:val="en-US" w:eastAsia="zh-CN"/>
        </w:rPr>
        <w:t xml:space="preserve">项目</w:t>
      </w:r>
      <w:r>
        <w:rPr>
          <w:rFonts w:hint="eastAsia" w:ascii="宋体" w:hAnsi="宋体" w:cs="宋体"/>
          <w:b/>
          <w:color w:val="000000"/>
          <w:sz w:val="28"/>
          <w:szCs w:val="28"/>
          <w:highlight w:val="none"/>
        </w:rPr>
        <w:t xml:space="preserve">业绩</w:t>
      </w:r>
      <w:r>
        <w:rPr>
          <w:rFonts w:hint="eastAsia" w:ascii="宋体" w:hAnsi="宋体" w:cs="宋体"/>
          <w:b/>
          <w:color w:val="000000"/>
          <w:sz w:val="28"/>
          <w:szCs w:val="28"/>
          <w:highlight w:val="none"/>
          <w:lang w:val="en-US" w:eastAsia="zh-CN"/>
        </w:rPr>
        <w:t xml:space="preserve">情况</w:t>
      </w:r>
      <w:r>
        <w:rPr>
          <w:rFonts w:hint="eastAsia" w:ascii="宋体" w:hAnsi="宋体" w:cs="宋体"/>
          <w:b/>
          <w:color w:val="000000"/>
          <w:sz w:val="28"/>
          <w:szCs w:val="28"/>
          <w:highlight w:val="none"/>
          <w:lang w:val="zh-CN"/>
        </w:rPr>
        <w:t xml:space="preserve">表</w:t>
      </w:r>
      <w:bookmarkEnd w:id="45"/>
      <w:r/>
      <w:bookmarkEnd w:id="46"/>
      <w:r/>
      <w:r/>
    </w:p>
    <w:p>
      <w:pPr>
        <w:pStyle w:val="1108"/>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采购编号：</w:t>
      </w:r>
      <w:r/>
    </w:p>
    <w:tbl>
      <w:tblPr>
        <w:tblStyle w:val="913"/>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采购单位</w:t>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签订时间</w:t>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合同金额（万元）</w:t>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0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108"/>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08"/>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注：须提供评分标准中要求的相关证明资料。</w:t>
      </w:r>
      <w:r/>
    </w:p>
    <w:p>
      <w:pPr>
        <w:pStyle w:val="1108"/>
        <w:ind w:firstLine="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08"/>
        <w:ind w:firstLine="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格式1</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val="zh-CN"/>
        </w:rPr>
        <w:t xml:space="preserve">、资格证明文件</w:t>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（1）关于资格文件的声明函</w:t>
      </w:r>
      <w:r/>
    </w:p>
    <w:p>
      <w:pPr>
        <w:ind w:firstLine="425"/>
        <w:jc w:val="center"/>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jc w:val="center"/>
        <w:spacing w:line="360" w:lineRule="auto"/>
        <w:widowControl w:val="off"/>
        <w:rPr>
          <w:rFonts w:hint="eastAsia" w:ascii="宋体" w:hAnsi="宋体" w:cs="宋体"/>
          <w:b/>
          <w:color w:val="000000"/>
          <w:sz w:val="28"/>
          <w:szCs w:val="28"/>
          <w:highlight w:val="none"/>
          <w:lang w:val="zh-CN"/>
        </w:rPr>
        <w:outlineLvl w:val="0"/>
      </w:pPr>
      <w:r/>
      <w:bookmarkStart w:id="47" w:name="_Toc48639214"/>
      <w:r/>
      <w:bookmarkStart w:id="48" w:name="_Toc48639343"/>
      <w:r>
        <w:rPr>
          <w:rFonts w:hint="eastAsia" w:ascii="宋体" w:hAnsi="宋体" w:cs="宋体"/>
          <w:b/>
          <w:color w:val="000000"/>
          <w:sz w:val="28"/>
          <w:szCs w:val="28"/>
          <w:highlight w:val="none"/>
          <w:lang w:val="zh-CN"/>
        </w:rPr>
        <w:t xml:space="preserve">关于资格文件的声明函</w:t>
      </w:r>
      <w:bookmarkEnd w:id="47"/>
      <w:r/>
      <w:bookmarkEnd w:id="48"/>
      <w:r/>
      <w:r/>
    </w:p>
    <w:p>
      <w:pPr>
        <w:ind w:firstLine="425"/>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p>
    <w:p>
      <w:pPr>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p>
    <w:p>
      <w:pPr>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ind w:firstLine="199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jc w:val="both"/>
        <w:spacing w:line="360" w:lineRule="auto"/>
        <w:widowControl w:val="off"/>
        <w:rPr>
          <w:rFonts w:hint="eastAsia" w:ascii="宋体" w:hAnsi="宋体" w:cs="宋体"/>
          <w:b/>
          <w:bCs/>
          <w:color w:val="000000"/>
          <w:sz w:val="21"/>
          <w:szCs w:val="21"/>
          <w:highlight w:val="none"/>
          <w:lang w:val="zh-CN"/>
        </w:rPr>
        <w:outlineLvl w:val="0"/>
      </w:pPr>
      <w:r>
        <w:rPr>
          <w:rFonts w:hint="eastAsia" w:ascii="宋体" w:hAnsi="宋体" w:cs="宋体"/>
          <w:color w:val="000000"/>
          <w:sz w:val="21"/>
          <w:szCs w:val="21"/>
          <w:highlight w:val="none"/>
          <w:lang w:val="zh-CN"/>
        </w:rPr>
        <w:br w:type="page" w:clear="all"/>
      </w:r>
      <w:bookmarkStart w:id="49" w:name="_Toc48639344"/>
      <w:r/>
      <w:bookmarkStart w:id="50" w:name="_Toc48639215"/>
      <w:r>
        <w:rPr>
          <w:rFonts w:hint="eastAsia" w:ascii="宋体" w:hAnsi="宋体" w:cs="宋体"/>
          <w:b/>
          <w:bCs/>
          <w:color w:val="000000"/>
          <w:sz w:val="21"/>
          <w:szCs w:val="21"/>
          <w:highlight w:val="none"/>
          <w:lang w:val="zh-CN"/>
        </w:rPr>
        <w:t xml:space="preserve">（2）投标人</w:t>
      </w:r>
      <w:r>
        <w:rPr>
          <w:rFonts w:hint="eastAsia" w:ascii="宋体" w:hAnsi="宋体" w:cs="宋体"/>
          <w:b/>
          <w:bCs/>
          <w:color w:val="000000"/>
          <w:sz w:val="21"/>
          <w:szCs w:val="21"/>
          <w:highlight w:val="none"/>
          <w:lang w:val="en-US" w:eastAsia="zh-CN"/>
        </w:rPr>
        <w:t xml:space="preserve">基本</w:t>
      </w:r>
      <w:r>
        <w:rPr>
          <w:rFonts w:hint="eastAsia" w:ascii="宋体" w:hAnsi="宋体" w:cs="宋体"/>
          <w:b/>
          <w:bCs/>
          <w:color w:val="000000"/>
          <w:sz w:val="21"/>
          <w:szCs w:val="21"/>
          <w:highlight w:val="none"/>
          <w:lang w:val="zh-CN"/>
        </w:rPr>
        <w:t xml:space="preserve">情况表</w:t>
      </w:r>
      <w:bookmarkEnd w:id="49"/>
      <w:r/>
      <w:bookmarkEnd w:id="50"/>
      <w:r/>
      <w:r/>
    </w:p>
    <w:p>
      <w:pPr>
        <w:jc w:val="center"/>
        <w:spacing w:line="360" w:lineRule="auto"/>
        <w:widowControl w:val="off"/>
        <w:rPr>
          <w:rFonts w:hint="eastAsia" w:ascii="宋体" w:hAnsi="宋体" w:cs="宋体"/>
          <w:b/>
          <w:color w:val="000000"/>
          <w:sz w:val="28"/>
          <w:szCs w:val="28"/>
          <w:highlight w:val="none"/>
          <w:lang w:val="zh-CN"/>
        </w:rPr>
        <w:outlineLvl w:val="0"/>
      </w:pPr>
      <w:r/>
      <w:bookmarkStart w:id="51" w:name="_Toc48639216"/>
      <w:r/>
      <w:bookmarkStart w:id="52" w:name="_Toc48639345"/>
      <w:r>
        <w:rPr>
          <w:rFonts w:hint="eastAsia" w:ascii="宋体" w:hAnsi="宋体" w:cs="宋体"/>
          <w:b/>
          <w:color w:val="000000"/>
          <w:sz w:val="28"/>
          <w:szCs w:val="28"/>
          <w:highlight w:val="none"/>
          <w:lang w:val="zh-CN"/>
        </w:rPr>
        <w:t xml:space="preserve">投标人</w:t>
      </w:r>
      <w:r>
        <w:rPr>
          <w:rFonts w:hint="eastAsia" w:ascii="宋体" w:hAnsi="宋体" w:cs="宋体"/>
          <w:b/>
          <w:color w:val="000000"/>
          <w:sz w:val="28"/>
          <w:szCs w:val="28"/>
          <w:highlight w:val="none"/>
          <w:lang w:val="en-US" w:eastAsia="zh-CN"/>
        </w:rPr>
        <w:t xml:space="preserve">基本</w:t>
      </w:r>
      <w:r>
        <w:rPr>
          <w:rFonts w:hint="eastAsia" w:ascii="宋体" w:hAnsi="宋体" w:cs="宋体"/>
          <w:b/>
          <w:color w:val="000000"/>
          <w:sz w:val="28"/>
          <w:szCs w:val="28"/>
          <w:highlight w:val="none"/>
          <w:lang w:val="zh-CN"/>
        </w:rPr>
        <w:t xml:space="preserve">情况表</w:t>
      </w:r>
      <w:bookmarkEnd w:id="51"/>
      <w:r/>
      <w:bookmarkEnd w:id="52"/>
      <w:r/>
      <w:r/>
    </w:p>
    <w:p>
      <w:pPr>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p>
    <w:tbl>
      <w:tblPr>
        <w:tblStyle w:val="9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2056"/>
        <w:gridCol w:w="983"/>
      </w:tblGrid>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p>
        </w:tc>
        <w:tc>
          <w:tcPr>
            <w:gridSpan w:val="2"/>
            <w:tcW w:w="3039"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p>
        </w:tc>
        <w:tc>
          <w:tcPr>
            <w:gridSpan w:val="2"/>
            <w:tcW w:w="3039" w:type="dxa"/>
            <w:vAlign w:val="center"/>
            <w:textDirection w:val="lrTb"/>
            <w:noWrap w:val="false"/>
          </w:tcPr>
          <w:p>
            <w:pPr>
              <w:ind w:firstLine="2160"/>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p>
        </w:tc>
        <w:tc>
          <w:tcPr>
            <w:tcW w:w="983"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p>
        </w:tc>
        <w:tc>
          <w:tcPr>
            <w:gridSpan w:val="2"/>
            <w:tcW w:w="3039"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p>
        </w:tc>
        <w:tc>
          <w:tcPr>
            <w:gridSpan w:val="2"/>
            <w:tcW w:w="3039"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039"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p>
        </w:tc>
        <w:tc>
          <w:tcPr>
            <w:tcW w:w="1461"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p>
        </w:tc>
        <w:tc>
          <w:tcPr>
            <w:gridSpan w:val="2"/>
            <w:tcW w:w="3039"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p>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p>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最近3年内在经营过程中受到何种奖励或处分</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p>
        </w:tc>
      </w:tr>
      <w:tr>
        <w:trPr>
          <w:trHeight w:val="1356"/>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最近3年内有无因售假、售劣或是其他原因被消费者投诉或起诉的情况及说明</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p>
        </w:tc>
      </w:tr>
      <w:tr>
        <w:trPr>
          <w:trHeight w:val="1302"/>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49"/>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3"/>
        </w:trPr>
        <w:tc>
          <w:tcPr>
            <w:tcW w:w="251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p>
        </w:tc>
        <w:tc>
          <w:tcPr>
            <w:gridSpan w:val="4"/>
            <w:tcW w:w="6130" w:type="dxa"/>
            <w:vAlign w:val="center"/>
            <w:textDirection w:val="lrTb"/>
            <w:noWrap w:val="false"/>
          </w:tcPr>
          <w:p>
            <w:pPr>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lang w:val="zh-CN"/>
        </w:rPr>
        <w:t xml:space="preserve">（3）投标单位资格承诺书</w:t>
      </w:r>
      <w:r/>
    </w:p>
    <w:p>
      <w:pPr>
        <w:ind w:firstLine="316"/>
        <w:jc w:val="center"/>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lang w:val="zh-CN"/>
        </w:rPr>
        <w:t xml:space="preserve">投标单位资格承诺书</w:t>
      </w:r>
      <w:r/>
    </w:p>
    <w:p>
      <w:pP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采购编号：</w:t>
      </w:r>
      <w:r/>
    </w:p>
    <w:tbl>
      <w:tblPr>
        <w:tblStyle w:val="913"/>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50"/>
        <w:gridCol w:w="1192"/>
        <w:gridCol w:w="3401"/>
      </w:tblGrid>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p>
        </w:tc>
        <w:tc>
          <w:tcPr>
            <w:tcW w:w="3050" w:type="dxa"/>
            <w:vAlign w:val="center"/>
            <w:textDirection w:val="lrTb"/>
            <w:noWrap w:val="false"/>
          </w:tcPr>
          <w:p>
            <w:pPr>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投标单位部分资格要求</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是否完全响应</w:t>
            </w:r>
            <w:r/>
          </w:p>
        </w:tc>
        <w:tc>
          <w:tcPr>
            <w:tcW w:w="3401" w:type="dxa"/>
            <w:vAlign w:val="center"/>
            <w:textDirection w:val="lrTb"/>
            <w:noWrap w:val="false"/>
          </w:tcPr>
          <w:p>
            <w:pPr>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3050"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具有独立承担民事责任的能力</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w:t>
            </w:r>
            <w:r>
              <w:rPr>
                <w:rFonts w:hint="eastAsia" w:ascii="宋体" w:hAnsi="宋体" w:cs="宋体"/>
                <w:color w:val="000000"/>
                <w:sz w:val="21"/>
                <w:szCs w:val="21"/>
                <w:highlight w:val="none"/>
                <w:lang w:val="zh-CN"/>
              </w:rPr>
              <w:t xml:space="preserve">包括法人或者其他组织的营业执照等证明文件，自然人的身份证明</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3050"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具有良好的商业信誉和健全的财务会计制度</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提供最近一期</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2024年或2025年</w:t>
            </w:r>
            <w:r>
              <w:rPr>
                <w:rFonts w:hint="eastAsia" w:ascii="宋体" w:hAnsi="宋体" w:cs="宋体"/>
                <w:color w:val="auto"/>
                <w:sz w:val="21"/>
                <w:szCs w:val="21"/>
                <w:highlight w:val="none"/>
                <w:lang w:val="zh-CN"/>
              </w:rPr>
              <w:t xml:space="preserve">）</w:t>
            </w:r>
            <w:r>
              <w:rPr>
                <w:rFonts w:hint="eastAsia" w:ascii="宋体" w:hAnsi="宋体" w:cs="宋体"/>
                <w:color w:val="000000"/>
                <w:sz w:val="21"/>
                <w:szCs w:val="21"/>
                <w:highlight w:val="none"/>
              </w:rPr>
              <w:t xml:space="preserve">经审计的财务报告或企业最近一期的财务报表或其他组织、自然人及成立未满一年的法人提供基本开户银行出具的资信证明</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3050"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具有履行合同所必需的设备和专业技术能力</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根据供应商的实际情况提供或承诺</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3050"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有依法缴纳税收和社会保障资金的良好记录</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最近任意一个月银行或税务机关出具的依法缴纳税收的凭据或银行对账单，最近任意一个月依法缴纳社会保险的凭据或银行对账单，供应商如依法享受缓缴、免缴税收、社会保障资金的应提供相关主管部门出具的证明材料</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3050"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参加政府采购活动前三年内，在经营活动中没有重大违法记录</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提供书面声明函（格式自拟）</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3050" w:type="dxa"/>
            <w:vAlign w:val="center"/>
            <w:textDirection w:val="lrTb"/>
            <w:noWrap w:val="false"/>
          </w:tcPr>
          <w:p>
            <w:pPr>
              <w:pStyle w:val="1141"/>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法律、行政法规规定的其他条件</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p>
        </w:tc>
      </w:tr>
      <w:tr>
        <w:trPr>
          <w:jc w:val="center"/>
          <w:trHeight w:val="405"/>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3050" w:type="dxa"/>
            <w:vAlign w:val="center"/>
            <w:textDirection w:val="lrTb"/>
            <w:noWrap w:val="false"/>
          </w:tcPr>
          <w:p>
            <w:pPr>
              <w:pStyle w:val="1141"/>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满足政府采购政策需满足的资格要求</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《中小企业声明函》或《残疾人福利性单位声明函》或省级以上监狱管理局、戒毒管理局（含新疆生产建设兵团）出具的属于监狱企业的证明文件（本项目专门面向中小企业采购。所属行业为工业。</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lang w:val="zh-CN"/>
              </w:rPr>
              <w:t xml:space="preserve">单位必须为中小微</w:t>
            </w:r>
            <w:r>
              <w:rPr>
                <w:rFonts w:hint="eastAsia" w:ascii="宋体" w:hAnsi="宋体" w:eastAsia="宋体" w:cs="宋体"/>
                <w:color w:val="000000"/>
                <w:sz w:val="21"/>
                <w:szCs w:val="21"/>
                <w:highlight w:val="none"/>
                <w:lang w:val="zh-CN"/>
              </w:rPr>
              <w:t xml:space="preserve">企业或残疾人福利性单位或监狱企业，并在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文件中提供相关声明函或监狱企业证明文件，否则为无效投标）</w:t>
            </w:r>
            <w:r/>
          </w:p>
        </w:tc>
      </w:tr>
      <w:tr>
        <w:trPr>
          <w:jc w:val="center"/>
          <w:trHeight w:val="850"/>
        </w:trPr>
        <w:tc>
          <w:tcPr>
            <w:tcW w:w="660"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8</w:t>
            </w:r>
            <w:r/>
          </w:p>
        </w:tc>
        <w:tc>
          <w:tcPr>
            <w:tcW w:w="3050" w:type="dxa"/>
            <w:vAlign w:val="center"/>
            <w:textDirection w:val="lrTb"/>
            <w:noWrap w:val="false"/>
          </w:tcPr>
          <w:p>
            <w:pPr>
              <w:pStyle w:val="1141"/>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合格投标</w:t>
            </w:r>
            <w:r>
              <w:rPr>
                <w:rFonts w:hint="eastAsia" w:cs="宋体"/>
                <w:color w:val="000000"/>
                <w:sz w:val="21"/>
                <w:szCs w:val="21"/>
                <w:highlight w:val="none"/>
                <w:lang w:val="en-US" w:eastAsia="zh-CN"/>
              </w:rPr>
              <w:t xml:space="preserve">人</w:t>
            </w:r>
            <w:r>
              <w:rPr>
                <w:rFonts w:hint="eastAsia" w:cs="宋体"/>
                <w:color w:val="000000"/>
                <w:sz w:val="21"/>
                <w:szCs w:val="21"/>
                <w:highlight w:val="none"/>
              </w:rPr>
              <w:t xml:space="preserve">特定要求（如涉及）</w:t>
            </w:r>
            <w:r/>
          </w:p>
        </w:tc>
        <w:tc>
          <w:tcPr>
            <w:tcW w:w="1192" w:type="dxa"/>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189"/>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p>
    <w:p>
      <w:pPr>
        <w:pStyle w:val="1189"/>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p>
    <w:p>
      <w:pPr>
        <w:pStyle w:val="1108"/>
        <w:ind w:firstLine="0"/>
        <w:spacing w:line="360" w:lineRule="auto"/>
        <w:rPr>
          <w:rFonts w:hint="eastAsia" w:ascii="宋体" w:hAnsi="宋体" w:eastAsia="宋体" w:cs="宋体"/>
          <w:bCs/>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、中小企业声明函</w:t>
      </w:r>
      <w:r/>
    </w:p>
    <w:p>
      <w:pPr>
        <w:jc w:val="center"/>
        <w:spacing w:line="588" w:lineRule="exact"/>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jc w:val="center"/>
        <w:spacing w:line="360" w:lineRule="auto"/>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中小企业声明函</w:t>
      </w: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000000"/>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p>
    <w:p>
      <w:pPr>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p>
    <w:p>
      <w:pPr>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p>
    <w:p>
      <w:pPr>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1、从业人员、营业收入、资产总额填报上一年度数据，无上一年度数据的新成立企业可不填报。</w:t>
      </w:r>
      <w:r/>
    </w:p>
    <w:p>
      <w:pPr>
        <w:ind w:firstLine="42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2、如未对（中型企业、小型企业、微型企业）进行勾选，视同非中小微企业，不可享受相应优惠</w:t>
      </w:r>
      <w:r>
        <w:rPr>
          <w:rFonts w:hint="eastAsia" w:ascii="宋体" w:hAnsi="宋体" w:cs="宋体"/>
          <w:bCs/>
          <w:color w:val="000000"/>
          <w:szCs w:val="21"/>
          <w:highlight w:val="none"/>
        </w:rPr>
        <w:t xml:space="preserve">。</w:t>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附：中小企业划型标准规定（仅供参看，具体按照国家相关最新标准规定）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（一）农、林、牧、渔业。</w:t>
      </w:r>
      <w:r>
        <w:rPr>
          <w:rFonts w:hint="eastAsia" w:ascii="宋体" w:hAnsi="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（二）工业。</w:t>
      </w:r>
      <w:r>
        <w:rPr>
          <w:rFonts w:hint="eastAsia" w:ascii="宋体" w:hAnsi="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（三）建筑业。</w:t>
      </w:r>
      <w:r>
        <w:rPr>
          <w:rFonts w:hint="eastAsia" w:ascii="宋体" w:hAnsi="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（四）批发业。</w:t>
      </w:r>
      <w:r>
        <w:rPr>
          <w:rFonts w:hint="eastAsia" w:ascii="宋体" w:hAnsi="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（五）零售业。</w:t>
      </w:r>
      <w:r>
        <w:rPr>
          <w:rFonts w:hint="eastAsia" w:ascii="宋体" w:hAnsi="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（六）交通运输业。</w:t>
      </w:r>
      <w:r>
        <w:rPr>
          <w:rFonts w:hint="eastAsia" w:ascii="宋体" w:hAnsi="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（七）仓储业。</w:t>
      </w:r>
      <w:r>
        <w:rPr>
          <w:rFonts w:hint="eastAsia" w:ascii="宋体" w:hAnsi="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（八）邮政业。</w:t>
      </w:r>
      <w:r>
        <w:rPr>
          <w:rFonts w:hint="eastAsia" w:ascii="宋体" w:hAnsi="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（九）住宿业。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（十）餐饮业。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（十一）信息传输业。</w:t>
      </w:r>
      <w:r>
        <w:rPr>
          <w:rFonts w:hint="eastAsia" w:ascii="宋体" w:hAnsi="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（十二）软件和信息技术服务业。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（十三）房地产开发经营。</w:t>
      </w:r>
      <w:r>
        <w:rPr>
          <w:rFonts w:hint="eastAsia" w:ascii="宋体" w:hAnsi="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（十四）物业管理。</w:t>
      </w:r>
      <w:r>
        <w:rPr>
          <w:rFonts w:hint="eastAsia" w:ascii="宋体" w:hAnsi="宋体" w:cs="宋体"/>
          <w:color w:val="000000"/>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（十五）租赁和商务服务业。</w:t>
      </w:r>
      <w:r>
        <w:rPr>
          <w:rFonts w:hint="eastAsia" w:ascii="宋体" w:hAnsi="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47"/>
        <w:spacing w:before="0" w:beforeAutospacing="0" w:after="0" w:afterAutospacing="0" w:line="480" w:lineRule="atLeast"/>
        <w:rPr>
          <w:rFonts w:hint="eastAsia" w:cs="宋体"/>
          <w:color w:val="000000"/>
          <w:sz w:val="21"/>
          <w:szCs w:val="21"/>
          <w:highlight w:val="none"/>
        </w:rPr>
      </w:pPr>
      <w:r>
        <w:rPr>
          <w:rFonts w:hint="eastAsia" w:hAnsi="宋体" w:eastAsia="宋体" w:cs="宋体"/>
          <w:b/>
          <w:color w:val="000000"/>
          <w:sz w:val="21"/>
          <w:szCs w:val="21"/>
          <w:highlight w:val="none"/>
        </w:rPr>
        <w:t xml:space="preserve">（十六）其他未列明行业。</w:t>
      </w:r>
      <w:r>
        <w:rPr>
          <w:rFonts w:hint="eastAsia"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1247"/>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48"/>
        <w:spacing w:before="0" w:beforeAutospacing="0" w:after="0" w:afterAutospacing="0" w:line="480" w:lineRule="atLeast"/>
        <w:rPr>
          <w:rFonts w:hint="eastAsia" w:cs="宋体"/>
          <w:b/>
          <w:bCs/>
          <w:color w:val="000000"/>
          <w:sz w:val="21"/>
          <w:szCs w:val="21"/>
          <w:highlight w:val="none"/>
        </w:rPr>
      </w:pPr>
      <w:r>
        <w:rPr>
          <w:rFonts w:hint="eastAsia" w:cs="宋体"/>
          <w:b/>
          <w:color w:val="000000"/>
          <w:sz w:val="21"/>
          <w:szCs w:val="21"/>
          <w:highlight w:val="none"/>
        </w:rPr>
        <w:t xml:space="preserve">格式1</w:t>
      </w:r>
      <w:r>
        <w:rPr>
          <w:rFonts w:hint="eastAsia" w:cs="宋体"/>
          <w:b/>
          <w:color w:val="000000"/>
          <w:sz w:val="21"/>
          <w:szCs w:val="21"/>
          <w:highlight w:val="none"/>
          <w:lang w:val="en-US" w:eastAsia="zh-CN"/>
        </w:rPr>
        <w:t xml:space="preserve">7</w:t>
      </w:r>
      <w:r>
        <w:rPr>
          <w:rFonts w:hint="eastAsia" w:cs="宋体"/>
          <w:b/>
          <w:color w:val="000000"/>
          <w:sz w:val="21"/>
          <w:szCs w:val="21"/>
          <w:highlight w:val="none"/>
        </w:rPr>
        <w:t xml:space="preserve">、残疾人福利性单位声明函（固定格式）</w:t>
      </w:r>
      <w:r/>
    </w:p>
    <w:p>
      <w:pPr>
        <w:pStyle w:val="1148"/>
        <w:spacing w:before="0" w:beforeAutospacing="0" w:after="0" w:afterAutospacing="0" w:line="480" w:lineRule="atLeast"/>
        <w:rPr>
          <w:rFonts w:hint="eastAsia" w:cs="宋体"/>
          <w:b/>
          <w:bCs/>
          <w:color w:val="000000"/>
          <w:sz w:val="21"/>
          <w:szCs w:val="21"/>
          <w:highlight w:val="none"/>
        </w:rPr>
      </w:pPr>
      <w:r>
        <w:rPr>
          <w:rFonts w:hint="eastAsia" w:cs="宋体"/>
          <w:b/>
          <w:bCs/>
          <w:color w:val="000000"/>
          <w:sz w:val="21"/>
          <w:szCs w:val="21"/>
          <w:highlight w:val="none"/>
        </w:rPr>
      </w:r>
      <w:r/>
    </w:p>
    <w:p>
      <w:pPr>
        <w:jc w:val="center"/>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t xml:space="preserve">残疾人福利性单位声明函</w:t>
      </w:r>
      <w:r/>
    </w:p>
    <w:p>
      <w:pPr>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rPr>
        <w:t xml:space="preserve">〔2017〕141</w:t>
      </w:r>
      <w:r>
        <w:rPr>
          <w:rFonts w:hint="eastAsia" w:ascii="宋体" w:hAnsi="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本单位对上述声明的真实性负责。如有虚假，将依法承担相应责任。</w:t>
      </w:r>
      <w:r/>
    </w:p>
    <w:p>
      <w:pPr>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p>
    <w:p>
      <w:pPr>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日  期：</w:t>
      </w:r>
      <w:r/>
    </w:p>
    <w:p>
      <w:pPr>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148"/>
        <w:spacing w:before="0" w:beforeAutospacing="0" w:after="0" w:afterAutospacing="0" w:line="480" w:lineRule="atLeast"/>
        <w:rPr>
          <w:rFonts w:hint="eastAsia" w:cs="宋体"/>
          <w:color w:val="000000"/>
          <w:sz w:val="21"/>
          <w:szCs w:val="21"/>
          <w:highlight w:val="none"/>
        </w:rPr>
      </w:pPr>
      <w:r>
        <w:rPr>
          <w:rFonts w:hint="eastAsia" w:cs="宋体"/>
          <w:color w:val="000000"/>
          <w:spacing w:val="6"/>
          <w:sz w:val="21"/>
          <w:szCs w:val="21"/>
          <w:highlight w:val="none"/>
        </w:rPr>
        <w:t xml:space="preserve">备注：</w:t>
      </w:r>
      <w:r>
        <w:rPr>
          <w:rFonts w:hint="eastAsia" w:cs="宋体"/>
          <w:color w:val="000000"/>
          <w:spacing w:val="6"/>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ageBreakBefore/>
        <w:spacing w:line="360" w:lineRule="auto"/>
        <w:rPr>
          <w:rFonts w:hint="eastAsia" w:ascii="宋体" w:hAnsi="宋体" w:cs="宋体"/>
          <w:b/>
          <w:bCs/>
          <w:color w:val="000000"/>
          <w:szCs w:val="21"/>
          <w:highlight w:val="none"/>
        </w:rPr>
      </w:pPr>
      <w:r/>
      <w:bookmarkStart w:id="53" w:name="_Toc48639219"/>
      <w:r/>
      <w:bookmarkStart w:id="54" w:name="_Toc48639348"/>
      <w:r>
        <w:rPr>
          <w:rFonts w:hint="eastAsia" w:ascii="宋体" w:hAnsi="宋体" w:cs="宋体"/>
          <w:b/>
          <w:bCs/>
          <w:color w:val="000000"/>
          <w:sz w:val="21"/>
          <w:szCs w:val="21"/>
          <w:highlight w:val="none"/>
        </w:rPr>
        <w:t xml:space="preserve">格式1</w:t>
      </w:r>
      <w:r>
        <w:rPr>
          <w:rFonts w:hint="eastAsia" w:ascii="宋体" w:hAnsi="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rPr>
        <w:t xml:space="preserve">、监狱企业声明函</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监狱企业声明函</w:t>
      </w:r>
      <w:r/>
    </w:p>
    <w:p>
      <w:pPr>
        <w:pStyle w:val="1148"/>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148"/>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p>
    <w:p>
      <w:pPr>
        <w:pStyle w:val="1148"/>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本企业（单位）为直接投标人提供本企业（单位）的服务。</w:t>
      </w:r>
      <w:r/>
    </w:p>
    <w:p>
      <w:pPr>
        <w:pStyle w:val="1148"/>
        <w:numPr>
          <w:ilvl w:val="0"/>
          <w:numId w:val="3"/>
        </w:numPr>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（请填写：是、不是）监狱企业。</w:t>
      </w:r>
      <w:r/>
    </w:p>
    <w:p>
      <w:pPr>
        <w:pStyle w:val="1148"/>
        <w:ind w:left="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p>
    <w:p>
      <w:pPr>
        <w:pStyle w:val="1148"/>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本企业（单位）对上述声明的真实性负责。如有虚假，将依法承担相应责任。</w:t>
      </w:r>
      <w:r/>
    </w:p>
    <w:p>
      <w:pPr>
        <w:pStyle w:val="1148"/>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p>
    <w:p>
      <w:pPr>
        <w:pStyle w:val="1089"/>
        <w:jc w:val="center"/>
        <w:spacing w:before="120" w:after="120" w:line="360" w:lineRule="auto"/>
        <w:tabs>
          <w:tab w:val="left" w:pos="0" w:leader="none"/>
        </w:tabs>
        <w:rPr>
          <w:rFonts w:ascii="宋体" w:hAnsi="宋体" w:cs="宋体"/>
          <w:b w:val="0"/>
          <w:bCs/>
          <w:color w:val="000000"/>
          <w:spacing w:val="6"/>
          <w:sz w:val="21"/>
          <w:szCs w:val="21"/>
          <w:highlight w:val="none"/>
        </w:rPr>
      </w:pPr>
      <w:r>
        <w:rPr>
          <w:rFonts w:hint="eastAsia" w:ascii="宋体" w:hAnsi="宋体" w:cs="宋体"/>
          <w:b w:val="0"/>
          <w:bCs/>
          <w:color w:val="000000"/>
          <w:spacing w:val="6"/>
          <w:sz w:val="21"/>
          <w:szCs w:val="21"/>
          <w:highlight w:val="none"/>
        </w:rPr>
        <w:t xml:space="preserve">                        日  期：</w:t>
      </w:r>
      <w:r/>
    </w:p>
    <w:p>
      <w:pPr>
        <w:jc w:val="both"/>
        <w:widowControl w:val="off"/>
        <w:rPr>
          <w:color w:val="000000"/>
          <w:sz w:val="21"/>
          <w:szCs w:val="22"/>
          <w:highlight w:val="none"/>
        </w:rPr>
      </w:pPr>
      <w:r>
        <w:rPr>
          <w:rFonts w:hint="eastAsia"/>
          <w:color w:val="000000"/>
          <w:sz w:val="21"/>
          <w:szCs w:val="22"/>
          <w:highlight w:val="none"/>
        </w:rPr>
        <w:t xml:space="preserve">附件：</w:t>
      </w:r>
      <w:r>
        <w:rPr>
          <w:color w:val="000000"/>
          <w:sz w:val="21"/>
          <w:szCs w:val="22"/>
          <w:highlight w:val="none"/>
        </w:rPr>
        <w:t xml:space="preserve">提</w:t>
      </w:r>
      <w:r>
        <w:rPr>
          <w:b w:val="0"/>
          <w:bCs w:val="0"/>
          <w:color w:val="000000"/>
          <w:sz w:val="21"/>
          <w:szCs w:val="22"/>
          <w:highlight w:val="none"/>
        </w:rPr>
        <w:t xml:space="preserve">供</w:t>
      </w:r>
      <w:r>
        <w:rPr>
          <w:rFonts w:hint="eastAsia" w:ascii="宋体" w:hAnsi="宋体" w:cs="宋体"/>
          <w:b w:val="0"/>
          <w:bCs w:val="0"/>
          <w:color w:val="000000"/>
          <w:sz w:val="21"/>
          <w:szCs w:val="21"/>
          <w:highlight w:val="none"/>
        </w:rPr>
        <w:t xml:space="preserve">监狱企业</w:t>
      </w:r>
      <w:r>
        <w:rPr>
          <w:b w:val="0"/>
          <w:bCs w:val="0"/>
          <w:color w:val="000000"/>
          <w:sz w:val="21"/>
          <w:szCs w:val="22"/>
          <w:highlight w:val="none"/>
        </w:rPr>
        <w:t xml:space="preserve">证明材</w:t>
      </w:r>
      <w:r>
        <w:rPr>
          <w:color w:val="000000"/>
          <w:sz w:val="21"/>
          <w:szCs w:val="22"/>
          <w:highlight w:val="none"/>
        </w:rPr>
        <w:t xml:space="preserve">料。</w:t>
      </w:r>
      <w:r/>
    </w:p>
    <w:p>
      <w:pPr>
        <w:rPr>
          <w:rFonts w:hint="eastAsia"/>
          <w:color w:val="000000"/>
          <w:highlight w:val="none"/>
        </w:rPr>
      </w:pPr>
      <w:r>
        <w:rPr>
          <w:rFonts w:hint="eastAsia"/>
          <w:color w:val="000000"/>
          <w:highlight w:val="none"/>
        </w:rPr>
      </w:r>
      <w:r/>
    </w:p>
    <w:p>
      <w:pPr>
        <w:pageBreakBefore/>
        <w:spacing w:line="360" w:lineRule="auto"/>
        <w:rPr>
          <w:rFonts w:hint="eastAsia" w:ascii="宋体" w:hAnsi="宋体" w:cs="宋体"/>
          <w:b/>
          <w:bCs/>
          <w:color w:val="auto"/>
          <w:sz w:val="21"/>
          <w:szCs w:val="21"/>
          <w:highlight w:val="none"/>
          <w:lang w:val="zh-CN"/>
        </w:rPr>
      </w:pPr>
      <w:r>
        <w:rPr>
          <w:rFonts w:hint="eastAsia" w:ascii="宋体" w:hAnsi="宋体" w:cs="宋体"/>
          <w:b/>
          <w:color w:val="000000"/>
          <w:sz w:val="21"/>
          <w:szCs w:val="21"/>
          <w:highlight w:val="none"/>
        </w:rPr>
        <w:t xml:space="preserve">格式1</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3"/>
      <w:r/>
      <w:bookmarkEnd w:id="54"/>
      <w:r>
        <w:rPr>
          <w:rFonts w:hint="eastAsia" w:ascii="宋体" w:hAnsi="宋体" w:cs="宋体"/>
          <w:b/>
          <w:bCs/>
          <w:color w:val="auto"/>
          <w:sz w:val="21"/>
          <w:szCs w:val="21"/>
          <w:highlight w:val="none"/>
          <w:lang w:val="zh-CN"/>
        </w:rPr>
        <w:t xml:space="preserve">关于符合本国产品标准的声明函（</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val="zh-CN"/>
        </w:rPr>
        <w:t xml:space="preserve">）</w:t>
      </w:r>
      <w:r/>
    </w:p>
    <w:p>
      <w:pPr>
        <w:ind w:firstLine="420"/>
        <w:jc w:val="center"/>
        <w:spacing w:before="0" w:beforeAutospacing="0" w:after="0" w:afterAutospacing="0" w:line="0" w:lineRule="atLeast"/>
        <w:widowControl/>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bCs/>
          <w:color w:val="auto"/>
          <w:sz w:val="24"/>
          <w:szCs w:val="24"/>
          <w:highlight w:val="none"/>
        </w:rPr>
      </w:r>
      <w:r/>
    </w:p>
    <w:p>
      <w:pPr>
        <w:ind w:firstLine="420"/>
        <w:jc w:val="center"/>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b/>
          <w:bCs/>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9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36"/>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36"/>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36"/>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36"/>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36"/>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36"/>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3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32"/>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93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932"/>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42"/>
        <w:jc w:val="center"/>
        <w:spacing w:line="360" w:lineRule="auto"/>
        <w:rPr>
          <w:rFonts w:ascii="宋体" w:hAnsi="宋体" w:cs="宋体"/>
          <w:b/>
          <w:bCs/>
          <w:color w:val="auto"/>
          <w:sz w:val="22"/>
          <w:szCs w:val="22"/>
          <w:highlight w:val="none"/>
          <w:lang w:val="zh-CN" w:bidi="zh-CN"/>
        </w:rPr>
      </w:pPr>
      <w:r>
        <w:rPr>
          <w:rFonts w:ascii="宋体" w:hAnsi="宋体" w:cs="宋体"/>
          <w:b/>
          <w:bCs/>
          <w:color w:val="auto"/>
          <w:sz w:val="22"/>
          <w:szCs w:val="22"/>
          <w:highlight w:val="none"/>
          <w:lang w:val="zh-CN" w:bidi="zh-CN"/>
        </w:rPr>
      </w:r>
      <w:r/>
    </w:p>
    <w:p>
      <w:pPr>
        <w:pageBreakBefore/>
        <w:spacing w:line="360" w:lineRule="auto"/>
        <w:rPr>
          <w:rFonts w:hint="eastAsia" w:ascii="宋体" w:hAnsi="宋体" w:cs="宋体"/>
          <w:b/>
          <w:color w:val="000000"/>
          <w:highlight w:val="none"/>
        </w:rPr>
      </w:pP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20</w:t>
      </w:r>
      <w:r>
        <w:rPr>
          <w:rFonts w:hint="eastAsia" w:ascii="宋体" w:hAnsi="宋体" w:cs="宋体"/>
          <w:b/>
          <w:color w:val="000000"/>
          <w:sz w:val="21"/>
          <w:szCs w:val="21"/>
          <w:highlight w:val="none"/>
        </w:rPr>
        <w:t xml:space="preserve">、投标（响应）保证承诺书</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投标（响应）保证承诺书</w:t>
      </w:r>
      <w:r/>
    </w:p>
    <w:p>
      <w:pPr>
        <w:pStyle w:val="1147"/>
        <w:spacing w:line="360" w:lineRule="auto"/>
        <w:rPr>
          <w:rFonts w:hint="eastAsia" w:cs="宋体"/>
          <w:color w:val="000000"/>
          <w:sz w:val="21"/>
          <w:szCs w:val="21"/>
          <w:highlight w:val="none"/>
        </w:rPr>
      </w:pPr>
      <w:r>
        <w:rPr>
          <w:rFonts w:hint="eastAsia" w:cs="宋体"/>
          <w:color w:val="000000"/>
          <w:sz w:val="21"/>
          <w:szCs w:val="21"/>
          <w:highlight w:val="none"/>
        </w:rPr>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（采购代理机构名称）</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2.中标（成交）后不依法与采购单位签订合同；</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3.中标（成交）后不按本采购文件规定向采购单位提交履约保证金（如有）；</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4.中标（成交）后不按本采购文件规定向贵方缴纳采购代理费。</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要求我单位履行违约赔偿义务的依据作用。</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w:t>
      </w:r>
      <w:r>
        <w:rPr>
          <w:rFonts w:hint="eastAsia" w:ascii="宋体" w:hAnsi="宋体" w:cs="宋体"/>
          <w:color w:val="000000"/>
          <w:sz w:val="21"/>
          <w:szCs w:val="21"/>
          <w:highlight w:val="none"/>
          <w:u w:val="single"/>
        </w:rPr>
        <w:t xml:space="preserve">                     </w:t>
      </w:r>
      <w:r/>
    </w:p>
    <w:p>
      <w:pPr>
        <w:spacing w:line="360" w:lineRule="auto"/>
        <w:rPr>
          <w:rFonts w:hint="eastAsia" w:ascii="宋体" w:hAnsi="宋体" w:cs="宋体"/>
          <w:color w:val="000000"/>
          <w:sz w:val="21"/>
          <w:szCs w:val="21"/>
          <w:highlight w:val="none"/>
        </w:rPr>
      </w:pPr>
      <w:r>
        <w:rPr>
          <w:rFonts w:hint="eastAsia" w:cs="宋体"/>
          <w:color w:val="000000"/>
          <w:sz w:val="21"/>
          <w:szCs w:val="21"/>
          <w:highlight w:val="none"/>
        </w:rPr>
        <w:t xml:space="preserve">日期：</w:t>
      </w:r>
      <w:r>
        <w:rPr>
          <w:rFonts w:hint="eastAsia" w:cs="宋体"/>
          <w:color w:val="000000"/>
          <w:sz w:val="21"/>
          <w:szCs w:val="21"/>
          <w:highlight w:val="none"/>
          <w:u w:val="single"/>
        </w:rPr>
        <w:t xml:space="preserve">                    </w:t>
      </w:r>
      <w:r/>
    </w:p>
    <w:p>
      <w:pPr>
        <w:ind w:firstLine="420"/>
        <w:spacing w:line="400" w:lineRule="exact"/>
        <w:rPr>
          <w:rFonts w:ascii="宋体" w:hAnsi="宋体" w:cs="宋体"/>
          <w:color w:val="000000"/>
          <w:sz w:val="21"/>
          <w:szCs w:val="21"/>
          <w:highlight w:val="none"/>
        </w:rPr>
        <w:sectPr>
          <w:footnotePr/>
          <w:endnotePr/>
          <w:type w:val="nextPage"/>
          <w:pgSz w:w="11850" w:h="16783" w:orient="portrait"/>
          <w:pgMar w:top="1440" w:right="1797" w:bottom="1440" w:left="1797" w:header="851" w:footer="992" w:gutter="0"/>
          <w:cols w:num="1" w:sep="0" w:space="1701" w:equalWidth="1"/>
          <w:docGrid w:linePitch="360"/>
          <w:titlePg/>
        </w:sectPr>
      </w:pPr>
      <w:r>
        <w:rPr>
          <w:rFonts w:ascii="宋体" w:hAnsi="宋体" w:cs="宋体"/>
          <w:color w:val="000000"/>
          <w:sz w:val="21"/>
          <w:szCs w:val="21"/>
          <w:highlight w:val="none"/>
        </w:rPr>
      </w:r>
      <w:r/>
    </w:p>
    <w:p>
      <w:pPr>
        <w:pStyle w:val="1087"/>
        <w:jc w:val="center"/>
        <w:spacing w:after="0"/>
        <w:rPr>
          <w:rFonts w:hint="eastAsia"/>
          <w:color w:val="000000"/>
          <w:highlight w:val="none"/>
        </w:rPr>
      </w:pPr>
      <w:r/>
      <w:bookmarkStart w:id="55" w:name="_Toc48639349"/>
      <w:r>
        <w:rPr>
          <w:rFonts w:hint="eastAsia"/>
          <w:color w:val="000000"/>
          <w:highlight w:val="none"/>
        </w:rPr>
        <w:t xml:space="preserve">第四章  招标书</w:t>
      </w:r>
      <w:bookmarkEnd w:id="55"/>
      <w:r/>
      <w:r/>
    </w:p>
    <w:p>
      <w:pPr>
        <w:ind w:firstLine="420"/>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苏州市吴江区盛泽镇人民政府</w:t>
      </w:r>
      <w:r>
        <w:rPr>
          <w:rFonts w:hint="eastAsia" w:ascii="宋体" w:hAnsi="宋体" w:cs="宋体"/>
          <w:color w:val="000000"/>
          <w:sz w:val="21"/>
          <w:szCs w:val="21"/>
          <w:highlight w:val="none"/>
        </w:rPr>
        <w:t xml:space="preserve">的委托，</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盛泽镇园区路消防站消防车采购</w:t>
      </w:r>
      <w:r>
        <w:rPr>
          <w:rFonts w:hint="eastAsia" w:ascii="宋体" w:hAnsi="宋体" w:cs="宋体"/>
          <w:color w:val="000000"/>
          <w:sz w:val="21"/>
          <w:szCs w:val="21"/>
          <w:highlight w:val="none"/>
        </w:rPr>
        <w:t xml:space="preserve">进行国内公开招标。欢迎符合招标公告资格要求的供应商前来报名参加投标。</w:t>
      </w:r>
      <w:r/>
    </w:p>
    <w:p>
      <w:pPr>
        <w:numPr>
          <w:ilvl w:val="0"/>
          <w:numId w:val="4"/>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采购编</w:t>
      </w:r>
      <w:r>
        <w:rPr>
          <w:rFonts w:hint="eastAsia" w:ascii="宋体" w:hAnsi="宋体" w:eastAsia="宋体" w:cs="宋体"/>
          <w:b/>
          <w:bCs/>
          <w:color w:val="000000"/>
          <w:sz w:val="21"/>
          <w:szCs w:val="21"/>
          <w:highlight w:val="none"/>
        </w:rPr>
        <w:t xml:space="preserve">号：</w:t>
      </w:r>
      <w:r>
        <w:rPr>
          <w:rFonts w:hint="eastAsia" w:ascii="宋体" w:hAnsi="宋体" w:cs="宋体"/>
          <w:b w:val="0"/>
          <w:bCs w:val="0"/>
          <w:color w:val="000000"/>
          <w:sz w:val="21"/>
          <w:szCs w:val="21"/>
          <w:highlight w:val="none"/>
          <w:lang w:eastAsia="zh-CN"/>
        </w:rPr>
        <w:t xml:space="preserve">JSZC-320509-ZHTX-G2026-0002</w:t>
      </w:r>
      <w:r/>
    </w:p>
    <w:p>
      <w:pPr>
        <w:numPr>
          <w:ilvl w:val="0"/>
          <w:numId w:val="4"/>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采购内容：</w:t>
      </w:r>
      <w:r>
        <w:rPr>
          <w:rFonts w:hint="eastAsia" w:ascii="宋体" w:hAnsi="宋体" w:cs="宋体"/>
          <w:b w:val="0"/>
          <w:bCs w:val="0"/>
          <w:color w:val="000000"/>
          <w:sz w:val="21"/>
          <w:szCs w:val="21"/>
          <w:highlight w:val="none"/>
          <w:lang w:eastAsia="zh-CN"/>
        </w:rPr>
        <w:t xml:space="preserve">盛泽镇园区路消防站消防车采购</w:t>
      </w:r>
      <w:r/>
    </w:p>
    <w:p>
      <w:pPr>
        <w:numPr>
          <w:ilvl w:val="0"/>
          <w:numId w:val="4"/>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采购预算（最高限价）：</w:t>
      </w:r>
      <w:r>
        <w:rPr>
          <w:rFonts w:hint="eastAsia" w:ascii="宋体" w:hAnsi="宋体" w:eastAsia="宋体" w:cs="宋体"/>
          <w:b w:val="0"/>
          <w:bCs w:val="0"/>
          <w:color w:val="000000"/>
          <w:sz w:val="21"/>
          <w:szCs w:val="21"/>
          <w:highlight w:val="none"/>
        </w:rPr>
        <w:t xml:space="preserve">人民币</w:t>
      </w:r>
      <w:r>
        <w:rPr>
          <w:rFonts w:hint="eastAsia" w:ascii="宋体" w:hAnsi="宋体" w:cs="宋体"/>
          <w:b w:val="0"/>
          <w:bCs w:val="0"/>
          <w:color w:val="000000"/>
          <w:sz w:val="21"/>
          <w:szCs w:val="21"/>
          <w:highlight w:val="none"/>
          <w:lang w:val="en-US" w:eastAsia="zh-CN"/>
        </w:rPr>
        <w:t xml:space="preserve">陆佰柒拾肆</w:t>
      </w:r>
      <w:r>
        <w:rPr>
          <w:rFonts w:hint="eastAsia" w:ascii="宋体" w:hAnsi="宋体" w:eastAsia="宋体" w:cs="宋体"/>
          <w:b w:val="0"/>
          <w:bCs w:val="0"/>
          <w:color w:val="000000"/>
          <w:sz w:val="21"/>
          <w:szCs w:val="21"/>
          <w:highlight w:val="none"/>
          <w:lang w:val="en-US" w:eastAsia="zh-CN"/>
        </w:rPr>
        <w:t xml:space="preserve">万</w:t>
      </w:r>
      <w:r>
        <w:rPr>
          <w:rFonts w:hint="eastAsia" w:ascii="宋体" w:hAnsi="宋体" w:eastAsia="宋体" w:cs="宋体"/>
          <w:b w:val="0"/>
          <w:bCs w:val="0"/>
          <w:color w:val="000000"/>
          <w:sz w:val="21"/>
          <w:szCs w:val="21"/>
          <w:highlight w:val="none"/>
        </w:rPr>
        <w:t xml:space="preserve">元整（￥</w:t>
      </w:r>
      <w:r>
        <w:rPr>
          <w:rFonts w:hint="eastAsia" w:ascii="宋体" w:hAnsi="宋体" w:cs="宋体"/>
          <w:b w:val="0"/>
          <w:bCs w:val="0"/>
          <w:color w:val="000000"/>
          <w:sz w:val="21"/>
          <w:szCs w:val="21"/>
          <w:highlight w:val="none"/>
          <w:lang w:val="en-US" w:eastAsia="zh-CN"/>
        </w:rPr>
        <w:t xml:space="preserve">674</w:t>
      </w:r>
      <w:r>
        <w:rPr>
          <w:rFonts w:hint="eastAsia" w:ascii="宋体" w:hAnsi="宋体" w:eastAsia="宋体" w:cs="宋体"/>
          <w:b w:val="0"/>
          <w:bCs w:val="0"/>
          <w:color w:val="000000"/>
          <w:sz w:val="21"/>
          <w:szCs w:val="21"/>
          <w:highlight w:val="none"/>
        </w:rPr>
        <w:t xml:space="preserve">0000.00</w:t>
      </w:r>
      <w:r>
        <w:rPr>
          <w:rFonts w:hint="eastAsia" w:ascii="宋体" w:hAnsi="宋体" w:eastAsia="宋体" w:cs="宋体"/>
          <w:b w:val="0"/>
          <w:bCs w:val="0"/>
          <w:color w:val="000000"/>
          <w:sz w:val="21"/>
          <w:szCs w:val="21"/>
          <w:highlight w:val="none"/>
          <w:lang w:val="en-US" w:eastAsia="zh-CN"/>
        </w:rPr>
        <w:t xml:space="preserve">元</w:t>
      </w:r>
      <w:r>
        <w:rPr>
          <w:rFonts w:hint="eastAsia" w:ascii="宋体" w:hAnsi="宋体" w:eastAsia="宋体" w:cs="宋体"/>
          <w:b w:val="0"/>
          <w:bCs w:val="0"/>
          <w:color w:val="000000"/>
          <w:sz w:val="21"/>
          <w:szCs w:val="21"/>
          <w:highlight w:val="none"/>
        </w:rPr>
        <w:t xml:space="preserve">）</w:t>
      </w:r>
      <w:r/>
    </w:p>
    <w:p>
      <w:pPr>
        <w:numPr>
          <w:ilvl w:val="0"/>
          <w:numId w:val="4"/>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招标要求：</w:t>
      </w:r>
      <w:r/>
    </w:p>
    <w:p>
      <w:pPr>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采购清单及具体技术要求</w:t>
      </w:r>
      <w:bookmarkStart w:id="56" w:name="_Toc48639350"/>
      <w:r/>
      <w:bookmarkStart w:id="57" w:name="_Toc48639221"/>
      <w:r>
        <w:rPr>
          <w:rFonts w:hint="eastAsia" w:ascii="宋体" w:hAnsi="宋体" w:eastAsia="宋体" w:cs="宋体"/>
          <w:b/>
          <w:bCs/>
          <w:color w:val="000000"/>
          <w:sz w:val="21"/>
          <w:szCs w:val="21"/>
          <w:highlight w:val="none"/>
          <w:lang w:eastAsia="zh-CN"/>
        </w:rPr>
        <w:t xml:space="preserve">：</w:t>
      </w:r>
      <w:r/>
    </w:p>
    <w:p>
      <w:pPr>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采购清单</w:t>
      </w:r>
      <w:bookmarkEnd w:id="56"/>
      <w:r/>
      <w:bookmarkEnd w:id="57"/>
      <w:r>
        <w:rPr>
          <w:rFonts w:hint="eastAsia" w:ascii="宋体" w:hAnsi="宋体" w:eastAsia="宋体" w:cs="宋体"/>
          <w:b/>
          <w:bCs/>
          <w:color w:val="000000"/>
          <w:sz w:val="21"/>
          <w:szCs w:val="21"/>
          <w:highlight w:val="none"/>
          <w:lang w:eastAsia="zh-CN"/>
        </w:rPr>
        <w:t xml:space="preserve">：</w:t>
      </w:r>
      <w:r/>
    </w:p>
    <w:tbl>
      <w:tblPr>
        <w:tblStyle w:val="913"/>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339"/>
        <w:gridCol w:w="1002"/>
        <w:gridCol w:w="1200"/>
        <w:gridCol w:w="2386"/>
      </w:tblGrid>
      <w:tr>
        <w:trPr>
          <w:jc w:val="center"/>
        </w:trPr>
        <w:tc>
          <w:tcPr>
            <w:tcW w:w="993"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序号</w:t>
            </w:r>
            <w:r/>
          </w:p>
        </w:tc>
        <w:tc>
          <w:tcPr>
            <w:tcW w:w="2339"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002"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数量</w:t>
            </w:r>
            <w:r/>
          </w:p>
        </w:tc>
        <w:tc>
          <w:tcPr>
            <w:tcW w:w="120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单位</w:t>
            </w:r>
            <w:r/>
          </w:p>
        </w:tc>
        <w:tc>
          <w:tcPr>
            <w:tcW w:w="2386"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备注</w:t>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3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中型泡沫消防车</w:t>
            </w:r>
            <w:r/>
          </w:p>
        </w:tc>
        <w:tc>
          <w:tcPr>
            <w:tcW w:w="100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W w:w="2386" w:type="dxa"/>
            <w:vAlign w:val="center"/>
            <w:vMerge w:val="restart"/>
            <w:textDirection w:val="lrTb"/>
            <w:noWrap w:val="false"/>
          </w:tcPr>
          <w:p>
            <w:pPr>
              <w:jc w:val="center"/>
              <w:spacing w:line="360" w:lineRule="auto"/>
              <w:rPr>
                <w:rFonts w:hint="default" w:ascii="宋体" w:hAnsi="宋体" w:eastAsia="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t xml:space="preserve">不接受整车进口产品投标</w:t>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W w:w="2339"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重型泡沫消防车</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W w:w="2386" w:type="dxa"/>
            <w:vAlign w:val="center"/>
            <w:vMerge w:val="continue"/>
            <w:textDirection w:val="lrTb"/>
            <w:noWrap w:val="false"/>
          </w:tcPr>
          <w:p>
            <w:pPr>
              <w:jc w:val="center"/>
              <w:spacing w:line="360" w:lineRule="auto"/>
              <w:rPr>
                <w:rFonts w:hint="eastAsia" w:ascii="宋体" w:hAnsi="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r>
            <w:r/>
          </w:p>
        </w:tc>
      </w:tr>
      <w:tr>
        <w:trPr>
          <w:jc w:val="center"/>
          <w:trHeight w:val="425"/>
        </w:trPr>
        <w:tc>
          <w:tcPr>
            <w:tcW w:w="993" w:type="dxa"/>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W w:w="2339"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压缩空气泡沫消防车</w:t>
            </w:r>
            <w:r/>
          </w:p>
        </w:tc>
        <w:tc>
          <w:tcPr>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W w:w="2386" w:type="dxa"/>
            <w:vAlign w:val="center"/>
            <w:vMerge w:val="continue"/>
            <w:textDirection w:val="lrTb"/>
            <w:noWrap w:val="false"/>
          </w:tcPr>
          <w:p>
            <w:pPr>
              <w:jc w:val="center"/>
              <w:spacing w:line="360" w:lineRule="auto"/>
              <w:rPr>
                <w:rFonts w:hint="eastAsia" w:ascii="宋体" w:hAnsi="宋体" w:cs="宋体"/>
                <w:bCs/>
                <w:color w:val="auto"/>
                <w:spacing w:val="13"/>
                <w:sz w:val="21"/>
                <w:szCs w:val="21"/>
                <w:highlight w:val="none"/>
                <w:lang w:val="en-US" w:eastAsia="zh-CN"/>
              </w:rPr>
            </w:pPr>
            <w:r>
              <w:rPr>
                <w:rFonts w:hint="eastAsia" w:ascii="宋体" w:hAnsi="宋体" w:cs="宋体"/>
                <w:bCs/>
                <w:color w:val="auto"/>
                <w:spacing w:val="13"/>
                <w:sz w:val="21"/>
                <w:szCs w:val="21"/>
                <w:highlight w:val="none"/>
                <w:lang w:val="en-US" w:eastAsia="zh-CN"/>
              </w:rPr>
            </w:r>
            <w:r/>
          </w:p>
        </w:tc>
      </w:tr>
    </w:tbl>
    <w:p>
      <w:pPr>
        <w:numPr>
          <w:ilvl w:val="0"/>
          <w:numId w:val="0"/>
        </w:numPr>
        <w:ind w:firstLine="422"/>
        <w:keepLines w:val="0"/>
        <w:keepNext w:val="0"/>
        <w:pageBreakBefore w:val="0"/>
        <w:spacing w:line="360" w:lineRule="auto"/>
        <w:widowControl/>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2、具体技术要求 </w:t>
      </w:r>
      <w:r/>
    </w:p>
    <w:tbl>
      <w:tblPr>
        <w:tblStyle w:val="913"/>
        <w:tblW w:w="9405" w:type="dxa"/>
        <w:tblInd w:w="-4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670"/>
      </w:tblGrid>
      <w:tr>
        <w:trPr/>
        <w:tc>
          <w:tcPr>
            <w:gridSpan w:val="2"/>
            <w:tcBorders>
              <w:top w:val="single" w:color="auto" w:sz="4" w:space="0"/>
              <w:left w:val="single" w:color="auto" w:sz="4" w:space="0"/>
              <w:bottom w:val="single" w:color="auto" w:sz="4" w:space="0"/>
              <w:right w:val="single" w:color="auto" w:sz="4" w:space="0"/>
            </w:tcBorders>
            <w:tcW w:w="9405" w:type="dxa"/>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一、中型</w:t>
            </w:r>
            <w:r>
              <w:rPr>
                <w:rFonts w:hint="eastAsia" w:ascii="宋体" w:hAnsi="宋体" w:cs="宋体"/>
                <w:b/>
                <w:color w:val="auto"/>
                <w:sz w:val="21"/>
                <w:szCs w:val="21"/>
                <w:highlight w:val="none"/>
              </w:rPr>
              <w:t xml:space="preserve">泡沫消防车</w:t>
            </w:r>
            <w:r/>
          </w:p>
        </w:tc>
      </w:tr>
      <w:tr>
        <w:trPr/>
        <w:tc>
          <w:tcPr>
            <w:tcBorders>
              <w:top w:val="single" w:color="auto" w:sz="4" w:space="0"/>
              <w:left w:val="single" w:color="auto" w:sz="4" w:space="0"/>
              <w:bottom w:val="single" w:color="auto" w:sz="4" w:space="0"/>
              <w:right w:val="single" w:color="auto" w:sz="4" w:space="0"/>
            </w:tcBorders>
            <w:tcW w:w="735" w:type="dxa"/>
            <w:textDirection w:val="lrTb"/>
            <w:noWrap w:val="false"/>
          </w:tcPr>
          <w:p>
            <w:pPr>
              <w:jc w:val="center"/>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jc w:val="center"/>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rPr>
              <w:t xml:space="preserve">技术要求</w:t>
            </w:r>
            <w:r/>
          </w:p>
        </w:tc>
      </w:tr>
      <w:tr>
        <w:trPr/>
        <w:tc>
          <w:tcPr>
            <w:gridSpan w:val="2"/>
            <w:tcBorders>
              <w:top w:val="single" w:color="auto" w:sz="4" w:space="0"/>
              <w:left w:val="single" w:color="auto" w:sz="4" w:space="0"/>
              <w:bottom w:val="single" w:color="auto" w:sz="4" w:space="0"/>
              <w:right w:val="single" w:color="auto" w:sz="4" w:space="0"/>
            </w:tcBorders>
            <w:tcW w:w="9405"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（一）基本要求</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5"/>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外形尺寸：长×宽×高≤8600×2550×3650mm</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5"/>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最高车速≥90km/h，带定速巡航和电子限速</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5"/>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乘员数≥6人。</w:t>
            </w:r>
            <w:r/>
          </w:p>
        </w:tc>
      </w:tr>
      <w:tr>
        <w:trPr/>
        <w:tc>
          <w:tcPr>
            <w:gridSpan w:val="2"/>
            <w:tcBorders>
              <w:top w:val="single" w:color="auto" w:sz="4" w:space="0"/>
              <w:left w:val="single" w:color="auto" w:sz="4" w:space="0"/>
              <w:bottom w:val="single" w:color="auto" w:sz="4" w:space="0"/>
              <w:right w:val="single" w:color="auto" w:sz="4" w:space="0"/>
            </w:tcBorders>
            <w:tcW w:w="9405" w:type="dxa"/>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（二）底盘及驾乘室</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应采用知名品牌4×2消防车专用底盘</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底盘承载能力≥20000kg</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▲轴距≥5000mm</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▲发动机：涡轮增压柴油发动机，功率≥250KW，投标时提供发动机特性曲线及详细参数</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★排放标准：不低于国六</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变速箱：应采用底盘原装变速箱，前进挡不少于9个，倒挡不少于1个</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取力器：应采用底盘原装夹心式全功率取力器</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制动系统：应采用电子刹车系统、防抱死ABS，发动机排气辅助制动。</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轮胎：应采用子午线钢丝轮胎，全轮配有底盘原装胎压检测系统</w:t>
            </w:r>
            <w:r>
              <w:rPr>
                <w:rFonts w:hint="eastAsia" w:ascii="宋体" w:hAnsi="宋体" w:cs="宋体"/>
                <w:bCs/>
                <w:color w:val="auto"/>
                <w:sz w:val="21"/>
                <w:szCs w:val="21"/>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驾驶室：底盘原装四门双排驾驶室，座位数不少于2+4，空气悬挂司机座椅，后排应加装4具控制支架座椅，中控门锁+钥匙控制、冷暖空调，手电一体驾驶室举升。</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6"/>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仪表仪器：应装有标准仪表、指示灯及开关，包括里程表、转速表、油压表及警报、油箱及尿素液位表、冷却水温表、气压表、方向指示灯、刹车系统警告，并应加装警报器系统、360度全景影像、上装电源开关等。</w:t>
            </w:r>
            <w:r/>
          </w:p>
        </w:tc>
      </w:tr>
      <w:tr>
        <w:trPr/>
        <w:tc>
          <w:tcPr>
            <w:gridSpan w:val="2"/>
            <w:tcBorders>
              <w:top w:val="single" w:color="auto" w:sz="4" w:space="0"/>
              <w:left w:val="single" w:color="auto" w:sz="4" w:space="0"/>
              <w:bottom w:val="single" w:color="auto" w:sz="4" w:space="0"/>
              <w:right w:val="single" w:color="auto" w:sz="4" w:space="0"/>
            </w:tcBorders>
            <w:tcW w:w="9405" w:type="dxa"/>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（三）上装车身</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7"/>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color w:val="auto"/>
                <w:sz w:val="21"/>
                <w:szCs w:val="21"/>
                <w:highlight w:val="none"/>
              </w:rPr>
            </w:pPr>
            <w:r>
              <w:rPr>
                <w:rFonts w:hint="eastAsia"/>
                <w:color w:val="auto"/>
                <w:sz w:val="21"/>
                <w:szCs w:val="21"/>
                <w:highlight w:val="none"/>
              </w:rPr>
              <w:t xml:space="preserve">▲箱体结构设计：车身应采用铝合金型材板搭接模块化结构、无焊接，型材板外表面为车身表面，主线路应布置在骨架型材板内、具有可安全保护、 防止损坏作用，投标时提供实物照片。</w:t>
            </w:r>
            <w:r/>
          </w:p>
        </w:tc>
      </w:tr>
      <w:t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7"/>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color w:val="auto"/>
                <w:sz w:val="21"/>
                <w:szCs w:val="21"/>
                <w:highlight w:val="none"/>
              </w:rPr>
            </w:pPr>
            <w:r>
              <w:rPr>
                <w:rFonts w:hint="eastAsia"/>
                <w:color w:val="auto"/>
                <w:sz w:val="21"/>
                <w:szCs w:val="21"/>
                <w:highlight w:val="none"/>
                <w:lang w:val="en-GB"/>
              </w:rPr>
              <w:t xml:space="preserve">储物箱：左右两侧各设有不少于2个防水、防尘铝合金卷帘门，所有卷帘门可用同一把钥匙开启，</w:t>
            </w:r>
            <w:r>
              <w:rPr>
                <w:rFonts w:hint="eastAsia"/>
                <w:color w:val="auto"/>
                <w:sz w:val="21"/>
                <w:szCs w:val="21"/>
                <w:highlight w:val="none"/>
              </w:rPr>
              <w:t xml:space="preserve">卷帘门采用触发电磁传感器自动开关LED照明，在两侧卷帘门下方设有翻转脚踏板，踏板行程由气弹簧控制，踏板为铝合金型材板一体件，表面防滑，承重静载荷应≥150kg。</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（四）罐体</w:t>
            </w:r>
            <w:r/>
          </w:p>
        </w:tc>
      </w:tr>
      <w:tr>
        <w:trPr>
          <w:trHeight w:val="348"/>
        </w:trPr>
        <w:tc>
          <w:tcPr>
            <w:tcBorders>
              <w:top w:val="single" w:color="auto" w:sz="4" w:space="0"/>
              <w:left w:val="single" w:color="auto" w:sz="4" w:space="0"/>
              <w:right w:val="single" w:color="auto" w:sz="4" w:space="0"/>
            </w:tcBorders>
            <w:tcW w:w="735" w:type="dxa"/>
            <w:vAlign w:val="center"/>
            <w:vMerge w:val="restart"/>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▲水罐：≥5000kg</w:t>
            </w:r>
            <w:r>
              <w:rPr>
                <w:rFonts w:hint="eastAsia"/>
                <w:color w:val="auto"/>
                <w:sz w:val="21"/>
                <w:szCs w:val="21"/>
                <w:highlight w:val="none"/>
                <w:lang w:eastAsia="zh-CN"/>
              </w:rPr>
              <w:t xml:space="preserve">。</w:t>
            </w:r>
            <w:r/>
          </w:p>
        </w:tc>
      </w:tr>
      <w:tr>
        <w:trPr>
          <w:trHeight w:val="348"/>
        </w:trPr>
        <w:tc>
          <w:tcPr>
            <w:tcBorders>
              <w:left w:val="single" w:color="auto" w:sz="4" w:space="0"/>
              <w:right w:val="single" w:color="auto" w:sz="4" w:space="0"/>
            </w:tcBorders>
            <w:tcW w:w="735" w:type="dxa"/>
            <w:vAlign w:val="center"/>
            <w:vMerge w:val="continue"/>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材质：应采用高强度耐腐蚀性PP合成材料或优质不锈钢</w:t>
            </w:r>
            <w:r>
              <w:rPr>
                <w:rFonts w:hint="eastAsia"/>
                <w:color w:val="auto"/>
                <w:sz w:val="21"/>
                <w:szCs w:val="21"/>
                <w:highlight w:val="none"/>
                <w:lang w:eastAsia="zh-CN"/>
              </w:rPr>
              <w:t xml:space="preserve">。</w:t>
            </w:r>
            <w:r/>
          </w:p>
        </w:tc>
      </w:tr>
      <w:tr>
        <w:trPr>
          <w:trHeight w:val="348"/>
        </w:trPr>
        <w:tc>
          <w:tcPr>
            <w:tcBorders>
              <w:left w:val="single" w:color="auto" w:sz="4" w:space="0"/>
              <w:bottom w:val="single" w:color="auto" w:sz="4" w:space="0"/>
              <w:right w:val="single" w:color="auto" w:sz="4" w:space="0"/>
            </w:tcBorders>
            <w:tcW w:w="735" w:type="dxa"/>
            <w:vAlign w:val="center"/>
            <w:vMerge w:val="continue"/>
            <w:textDirection w:val="lrTb"/>
            <w:noWrap w:val="false"/>
          </w:tcPr>
          <w:p>
            <w:pPr>
              <w:pStyle w:val="1226"/>
              <w:ind w:firstLine="0"/>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color w:val="auto"/>
                <w:sz w:val="21"/>
                <w:szCs w:val="21"/>
                <w:highlight w:val="none"/>
              </w:rPr>
            </w:pPr>
            <w:r>
              <w:rPr>
                <w:rFonts w:hint="eastAsia"/>
                <w:color w:val="auto"/>
                <w:sz w:val="21"/>
                <w:szCs w:val="21"/>
                <w:highlight w:val="none"/>
              </w:rPr>
              <w:t xml:space="preserve">结构：罐体内部应设置横向及纵向防荡板，顶部设450mm人孔，1个溢流管，1个污水排放口，1个电子液位计；</w:t>
            </w:r>
            <w:r/>
          </w:p>
          <w:p>
            <w:pPr>
              <w:spacing w:line="360" w:lineRule="auto"/>
              <w:rPr>
                <w:rFonts w:hint="eastAsia"/>
                <w:color w:val="auto"/>
                <w:sz w:val="21"/>
                <w:szCs w:val="21"/>
                <w:highlight w:val="none"/>
              </w:rPr>
            </w:pPr>
            <w:r>
              <w:rPr>
                <w:rFonts w:hint="eastAsia"/>
                <w:color w:val="auto"/>
                <w:sz w:val="21"/>
                <w:szCs w:val="21"/>
                <w:highlight w:val="none"/>
              </w:rPr>
              <w:t xml:space="preserve">注水口：两侧应各设置1个口径DN80外加注口，带球阀及接口。</w:t>
            </w:r>
            <w:r/>
          </w:p>
        </w:tc>
      </w:tr>
      <w:tr>
        <w:trPr>
          <w:trHeight w:val="348"/>
        </w:trPr>
        <w:tc>
          <w:tcPr>
            <w:tcBorders>
              <w:left w:val="single" w:color="auto" w:sz="4" w:space="0"/>
              <w:right w:val="single" w:color="auto" w:sz="4" w:space="0"/>
            </w:tcBorders>
            <w:tcW w:w="735" w:type="dxa"/>
            <w:vAlign w:val="center"/>
            <w:vMerge w:val="restart"/>
            <w:textDirection w:val="lrTb"/>
            <w:noWrap w:val="false"/>
          </w:tcPr>
          <w:p>
            <w:pPr>
              <w:pStyle w:val="1226"/>
              <w:ind w:firstLine="0"/>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▲B类泡沫罐：≥2900kg</w:t>
            </w:r>
            <w:r>
              <w:rPr>
                <w:rFonts w:hint="eastAsia"/>
                <w:color w:val="auto"/>
                <w:sz w:val="21"/>
                <w:szCs w:val="21"/>
                <w:highlight w:val="none"/>
                <w:lang w:eastAsia="zh-CN"/>
              </w:rPr>
              <w:t xml:space="preserve">。</w:t>
            </w:r>
            <w:r/>
          </w:p>
        </w:tc>
      </w:tr>
      <w:tr>
        <w:trPr>
          <w:trHeight w:val="348"/>
        </w:trPr>
        <w:tc>
          <w:tcPr>
            <w:tcBorders>
              <w:left w:val="single" w:color="auto" w:sz="4" w:space="0"/>
              <w:right w:val="single" w:color="auto" w:sz="4" w:space="0"/>
            </w:tcBorders>
            <w:tcW w:w="735" w:type="dxa"/>
            <w:vAlign w:val="center"/>
            <w:vMerge w:val="continue"/>
            <w:textDirection w:val="lrTb"/>
            <w:noWrap w:val="false"/>
          </w:tcPr>
          <w:p>
            <w:pPr>
              <w:pStyle w:val="1226"/>
              <w:ind w:firstLine="0"/>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材质：应采用高强度耐腐蚀性PP合成材料或优质不锈钢</w:t>
            </w:r>
            <w:r>
              <w:rPr>
                <w:rFonts w:hint="eastAsia"/>
                <w:color w:val="auto"/>
                <w:sz w:val="21"/>
                <w:szCs w:val="21"/>
                <w:highlight w:val="none"/>
                <w:lang w:eastAsia="zh-CN"/>
              </w:rPr>
              <w:t xml:space="preserve">。</w:t>
            </w:r>
            <w:r/>
          </w:p>
        </w:tc>
      </w:tr>
      <w:tr>
        <w:trPr>
          <w:trHeight w:val="348"/>
        </w:trPr>
        <w:tc>
          <w:tcPr>
            <w:tcBorders>
              <w:left w:val="single" w:color="auto" w:sz="4" w:space="0"/>
              <w:bottom w:val="single" w:color="auto" w:sz="4" w:space="0"/>
              <w:right w:val="single" w:color="auto" w:sz="4" w:space="0"/>
            </w:tcBorders>
            <w:tcW w:w="735" w:type="dxa"/>
            <w:vAlign w:val="center"/>
            <w:vMerge w:val="continue"/>
            <w:textDirection w:val="lrTb"/>
            <w:noWrap w:val="false"/>
          </w:tcPr>
          <w:p>
            <w:pPr>
              <w:pStyle w:val="1226"/>
              <w:ind w:firstLine="0"/>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结构：内部应设置横向及纵向防荡板，顶部设有450mm人孔，1套呼吸阀，污水排放口，1个电子液位计等</w:t>
            </w:r>
            <w:r>
              <w:rPr>
                <w:rFonts w:hint="eastAsia"/>
                <w:color w:val="auto"/>
                <w:sz w:val="21"/>
                <w:szCs w:val="21"/>
                <w:highlight w:val="none"/>
                <w:lang w:eastAsia="zh-CN"/>
              </w:rPr>
              <w:t xml:space="preserve">；</w:t>
            </w:r>
            <w:r/>
          </w:p>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加注口：1个DN65外加注口，带球阀及接口</w:t>
            </w:r>
            <w:r>
              <w:rPr>
                <w:rFonts w:hint="eastAsia"/>
                <w:color w:val="auto"/>
                <w:sz w:val="21"/>
                <w:szCs w:val="21"/>
                <w:highlight w:val="none"/>
                <w:lang w:eastAsia="zh-CN"/>
              </w:rPr>
              <w:t xml:space="preserve">。</w:t>
            </w:r>
            <w:r/>
          </w:p>
        </w:tc>
      </w:tr>
      <w:tr>
        <w:trPr>
          <w:trHeight w:val="348"/>
        </w:trPr>
        <w:tc>
          <w:tcPr>
            <w:tcBorders>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color w:val="auto"/>
                <w:sz w:val="21"/>
                <w:szCs w:val="21"/>
                <w:highlight w:val="none"/>
                <w:lang w:val="en-US" w:eastAsia="zh-CN"/>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color w:val="auto"/>
                <w:sz w:val="21"/>
                <w:szCs w:val="21"/>
                <w:highlight w:val="none"/>
              </w:rPr>
            </w:pPr>
            <w:r>
              <w:rPr>
                <w:rFonts w:hint="eastAsia"/>
                <w:color w:val="auto"/>
                <w:sz w:val="21"/>
                <w:szCs w:val="21"/>
                <w:highlight w:val="none"/>
              </w:rPr>
              <w:t xml:space="preserve">应采用外置罐体结构，罐体与车架应采用多点式弹性支撑连接，避免应力集中对罐体的损伤，罐体顶部喷涂防滑油漆。</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（五）消防泵</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pStyle w:val="1226"/>
              <w:ind w:firstLine="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▲应采用</w:t>
            </w:r>
            <w:r>
              <w:rPr>
                <w:rFonts w:hint="eastAsia" w:ascii="宋体" w:hAnsi="宋体" w:cs="宋体"/>
                <w:szCs w:val="21"/>
                <w:highlight w:val="none"/>
                <w:lang w:val="en-US" w:eastAsia="zh-CN"/>
              </w:rPr>
              <w:t xml:space="preserve">国际知名</w:t>
            </w:r>
            <w:r>
              <w:rPr>
                <w:rFonts w:hint="eastAsia" w:ascii="宋体" w:hAnsi="宋体" w:cs="宋体"/>
                <w:szCs w:val="21"/>
                <w:highlight w:val="none"/>
              </w:rPr>
              <w:t xml:space="preserve">品牌双级离心式消防泵，投标时提供具体品牌型号、检验证书及报告</w:t>
            </w:r>
            <w:r>
              <w:rPr>
                <w:rFonts w:hint="eastAsia" w:ascii="宋体" w:hAnsi="宋体" w:cs="宋体"/>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pStyle w:val="1226"/>
              <w:ind w:firstLine="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材质：泵体、叶轮应采用防腐蚀材质，泵轴应采用不锈钢</w:t>
            </w:r>
            <w:r>
              <w:rPr>
                <w:rFonts w:hint="eastAsia" w:ascii="宋体" w:hAnsi="宋体" w:cs="宋体"/>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pStyle w:val="1226"/>
              <w:ind w:firstLine="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▲流量：1.0MPa压力下≥70L/s（以检验报告作为佐证）</w:t>
            </w:r>
            <w:r>
              <w:rPr>
                <w:rFonts w:hint="eastAsia" w:ascii="宋体" w:hAnsi="宋体" w:cs="宋体"/>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pStyle w:val="1226"/>
              <w:ind w:firstLine="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▲真空泵：应采用机械活塞式真空泵，最大真空度不小于85%，7.0m吸深下引水时间≤60s，真空泵和消防泵为同一品牌从而达到最佳兼容性</w:t>
            </w:r>
            <w:r>
              <w:rPr>
                <w:rFonts w:hint="eastAsia" w:ascii="宋体" w:hAnsi="宋体" w:cs="宋体"/>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pStyle w:val="1226"/>
              <w:ind w:firstLine="0"/>
              <w:jc w:val="left"/>
              <w:spacing w:line="360" w:lineRule="auto"/>
              <w:rPr>
                <w:rFonts w:hint="eastAsia" w:ascii="宋体" w:hAnsi="宋体" w:cs="宋体"/>
                <w:szCs w:val="21"/>
                <w:highlight w:val="none"/>
              </w:rPr>
            </w:pPr>
            <w:r>
              <w:rPr>
                <w:rFonts w:hint="eastAsia" w:ascii="宋体" w:hAnsi="宋体" w:cs="宋体"/>
                <w:szCs w:val="21"/>
                <w:highlight w:val="none"/>
              </w:rPr>
              <w:t xml:space="preserve">管路：车辆尾部应设有2个不小于DN125内扣式外吸水口、左右两侧各2个DN80快插雌出水/泡沫口、1条DN65向罐注水管、1条DN50外吸泡沫口，1条排水管路等标准配置管路，所有与泡沫接触的管路均是耐腐蚀的；</w:t>
            </w:r>
            <w:r/>
          </w:p>
          <w:p>
            <w:pPr>
              <w:pStyle w:val="1226"/>
              <w:ind w:firstLine="0"/>
              <w:jc w:val="left"/>
              <w:spacing w:line="360" w:lineRule="auto"/>
              <w:rPr>
                <w:rFonts w:hint="eastAsia" w:ascii="宋体" w:hAnsi="宋体" w:cs="宋体"/>
                <w:szCs w:val="21"/>
                <w:highlight w:val="none"/>
              </w:rPr>
            </w:pPr>
            <w:r>
              <w:rPr>
                <w:rFonts w:hint="eastAsia" w:ascii="宋体" w:hAnsi="宋体" w:cs="宋体"/>
                <w:szCs w:val="21"/>
                <w:highlight w:val="none"/>
              </w:rPr>
              <w:t xml:space="preserve">管路颜色应符合GB/T3181规定，吸水管路为G05深绿色，出水管路为R03大红色，泡沫液罐盖与泡沫液管路为GB/T3181规定Y08深黄色。</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（六）泡沫系统</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泡沫系统：应采用知名品牌全自动负压环泵式泡沫比例混合系统</w:t>
            </w:r>
            <w:r>
              <w:rPr>
                <w:rFonts w:hint="eastAsia"/>
                <w:color w:val="auto"/>
                <w:sz w:val="21"/>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混合比例：泡沫混合比电控调节1%～6%</w:t>
            </w:r>
            <w:r>
              <w:rPr>
                <w:rFonts w:hint="eastAsia"/>
                <w:color w:val="auto"/>
                <w:sz w:val="21"/>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color w:val="auto"/>
                <w:sz w:val="21"/>
                <w:szCs w:val="21"/>
                <w:highlight w:val="none"/>
              </w:rPr>
            </w:pPr>
            <w:r>
              <w:rPr>
                <w:rFonts w:hint="eastAsia"/>
                <w:color w:val="auto"/>
                <w:sz w:val="21"/>
                <w:szCs w:val="21"/>
                <w:highlight w:val="none"/>
              </w:rPr>
              <w:t xml:space="preserve">应采用液晶屏，至少可实时显示水、泡沫流量、泡沫混合比例，具有自动冲洗功能。</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（七）消防炮</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应采用知名品牌式多功能消防炮，投标时提供具体品牌型号及检测报告</w:t>
            </w:r>
            <w:r>
              <w:rPr>
                <w:rFonts w:hint="eastAsia" w:ascii="宋体" w:hAnsi="宋体"/>
                <w:color w:val="auto"/>
                <w:sz w:val="21"/>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▲性能参数：流量≥65L/s，无风状态下水射程≥78m、泡沫≥72m，水平回转角度≥350°、垂直俯仰角≥-10°至+80°</w:t>
            </w:r>
            <w:r>
              <w:rPr>
                <w:rFonts w:hint="eastAsia" w:ascii="宋体" w:hAnsi="宋体"/>
                <w:color w:val="auto"/>
                <w:sz w:val="21"/>
                <w:szCs w:val="21"/>
                <w:highlight w:val="none"/>
                <w:lang w:eastAsia="zh-CN"/>
              </w:rPr>
              <w:t xml:space="preserve">。</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操作控制：遥控操作，无线遥控距离≥150m，并具有应急手动操作。</w:t>
            </w:r>
            <w:r/>
          </w:p>
        </w:tc>
      </w:tr>
      <w:tr>
        <w:trPr>
          <w:trHeight w:val="336"/>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bCs/>
                <w:color w:val="auto"/>
                <w:sz w:val="21"/>
                <w:szCs w:val="21"/>
                <w:highlight w:val="none"/>
              </w:rPr>
              <w:t xml:space="preserve">（八）控制系统</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8"/>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驾驶室内加装控制面板至少应具有以下控制开关和显示功能：上装总电源、警灯、警报控制开关，卷帘门及踏板开启等指示信息等</w:t>
            </w:r>
            <w:r>
              <w:rPr>
                <w:rFonts w:hint="eastAsia" w:ascii="宋体" w:hAnsi="宋体"/>
                <w:color w:val="auto"/>
                <w:sz w:val="21"/>
                <w:szCs w:val="21"/>
                <w:highlight w:val="none"/>
                <w:lang w:eastAsia="zh-CN"/>
              </w:rPr>
              <w:t xml:space="preserve">。</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numPr>
                <w:ilvl w:val="0"/>
                <w:numId w:val="8"/>
              </w:num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泵房提供带有液晶显示屏的面板，应具有以下控制开关和显示：主电源开关、发动机启停、水泵取力、转速加减、罐出水、泡沫比例调节、急停，水泵转速、真空度、出水压力、液位等显示信息，水温和油温等相关报警提示信息。投标时提供实物照片</w:t>
            </w:r>
            <w:r>
              <w:rPr>
                <w:rFonts w:hint="eastAsia" w:ascii="宋体" w:hAnsi="宋体"/>
                <w:color w:val="auto"/>
                <w:sz w:val="21"/>
                <w:szCs w:val="21"/>
                <w:highlight w:val="none"/>
                <w:lang w:eastAsia="zh-CN"/>
              </w:rPr>
              <w:t xml:space="preserve">。</w:t>
            </w:r>
            <w:r/>
          </w:p>
        </w:tc>
      </w:tr>
      <w:tr>
        <w:trPr>
          <w:trHeight w:val="336"/>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（九）电气及辅助系统</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警灯警报器：</w:t>
            </w:r>
            <w:r>
              <w:rPr>
                <w:rFonts w:hint="eastAsia" w:ascii="宋体" w:hAnsi="宋体"/>
                <w:color w:val="auto"/>
                <w:sz w:val="21"/>
                <w:szCs w:val="21"/>
                <w:highlight w:val="none"/>
                <w:lang w:val="en-GB"/>
              </w:rPr>
              <w:t xml:space="preserve">驾驶室顶部应设置长排警灯，内置警报器，功率≥100w，驾驶室内设麦克风；上装两侧安装频闪灯、车身下方安装标志灯、尾部设置示廓灯。</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充电装置：应配置220V外接电源充电装置，在备勤时可为车辆电瓶充电而不损坏电瓶，充电系统自动控制电量，当车辆启动时，充电插头应能自动弹出。</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lang w:val="en-GB"/>
              </w:rPr>
            </w:pPr>
            <w:r>
              <w:rPr>
                <w:rFonts w:hint="eastAsia" w:ascii="宋体" w:hAnsi="宋体"/>
                <w:color w:val="auto"/>
                <w:sz w:val="21"/>
                <w:szCs w:val="21"/>
                <w:highlight w:val="none"/>
              </w:rPr>
              <w:t xml:space="preserve">照明灯：</w:t>
            </w:r>
            <w:r>
              <w:rPr>
                <w:rFonts w:hint="eastAsia" w:ascii="宋体" w:hAnsi="宋体"/>
                <w:color w:val="auto"/>
                <w:sz w:val="21"/>
                <w:szCs w:val="21"/>
                <w:highlight w:val="none"/>
                <w:lang w:val="en-GB"/>
              </w:rPr>
              <w:t xml:space="preserve">两侧顶部各安装2个45度60W LED照明灯；</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GB"/>
              </w:rPr>
              <w:t xml:space="preserve">器材箱内各应设置1个LED照明灯带。</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应配置高清360度影像系统，集成行车记录仪、导航为一体、倒车雷达，驾驶室内设≥10寸显示屏、主机存储≥64G。</w:t>
            </w:r>
            <w:r/>
          </w:p>
        </w:tc>
      </w:tr>
      <w:tr>
        <w:trPr/>
        <w:tc>
          <w:tcPr>
            <w:gridSpan w:val="2"/>
            <w:tcW w:w="9405" w:type="dxa"/>
            <w:vAlign w:val="center"/>
            <w:textDirection w:val="lrTb"/>
            <w:noWrap w:val="false"/>
          </w:tcPr>
          <w:p>
            <w:pPr>
              <w:pStyle w:val="1251"/>
              <w:jc w:val="left"/>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（十）</w:t>
            </w:r>
            <w:r>
              <w:rPr>
                <w:rFonts w:hint="eastAsia" w:ascii="宋体" w:hAnsi="宋体"/>
                <w:color w:val="auto"/>
                <w:sz w:val="21"/>
                <w:szCs w:val="21"/>
                <w:highlight w:val="none"/>
                <w:lang w:val="en-US" w:eastAsia="zh-CN"/>
              </w:rPr>
              <w:t xml:space="preserve">随车供水泵系统</w:t>
            </w:r>
            <w:r/>
          </w:p>
        </w:tc>
      </w:tr>
      <w:tr>
        <w:trPr/>
        <w:tc>
          <w:tcPr>
            <w:tcW w:w="735" w:type="dxa"/>
            <w:vAlign w:val="center"/>
            <w:textDirection w:val="lrTb"/>
            <w:noWrap w:val="false"/>
          </w:tcPr>
          <w:p>
            <w:pPr>
              <w:pStyle w:val="1226"/>
              <w:ind w:firstLine="0"/>
              <w:jc w:val="center"/>
              <w:spacing w:line="360" w:lineRule="auto"/>
              <w:rPr>
                <w:rFonts w:ascii="宋体" w:hAnsi="宋体"/>
                <w:bCs/>
                <w:color w:val="auto"/>
                <w:sz w:val="21"/>
                <w:szCs w:val="21"/>
                <w:highlight w:val="none"/>
              </w:rPr>
            </w:pPr>
            <w:r>
              <w:rPr>
                <w:rFonts w:hint="eastAsia" w:ascii="宋体" w:hAnsi="宋体" w:cs="宋体"/>
                <w:color w:val="auto"/>
                <w:sz w:val="21"/>
                <w:szCs w:val="21"/>
                <w:highlight w:val="none"/>
                <w:lang w:val="en-US" w:eastAsia="zh-CN"/>
              </w:rPr>
              <w:t xml:space="preserve">1</w:t>
            </w:r>
            <w:r/>
          </w:p>
        </w:tc>
        <w:tc>
          <w:tcPr>
            <w:tcW w:w="8670" w:type="dxa"/>
            <w:vAlign w:val="top"/>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启动方式：电启动和手动启动</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▲额定工况：≥1180 L/min</w:t>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HYPERLINK "mailto:L/min@4.0bar" </w:instrText>
            </w:r>
            <w:r>
              <w:rPr>
                <w:rFonts w:hint="eastAsia" w:ascii="宋体" w:hAnsi="宋体"/>
                <w:color w:val="auto"/>
                <w:sz w:val="21"/>
                <w:szCs w:val="21"/>
                <w:highlight w:val="none"/>
              </w:rPr>
              <w:fldChar w:fldCharType="separate"/>
            </w:r>
            <w:r>
              <w:rPr>
                <w:rFonts w:hint="eastAsia" w:ascii="宋体" w:hAnsi="宋体"/>
                <w:color w:val="auto"/>
                <w:sz w:val="21"/>
                <w:szCs w:val="21"/>
                <w:highlight w:val="none"/>
              </w:rPr>
              <w:t xml:space="preserve">@0.5MPa</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（3米吸深）；≥1000 </w:t>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HYPERLINK "mailto:L/s@0.5" </w:instrText>
            </w:r>
            <w:r>
              <w:rPr>
                <w:rFonts w:hint="eastAsia" w:ascii="宋体" w:hAnsi="宋体"/>
                <w:color w:val="auto"/>
                <w:sz w:val="21"/>
                <w:szCs w:val="21"/>
                <w:highlight w:val="none"/>
              </w:rPr>
              <w:fldChar w:fldCharType="separate"/>
            </w:r>
            <w:r>
              <w:rPr>
                <w:rFonts w:hint="eastAsia" w:ascii="宋体" w:hAnsi="宋体"/>
                <w:color w:val="auto"/>
                <w:sz w:val="21"/>
                <w:szCs w:val="21"/>
                <w:highlight w:val="none"/>
              </w:rPr>
              <w:t xml:space="preserve">L/min@0.5</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MPa（7米吸深）</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▲最大出口压力：≥1.08 MPa </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最大流量：1730L/min</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吸水口：4 英寸BSP外螺纹</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出水口：2个2.5英寸BSP外螺纹</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▲启动性能：≤6秒</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操作方式：集成式触摸屏控制，带远程遥控启动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智能化：带智能启动及停机功能</w:t>
            </w:r>
            <w:r/>
          </w:p>
          <w:p>
            <w:pPr>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水泵材质：铝合金并经阳极硬化处理</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叶轮：高强度铸铝并经阳极硬化处理</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▲引水方式：无油润滑旋片泵（</w:t>
            </w:r>
            <w:r>
              <w:rPr>
                <w:rFonts w:hint="eastAsia" w:ascii="宋体" w:hAnsi="宋体"/>
                <w:color w:val="auto"/>
                <w:sz w:val="21"/>
                <w:szCs w:val="21"/>
                <w:highlight w:val="none"/>
                <w:lang w:val="en-US" w:eastAsia="zh-CN"/>
              </w:rPr>
              <w:t xml:space="preserve">检测</w:t>
            </w:r>
            <w:r>
              <w:rPr>
                <w:rFonts w:hint="eastAsia" w:ascii="宋体" w:hAnsi="宋体"/>
                <w:color w:val="auto"/>
                <w:sz w:val="21"/>
                <w:szCs w:val="21"/>
                <w:highlight w:val="none"/>
              </w:rPr>
              <w:t xml:space="preserve">报告中润滑液贮量为零）</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引水时间：≤26秒（7米吸深）</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轴向石墨碳化硅密封，可以自调节、自润滑，并防震、耐摩擦。</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水泵型式：单级离心式 </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发动机类型及功率：四冲程发动机，≥23马力；重量：≤90 kg</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燃油容量：8.5L油箱，可供泵连续运行1.5小时</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标准尺寸 (长x 宽 x 高)：≤650 x 520 x 580  mm</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▲提供国家消防装备质量监督检验中心型式试验报告</w:t>
            </w:r>
            <w:r/>
          </w:p>
        </w:tc>
      </w:tr>
      <w:tr>
        <w:trPr/>
        <w:tc>
          <w:tcPr>
            <w:gridSpan w:val="2"/>
            <w:tcW w:w="9405" w:type="dxa"/>
            <w:vAlign w:val="center"/>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（十</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）其他配置及说明</w:t>
            </w:r>
            <w:r/>
          </w:p>
        </w:tc>
      </w:tr>
      <w:tr>
        <w:trPr/>
        <w:tc>
          <w:tcPr>
            <w:tcW w:w="735" w:type="dxa"/>
            <w:vAlign w:val="center"/>
            <w:textDirection w:val="lrTb"/>
            <w:noWrap w:val="false"/>
          </w:tcPr>
          <w:p>
            <w:pPr>
              <w:pStyle w:val="1226"/>
              <w:ind w:firstLine="0"/>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tcW w:w="8670" w:type="dxa"/>
            <w:vAlign w:val="center"/>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颜色喷涂：车身消防红、底盘原色、卷帘门铝板原色，按照部局统型要求粘贴标识。</w:t>
            </w:r>
            <w:r/>
          </w:p>
        </w:tc>
      </w:tr>
      <w:tr>
        <w:trPr/>
        <w:tc>
          <w:tcPr>
            <w:tcW w:w="735" w:type="dxa"/>
            <w:vAlign w:val="center"/>
            <w:textDirection w:val="lrTb"/>
            <w:noWrap w:val="false"/>
          </w:tcPr>
          <w:p>
            <w:pPr>
              <w:pStyle w:val="1226"/>
              <w:ind w:firstLine="0"/>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8670" w:type="dxa"/>
            <w:vAlign w:val="center"/>
            <w:textDirection w:val="lrTb"/>
            <w:noWrap w:val="false"/>
          </w:tcPr>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交车时随车提供以下文件：</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整车操作使用维护说明书及维修手册（中文）；</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底盘使用说明书（中文）；</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整车合格证；</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发动机号码及底盘VIN拓印件；</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随车器材清单；</w:t>
            </w:r>
            <w:r/>
          </w:p>
          <w:p>
            <w:pPr>
              <w:pStyle w:val="1226"/>
              <w:ind w:firstLine="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消防车交接清单。</w:t>
            </w:r>
            <w:r/>
          </w:p>
        </w:tc>
      </w:tr>
      <w:tr>
        <w:trPr>
          <w:trHeight w:val="90"/>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p>
        </w:tc>
        <w:tc>
          <w:tcPr>
            <w:tcW w:w="867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随车器材</w:t>
            </w:r>
            <w:r/>
          </w:p>
          <w:tbl>
            <w:tblPr>
              <w:tblStyle w:val="1241"/>
              <w:tblW w:w="7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85"/>
              <w:gridCol w:w="2977"/>
              <w:gridCol w:w="1646"/>
            </w:tblGrid>
            <w:tr>
              <w:trPr>
                <w:trHeight w:val="406"/>
              </w:trPr>
              <w:tc>
                <w:tcPr>
                  <w:tcBorders>
                    <w:top w:val="single" w:color="auto" w:sz="4" w:space="0"/>
                    <w:left w:val="single" w:color="auto" w:sz="4" w:space="0"/>
                    <w:bottom w:val="single" w:color="auto" w:sz="4" w:space="0"/>
                  </w:tcBorders>
                  <w:tcW w:w="806" w:type="dxa"/>
                  <w:vAlign w:val="center"/>
                  <w:textDirection w:val="lrTb"/>
                  <w:noWrap w:val="false"/>
                </w:tcPr>
                <w:p>
                  <w:pPr>
                    <w:jc w:val="center"/>
                    <w:rPr>
                      <w:rFonts w:ascii="宋体" w:hAnsi="宋体" w:cs="Arial"/>
                      <w:b/>
                      <w:color w:val="auto"/>
                      <w:sz w:val="21"/>
                      <w:szCs w:val="21"/>
                      <w:highlight w:val="none"/>
                      <w:lang w:val="en-GB"/>
                    </w:rPr>
                  </w:pPr>
                  <w:r>
                    <w:rPr>
                      <w:rFonts w:hint="eastAsia" w:ascii="宋体" w:hAnsi="宋体" w:cs="Arial"/>
                      <w:b/>
                      <w:color w:val="auto"/>
                      <w:sz w:val="21"/>
                      <w:szCs w:val="21"/>
                      <w:highlight w:val="none"/>
                      <w:lang w:val="en-GB"/>
                    </w:rPr>
                    <w:t xml:space="preserve">序号</w:t>
                  </w:r>
                  <w:r/>
                </w:p>
              </w:tc>
              <w:tc>
                <w:tcPr>
                  <w:tcBorders>
                    <w:top w:val="single" w:color="auto" w:sz="4" w:space="0"/>
                    <w:bottom w:val="single" w:color="auto" w:sz="4" w:space="0"/>
                  </w:tcBorders>
                  <w:tcW w:w="1985" w:type="dxa"/>
                  <w:vAlign w:val="center"/>
                  <w:textDirection w:val="lrTb"/>
                  <w:noWrap w:val="false"/>
                </w:tcPr>
                <w:p>
                  <w:pPr>
                    <w:jc w:val="center"/>
                    <w:rPr>
                      <w:rFonts w:ascii="宋体" w:hAnsi="宋体" w:cs="Arial"/>
                      <w:b/>
                      <w:color w:val="auto"/>
                      <w:sz w:val="21"/>
                      <w:szCs w:val="21"/>
                      <w:highlight w:val="none"/>
                      <w:lang w:val="en-GB"/>
                    </w:rPr>
                  </w:pPr>
                  <w:r>
                    <w:rPr>
                      <w:rFonts w:hint="eastAsia" w:ascii="宋体" w:hAnsi="宋体" w:cs="Arial"/>
                      <w:b/>
                      <w:color w:val="auto"/>
                      <w:sz w:val="21"/>
                      <w:szCs w:val="21"/>
                      <w:highlight w:val="none"/>
                      <w:lang w:val="en-GB"/>
                    </w:rPr>
                    <w:t xml:space="preserve">名称</w:t>
                  </w:r>
                  <w:r/>
                </w:p>
              </w:tc>
              <w:tc>
                <w:tcPr>
                  <w:tcBorders>
                    <w:top w:val="single" w:color="auto" w:sz="4" w:space="0"/>
                    <w:bottom w:val="single" w:color="auto" w:sz="4" w:space="0"/>
                  </w:tcBorders>
                  <w:tcW w:w="2977" w:type="dxa"/>
                  <w:vAlign w:val="center"/>
                  <w:textDirection w:val="lrTb"/>
                  <w:noWrap w:val="false"/>
                </w:tcPr>
                <w:p>
                  <w:pPr>
                    <w:jc w:val="center"/>
                    <w:rPr>
                      <w:rFonts w:ascii="宋体" w:hAnsi="宋体" w:cs="Arial"/>
                      <w:b/>
                      <w:color w:val="auto"/>
                      <w:sz w:val="21"/>
                      <w:szCs w:val="21"/>
                      <w:highlight w:val="none"/>
                      <w:lang w:val="en-GB"/>
                    </w:rPr>
                  </w:pPr>
                  <w:r>
                    <w:rPr>
                      <w:rFonts w:hint="eastAsia" w:ascii="宋体" w:hAnsi="宋体" w:cs="Arial"/>
                      <w:b/>
                      <w:color w:val="auto"/>
                      <w:sz w:val="21"/>
                      <w:szCs w:val="21"/>
                      <w:highlight w:val="none"/>
                      <w:lang w:val="en-GB"/>
                    </w:rPr>
                    <w:t xml:space="preserve">规格</w:t>
                  </w:r>
                  <w:r/>
                </w:p>
              </w:tc>
              <w:tc>
                <w:tcPr>
                  <w:tcBorders>
                    <w:top w:val="single" w:color="auto" w:sz="4" w:space="0"/>
                    <w:bottom w:val="single" w:color="auto" w:sz="4" w:space="0"/>
                    <w:right w:val="single" w:color="auto" w:sz="4" w:space="0"/>
                  </w:tcBorders>
                  <w:tcW w:w="1646" w:type="dxa"/>
                  <w:vAlign w:val="center"/>
                  <w:textDirection w:val="lrTb"/>
                  <w:noWrap w:val="false"/>
                </w:tcPr>
                <w:p>
                  <w:pPr>
                    <w:jc w:val="center"/>
                    <w:rPr>
                      <w:rFonts w:ascii="Arial" w:hAnsi="Arial" w:cs="Arial"/>
                      <w:b/>
                      <w:color w:val="auto"/>
                      <w:sz w:val="21"/>
                      <w:szCs w:val="21"/>
                      <w:highlight w:val="none"/>
                      <w:lang w:val="en-GB"/>
                    </w:rPr>
                  </w:pPr>
                  <w:r>
                    <w:rPr>
                      <w:rFonts w:hint="eastAsia" w:ascii="Arial" w:hAnsi="Arial" w:cs="Arial"/>
                      <w:b/>
                      <w:color w:val="auto"/>
                      <w:sz w:val="21"/>
                      <w:szCs w:val="21"/>
                      <w:highlight w:val="none"/>
                      <w:lang w:val="en-GB"/>
                    </w:rPr>
                    <w:t xml:space="preserve">数量</w:t>
                  </w:r>
                  <w:r/>
                </w:p>
              </w:tc>
            </w:tr>
            <w:tr>
              <w:trPr>
                <w:trHeight w:val="425"/>
              </w:trPr>
              <w:tc>
                <w:tcPr>
                  <w:tcBorders>
                    <w:top w:val="single" w:color="auto" w:sz="4" w:space="0"/>
                    <w:left w:val="single" w:color="auto" w:sz="4" w:space="0"/>
                    <w:bottom w:val="single" w:color="auto" w:sz="4" w:space="0"/>
                  </w:tcBorders>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Borders>
                    <w:top w:val="single" w:color="auto" w:sz="4" w:space="0"/>
                    <w:bottom w:val="single" w:color="auto" w:sz="4" w:space="0"/>
                  </w:tcBorders>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底盘随车工具</w:t>
                  </w:r>
                  <w:r/>
                </w:p>
              </w:tc>
              <w:tc>
                <w:tcPr>
                  <w:tcBorders>
                    <w:top w:val="single" w:color="auto" w:sz="4" w:space="0"/>
                    <w:bottom w:val="single" w:color="auto" w:sz="4" w:space="0"/>
                  </w:tcBorders>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适配</w:t>
                  </w:r>
                  <w:r/>
                </w:p>
              </w:tc>
              <w:tc>
                <w:tcPr>
                  <w:tcBorders>
                    <w:top w:val="single" w:color="auto" w:sz="4" w:space="0"/>
                    <w:bottom w:val="single" w:color="auto" w:sz="4" w:space="0"/>
                    <w:right w:val="single" w:color="auto" w:sz="4" w:space="0"/>
                  </w:tcBorders>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1套</w:t>
                  </w:r>
                  <w:r/>
                </w:p>
              </w:tc>
            </w:tr>
            <w:tr>
              <w:trPr>
                <w:trHeight w:val="425"/>
              </w:trPr>
              <w:tc>
                <w:tcPr>
                  <w:tcBorders>
                    <w:top w:val="single" w:color="auto" w:sz="4" w:space="0"/>
                  </w:tcBorders>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Borders>
                    <w:top w:val="single" w:color="auto" w:sz="4" w:space="0"/>
                  </w:tcBorders>
                  <w:tcW w:w="1985" w:type="dxa"/>
                  <w:vAlign w:val="center"/>
                  <w:textDirection w:val="lrTb"/>
                  <w:noWrap w:val="false"/>
                </w:tcPr>
                <w:p>
                  <w:pPr>
                    <w:rPr>
                      <w:rFonts w:ascii="宋体" w:hAnsi="宋体"/>
                      <w:color w:val="auto"/>
                      <w:sz w:val="21"/>
                      <w:szCs w:val="21"/>
                      <w:highlight w:val="none"/>
                    </w:rPr>
                  </w:pPr>
                  <w:r>
                    <w:rPr>
                      <w:rFonts w:hint="eastAsia" w:ascii="宋体" w:hAnsi="宋体" w:cs="Arial"/>
                      <w:color w:val="000000"/>
                      <w:sz w:val="21"/>
                      <w:szCs w:val="21"/>
                      <w:highlight w:val="none"/>
                      <w:lang w:val="en-GB"/>
                    </w:rPr>
                    <w:t xml:space="preserve">干粉灭火器</w:t>
                  </w:r>
                  <w:r/>
                </w:p>
              </w:tc>
              <w:tc>
                <w:tcPr>
                  <w:tcBorders>
                    <w:top w:val="single" w:color="auto" w:sz="4" w:space="0"/>
                  </w:tcBorders>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2kg  ABC型</w:t>
                  </w:r>
                  <w:r/>
                </w:p>
              </w:tc>
              <w:tc>
                <w:tcPr>
                  <w:tcBorders>
                    <w:top w:val="single" w:color="auto" w:sz="4" w:space="0"/>
                  </w:tcBorders>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备胎（包含轮毂）</w:t>
                  </w:r>
                  <w:r/>
                </w:p>
              </w:tc>
              <w:tc>
                <w:tcPr>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适配</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吸水管</w:t>
                  </w:r>
                  <w:r/>
                </w:p>
              </w:tc>
              <w:tc>
                <w:tcPr>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DN125，长度2米</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4根</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吸水管滤网</w:t>
                  </w:r>
                  <w:r/>
                </w:p>
              </w:tc>
              <w:tc>
                <w:tcPr>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DN125型</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2个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吸水管扳手</w:t>
                  </w:r>
                  <w:r/>
                </w:p>
              </w:tc>
              <w:tc>
                <w:tcPr>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FS</w:t>
                  </w:r>
                  <w:r>
                    <w:rPr>
                      <w:rFonts w:ascii="宋体" w:hAnsi="宋体" w:cs="Arial"/>
                      <w:color w:val="000000"/>
                      <w:sz w:val="21"/>
                      <w:szCs w:val="21"/>
                      <w:highlight w:val="none"/>
                      <w:lang w:val="en-GB"/>
                    </w:rPr>
                    <w:t xml:space="preserve">1</w:t>
                  </w:r>
                  <w:r>
                    <w:rPr>
                      <w:rFonts w:hint="eastAsia" w:ascii="宋体" w:hAnsi="宋体" w:cs="Arial"/>
                      <w:color w:val="000000"/>
                      <w:sz w:val="21"/>
                      <w:szCs w:val="21"/>
                      <w:highlight w:val="none"/>
                      <w:lang w:val="en-GB"/>
                    </w:rPr>
                    <w:t xml:space="preserve">25</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2个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外吸泡沫管</w:t>
                  </w:r>
                  <w:r/>
                </w:p>
              </w:tc>
              <w:tc>
                <w:tcPr>
                  <w:tcW w:w="2977"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内扣DN50,2m</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1根</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消防水带</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20-65-20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6盘</w:t>
                  </w:r>
                  <w:r/>
                </w:p>
              </w:tc>
            </w:tr>
            <w:tr>
              <w:trPr>
                <w:trHeight w:val="408"/>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s="Arial"/>
                      <w:color w:val="auto"/>
                      <w:sz w:val="21"/>
                      <w:szCs w:val="21"/>
                      <w:highlight w:val="none"/>
                      <w:lang w:val="en-GB"/>
                    </w:rPr>
                  </w:pPr>
                  <w:r>
                    <w:rPr>
                      <w:rFonts w:hint="eastAsia" w:ascii="宋体" w:hAnsi="宋体" w:cs="Arial"/>
                      <w:color w:val="000000"/>
                      <w:sz w:val="21"/>
                      <w:szCs w:val="21"/>
                      <w:highlight w:val="none"/>
                      <w:lang w:val="en-GB"/>
                    </w:rPr>
                    <w:t xml:space="preserve">消防水带</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20-80-20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6盘</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多功能水枪</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QLD6.0/8Ⅲ（KYKA65）</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2只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集水器</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J</w:t>
                  </w:r>
                  <w:r>
                    <w:rPr>
                      <w:rFonts w:ascii="宋体" w:hAnsi="宋体"/>
                      <w:sz w:val="21"/>
                      <w:szCs w:val="21"/>
                      <w:highlight w:val="none"/>
                    </w:rPr>
                    <w:t xml:space="preserve">Ⅱ</w:t>
                  </w:r>
                  <w:r>
                    <w:rPr>
                      <w:rFonts w:hint="eastAsia" w:ascii="宋体" w:hAnsi="宋体"/>
                      <w:sz w:val="21"/>
                      <w:szCs w:val="21"/>
                      <w:highlight w:val="none"/>
                    </w:rPr>
                    <w:t xml:space="preserve">125/80×2 (KY/KYKA)</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分水器</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FⅢ</w:t>
                  </w:r>
                  <w:r>
                    <w:rPr>
                      <w:rFonts w:ascii="宋体" w:hAnsi="宋体"/>
                      <w:sz w:val="21"/>
                      <w:szCs w:val="21"/>
                      <w:highlight w:val="none"/>
                    </w:rPr>
                    <w:t xml:space="preserve">80</w:t>
                  </w:r>
                  <w:r>
                    <w:rPr>
                      <w:rFonts w:hint="eastAsia" w:ascii="宋体" w:hAnsi="宋体"/>
                      <w:sz w:val="21"/>
                      <w:szCs w:val="21"/>
                      <w:highlight w:val="none"/>
                    </w:rPr>
                    <w:t xml:space="preserve">/65×3（KYKA/KYK）</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ascii="宋体" w:hAnsi="宋体"/>
                      <w:sz w:val="21"/>
                      <w:szCs w:val="21"/>
                      <w:highlight w:val="none"/>
                    </w:rPr>
                    <w:t xml:space="preserve">水带护桥</w:t>
                  </w:r>
                  <w:r/>
                </w:p>
              </w:tc>
              <w:tc>
                <w:tcPr>
                  <w:tcW w:w="2977" w:type="dxa"/>
                  <w:vAlign w:val="center"/>
                  <w:textDirection w:val="lrTb"/>
                  <w:noWrap w:val="false"/>
                </w:tcPr>
                <w:p>
                  <w:pPr>
                    <w:rPr>
                      <w:rFonts w:ascii="宋体" w:hAnsi="宋体"/>
                      <w:color w:val="auto"/>
                      <w:sz w:val="21"/>
                      <w:szCs w:val="21"/>
                      <w:highlight w:val="none"/>
                    </w:rPr>
                  </w:pPr>
                  <w:r>
                    <w:rPr>
                      <w:rFonts w:ascii="宋体" w:hAnsi="宋体"/>
                      <w:sz w:val="21"/>
                      <w:szCs w:val="21"/>
                      <w:highlight w:val="none"/>
                    </w:rPr>
                    <w:t xml:space="preserve">H</w:t>
                  </w:r>
                  <w:r>
                    <w:rPr>
                      <w:rFonts w:hint="eastAsia" w:ascii="宋体" w:hAnsi="宋体"/>
                      <w:sz w:val="21"/>
                      <w:szCs w:val="21"/>
                      <w:highlight w:val="none"/>
                    </w:rPr>
                    <w:t xml:space="preserve">Q80，橡胶材质</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1对</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水带包布</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常规型号</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4个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水带挂钩</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常规型号</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4个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异径转换接口</w:t>
                  </w:r>
                  <w:r/>
                </w:p>
              </w:tc>
              <w:tc>
                <w:tcPr>
                  <w:tcW w:w="2977" w:type="dxa"/>
                  <w:vAlign w:val="center"/>
                  <w:textDirection w:val="lrTb"/>
                  <w:noWrap w:val="false"/>
                </w:tcPr>
                <w:p>
                  <w:pPr>
                    <w:rPr>
                      <w:rFonts w:ascii="宋体" w:hAnsi="宋体"/>
                      <w:color w:val="auto"/>
                      <w:sz w:val="21"/>
                      <w:szCs w:val="21"/>
                      <w:highlight w:val="none"/>
                    </w:rPr>
                  </w:pPr>
                  <w:r>
                    <w:rPr>
                      <w:rFonts w:ascii="宋体" w:hAnsi="宋体"/>
                      <w:sz w:val="21"/>
                      <w:szCs w:val="21"/>
                      <w:highlight w:val="none"/>
                    </w:rPr>
                    <w:t xml:space="preserve">KYKA</w:t>
                  </w:r>
                  <w:r>
                    <w:rPr>
                      <w:rFonts w:hint="eastAsia" w:ascii="宋体" w:hAnsi="宋体"/>
                      <w:sz w:val="21"/>
                      <w:szCs w:val="21"/>
                      <w:highlight w:val="none"/>
                    </w:rPr>
                    <w:t xml:space="preserve">80/KYK65</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2个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异型转换接口</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KY80/KYK80、KY65/KYK80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各1个</w:t>
                  </w:r>
                  <w:r/>
                </w:p>
              </w:tc>
            </w:tr>
            <w:tr>
              <w:trPr>
                <w:trHeight w:val="408"/>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消火栓专用接口</w:t>
                  </w:r>
                  <w:r/>
                </w:p>
              </w:tc>
              <w:tc>
                <w:tcPr>
                  <w:tcW w:w="2977" w:type="dxa"/>
                  <w:vAlign w:val="center"/>
                  <w:textDirection w:val="lrTb"/>
                  <w:noWrap w:val="false"/>
                </w:tcPr>
                <w:p>
                  <w:pPr>
                    <w:rPr>
                      <w:rFonts w:ascii="宋体" w:hAnsi="宋体"/>
                      <w:color w:val="auto"/>
                      <w:sz w:val="21"/>
                      <w:szCs w:val="21"/>
                      <w:highlight w:val="none"/>
                    </w:rPr>
                  </w:pPr>
                  <w:r>
                    <w:rPr>
                      <w:rFonts w:ascii="宋体" w:hAnsi="宋体"/>
                      <w:sz w:val="21"/>
                      <w:szCs w:val="21"/>
                      <w:highlight w:val="none"/>
                    </w:rPr>
                    <w:t xml:space="preserve">KY</w:t>
                  </w:r>
                  <w:r>
                    <w:rPr>
                      <w:rFonts w:hint="eastAsia" w:ascii="宋体" w:hAnsi="宋体"/>
                      <w:sz w:val="21"/>
                      <w:szCs w:val="21"/>
                      <w:highlight w:val="none"/>
                    </w:rPr>
                    <w:t xml:space="preserve">125/KT100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地上消火栓扳手</w:t>
                  </w:r>
                  <w:r/>
                </w:p>
              </w:tc>
              <w:tc>
                <w:tcPr>
                  <w:tcW w:w="2977" w:type="dxa"/>
                  <w:vAlign w:val="center"/>
                  <w:textDirection w:val="lrTb"/>
                  <w:noWrap w:val="false"/>
                </w:tcPr>
                <w:p>
                  <w:pPr>
                    <w:rPr>
                      <w:rFonts w:ascii="宋体" w:hAnsi="宋体"/>
                      <w:color w:val="auto"/>
                      <w:sz w:val="21"/>
                      <w:szCs w:val="21"/>
                      <w:highlight w:val="none"/>
                    </w:rPr>
                  </w:pPr>
                  <w:r>
                    <w:rPr>
                      <w:rFonts w:ascii="宋体" w:hAnsi="宋体"/>
                      <w:sz w:val="21"/>
                      <w:szCs w:val="21"/>
                      <w:highlight w:val="none"/>
                    </w:rPr>
                    <w:t xml:space="preserve">FB</w:t>
                  </w:r>
                  <w:r>
                    <w:rPr>
                      <w:rFonts w:hint="eastAsia" w:ascii="宋体" w:hAnsi="宋体"/>
                      <w:sz w:val="21"/>
                      <w:szCs w:val="21"/>
                      <w:highlight w:val="none"/>
                    </w:rPr>
                    <w:t xml:space="preserve"> 400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地下消火栓扳手</w:t>
                  </w:r>
                  <w:r/>
                </w:p>
              </w:tc>
              <w:tc>
                <w:tcPr>
                  <w:tcW w:w="2977" w:type="dxa"/>
                  <w:vAlign w:val="center"/>
                  <w:textDirection w:val="lrTb"/>
                  <w:noWrap w:val="false"/>
                </w:tcPr>
                <w:p>
                  <w:pPr>
                    <w:rPr>
                      <w:rFonts w:ascii="宋体" w:hAnsi="宋体"/>
                      <w:color w:val="auto"/>
                      <w:sz w:val="21"/>
                      <w:szCs w:val="21"/>
                      <w:highlight w:val="none"/>
                    </w:rPr>
                  </w:pPr>
                  <w:r>
                    <w:rPr>
                      <w:rFonts w:hint="eastAsia" w:ascii="宋体" w:hAnsi="宋体"/>
                      <w:sz w:val="21"/>
                      <w:szCs w:val="21"/>
                      <w:highlight w:val="none"/>
                    </w:rPr>
                    <w:t xml:space="preserve">FBA 800</w:t>
                  </w:r>
                  <w:r/>
                </w:p>
              </w:tc>
              <w:tc>
                <w:tcPr>
                  <w:tcW w:w="1646" w:type="dxa"/>
                  <w:vAlign w:val="center"/>
                  <w:textDirection w:val="lrTb"/>
                  <w:noWrap w:val="false"/>
                </w:tcPr>
                <w:p>
                  <w:pPr>
                    <w:jc w:val="center"/>
                    <w:rPr>
                      <w:rFonts w:cs="Arial" w:asciiTheme="minorEastAsia" w:hAnsiTheme="minorEastAsia"/>
                      <w:color w:val="auto"/>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ABC扳手</w:t>
                  </w:r>
                  <w:r/>
                </w:p>
              </w:tc>
              <w:tc>
                <w:tcPr>
                  <w:tcW w:w="2977"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FS50-100</w:t>
                  </w:r>
                  <w:r/>
                </w:p>
              </w:tc>
              <w:tc>
                <w:tcPr>
                  <w:tcW w:w="1646" w:type="dxa"/>
                  <w:vAlign w:val="center"/>
                  <w:textDirection w:val="lrTb"/>
                  <w:noWrap w:val="false"/>
                </w:tcPr>
                <w:p>
                  <w:pPr>
                    <w:jc w:val="center"/>
                    <w:rPr>
                      <w:rFonts w:hint="eastAsia" w:ascii="宋体" w:hAnsi="宋体" w:cs="Arial"/>
                      <w:color w:val="000000"/>
                      <w:sz w:val="21"/>
                      <w:szCs w:val="21"/>
                      <w:highlight w:val="none"/>
                      <w:lang w:val="en-GB"/>
                    </w:rPr>
                  </w:pPr>
                  <w:r>
                    <w:rPr>
                      <w:rFonts w:hint="eastAsia" w:ascii="宋体" w:hAnsi="宋体" w:cs="Arial"/>
                      <w:color w:val="000000"/>
                      <w:sz w:val="21"/>
                      <w:szCs w:val="21"/>
                      <w:highlight w:val="none"/>
                      <w:lang w:val="en-GB"/>
                    </w:rPr>
                    <w:t xml:space="preserve">1个</w:t>
                  </w:r>
                  <w:r/>
                </w:p>
              </w:tc>
            </w:tr>
            <w:tr>
              <w:trPr>
                <w:trHeight w:val="425"/>
              </w:trPr>
              <w:tc>
                <w:tcPr>
                  <w:tcW w:w="806" w:type="dxa"/>
                  <w:vAlign w:val="center"/>
                  <w:textDirection w:val="lrTb"/>
                  <w:noWrap w:val="false"/>
                </w:tcPr>
                <w:p>
                  <w:pPr>
                    <w:pStyle w:val="1226"/>
                    <w:numPr>
                      <w:ilvl w:val="0"/>
                      <w:numId w:val="9"/>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lang w:val="en-US" w:eastAsia="zh-CN"/>
                    </w:rPr>
                    <w:t xml:space="preserve">随车供水泵系统</w:t>
                  </w:r>
                  <w:r/>
                </w:p>
              </w:tc>
              <w:tc>
                <w:tcPr>
                  <w:tcW w:w="2977"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lang w:val="en-US" w:eastAsia="zh-CN"/>
                    </w:rPr>
                    <w:t xml:space="preserve">等于或优于中型泡沫消防车第十条技术要求</w:t>
                  </w:r>
                  <w:r/>
                </w:p>
              </w:tc>
              <w:tc>
                <w:tcPr>
                  <w:tcW w:w="1646" w:type="dxa"/>
                  <w:vAlign w:val="center"/>
                  <w:textDirection w:val="lrTb"/>
                  <w:noWrap w:val="false"/>
                </w:tcPr>
                <w:p>
                  <w:pPr>
                    <w:jc w:val="center"/>
                    <w:rPr>
                      <w:rFonts w:hint="eastAsia" w:ascii="宋体" w:hAnsi="宋体" w:cs="Arial"/>
                      <w:color w:val="000000"/>
                      <w:sz w:val="21"/>
                      <w:szCs w:val="21"/>
                      <w:highlight w:val="none"/>
                      <w:lang w:val="en-GB"/>
                    </w:rPr>
                  </w:pPr>
                  <w:r>
                    <w:rPr>
                      <w:rFonts w:hint="eastAsia" w:ascii="宋体" w:hAnsi="宋体" w:cs="Arial"/>
                      <w:color w:val="000000"/>
                      <w:sz w:val="21"/>
                      <w:szCs w:val="21"/>
                      <w:highlight w:val="none"/>
                      <w:lang w:val="en-US" w:eastAsia="zh-CN"/>
                    </w:rPr>
                    <w:t xml:space="preserve">2套</w:t>
                  </w:r>
                  <w:r/>
                </w:p>
              </w:tc>
            </w:tr>
          </w:tbl>
          <w:p>
            <w:pPr>
              <w:spacing w:line="360" w:lineRule="auto"/>
              <w:rPr>
                <w:color w:val="auto"/>
                <w:sz w:val="21"/>
                <w:szCs w:val="21"/>
                <w:highlight w:val="none"/>
              </w:rPr>
            </w:pPr>
            <w:r>
              <w:rPr>
                <w:color w:val="auto"/>
                <w:sz w:val="21"/>
                <w:szCs w:val="21"/>
                <w:highlight w:val="none"/>
              </w:rPr>
            </w:r>
            <w:r/>
          </w:p>
        </w:tc>
      </w:tr>
    </w:tbl>
    <w:p>
      <w:pPr>
        <w:keepLines w:val="0"/>
        <w:keepNext w:val="0"/>
        <w:spacing w:line="360" w:lineRule="auto"/>
        <w:rPr>
          <w:rFonts w:hint="eastAsia" w:ascii="宋体" w:hAnsi="宋体" w:eastAsia="宋体" w:cs="宋体"/>
          <w:b/>
          <w:bCs/>
          <w:color w:val="000000"/>
          <w:sz w:val="21"/>
          <w:szCs w:val="21"/>
          <w:highlight w:val="none"/>
          <w:lang w:val="en-US" w:eastAsia="zh-CN" w:bidi="ar"/>
        </w:rPr>
        <w:outlineLvl w:val="1"/>
      </w:pPr>
      <w:r>
        <w:rPr>
          <w:rFonts w:hint="eastAsia" w:ascii="宋体" w:hAnsi="宋体" w:eastAsia="宋体" w:cs="宋体"/>
          <w:b/>
          <w:bCs/>
          <w:color w:val="000000"/>
          <w:sz w:val="21"/>
          <w:szCs w:val="21"/>
          <w:highlight w:val="none"/>
          <w:lang w:val="en-US" w:eastAsia="zh-CN" w:bidi="ar"/>
        </w:rPr>
      </w:r>
      <w:r/>
    </w:p>
    <w:tbl>
      <w:tblPr>
        <w:tblStyle w:val="913"/>
        <w:tblW w:w="9405" w:type="dxa"/>
        <w:tblInd w:w="-4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670"/>
      </w:tblGrid>
      <w:tr>
        <w:trPr/>
        <w:tc>
          <w:tcPr>
            <w:gridSpan w:val="2"/>
            <w:tcBorders>
              <w:top w:val="single" w:color="auto" w:sz="4" w:space="0"/>
              <w:left w:val="single" w:color="auto" w:sz="4" w:space="0"/>
              <w:bottom w:val="single" w:color="auto" w:sz="4" w:space="0"/>
              <w:right w:val="single" w:color="auto" w:sz="4" w:space="0"/>
            </w:tcBorders>
            <w:tcW w:w="9405" w:type="dxa"/>
            <w:vAlign w:val="top"/>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重型泡沫消防车</w:t>
            </w:r>
            <w:r/>
          </w:p>
        </w:tc>
      </w:tr>
      <w:tr>
        <w:trPr/>
        <w:tc>
          <w:tcPr>
            <w:tcBorders>
              <w:top w:val="single" w:color="auto" w:sz="4" w:space="0"/>
              <w:left w:val="single" w:color="auto" w:sz="4" w:space="0"/>
              <w:bottom w:val="single" w:color="auto" w:sz="4" w:space="0"/>
              <w:right w:val="single" w:color="auto" w:sz="4" w:space="0"/>
            </w:tcBorders>
            <w:tcW w:w="735" w:type="dxa"/>
            <w:vAlign w:val="top"/>
            <w:textDirection w:val="lrTb"/>
            <w:noWrap w:val="false"/>
          </w:tcPr>
          <w:p>
            <w:pPr>
              <w:jc w:val="center"/>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8670" w:type="dxa"/>
            <w:vAlign w:val="top"/>
            <w:textDirection w:val="lrTb"/>
            <w:noWrap w:val="false"/>
          </w:tcPr>
          <w:p>
            <w:pPr>
              <w:jc w:val="center"/>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rPr>
              <w:t xml:space="preserve">技术要求</w:t>
            </w:r>
            <w:r/>
          </w:p>
        </w:tc>
      </w:tr>
      <w:tr>
        <w:trPr/>
        <w:tc>
          <w:tcPr>
            <w:gridSpan w:val="2"/>
            <w:tcBorders>
              <w:top w:val="single" w:color="auto" w:sz="4" w:space="0"/>
              <w:left w:val="single" w:color="auto" w:sz="4" w:space="0"/>
              <w:bottom w:val="single" w:color="auto" w:sz="4" w:space="0"/>
              <w:right w:val="single" w:color="auto" w:sz="4" w:space="0"/>
            </w:tcBorders>
            <w:tcW w:w="9405" w:type="dxa"/>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（一）基本要求</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驱动形式：8×4。</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轴距：</w:t>
            </w:r>
            <w:r>
              <w:rPr>
                <w:rFonts w:hint="eastAsia" w:ascii="宋体" w:hAnsi="宋体" w:cs="Times New Roman"/>
                <w:color w:val="auto"/>
                <w:sz w:val="21"/>
                <w:szCs w:val="21"/>
                <w:highlight w:val="none"/>
                <w:lang w:val="en-US" w:eastAsia="zh-CN"/>
              </w:rPr>
              <w:t xml:space="preserve">≤</w:t>
            </w:r>
            <w:r>
              <w:rPr>
                <w:rFonts w:hint="eastAsia" w:ascii="宋体" w:hAnsi="宋体" w:cs="Times New Roman"/>
                <w:color w:val="auto"/>
                <w:sz w:val="21"/>
                <w:szCs w:val="21"/>
                <w:highlight w:val="none"/>
                <w:lang w:eastAsia="zh-CN"/>
              </w:rPr>
              <w:t xml:space="preserve">2000+4210+1400(mm)。</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最大允许总质量：≥41000Kg。</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排放标准：不低于国Ⅵ，交车时符合上牌标准。</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★发动机（额定）功率：≥400KW。</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变速箱：手动变速箱。</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取力器：底盘原装全功率取力器。</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油箱及尿素罐：油箱≥260L+尿素罐≥30L。</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制动方式：后轮盘式制动,前后桥独立双回路,带驱动防滑系统，发动机缸内制动缓速器。</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驾驶室及乘员室</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驾乘室选型及布局：原装2门驾驶室+独立乘员室，驾驶室有主副两座位，乘员室可乘坐6人。</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驾乘室准乘人数：≥8人。</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空调：底盘原装空调，乘员室内部通过窗口与驾驶室贯通连接，共享空调，电气。</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脚踏板：</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4.1驾驶室采用底盘原装踏板，须防滑处理。</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4.2乘员室：气动翻转阶梯，可承受大于150kg，通过气缸机构、连动感应开关，能随乘员室门同步开闭并有效锁止。</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个人防护装备存放要求：乘员室设有不少于4具空气呼吸器支架，可嵌6.8或9L通用型单瓶。</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乘员室与驾驶室通过窗口空间贯通，实现与驾驶室人员沟通，共享底盘空调、电气、前窗视野等资源，空间充足，乘坐舒适，不影响驾驶室正常翻转。</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配置0-18度冷控冰箱，不少于6个220V电源插座，内部氛围灯，扶手灯。</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乘员室门：方便观察火情，乘员室门需采用钢化玻璃门。</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上装部分</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厢体结构及材质：采用全铝合金，无骨架无焊接铝合金板式粘接结构，无焊接应力发生，不变形，不生锈（提供实物图片），模块化设计，弹性连接。由罐体、储物箱、泵室和副车架等模块组成。铝板整体抛光去毛刺、部件烤漆。</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器材箱（含门）：不少于4个（分布车左右两侧），整体为铝合金材质。各储物箱带有LED照明灯，随门开关。采用轻合金卷帘门，条锁把手，可锁。卷帘门各密封、滑动胶件、锁等关键部件均保证高耐磨耐老化，保证十年不老化，驾驶室有卷帘门开启及关闭指示灯。</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泵室：位于车辆后部，设置轻铝合金上翻铰接门，可遮阳、避雨、防尘。</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车顶：车顶喷涂车用防滑漆，左右侧设有与车身一体式围档，确保人员安全。</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爬梯：位于车后右侧，折叠式后爬梯，带轻合金梯级保护及车顶扶手，梯蹬有防滑设计。</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脚踏板：不少于4个（分布于车左右器材箱下方），须防滑设计，最大承重不少于200kg。</w:t>
            </w:r>
            <w:r/>
          </w:p>
        </w:tc>
      </w:tr>
      <w:tr>
        <w:trPr>
          <w:trHeight w:val="348"/>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消防泵系统部分</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★泵型号：国际知名品牌，原装进口，常压组合泵，离心式、常压泵为1级常压（常压泵，泡沫比例器，控制系统，真空装置及管路阀门等主要核心部件均须同一厂家生产从而达到最佳兼容性）。</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★消防泵额定压力及流量：1.0Mpa时≥170L/S。</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消防泵结构型式：闭式叶轮，离心式，常压组合泵，常压泵为1级常压。</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出水口：不少于6个DN80出水口，与炮连接常压出水口1个，不少于左右各1个DN150出水口。</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吸水管路：不少于4 个 DN150 吸水口。</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真空装置：</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6.1结构形式：泵原装自带双活塞真空泵，与泵齿轮箱联动，真空度≧85%；</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6.2活塞排量：≧1L；</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6.3控制：泵联动全自动抽真空功能；</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6.4真空测试：一键式真空测试。</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引水时间：≤100s。</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最大吸深：≥7m。</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泵控制仪表板：</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9.1泵原装自带控制面板，采用CAN总线控制。可实现与炮控制系统通讯； </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9.2标识：在明显位置附加操作流程及说明铭牌（中文）；</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9.3功能：通过该面板，可清楚知道取力器启动状态、抽真空度、水泵压力、泵转速、泵工作时间、水罐液位、泡沫罐液位等情况；可实现真空泵开关、油门控制、水罐吸水、泡沫罐出液、混合比例选择等操作可对水泵系统、泡沫系统及自保系统相关功能进行显示及控制，系统相关信息通过液晶显示屏，以数据及图形进行显示；</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9.4水系统控制：常压表、水罐液位显示、水罐出水开关、真空泵开关、经泵往罐注水开关、卷盘出水；</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9.5泡沫系统控制：泡沫罐液位显示、泡沫罐出液开关、泡沫比例选择旋钮；</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9.6动力控制：发动机启停按钮，取力器开关，油门开关。</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泡沫比例混合器：</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10.1 泵原装自带泡沫比例器；</w:t>
            </w:r>
            <w:r/>
          </w:p>
          <w:p>
            <w:pPr>
              <w:spacing w:line="360" w:lineRule="auto"/>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10.2 自动“环泵式”，采用电磁感应探测器；</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10.3材质：计量及比例阀须采用铜合金；</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10.4常压泡沫比例：电控1-10%；</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10.5泡沫系统冲洗：一键式冲洗，通过内部管路实现。</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稳压系统：泵原装自带稳压系统。</w:t>
            </w:r>
            <w:r/>
          </w:p>
        </w:tc>
      </w:tr>
      <w:tr>
        <w:trPr>
          <w:trHeight w:val="348"/>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泵传动轴：泵原装自带传动轴，免维护万向十字节结构，优质无缝钢管。</w:t>
            </w:r>
            <w:r/>
          </w:p>
        </w:tc>
      </w:tr>
      <w:tr>
        <w:trPr>
          <w:trHeight w:val="336"/>
        </w:trPr>
        <w:tc>
          <w:tcPr>
            <w:gridSpan w:val="2"/>
            <w:tcBorders>
              <w:top w:val="single" w:color="auto" w:sz="4" w:space="0"/>
              <w:left w:val="single" w:color="auto" w:sz="4" w:space="0"/>
              <w:bottom w:val="single" w:color="auto" w:sz="4" w:space="0"/>
              <w:right w:val="single" w:color="auto" w:sz="4" w:space="0"/>
            </w:tcBorders>
            <w:tcW w:w="940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容罐部分</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1.1罐体总载液量:≥18000KG；</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1.2水罐容量：≥12000KG；</w:t>
            </w:r>
            <w:r/>
          </w:p>
          <w:p>
            <w:pPr>
              <w:spacing w:line="360" w:lineRule="auto"/>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1.3泡沫罐容量：B类泡沫≥6000KG。</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罐体材质：不低于304不锈钢。</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罐体厚度：罐体底板≥4mm，顶板及侧板≥3mm。</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注液口：</w:t>
            </w:r>
            <w:r/>
          </w:p>
          <w:p>
            <w:pPr>
              <w:spacing w:line="360" w:lineRule="auto"/>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4.1水罐不少于6个DN80（分布车身两侧），不少于2个DN150（分布车两侧）。</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4.2泡沫罐不少于2 个DN50补液口（分布车身两侧）。</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排放口：水罐和泡沫罐各不少于1个DN40，手动控制。</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液位显示：泵自带，分别在驾驶室，泵室控制面板，车身两侧设有液位显示。</w:t>
            </w:r>
            <w:r/>
          </w:p>
        </w:tc>
      </w:tr>
      <w:tr>
        <w:trPr>
          <w:trHeight w:val="33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226"/>
              <w:ind w:firstLine="0"/>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670" w:type="dxa"/>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罐体其他功能配置要求：设有横向和纵向阻浪板，设有直径≥400mm人孔口。</w:t>
            </w:r>
            <w:r/>
          </w:p>
        </w:tc>
      </w:tr>
      <w:tr>
        <w:trPr/>
        <w:tc>
          <w:tcPr>
            <w:gridSpan w:val="2"/>
            <w:tcW w:w="9405" w:type="dxa"/>
            <w:vAlign w:val="center"/>
            <w:textDirection w:val="lrTb"/>
            <w:noWrap w:val="false"/>
          </w:tcPr>
          <w:p>
            <w:pPr>
              <w:pStyle w:val="1251"/>
              <w:jc w:val="left"/>
              <w:spacing w:line="360" w:lineRule="auto"/>
              <w:rPr>
                <w:rFonts w:ascii="宋体" w:hAnsi="宋体"/>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车载消防炮</w:t>
            </w:r>
            <w:r/>
          </w:p>
        </w:tc>
      </w:tr>
      <w:tr>
        <w:trPr/>
        <w:tc>
          <w:tcPr>
            <w:tcW w:w="735" w:type="dxa"/>
            <w:vAlign w:val="center"/>
            <w:textDirection w:val="lrTb"/>
            <w:noWrap w:val="false"/>
          </w:tcPr>
          <w:p>
            <w:pPr>
              <w:jc w:val="center"/>
              <w:spacing w:line="360" w:lineRule="auto"/>
              <w:widowControl/>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品牌：国际知名品牌，智能电控炮，泵原厂同品牌一体生产，采用CAN总线控制。可实现与泵控制系统通讯。</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炮主要功能：</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2.1水/泡沫两用，电动模拟炮，具有电子编程模块，可通过编程设定炮的运动路径。炮身带有2个聚光探照灯作为消防炮的工作照明；</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2.2电控系统：采用CAN总线控制，可实现与泵和底盘控制系统通讯。</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p>
        </w:tc>
        <w:tc>
          <w:tcPr>
            <w:tcW w:w="8670" w:type="dxa"/>
            <w:vAlign w:val="center"/>
            <w:textDirection w:val="lrTb"/>
            <w:noWrap w:val="false"/>
          </w:tcPr>
          <w:p>
            <w:pPr>
              <w:spacing w:line="360" w:lineRule="auto"/>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★额定流量：1.0Mpa时≥150 L/s可实现半流量控制，通过炮自带控制手柄上的半流量键，实现一键启动及一键复位，不接受管路上增加流量控制阀。</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摆动角度：回转角：≥270°，俯仰角：≥-10°至60°。</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射程：水≥100m，泡沫≥90m。</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控制方式：</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6.1驾驶室摇杆式手柄控制，可旋转、俯仰并停止在任何一个角度，与炮喷射角度同步，操作人员可单手轻松操作，通过观察手枪口方向即可了解炮的发射方向，无须到车外观察，可一键复位；</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6.2应急控制：在炮电路失效时，操作人员通过炮体上控制手柄进行应急操作，各手柄的操作轻松流畅，设有手动应急操作标识；</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6.3无线遥控：具备遥控器开启/急停，旋转/俯仰，直流/开花，一键启动及复位按钮，全流量开关，半流量开关，炮移动快慢切换开关，炮出水开关，炮出泡沫开关，油门加减等功能，遥控距离大于100m；</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6.4 有线控制：与泵及底盘有线连接，可实现连续作业工况，弹簧收缩线布置于泵室。</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炮筒：原装自带发泡筒，带鸭嘴，可实现扇面喷射。</w:t>
            </w:r>
            <w:r/>
          </w:p>
        </w:tc>
      </w:tr>
      <w:tr>
        <w:trPr/>
        <w:tc>
          <w:tcPr>
            <w:gridSpan w:val="2"/>
            <w:tcW w:w="9405" w:type="dxa"/>
            <w:vAlign w:val="center"/>
            <w:textDirection w:val="lrTb"/>
            <w:noWrap w:val="false"/>
          </w:tcPr>
          <w:p>
            <w:pPr>
              <w:spacing w:line="360" w:lineRule="auto"/>
              <w:rPr>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电气设备</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火场照明：探照灯带枢轴，线缆及插头，可360度调整照明角度。</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侧部照明：车身一体式，位于车身两侧，可用于夜间作业照明。</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侧部示廓灯：≧6个，含侧回复反射器。</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手柄：位于主副驾驶之间，可实现对炮的俯仰转向，出水控制等。</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W w:w="8670"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驾驶室控制面板：</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5.1设计：泵原装自带，位于驾驶员与副驾驶员之间合适位置，CAN总线控制面板，可实现与炮控制系统通讯；</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5.2功能：可对水泵系统、泡沫系统及自保系统相关功能进行显示及控制。系统相关信息通过液晶显示屏，以数据及图形进行显示；</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5.3 水系统控制：常压表、水罐液位显示、水罐出水开关、真空泵开关、经泵往罐注水开关；</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5.4 泡沫系统控制：泡沫罐液位显示、泡沫罐出液/停止开关、泡沫比例选择按钮；</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5.5 自保系统控制：启停开关；</w:t>
            </w:r>
            <w:r/>
          </w:p>
          <w:p>
            <w:pPr>
              <w:spacing w:line="360" w:lineRule="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5.6 通过与驾驶室炮控制手柄联动，可不下车启动泵、炮、泡沫系统等，实现车辆边走边打水。</w:t>
            </w:r>
            <w:r/>
          </w:p>
        </w:tc>
      </w:tr>
      <w:tr>
        <w:trPr/>
        <w:tc>
          <w:tcPr>
            <w:gridSpan w:val="2"/>
            <w:tcW w:w="9405" w:type="dxa"/>
            <w:vAlign w:val="center"/>
            <w:textDirection w:val="lrTb"/>
            <w:noWrap w:val="false"/>
          </w:tcPr>
          <w:p>
            <w:pPr>
              <w:spacing w:line="360" w:lineRule="auto"/>
              <w:rPr>
                <w:rFonts w:hint="eastAsia" w:ascii="宋体" w:hAnsi="宋体" w:cs="Times New Roman"/>
                <w:color w:val="auto"/>
                <w:sz w:val="21"/>
                <w:szCs w:val="21"/>
                <w:highlight w:val="none"/>
                <w:lang w:val="en-US" w:eastAsia="zh-CN"/>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）其他配置及说明</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w:t>
            </w:r>
            <w:r/>
          </w:p>
        </w:tc>
        <w:tc>
          <w:tcPr>
            <w:tcW w:w="8670"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消杀功能：</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1.1.控制：单人可在驾驶室启停控制；</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1.2.工作时速：0-30km/h；</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1.3.消杀宽度：≥6米。</w:t>
            </w:r>
            <w:r/>
          </w:p>
        </w:tc>
      </w:tr>
      <w:tr>
        <w:trPr/>
        <w:tc>
          <w:tcPr>
            <w:tcW w:w="735"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p>
        </w:tc>
        <w:tc>
          <w:tcPr>
            <w:tcW w:w="8670"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自保系统</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2.1.喷嘴：前桥≥3个，后桥≥2个；</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2.2.控制：在驾驶室内设有控制开关；</w:t>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2.3.结构形式：内置式“散花”结构，能进行扇面喷射。</w:t>
            </w:r>
            <w:r/>
          </w:p>
        </w:tc>
      </w:tr>
      <w:tr>
        <w:trPr>
          <w:trHeight w:val="3623"/>
        </w:trPr>
        <w:tc>
          <w:tcPr>
            <w:tcW w:w="735" w:type="dxa"/>
            <w:vAlign w:val="center"/>
            <w:textDirection w:val="lrTb"/>
            <w:noWrap w:val="false"/>
          </w:tcPr>
          <w:p>
            <w:pPr>
              <w:jc w:val="center"/>
              <w:spacing w:line="360" w:lineRule="auto"/>
              <w:widowControl/>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p>
        </w:tc>
        <w:tc>
          <w:tcPr>
            <w:tcW w:w="8670"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随车器材：</w:t>
            </w:r>
            <w:r/>
          </w:p>
          <w:tbl>
            <w:tblPr>
              <w:tblStyle w:val="1241"/>
              <w:tblW w:w="7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85"/>
              <w:gridCol w:w="2977"/>
              <w:gridCol w:w="1646"/>
            </w:tblGrid>
            <w:tr>
              <w:trPr>
                <w:trHeight w:val="406"/>
              </w:trPr>
              <w:tc>
                <w:tcPr>
                  <w:tcBorders>
                    <w:top w:val="single" w:color="auto" w:sz="4" w:space="0"/>
                    <w:left w:val="single" w:color="auto" w:sz="4" w:space="0"/>
                    <w:bottom w:val="single" w:color="auto" w:sz="4" w:space="0"/>
                  </w:tcBorders>
                  <w:tcW w:w="806" w:type="dxa"/>
                  <w:vAlign w:val="center"/>
                  <w:textDirection w:val="lrTb"/>
                  <w:noWrap w:val="false"/>
                </w:tcPr>
                <w:p>
                  <w:pPr>
                    <w:jc w:val="center"/>
                    <w:rPr>
                      <w:rFonts w:hint="eastAsia" w:ascii="宋体" w:hAnsi="宋体" w:eastAsia="宋体" w:cs="Arial"/>
                      <w:b/>
                      <w:color w:val="auto"/>
                      <w:sz w:val="21"/>
                      <w:szCs w:val="21"/>
                      <w:highlight w:val="none"/>
                      <w:lang w:val="en-GB"/>
                    </w:rPr>
                  </w:pPr>
                  <w:r>
                    <w:rPr>
                      <w:rFonts w:hint="eastAsia" w:ascii="宋体" w:hAnsi="宋体" w:eastAsia="宋体" w:cs="Arial"/>
                      <w:b/>
                      <w:color w:val="auto"/>
                      <w:sz w:val="21"/>
                      <w:szCs w:val="21"/>
                      <w:highlight w:val="none"/>
                      <w:lang w:val="en-GB"/>
                    </w:rPr>
                    <w:t xml:space="preserve">序号</w:t>
                  </w:r>
                  <w:r/>
                </w:p>
              </w:tc>
              <w:tc>
                <w:tcPr>
                  <w:tcBorders>
                    <w:top w:val="single" w:color="auto" w:sz="4" w:space="0"/>
                    <w:bottom w:val="single" w:color="auto" w:sz="4" w:space="0"/>
                  </w:tcBorders>
                  <w:tcW w:w="1985" w:type="dxa"/>
                  <w:vAlign w:val="center"/>
                  <w:textDirection w:val="lrTb"/>
                  <w:noWrap w:val="false"/>
                </w:tcPr>
                <w:p>
                  <w:pPr>
                    <w:jc w:val="center"/>
                    <w:rPr>
                      <w:rFonts w:hint="eastAsia" w:ascii="宋体" w:hAnsi="宋体" w:eastAsia="宋体" w:cs="Arial"/>
                      <w:b/>
                      <w:color w:val="auto"/>
                      <w:sz w:val="21"/>
                      <w:szCs w:val="21"/>
                      <w:highlight w:val="none"/>
                      <w:lang w:val="en-GB"/>
                    </w:rPr>
                  </w:pPr>
                  <w:r>
                    <w:rPr>
                      <w:rFonts w:hint="eastAsia" w:ascii="宋体" w:hAnsi="宋体" w:eastAsia="宋体" w:cs="Arial"/>
                      <w:b/>
                      <w:color w:val="auto"/>
                      <w:sz w:val="21"/>
                      <w:szCs w:val="21"/>
                      <w:highlight w:val="none"/>
                      <w:lang w:val="en-GB"/>
                    </w:rPr>
                    <w:t xml:space="preserve">名称</w:t>
                  </w:r>
                  <w:r/>
                </w:p>
              </w:tc>
              <w:tc>
                <w:tcPr>
                  <w:tcBorders>
                    <w:top w:val="single" w:color="auto" w:sz="4" w:space="0"/>
                    <w:bottom w:val="single" w:color="auto" w:sz="4" w:space="0"/>
                  </w:tcBorders>
                  <w:tcW w:w="2977" w:type="dxa"/>
                  <w:vAlign w:val="center"/>
                  <w:textDirection w:val="lrTb"/>
                  <w:noWrap w:val="false"/>
                </w:tcPr>
                <w:p>
                  <w:pPr>
                    <w:jc w:val="center"/>
                    <w:rPr>
                      <w:rFonts w:hint="eastAsia" w:ascii="宋体" w:hAnsi="宋体" w:eastAsia="宋体" w:cs="Arial"/>
                      <w:b/>
                      <w:color w:val="auto"/>
                      <w:sz w:val="21"/>
                      <w:szCs w:val="21"/>
                      <w:highlight w:val="none"/>
                      <w:lang w:val="en-GB"/>
                    </w:rPr>
                  </w:pPr>
                  <w:r>
                    <w:rPr>
                      <w:rFonts w:hint="eastAsia" w:ascii="宋体" w:hAnsi="宋体" w:eastAsia="宋体" w:cs="Arial"/>
                      <w:b/>
                      <w:color w:val="auto"/>
                      <w:sz w:val="21"/>
                      <w:szCs w:val="21"/>
                      <w:highlight w:val="none"/>
                      <w:lang w:val="en-GB"/>
                    </w:rPr>
                    <w:t xml:space="preserve">规格</w:t>
                  </w:r>
                  <w:r/>
                </w:p>
              </w:tc>
              <w:tc>
                <w:tcPr>
                  <w:tcBorders>
                    <w:top w:val="single" w:color="auto" w:sz="4" w:space="0"/>
                    <w:bottom w:val="single" w:color="auto" w:sz="4" w:space="0"/>
                    <w:right w:val="single" w:color="auto" w:sz="4" w:space="0"/>
                  </w:tcBorders>
                  <w:tcW w:w="1646" w:type="dxa"/>
                  <w:vAlign w:val="center"/>
                  <w:textDirection w:val="lrTb"/>
                  <w:noWrap w:val="false"/>
                </w:tcPr>
                <w:p>
                  <w:pPr>
                    <w:jc w:val="center"/>
                    <w:rPr>
                      <w:rFonts w:hint="eastAsia" w:ascii="宋体" w:hAnsi="宋体" w:eastAsia="宋体" w:cs="Arial"/>
                      <w:b/>
                      <w:color w:val="auto"/>
                      <w:sz w:val="21"/>
                      <w:szCs w:val="21"/>
                      <w:highlight w:val="none"/>
                      <w:lang w:val="en-GB"/>
                    </w:rPr>
                  </w:pPr>
                  <w:r>
                    <w:rPr>
                      <w:rFonts w:hint="eastAsia" w:ascii="宋体" w:hAnsi="宋体" w:eastAsia="宋体" w:cs="Arial"/>
                      <w:b/>
                      <w:color w:val="auto"/>
                      <w:sz w:val="21"/>
                      <w:szCs w:val="21"/>
                      <w:highlight w:val="none"/>
                      <w:lang w:val="en-GB"/>
                    </w:rPr>
                    <w:t xml:space="preserve">数量</w:t>
                  </w:r>
                  <w:r/>
                </w:p>
              </w:tc>
            </w:tr>
            <w:tr>
              <w:trPr>
                <w:trHeight w:val="425"/>
              </w:trPr>
              <w:tc>
                <w:tcPr>
                  <w:tcBorders>
                    <w:top w:val="single" w:color="auto" w:sz="4" w:space="0"/>
                    <w:left w:val="single" w:color="auto" w:sz="4" w:space="0"/>
                    <w:bottom w:val="single" w:color="auto" w:sz="4" w:space="0"/>
                  </w:tcBorders>
                  <w:tcW w:w="806" w:type="dxa"/>
                  <w:vAlign w:val="center"/>
                  <w:textDirection w:val="lrTb"/>
                  <w:noWrap w:val="false"/>
                </w:tcPr>
                <w:p>
                  <w:pPr>
                    <w:pStyle w:val="1226"/>
                    <w:numPr>
                      <w:ilvl w:val="0"/>
                      <w:numId w:val="10"/>
                    </w:numPr>
                    <w:jc w:val="center"/>
                    <w:spacing w:line="360" w:lineRule="auto"/>
                    <w:rPr>
                      <w:rFonts w:hint="eastAsia" w:ascii="宋体" w:hAnsi="宋体" w:eastAsia="宋体" w:cs="Arial"/>
                      <w:color w:val="auto"/>
                      <w:sz w:val="21"/>
                      <w:szCs w:val="21"/>
                      <w:highlight w:val="none"/>
                      <w:lang w:val="en-GB" w:eastAsia="zh-CN"/>
                    </w:rPr>
                  </w:pPr>
                  <w:r>
                    <w:rPr>
                      <w:rFonts w:hint="eastAsia" w:ascii="宋体" w:hAnsi="宋体" w:eastAsia="宋体" w:cs="Arial"/>
                      <w:color w:val="auto"/>
                      <w:sz w:val="21"/>
                      <w:szCs w:val="21"/>
                      <w:highlight w:val="none"/>
                      <w:lang w:val="en-GB" w:eastAsia="zh-CN"/>
                    </w:rPr>
                  </w:r>
                  <w:r/>
                </w:p>
              </w:tc>
              <w:tc>
                <w:tcPr>
                  <w:tcBorders>
                    <w:top w:val="single" w:color="auto" w:sz="4" w:space="0"/>
                    <w:bottom w:val="single" w:color="auto" w:sz="4" w:space="0"/>
                  </w:tcBorders>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消防吸水管</w:t>
                  </w:r>
                  <w:r/>
                </w:p>
              </w:tc>
              <w:tc>
                <w:tcPr>
                  <w:tcBorders>
                    <w:top w:val="single" w:color="auto" w:sz="4" w:space="0"/>
                    <w:bottom w:val="single" w:color="auto" w:sz="4" w:space="0"/>
                  </w:tcBorders>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DN150（每根2m），置于泵室下方</w:t>
                  </w:r>
                  <w:r/>
                </w:p>
              </w:tc>
              <w:tc>
                <w:tcPr>
                  <w:tcBorders>
                    <w:top w:val="single" w:color="auto" w:sz="4" w:space="0"/>
                    <w:bottom w:val="single" w:color="auto" w:sz="4" w:space="0"/>
                    <w:right w:val="single" w:color="auto" w:sz="4" w:space="0"/>
                  </w:tcBorders>
                  <w:tcW w:w="1646"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4根</w:t>
                  </w:r>
                  <w:r/>
                </w:p>
              </w:tc>
            </w:tr>
            <w:tr>
              <w:trPr>
                <w:trHeight w:val="425"/>
              </w:trPr>
              <w:tc>
                <w:tcPr>
                  <w:tcBorders>
                    <w:top w:val="single" w:color="auto" w:sz="4" w:space="0"/>
                  </w:tcBorders>
                  <w:tcW w:w="806" w:type="dxa"/>
                  <w:vAlign w:val="center"/>
                  <w:textDirection w:val="lrTb"/>
                  <w:noWrap w:val="false"/>
                </w:tcPr>
                <w:p>
                  <w:pPr>
                    <w:pStyle w:val="1226"/>
                    <w:numPr>
                      <w:ilvl w:val="0"/>
                      <w:numId w:val="10"/>
                    </w:numPr>
                    <w:jc w:val="center"/>
                    <w:spacing w:line="360" w:lineRule="auto"/>
                    <w:rPr>
                      <w:rFonts w:ascii="宋体" w:hAnsi="宋体" w:eastAsia="宋体" w:cs="Arial"/>
                      <w:color w:val="auto"/>
                      <w:sz w:val="21"/>
                      <w:szCs w:val="21"/>
                      <w:highlight w:val="none"/>
                      <w:lang w:val="en-GB"/>
                    </w:rPr>
                  </w:pPr>
                  <w:r>
                    <w:rPr>
                      <w:rFonts w:ascii="宋体" w:hAnsi="宋体" w:eastAsia="宋体" w:cs="Arial"/>
                      <w:color w:val="auto"/>
                      <w:sz w:val="21"/>
                      <w:szCs w:val="21"/>
                      <w:highlight w:val="none"/>
                      <w:lang w:val="en-GB"/>
                    </w:rPr>
                  </w:r>
                  <w:r/>
                </w:p>
              </w:tc>
              <w:tc>
                <w:tcPr>
                  <w:tcBorders>
                    <w:top w:val="single" w:color="auto" w:sz="4" w:space="0"/>
                  </w:tcBorders>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消防吸水管</w:t>
                  </w:r>
                  <w:r/>
                </w:p>
              </w:tc>
              <w:tc>
                <w:tcPr>
                  <w:tcBorders>
                    <w:top w:val="single" w:color="auto" w:sz="4" w:space="0"/>
                  </w:tcBorders>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8M、DN150轻质吸水管放置于车顶</w:t>
                  </w:r>
                  <w:r/>
                </w:p>
              </w:tc>
              <w:tc>
                <w:tcPr>
                  <w:tcBorders>
                    <w:top w:val="single" w:color="auto" w:sz="4" w:space="0"/>
                  </w:tcBorders>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1根</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滤水器</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KGK150（带漂浮装置） </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卡式铝雄消防栓接口</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DN150卡式雄/M125×6内牙</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消防水带</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16-65-20 </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6盘</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消防水带</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16-80-20</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6盘</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分水器</w:t>
                  </w:r>
                  <w:r/>
                </w:p>
              </w:tc>
              <w:tc>
                <w:tcPr>
                  <w:tcW w:w="2977" w:type="dxa"/>
                  <w:vAlign w:val="top"/>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FⅡ80/65×2-1.6/进水口卡式雄/出水口卡式雌</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集水器</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DN150/2×DN65</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08"/>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异径接口</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KJK65/80</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水带包布</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L=400mm</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4件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护带桥</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570×380×160，橡胶</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1副</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水带挂钩</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L=440mm</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地上消火栓扳手</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吸液胶管扳手</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DN80</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混合器吸液管</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DN80（包括插入管）</w:t>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1根</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空气泡沫枪</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2支</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多功能消防水枪</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2支</w:t>
                  </w:r>
                  <w:r/>
                </w:p>
              </w:tc>
            </w:tr>
            <w:tr>
              <w:trPr>
                <w:trHeight w:val="408"/>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铁锹</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消防腰斧</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丁字镐</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GB" w:eastAsia="zh-CN"/>
                    </w:rPr>
                  </w:pPr>
                  <w:r>
                    <w:rPr>
                      <w:rFonts w:hint="eastAsia" w:ascii="宋体" w:hAnsi="宋体" w:eastAsia="宋体" w:cs="Times New Roman"/>
                      <w:color w:val="auto"/>
                      <w:sz w:val="21"/>
                      <w:szCs w:val="21"/>
                      <w:highlight w:val="none"/>
                      <w:lang w:val="en-US" w:eastAsia="zh-CN"/>
                    </w:rPr>
                    <w:t xml:space="preserve">1件</w:t>
                  </w:r>
                  <w:r/>
                </w:p>
              </w:tc>
            </w:tr>
            <w:tr>
              <w:trPr>
                <w:trHeight w:val="425"/>
              </w:trPr>
              <w:tc>
                <w:tcPr>
                  <w:tcW w:w="806" w:type="dxa"/>
                  <w:vAlign w:val="center"/>
                  <w:textDirection w:val="lrTb"/>
                  <w:noWrap w:val="false"/>
                </w:tcPr>
                <w:p>
                  <w:pPr>
                    <w:pStyle w:val="1226"/>
                    <w:numPr>
                      <w:ilvl w:val="0"/>
                      <w:numId w:val="10"/>
                    </w:numPr>
                    <w:jc w:val="center"/>
                    <w:spacing w:line="360" w:lineRule="auto"/>
                    <w:rPr>
                      <w:rFonts w:ascii="宋体" w:hAnsi="宋体" w:cs="Arial"/>
                      <w:color w:val="auto"/>
                      <w:sz w:val="21"/>
                      <w:szCs w:val="21"/>
                      <w:highlight w:val="none"/>
                      <w:lang w:val="en-GB"/>
                    </w:rPr>
                  </w:pPr>
                  <w:r>
                    <w:rPr>
                      <w:rFonts w:ascii="宋体" w:hAnsi="宋体" w:cs="Arial"/>
                      <w:color w:val="auto"/>
                      <w:sz w:val="21"/>
                      <w:szCs w:val="21"/>
                      <w:highlight w:val="none"/>
                      <w:lang w:val="en-GB"/>
                    </w:rPr>
                  </w:r>
                  <w:r/>
                </w:p>
              </w:tc>
              <w:tc>
                <w:tcPr>
                  <w:tcW w:w="1985"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铁铤</w:t>
                  </w:r>
                  <w:r/>
                </w:p>
              </w:tc>
              <w:tc>
                <w:tcPr>
                  <w:tcW w:w="2977"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W w:w="1646" w:type="dxa"/>
                  <w:vAlign w:val="center"/>
                  <w:textDirection w:val="lrTb"/>
                  <w:noWrap w:val="false"/>
                </w:tcPr>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1件</w:t>
                  </w:r>
                  <w:r/>
                </w:p>
              </w:tc>
            </w:tr>
          </w:tbl>
          <w:p>
            <w:pPr>
              <w:pStyle w:val="906"/>
              <w:rPr>
                <w:rFonts w:hint="default"/>
                <w:highlight w:val="none"/>
                <w:lang w:val="en-US" w:eastAsia="zh-CN"/>
              </w:rPr>
            </w:pPr>
            <w:r>
              <w:rPr>
                <w:rFonts w:hint="default"/>
                <w:highlight w:val="none"/>
                <w:lang w:val="en-US" w:eastAsia="zh-CN"/>
              </w:rPr>
            </w:r>
            <w:r/>
          </w:p>
        </w:tc>
      </w:tr>
    </w:tbl>
    <w:p>
      <w:pPr>
        <w:keepLines w:val="0"/>
        <w:keepNext w:val="0"/>
        <w:spacing w:line="360" w:lineRule="auto"/>
        <w:rPr>
          <w:rFonts w:hint="eastAsia" w:ascii="宋体" w:hAnsi="宋体" w:eastAsia="宋体" w:cs="宋体"/>
          <w:b/>
          <w:bCs/>
          <w:color w:val="000000"/>
          <w:sz w:val="21"/>
          <w:szCs w:val="21"/>
          <w:highlight w:val="none"/>
          <w:lang w:val="en-US" w:eastAsia="zh-CN" w:bidi="ar"/>
        </w:rPr>
        <w:outlineLvl w:val="1"/>
      </w:pPr>
      <w:r>
        <w:rPr>
          <w:rFonts w:hint="eastAsia" w:ascii="宋体" w:hAnsi="宋体" w:eastAsia="宋体" w:cs="宋体"/>
          <w:b/>
          <w:bCs/>
          <w:color w:val="000000"/>
          <w:sz w:val="21"/>
          <w:szCs w:val="21"/>
          <w:highlight w:val="none"/>
          <w:lang w:val="en-US" w:eastAsia="zh-CN" w:bidi="ar"/>
        </w:rPr>
      </w:r>
      <w:r/>
    </w:p>
    <w:tbl>
      <w:tblPr>
        <w:tblStyle w:val="913"/>
        <w:tblW w:w="5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155"/>
        <w:gridCol w:w="7532"/>
      </w:tblGrid>
      <w:tr>
        <w:trPr>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三、压缩空气泡沫消防车</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基本数据</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外形尺寸：长×宽×高：≤</w:t>
            </w:r>
            <w:r>
              <w:rPr>
                <w:rFonts w:hint="eastAsia" w:ascii="宋体" w:hAnsi="宋体" w:eastAsia="宋体" w:cs="宋体"/>
                <w:color w:val="auto"/>
                <w:sz w:val="21"/>
                <w:szCs w:val="21"/>
                <w:highlight w:val="none"/>
                <w:lang w:val="en-US" w:eastAsia="zh-CN"/>
              </w:rPr>
              <w:t xml:space="preserve">8700</w:t>
            </w:r>
            <w:r>
              <w:rPr>
                <w:rFonts w:hint="eastAsia" w:ascii="宋体" w:hAnsi="宋体" w:eastAsia="宋体" w:cs="宋体"/>
                <w:color w:val="auto"/>
                <w:sz w:val="21"/>
                <w:szCs w:val="21"/>
                <w:highlight w:val="none"/>
              </w:rPr>
              <w:t xml:space="preserve">mm×2550mm×3700mm</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满载总质量： ≤1</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00kg</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整车整备质量：≤1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000kg</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灭火剂容量：≥4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00kg</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乘员人数（含驾驶员）：≥</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人</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底盘</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、驱动形式：4x2</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、发动机：直列六缸、增压中冷、高压共轨、电控</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3、最大扭矩：≥1400N·m</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4、额定功率：≥2</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eastAsia="zh-CN"/>
              </w:rPr>
              <w:t xml:space="preserve">kw</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5、排放标准：国Ⅵ,符合上牌标准</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6、▲轴距：≤</w:t>
            </w:r>
            <w:r>
              <w:rPr>
                <w:rFonts w:hint="eastAsia" w:ascii="宋体" w:hAnsi="宋体" w:eastAsia="宋体" w:cs="宋体"/>
                <w:color w:val="auto"/>
                <w:sz w:val="21"/>
                <w:szCs w:val="21"/>
                <w:highlight w:val="none"/>
                <w:lang w:val="en-US" w:eastAsia="zh-CN"/>
              </w:rPr>
              <w:t xml:space="preserve">4200</w:t>
            </w:r>
            <w:r>
              <w:rPr>
                <w:rFonts w:hint="eastAsia" w:ascii="宋体" w:hAnsi="宋体" w:eastAsia="宋体" w:cs="宋体"/>
                <w:color w:val="auto"/>
                <w:sz w:val="21"/>
                <w:szCs w:val="21"/>
                <w:highlight w:val="none"/>
                <w:lang w:eastAsia="zh-CN"/>
              </w:rPr>
              <w:t xml:space="preserve">mm</w:t>
            </w:r>
            <w:r>
              <w:rPr>
                <w:rFonts w:hint="eastAsia" w:ascii="宋体" w:hAnsi="宋体" w:cs="宋体"/>
                <w:color w:val="auto"/>
                <w:sz w:val="21"/>
                <w:szCs w:val="21"/>
                <w:highlight w:val="none"/>
                <w:lang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7、刹车形式：</w:t>
            </w:r>
            <w:r>
              <w:rPr>
                <w:rFonts w:hint="eastAsia" w:ascii="宋体" w:hAnsi="宋体" w:eastAsia="宋体" w:cs="宋体"/>
                <w:color w:val="auto"/>
                <w:sz w:val="21"/>
                <w:szCs w:val="21"/>
                <w:highlight w:val="none"/>
                <w:lang w:val="en-US" w:eastAsia="zh-CN"/>
              </w:rPr>
              <w:t xml:space="preserve">前轮盘式</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8、变速箱：手动变速箱</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9、带胎压监测装置、ABS、EBS、ESP</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驾驶室及乘员室</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1、▲结构：原装单排驾驶室+独立乘员室；驾驶室和乘员室</w:t>
            </w:r>
            <w:r>
              <w:rPr>
                <w:rFonts w:hint="eastAsia" w:ascii="宋体" w:hAnsi="宋体" w:eastAsia="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lang w:eastAsia="zh-CN"/>
              </w:rPr>
              <w:t xml:space="preserve">连通</w:t>
            </w:r>
            <w:r>
              <w:rPr>
                <w:rFonts w:hint="eastAsia" w:ascii="宋体" w:hAnsi="宋体" w:eastAsia="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lang w:eastAsia="zh-CN"/>
              </w:rPr>
              <w:t xml:space="preserve">，方便消防员交流；</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2、驾驶室座椅：1+1布置形式，即1个可调式驾驶员座椅，1个副驾座椅，座椅配备三点式安全带</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3、独立乘员室：乘员</w:t>
            </w:r>
            <w:r>
              <w:rPr>
                <w:rFonts w:hint="eastAsia" w:ascii="宋体" w:hAnsi="宋体" w:eastAsia="宋体" w:cs="宋体"/>
                <w:color w:val="auto"/>
                <w:sz w:val="21"/>
                <w:szCs w:val="21"/>
                <w:highlight w:val="none"/>
                <w:lang w:val="en-US" w:eastAsia="zh-CN"/>
              </w:rPr>
              <w:t xml:space="preserve">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人，后部座椅背后设有4具空气呼吸器架，座椅均配备安全带</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4、乘员室空调：直流整体式冷暖空调</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5、上装控制面板：正副驾驶之间安装上装控制开关，可控制车身照明，警灯等，可查看卷帘门状态等</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上装部分</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1、器材箱</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结构：采用板厚≥4mm高强度铝合金板材与型材螺栓连接或铆接形式；车辆采用内藏罐结构，箱罐分离，方便维护； </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器材箱门：器材箱门采用轻型优质铝合金卷帘门；</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泵房：泵房设置在车尾，配有主控液晶显示屏便于操作； </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车顶：车顶由铝合金板材制成，喷涂防滑漆，方便消防员在车顶行走。车顶左侧设置消防拉梯翻转架，可站在地面轻松取放消防拉梯；车顶右侧中部设置吸水管卡座，可以存放随车吸水管；</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内部结构：内部器材架能最大限度地提高空间利用率和可变性，器材箱内可按用户要求配置各类平拖板、旋转架、水带框等</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翻踏板</w:t>
            </w:r>
            <w:r>
              <w:rPr>
                <w:rFonts w:hint="eastAsia" w:ascii="宋体" w:hAnsi="宋体" w:eastAsia="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翻踏板</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eastAsia="zh-CN"/>
              </w:rPr>
              <w:t xml:space="preserve">位置：车身两侧下部（卷帘门下方），翻踏板打开后离地高度一致</w:t>
            </w:r>
            <w:r>
              <w:rPr>
                <w:rFonts w:hint="eastAsia" w:ascii="宋体" w:hAnsi="宋体" w:eastAsia="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eastAsia="zh-CN"/>
              </w:rPr>
              <w:t xml:space="preserve">材质：翻踏板面板采用高强度铝型材</w:t>
            </w:r>
            <w:r>
              <w:rPr>
                <w:rFonts w:hint="eastAsia" w:ascii="宋体" w:hAnsi="宋体" w:eastAsia="宋体" w:cs="宋体"/>
                <w:color w:val="auto"/>
                <w:sz w:val="21"/>
                <w:szCs w:val="21"/>
                <w:highlight w:val="none"/>
                <w:lang w:val="en-US" w:eastAsia="zh-CN"/>
              </w:rPr>
              <w:t xml:space="preserve">或更优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lang w:eastAsia="zh-CN"/>
              </w:rPr>
              <w:t xml:space="preserve">集成闪烁警示灯,面板喷涂防撞防滑胶</w:t>
            </w:r>
            <w:r>
              <w:rPr>
                <w:rFonts w:hint="eastAsia" w:ascii="宋体" w:hAnsi="宋体" w:eastAsia="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结构：采用气弹簧加卷帘门锁止结构，安全可靠；每个踏板承重≥</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50 kg</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后爬梯。</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lang w:eastAsia="zh-CN"/>
              </w:rPr>
              <w:t xml:space="preserve">爬梯</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.1位置：车身尾部右侧；</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eastAsia="zh-CN"/>
              </w:rPr>
              <w:t xml:space="preserve">材质：高强度铝合金；</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lang w:eastAsia="zh-CN"/>
              </w:rPr>
              <w:t xml:space="preserve">结构：下翻式结构，梯级带有防滑纹理，方便人员攀爬上下车顶。</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水泵</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▲额定压力/额定流量：≥1.0MPa/80L/s</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最大真空度：≥85kPa</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最大吸深：≥7m</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引水泵：电动真空引水泵</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引水时间：≤</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s</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压缩空气泡沫系统</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1、工作方式：全自动正压式</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2、空压机额定供气量：≥60L/s</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3、混合比例：0.1%-10%无级调节</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4、适合泡沫类型：A类、B类</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大流量B类泡沫比例混合器</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1、工作方式：负压环泵式</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2、混合比例：3%、6% </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3、适合泡沫类型：B类</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灭火管路系统</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1、吸水管路：不少于1个DN150水泵外吸口，装有DN150手动蝶阀，1个罐吸水管路，装有一只DN150气动蝶阀；</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2、出水管路：车身两侧各设有不少于2个DN80常压出水口；水泵至水罐有1个由DN65气动蝶阀控制的罐注水管路；有1个带有DN100气动蝶阀的炮管路；</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3、A类泡沫管路：车身两侧各设有不少于1个DN80压缩空气泡沫出口；不少于1个DN25 A类泡沫外吸口；</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4、B类泡沫管路：不少于1个DN50 B类泡沫外吸口，装有DN50手动球阀；1个罐吸B类泡沫管路，装有一只DN50球阀；</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5、放余水管路：在水泵最低处设有放余水装置，需要时可快速放净系统中的余水。</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消防水炮</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安装位置：车顶后部</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控制方式：无线遥控+面板控制+手动应急控制</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▲流量：≥6</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L/s</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射程：水射程≥7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m，B类泡沫≥</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水平回转角度：≥350°</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俯角：≤-</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°，仰角：≥+</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灭火罐</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类型：车辆配备水罐+A类泡沫罐+B类泡沫罐</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水罐容量：≥3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00L</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A类泡沫罐容量：≥200L</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B类泡沫罐容量：≥</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00L</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罐体材料：304不锈钢材料</w:t>
            </w:r>
            <w:r>
              <w:rPr>
                <w:rFonts w:hint="eastAsia" w:ascii="宋体" w:hAnsi="宋体" w:eastAsia="宋体" w:cs="宋体"/>
                <w:color w:val="auto"/>
                <w:sz w:val="21"/>
                <w:szCs w:val="21"/>
                <w:highlight w:val="none"/>
                <w:lang w:val="en-US" w:eastAsia="zh-CN"/>
              </w:rPr>
              <w:t xml:space="preserve">或优于</w:t>
            </w:r>
            <w:r>
              <w:rPr>
                <w:rFonts w:hint="eastAsia" w:ascii="宋体" w:hAnsi="宋体" w:eastAsia="宋体" w:cs="宋体"/>
                <w:color w:val="auto"/>
                <w:sz w:val="21"/>
                <w:szCs w:val="21"/>
                <w:highlight w:val="none"/>
              </w:rPr>
              <w:t xml:space="preserve">，底板≥4mm,侧板及隔板均≥3mm；灭火罐内部设有横向和纵向防荡板，能有效防止灭火罐在行车时因振荡导致变形或损坏</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水罐注水口：不少于2个DN80外注水口，位于车身两侧，每侧≥1个，注水口配备手动阀</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检查人孔：水罐设置一个直径450mm的人孔口，设置快速开启式人孔盖，设有弹簧，可实现自动泄压</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溢流装置：水罐和B类泡沫罐设置有溢流装置</w:t>
            </w:r>
            <w:r>
              <w:rPr>
                <w:rFonts w:hint="eastAsia" w:ascii="宋体" w:hAnsi="宋体" w:cs="宋体"/>
                <w:color w:val="auto"/>
                <w:sz w:val="21"/>
                <w:szCs w:val="21"/>
                <w:highlight w:val="none"/>
                <w:lang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排污口：水罐及泡沫罐各设有一个带阀门的排污口</w:t>
            </w:r>
            <w:r>
              <w:rPr>
                <w:rFonts w:hint="eastAsia" w:ascii="宋体" w:hAnsi="宋体" w:cs="宋体"/>
                <w:color w:val="auto"/>
                <w:sz w:val="21"/>
                <w:szCs w:val="21"/>
                <w:highlight w:val="none"/>
                <w:lang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泵室主控液晶屏</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1、显示屏尺寸：≥10英寸</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2、显示颜色：彩色</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3、▲主要功能：灭火系统一键出水、灭火系统一键出泡沫、灭火系统一键冲洗管路、灭火系统一键稳压、发动机油门加和减、消防炮控制及出炮、卷盘出水及出A类、B类泡沫、罐出水、罐注水、真空泵控制等</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4、可显示内容：发动机及水泵转速；发动机水温及机油压力；水罐液位及泡沫罐液位；水泵出口压力及真空度；系统单次工作时间及累计工作时间；泡沫比例、警告信息</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无线遥控器</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1、控制方式：总线控制</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2、控制距离：≥100m</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3、▲主要功能：发动机启停、油门加、减、消防炮无线遥控（俯仰、回转、直流、开花）、灭火系统一键出水、灭火系统一键出泡沫、灭火系统冲洗管路等</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4、可显示内容：发动机及水泵转速；水罐液位及泡沫液位；水泵出口压力；灭火系统工作状态</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液位显示装置</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显示</w:t>
            </w:r>
            <w:r>
              <w:rPr>
                <w:rFonts w:hint="eastAsia" w:ascii="宋体" w:hAnsi="宋体" w:eastAsia="宋体" w:cs="宋体"/>
                <w:color w:val="auto"/>
                <w:sz w:val="21"/>
                <w:szCs w:val="21"/>
                <w:highlight w:val="none"/>
                <w:lang w:val="en-US" w:eastAsia="zh-CN"/>
              </w:rPr>
              <w:t xml:space="preserve">装置</w:t>
            </w:r>
            <w:r>
              <w:rPr>
                <w:rFonts w:hint="default" w:ascii="宋体" w:hAnsi="宋体" w:eastAsia="宋体" w:cs="宋体"/>
                <w:color w:val="auto"/>
                <w:sz w:val="21"/>
                <w:szCs w:val="21"/>
                <w:highlight w:val="none"/>
                <w:lang w:val="en-US" w:eastAsia="zh-CN"/>
              </w:rPr>
              <w:t xml:space="preserve">类型：LED显示屏</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显示颜色：彩色</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显示内容：静态与动态实时显示罐内</w:t>
            </w:r>
            <w:r>
              <w:rPr>
                <w:rFonts w:hint="eastAsia" w:ascii="宋体" w:hAnsi="宋体" w:eastAsia="宋体" w:cs="宋体"/>
                <w:color w:val="auto"/>
                <w:sz w:val="21"/>
                <w:szCs w:val="21"/>
                <w:highlight w:val="none"/>
                <w:lang w:val="en-US" w:eastAsia="zh-CN"/>
              </w:rPr>
              <w:t xml:space="preserve">水、A类、B类</w:t>
            </w:r>
            <w:r>
              <w:rPr>
                <w:rFonts w:hint="default" w:ascii="宋体" w:hAnsi="宋体" w:eastAsia="宋体" w:cs="宋体"/>
                <w:color w:val="auto"/>
                <w:sz w:val="21"/>
                <w:szCs w:val="21"/>
                <w:highlight w:val="none"/>
                <w:lang w:val="en-US" w:eastAsia="zh-CN"/>
              </w:rPr>
              <w:t xml:space="preserve">液位</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升降照明系统</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1、发电机</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1.1额定输出功率：≥5kw</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1.2额定电压：220V</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1.3频率：50Hz</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1.4燃油：汽油</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2、升降照明系统</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1.1离地高度：≥8.5m</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1.2灯具类型：高亮LED</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1.3灯具功率：≥4×600W</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1.4灯具水平旋转角度：≥360°</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1.5俯角：≤-90°；仰角：≥215°</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1.6灯具电压：220V</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1.7照明寿命：≥80000小时</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1.8上升时间：≤60s</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1.9下降时间：≤120s</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1.10遥控类型：有线遥控+无线遥控</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1.11特点：带一键复位功能,一体化灯架，内走线</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牵引系统</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1、电压：24V</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2、额定拉力：≥50kN</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3、牵引绳长度：≥38m</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4、牵引绳直径：≥10mm</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5、安装部位：前保险杠处，前伸≤40mm</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副大梁</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1、结构特点：附加梁采用高强度优质合金钢通过折弯、焊接、装配而成，采用部件焊接+整体装配式结构。附加梁上安装有弹性支撑，与液罐采用柔性连接，能有效缓解行车中液罐和底盘的相互冲击。</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电气系统</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1、灭火控制系统：泵房内设置灭火控制系统，控制系统设有液晶显示屏、底盘控制按钮、泡沫比例混合器控制按钮以及各种气控阀控制按钮及指示灯等</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2、警灯及警报系统：驾驶室顶部安装有红色长排警灯, 车身两侧顶部各安装频闪警示灯，配置≥100W警报器及警灯警报控制系统</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器材箱内照明：器材箱卷帘门轨道内侧设置高亮度LED灯，保证取放器材时的箱内照明。在上装总电源打开的情况下卷帘门开启后自动照明，同时驾驶室内设有开关，白天可手动关闭以节省电量。同时在驾驶室内设有卷帘门未关闭指示灯，便于驾驶员掌握箱门开闭情况</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4、安全信号指示灯：车身两侧下部安装侧标志灯，后部安装示廓灯，车辆后部安装有原车尾灯；翻踏板前后安装有黄色警示灯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5、驾驶室内电气面板：驾驶室中控面板上设有上装电气控制区，分别设有上装电源总开关、箱外照明开关、箱内照明开关、卷帘门未关闭报警灯、自动充电装置未脱离报警灯等开关和指示灯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6、倒车影像系统：车辆加装360°全景影像系统，带行车记录及导航功能，驾驶室内设置≥9寸显示屏</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7、自动充电装置：车身左侧安装有自动充电装置，市电供电，发动机启动时自动脱离</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8、上装电气特点：所有上装电路为独立式附加线路，并设有过载、过流保护</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喷漆</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1、涂装类型：优质漆</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2、器材箱内部：喷涂防滑耐磨材料</w:t>
            </w:r>
            <w:r>
              <w:rPr>
                <w:rFonts w:hint="eastAsia" w:ascii="宋体" w:hAnsi="宋体" w:cs="宋体"/>
                <w:color w:val="auto"/>
                <w:sz w:val="21"/>
                <w:szCs w:val="21"/>
                <w:highlight w:val="none"/>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随车文件</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1、底盘使用说明书</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2、底盘合格证</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3、发动机号码拓印件</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4、底盘号码拓印件</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5、消防车使用说明书</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6、消防车合格证</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7、消防车交接清单</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8、随车器材清单（以上均为中文）</w:t>
            </w:r>
            <w:r>
              <w:rPr>
                <w:rFonts w:hint="eastAsia" w:ascii="宋体" w:hAnsi="宋体" w:cs="宋体"/>
                <w:color w:val="auto"/>
                <w:sz w:val="21"/>
                <w:szCs w:val="21"/>
                <w:highlight w:val="none"/>
                <w:lang w:val="en-US" w:eastAsia="zh-CN"/>
              </w:rPr>
              <w:t xml:space="preserve">。</w:t>
            </w:r>
            <w:r/>
          </w:p>
        </w:tc>
      </w:tr>
      <w:tr>
        <w:trPr>
          <w:jc w:val="center"/>
          <w:trHeight w:val="987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随车器材清单</w:t>
            </w:r>
            <w:r/>
          </w:p>
        </w:tc>
        <w:tc>
          <w:tcPr>
            <w:tcBorders>
              <w:top w:val="single" w:color="auto" w:sz="4" w:space="0"/>
              <w:left w:val="none" w:color="000000" w:sz="4" w:space="0"/>
              <w:bottom w:val="single" w:color="auto" w:sz="4" w:space="0"/>
              <w:right w:val="single" w:color="auto" w:sz="4" w:space="0"/>
            </w:tcBorders>
            <w:tcW w:w="4001" w:type="pct"/>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随车器材</w:t>
            </w:r>
            <w:r>
              <w:rPr>
                <w:rFonts w:hint="eastAsia" w:ascii="宋体" w:hAnsi="宋体" w:cs="宋体"/>
                <w:color w:val="auto"/>
                <w:sz w:val="21"/>
                <w:szCs w:val="21"/>
                <w:highlight w:val="none"/>
                <w:lang w:val="en-US" w:eastAsia="zh-CN"/>
              </w:rPr>
              <w:t xml:space="preserve">：</w:t>
            </w:r>
            <w:r/>
          </w:p>
          <w:tbl>
            <w:tblPr>
              <w:tblStyle w:val="934"/>
              <w:tblW w:w="6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403"/>
              <w:gridCol w:w="3282"/>
              <w:gridCol w:w="689"/>
              <w:gridCol w:w="811"/>
            </w:tblGrid>
            <w:tr>
              <w:trPr>
                <w:trHeight w:val="23"/>
              </w:trPr>
              <w:tc>
                <w:tcPr>
                  <w:shd w:val="clear" w:color="auto" w:fill="auto"/>
                  <w:tcW w:w="651" w:type="dxa"/>
                  <w:vAlign w:val="center"/>
                  <w:textDirection w:val="lrTb"/>
                  <w:noWrap w:val="false"/>
                </w:tcPr>
                <w:p>
                  <w:pPr>
                    <w:jc w:val="left"/>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序号</w:t>
                  </w:r>
                  <w:r/>
                </w:p>
              </w:tc>
              <w:tc>
                <w:tcPr>
                  <w:shd w:val="clear" w:color="auto" w:fill="auto"/>
                  <w:tcW w:w="1403"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名称</w:t>
                  </w:r>
                  <w:r/>
                </w:p>
              </w:tc>
              <w:tc>
                <w:tcPr>
                  <w:shd w:val="clear" w:color="auto" w:fill="auto"/>
                  <w:tcW w:w="3282"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规格</w:t>
                  </w:r>
                  <w:r/>
                </w:p>
              </w:tc>
              <w:tc>
                <w:tcPr>
                  <w:shd w:val="clear" w:color="auto" w:fill="auto"/>
                  <w:tcW w:w="689"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单位</w:t>
                  </w:r>
                  <w:r/>
                </w:p>
              </w:tc>
              <w:tc>
                <w:tcPr>
                  <w:shd w:val="clear" w:color="auto" w:fill="auto"/>
                  <w:tcW w:w="811" w:type="dxa"/>
                  <w:vAlign w:val="center"/>
                  <w:textDirection w:val="lrTb"/>
                  <w:noWrap w:val="false"/>
                </w:tcPr>
                <w:p>
                  <w:pPr>
                    <w:jc w:val="center"/>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数量</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消防水带16型</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DN80mm×20m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盘</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消防水带16型</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DN65mm×20m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盘</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吸水管</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DN150×2000mm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外吸液管</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DN50×2m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外吸液管</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DN25×2m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滤水器</w:t>
                  </w:r>
                  <w:r/>
                </w:p>
              </w:tc>
              <w:tc>
                <w:tcPr>
                  <w:shd w:val="clear" w:color="auto" w:fill="auto"/>
                  <w:tcW w:w="3282" w:type="dxa"/>
                  <w:vAlign w:val="top"/>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DN</w:t>
                  </w:r>
                  <w:r>
                    <w:rPr>
                      <w:rFonts w:hint="eastAsia" w:ascii="宋体" w:hAnsi="宋体" w:eastAsia="宋体" w:cs="宋体"/>
                      <w:color w:val="auto"/>
                      <w:sz w:val="21"/>
                      <w:szCs w:val="21"/>
                      <w:highlight w:val="none"/>
                    </w:rPr>
                    <w:t xml:space="preserve">150</w:t>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件</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分水器</w:t>
                  </w:r>
                  <w:r/>
                </w:p>
              </w:tc>
              <w:tc>
                <w:tcPr>
                  <w:shd w:val="clear" w:color="auto" w:fill="auto"/>
                  <w:tcW w:w="3282" w:type="dxa"/>
                  <w:vAlign w:val="top"/>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FⅢ80/65×3-1.6</w:t>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件</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集水器</w:t>
                  </w:r>
                  <w:r/>
                </w:p>
              </w:tc>
              <w:tc>
                <w:tcPr>
                  <w:shd w:val="clear" w:color="auto" w:fill="auto"/>
                  <w:tcW w:w="3282" w:type="dxa"/>
                  <w:vAlign w:val="top"/>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JⅡ150/80×2-1.6</w:t>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件</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吸水管扳手</w:t>
                  </w:r>
                  <w:r/>
                </w:p>
              </w:tc>
              <w:tc>
                <w:tcPr>
                  <w:shd w:val="clear" w:color="auto" w:fill="auto"/>
                  <w:tcW w:w="3282"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KD</w:t>
                  </w:r>
                  <w:r>
                    <w:rPr>
                      <w:rFonts w:hint="eastAsia" w:ascii="宋体" w:hAnsi="宋体" w:eastAsia="宋体" w:cs="宋体"/>
                      <w:color w:val="auto"/>
                      <w:sz w:val="21"/>
                      <w:szCs w:val="21"/>
                      <w:highlight w:val="none"/>
                    </w:rPr>
                    <w:t xml:space="preserve">150</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件</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外吸液管扳手</w:t>
                  </w:r>
                  <w:r/>
                </w:p>
              </w:tc>
              <w:tc>
                <w:tcPr>
                  <w:shd w:val="clear" w:color="auto" w:fill="auto"/>
                  <w:tcW w:w="3282" w:type="dxa"/>
                  <w:vAlign w:val="top"/>
                  <w:textDirection w:val="lrTb"/>
                  <w:noWrap w:val="false"/>
                </w:tcPr>
                <w:p>
                  <w:pPr>
                    <w:jc w:val="left"/>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KD</w:t>
                  </w:r>
                  <w:r>
                    <w:rPr>
                      <w:rFonts w:hint="eastAsia" w:ascii="宋体" w:hAnsi="宋体" w:eastAsia="宋体" w:cs="宋体"/>
                      <w:color w:val="auto"/>
                      <w:sz w:val="21"/>
                      <w:szCs w:val="21"/>
                      <w:highlight w:val="none"/>
                    </w:rPr>
                    <w:t xml:space="preserve">50</w:t>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支</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地上消防栓扳手</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地下消防栓扳手</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多功能水枪</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支</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空气泡沫枪</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A类泡沫专用枪</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消火栓接口</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Φ150mm/100mm</w:t>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异径接口</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异型接口</w:t>
                  </w:r>
                  <w:r/>
                </w:p>
              </w:tc>
              <w:tc>
                <w:tcPr>
                  <w:shd w:val="clear" w:color="auto" w:fill="auto"/>
                  <w:tcW w:w="3282"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水带挂钩</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水带包布</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水带护桥</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消防斧</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把</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消防锹</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把</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p>
              </w:tc>
              <w:tc>
                <w:tcPr>
                  <w:shd w:val="clear" w:color="auto" w:fill="auto"/>
                  <w:tcW w:w="1403" w:type="dxa"/>
                  <w:vAlign w:val="top"/>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干粉灭火器</w:t>
                  </w:r>
                  <w:r/>
                </w:p>
              </w:tc>
              <w:tc>
                <w:tcPr>
                  <w:shd w:val="clear" w:color="auto" w:fill="auto"/>
                  <w:tcW w:w="3282"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w:t>
                  </w:r>
                  <w:r/>
                </w:p>
              </w:tc>
              <w:tc>
                <w:tcPr>
                  <w:shd w:val="clear" w:color="auto" w:fill="auto"/>
                  <w:tcW w:w="811" w:type="dxa"/>
                  <w:vAlign w:val="top"/>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23"/>
              </w:trPr>
              <w:tc>
                <w:tcPr>
                  <w:shd w:val="clear" w:color="auto" w:fill="auto"/>
                  <w:tcW w:w="651" w:type="dxa"/>
                  <w:vAlign w:val="center"/>
                  <w:textDirection w:val="lrTb"/>
                  <w:noWrap w:val="false"/>
                </w:tcPr>
                <w:p>
                  <w:pPr>
                    <w:jc w:val="center"/>
                    <w:spacing w:after="0"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shd w:val="clear" w:color="auto" w:fill="auto"/>
                  <w:tcW w:w="1403" w:type="dxa"/>
                  <w:vAlign w:val="center"/>
                  <w:textDirection w:val="lrTb"/>
                  <w:noWrap w:val="false"/>
                </w:tcPr>
                <w:p>
                  <w:pP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底盘工具及附件</w:t>
                  </w:r>
                  <w:r/>
                </w:p>
              </w:tc>
              <w:tc>
                <w:tcPr>
                  <w:shd w:val="clear" w:color="auto" w:fill="auto"/>
                  <w:tcW w:w="3282" w:type="dxa"/>
                  <w:vAlign w:val="center"/>
                  <w:textDirection w:val="lrTb"/>
                  <w:noWrap w:val="false"/>
                </w:tcPr>
                <w:p>
                  <w:pP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8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W w:w="811"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0"/>
        <w:keepLines w:val="0"/>
        <w:keepNext w:val="0"/>
        <w:pageBreakBefore w:val="0"/>
        <w:spacing w:line="360" w:lineRule="auto"/>
        <w:widowControl/>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注：1、</w:t>
      </w:r>
      <w:r>
        <w:rPr>
          <w:rFonts w:hint="eastAsia" w:ascii="宋体" w:hAnsi="宋体" w:eastAsia="宋体" w:cs="宋体"/>
          <w:b/>
          <w:bCs/>
          <w:sz w:val="21"/>
          <w:szCs w:val="21"/>
          <w:highlight w:val="none"/>
          <w:lang w:val="zh-CN" w:eastAsia="zh-CN"/>
        </w:rPr>
        <w:t xml:space="preserve">上述所有技术参数中涉及的型号仅为参考型号，投标人可以投其他型号，但所投产品的功能及技术参数应等于或高于参考型号的要求。</w:t>
      </w:r>
      <w:r/>
    </w:p>
    <w:p>
      <w:pPr>
        <w:ind w:firstLine="420"/>
        <w:keepLines w:val="0"/>
        <w:keepNext w:val="0"/>
        <w:pageBreakBefore w:val="0"/>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2、以上技术要求中加“★”条款为必须满足项，否则为无效投标。</w:t>
      </w:r>
      <w:r/>
    </w:p>
    <w:p>
      <w:pPr>
        <w:ind w:firstLine="422"/>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w:t>
      </w:r>
      <w:r>
        <w:rPr>
          <w:rFonts w:hint="eastAsia" w:ascii="宋体" w:hAnsi="宋体" w:eastAsia="宋体" w:cs="宋体"/>
          <w:b/>
          <w:bCs/>
          <w:sz w:val="21"/>
          <w:szCs w:val="21"/>
          <w:highlight w:val="none"/>
        </w:rPr>
        <w:t xml:space="preserve">交货期：</w:t>
      </w:r>
      <w:r>
        <w:rPr>
          <w:rFonts w:hint="eastAsia" w:ascii="宋体" w:hAnsi="宋体" w:cs="宋体"/>
          <w:sz w:val="21"/>
          <w:szCs w:val="21"/>
          <w:highlight w:val="none"/>
          <w:lang w:eastAsia="zh-CN"/>
        </w:rPr>
        <w:t xml:space="preserve">自合同签订生效后10个月内完成全部采购内容的供货安装调试并交付正常使用；整车质保2年，免费保修期为自货物验收合格之日起计算</w:t>
      </w:r>
      <w:r>
        <w:rPr>
          <w:rFonts w:hint="eastAsia" w:ascii="宋体" w:hAnsi="宋体" w:eastAsia="宋体" w:cs="宋体"/>
          <w:sz w:val="21"/>
          <w:szCs w:val="21"/>
          <w:highlight w:val="none"/>
        </w:rPr>
        <w:t xml:space="preserve">。</w:t>
      </w:r>
      <w:r/>
    </w:p>
    <w:p>
      <w:pPr>
        <w:ind w:firstLine="422"/>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lang w:eastAsia="zh-CN"/>
        </w:rPr>
        <w:t xml:space="preserve">）交货地点：</w:t>
      </w:r>
      <w:r>
        <w:rPr>
          <w:rFonts w:hint="eastAsia" w:ascii="宋体" w:hAnsi="宋体" w:eastAsia="宋体" w:cs="宋体"/>
          <w:sz w:val="21"/>
          <w:szCs w:val="21"/>
          <w:highlight w:val="none"/>
          <w:lang w:val="en-US" w:eastAsia="zh-CN"/>
        </w:rPr>
        <w:t xml:space="preserve">采购人指定地点</w:t>
      </w:r>
      <w:r>
        <w:rPr>
          <w:rFonts w:hint="eastAsia" w:ascii="宋体" w:hAnsi="宋体" w:eastAsia="宋体" w:cs="宋体"/>
          <w:sz w:val="21"/>
          <w:szCs w:val="21"/>
          <w:highlight w:val="none"/>
        </w:rPr>
        <w:t xml:space="preserve">。</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投标货物要求及相关说明</w:t>
      </w:r>
      <w:r>
        <w:rPr>
          <w:rFonts w:hint="eastAsia" w:ascii="宋体" w:hAnsi="宋体" w:eastAsia="宋体" w:cs="宋体"/>
          <w:b/>
          <w:bCs/>
          <w:sz w:val="21"/>
          <w:szCs w:val="21"/>
          <w:highlight w:val="none"/>
        </w:rPr>
        <w:t xml:space="preserve">：</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（一）</w:t>
      </w:r>
      <w:r>
        <w:rPr>
          <w:rStyle w:val="1250"/>
          <w:rFonts w:ascii="宋体" w:hAnsi="宋体"/>
          <w:szCs w:val="21"/>
          <w:highlight w:val="none"/>
        </w:rPr>
        <w:t xml:space="preserve">技术要求</w:t>
      </w:r>
      <w:r/>
    </w:p>
    <w:p>
      <w:pPr>
        <w:ind w:firstLine="420"/>
        <w:spacing w:line="360" w:lineRule="auto"/>
        <w:rPr>
          <w:rStyle w:val="1250"/>
          <w:rFonts w:ascii="宋体" w:hAnsi="宋体"/>
          <w:szCs w:val="21"/>
          <w:highlight w:val="none"/>
        </w:rPr>
      </w:pPr>
      <w:r>
        <w:rPr>
          <w:rStyle w:val="1250"/>
          <w:rFonts w:ascii="宋体" w:hAnsi="宋体"/>
          <w:szCs w:val="21"/>
          <w:highlight w:val="none"/>
        </w:rPr>
        <w:t xml:space="preserve">1.所有合同附件及本项目的招投标文件、中标通知书、协议等均为本合同不可分割之部分。解释的顺序除特别说明外，以文件生效时间在后的为准。</w:t>
      </w:r>
      <w:r/>
    </w:p>
    <w:p>
      <w:pPr>
        <w:ind w:firstLine="420"/>
        <w:spacing w:line="360" w:lineRule="auto"/>
        <w:rPr>
          <w:rStyle w:val="1250"/>
          <w:rFonts w:ascii="宋体" w:hAnsi="宋体"/>
          <w:szCs w:val="21"/>
          <w:highlight w:val="none"/>
        </w:rPr>
      </w:pPr>
      <w:r>
        <w:rPr>
          <w:rStyle w:val="1250"/>
          <w:rFonts w:ascii="宋体" w:hAnsi="宋体"/>
          <w:szCs w:val="21"/>
          <w:highlight w:val="none"/>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rPr>
          <w:rStyle w:val="1250"/>
          <w:rFonts w:ascii="宋体" w:hAnsi="宋体"/>
          <w:szCs w:val="21"/>
          <w:highlight w:val="none"/>
        </w:rPr>
      </w:pPr>
      <w:r>
        <w:rPr>
          <w:rStyle w:val="1250"/>
          <w:rFonts w:ascii="宋体" w:hAnsi="宋体"/>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w:t>
      </w:r>
      <w:r>
        <w:rPr>
          <w:rStyle w:val="1250"/>
          <w:rFonts w:hint="eastAsia" w:ascii="宋体" w:hAnsi="宋体"/>
          <w:szCs w:val="21"/>
          <w:highlight w:val="none"/>
          <w:lang w:val="en-US"/>
        </w:rPr>
        <w:t xml:space="preserve">人</w:t>
      </w:r>
      <w:r>
        <w:rPr>
          <w:rStyle w:val="1250"/>
          <w:rFonts w:ascii="宋体" w:hAnsi="宋体"/>
          <w:szCs w:val="21"/>
          <w:highlight w:val="none"/>
        </w:rPr>
        <w:t xml:space="preserve">承担；货物不符合质量标准的，鉴定费用由卖方承担，并且采购方有权追究卖方的责任。</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（二）</w:t>
      </w:r>
      <w:r>
        <w:rPr>
          <w:rStyle w:val="1250"/>
          <w:rFonts w:ascii="宋体" w:hAnsi="宋体"/>
          <w:szCs w:val="21"/>
          <w:highlight w:val="none"/>
        </w:rPr>
        <w:t xml:space="preserve">随车配件</w:t>
      </w:r>
      <w:r/>
    </w:p>
    <w:p>
      <w:pPr>
        <w:ind w:firstLine="420"/>
        <w:spacing w:line="360" w:lineRule="auto"/>
        <w:rPr>
          <w:rStyle w:val="1250"/>
          <w:rFonts w:ascii="宋体" w:hAnsi="宋体"/>
          <w:szCs w:val="21"/>
          <w:highlight w:val="none"/>
        </w:rPr>
      </w:pPr>
      <w:r>
        <w:rPr>
          <w:rStyle w:val="1250"/>
          <w:rFonts w:ascii="宋体" w:hAnsi="宋体"/>
          <w:szCs w:val="21"/>
          <w:highlight w:val="none"/>
        </w:rPr>
        <w:t xml:space="preserve">随货免费提供底盘和上装部分及随货器材使用、保养、维修用的其它必须配件、必备工具。</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（三）</w:t>
      </w:r>
      <w:r>
        <w:rPr>
          <w:rStyle w:val="1250"/>
          <w:rFonts w:ascii="宋体" w:hAnsi="宋体"/>
          <w:szCs w:val="21"/>
          <w:highlight w:val="none"/>
        </w:rPr>
        <w:t xml:space="preserve">随</w:t>
      </w:r>
      <w:r>
        <w:rPr>
          <w:rStyle w:val="1250"/>
          <w:rFonts w:hint="eastAsia" w:ascii="宋体" w:hAnsi="宋体"/>
          <w:szCs w:val="21"/>
          <w:highlight w:val="none"/>
        </w:rPr>
        <w:t xml:space="preserve">车资料</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1.底盘使用说明书</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2.底盘质量保修卡</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3.底盘合格证</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4.发动机号码拓印</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5.底盘号码拓印件</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6.消防车使用说明书</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7.消防车消防器材清单</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8.消防车合格证</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9.消防车跟踪服务卡</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10.消防车交接清单</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11.其他应附资料</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（四）</w:t>
      </w:r>
      <w:r>
        <w:rPr>
          <w:rStyle w:val="1250"/>
          <w:rFonts w:ascii="宋体" w:hAnsi="宋体"/>
          <w:szCs w:val="21"/>
          <w:highlight w:val="none"/>
        </w:rPr>
        <w:t xml:space="preserve">车上阀门、开关、按钮等指示、标牌应标志中文。</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（五）</w:t>
      </w:r>
      <w:r>
        <w:rPr>
          <w:rStyle w:val="1250"/>
          <w:rFonts w:ascii="宋体" w:hAnsi="宋体"/>
          <w:szCs w:val="21"/>
          <w:highlight w:val="none"/>
        </w:rPr>
        <w:t xml:space="preserve">交接、培训、保修期、售后服务</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w:t>
      </w:r>
      <w:r>
        <w:rPr>
          <w:rStyle w:val="1250"/>
          <w:rFonts w:ascii="宋体" w:hAnsi="宋体"/>
          <w:szCs w:val="21"/>
          <w:highlight w:val="none"/>
        </w:rPr>
        <w:t xml:space="preserve">交接清单（英文或原文、与原文相对应的中文翻译件）,货物交货地点统一由甲方指定目的地。</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w:t>
      </w:r>
      <w:r>
        <w:rPr>
          <w:rStyle w:val="1250"/>
          <w:rFonts w:ascii="宋体" w:hAnsi="宋体"/>
          <w:szCs w:val="21"/>
          <w:highlight w:val="none"/>
        </w:rPr>
        <w:t xml:space="preserve">培训计划（中文版）：提供培训计划，培训时间为货到后不得超过15个工作日，培训用的文字和影视资料，影视资料需包含产品介绍、操作使用、维护保养、常见故障判断等内容。</w:t>
      </w:r>
      <w:r/>
    </w:p>
    <w:p>
      <w:pPr>
        <w:ind w:firstLine="420"/>
        <w:spacing w:line="360" w:lineRule="auto"/>
        <w:rPr>
          <w:rStyle w:val="1250"/>
          <w:rFonts w:ascii="宋体" w:hAnsi="宋体"/>
          <w:bCs/>
          <w:szCs w:val="21"/>
          <w:highlight w:val="none"/>
        </w:rPr>
      </w:pPr>
      <w:r>
        <w:rPr>
          <w:rStyle w:val="1250"/>
          <w:rFonts w:hint="eastAsia" w:ascii="宋体" w:hAnsi="宋体"/>
          <w:bCs/>
          <w:szCs w:val="21"/>
          <w:highlight w:val="none"/>
        </w:rPr>
        <w:t xml:space="preserve">3.</w:t>
      </w:r>
      <w:r>
        <w:rPr>
          <w:rStyle w:val="1250"/>
          <w:rFonts w:ascii="宋体" w:hAnsi="宋体"/>
          <w:bCs/>
          <w:szCs w:val="21"/>
          <w:highlight w:val="none"/>
        </w:rPr>
        <w:t xml:space="preserve">保修期：要求整车质保</w:t>
      </w:r>
      <w:r>
        <w:rPr>
          <w:rStyle w:val="1250"/>
          <w:rFonts w:hint="eastAsia" w:ascii="宋体" w:hAnsi="宋体"/>
          <w:bCs/>
          <w:szCs w:val="21"/>
          <w:highlight w:val="none"/>
        </w:rPr>
        <w:t xml:space="preserve">2</w:t>
      </w:r>
      <w:r>
        <w:rPr>
          <w:rStyle w:val="1250"/>
          <w:rFonts w:ascii="宋体" w:hAnsi="宋体"/>
          <w:bCs/>
          <w:szCs w:val="21"/>
          <w:highlight w:val="none"/>
        </w:rPr>
        <w:t xml:space="preserve">年</w:t>
      </w:r>
      <w:r>
        <w:rPr>
          <w:rStyle w:val="1250"/>
          <w:rFonts w:hint="eastAsia" w:ascii="宋体" w:hAnsi="宋体"/>
          <w:bCs/>
          <w:szCs w:val="21"/>
          <w:highlight w:val="none"/>
        </w:rPr>
        <w:t xml:space="preserve">（招标文件具体技术要求另有说明的除外）</w:t>
      </w:r>
      <w:r>
        <w:rPr>
          <w:rStyle w:val="1250"/>
          <w:rFonts w:ascii="宋体" w:hAnsi="宋体"/>
          <w:bCs/>
          <w:szCs w:val="21"/>
          <w:highlight w:val="none"/>
        </w:rPr>
        <w:t xml:space="preserve">，免费保修期为自货物交验后计算，产生设备的损坏和故障，由供应商负责免费更换或维修。</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4.</w:t>
      </w:r>
      <w:r>
        <w:rPr>
          <w:rStyle w:val="1250"/>
          <w:rFonts w:ascii="宋体" w:hAnsi="宋体"/>
          <w:szCs w:val="21"/>
          <w:highlight w:val="none"/>
        </w:rPr>
        <w:t xml:space="preserve">售后服务，投标单位需保证7*24小时售后服务热线开通，在接到采购单位报修电话以后，保证48小时内到达现场。</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（六）</w:t>
      </w:r>
      <w:r>
        <w:rPr>
          <w:rStyle w:val="1250"/>
          <w:rFonts w:ascii="宋体" w:hAnsi="宋体"/>
          <w:szCs w:val="21"/>
          <w:highlight w:val="none"/>
        </w:rPr>
        <w:t xml:space="preserve">其它</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w:t>
      </w:r>
      <w:r>
        <w:rPr>
          <w:rStyle w:val="1250"/>
          <w:rFonts w:ascii="宋体" w:hAnsi="宋体"/>
          <w:szCs w:val="21"/>
          <w:highlight w:val="none"/>
        </w:rPr>
        <w:t xml:space="preserve">凡涉及使用气瓶、电源、水带的接口必须与江苏省公安消防总队现有各类接口配套。</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w:t>
      </w:r>
      <w:r>
        <w:rPr>
          <w:rStyle w:val="1250"/>
          <w:rFonts w:ascii="宋体" w:hAnsi="宋体"/>
          <w:szCs w:val="21"/>
          <w:highlight w:val="none"/>
        </w:rPr>
        <w:t xml:space="preserve">整车所有设备应符合相互配套使用的要求</w:t>
      </w:r>
      <w:r>
        <w:rPr>
          <w:rStyle w:val="1250"/>
          <w:rFonts w:hint="eastAsia" w:ascii="宋体" w:hAnsi="宋体"/>
          <w:szCs w:val="21"/>
          <w:highlight w:val="none"/>
        </w:rPr>
        <w:t xml:space="preserve">。</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（七）验收要求</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1.到货验收</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1.5 有关货物外观、规格、数量或重量的检验不应视为最终检验。</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2.最终验收</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2.1 货物安装调试结束后，中标人应以书面方式及时通知采购人对项目进行最终验收，验收合格的，由采购人、中标人双方签署验收单并加盖单位公章。</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Style w:val="1250"/>
          <w:rFonts w:ascii="宋体" w:hAnsi="宋体"/>
          <w:szCs w:val="21"/>
          <w:highlight w:val="none"/>
        </w:rPr>
      </w:pPr>
      <w:r>
        <w:rPr>
          <w:rStyle w:val="1250"/>
          <w:rFonts w:hint="eastAsia" w:ascii="宋体" w:hAnsi="宋体"/>
          <w:szCs w:val="21"/>
          <w:highlight w:val="none"/>
        </w:rPr>
        <w:t xml:space="preserve">2.4 验收标准应遵循国家相关标准、行业通行标准、厂方出厂标准、采购文件要求和中标人承诺、采购人要求等。</w:t>
      </w:r>
      <w:r/>
    </w:p>
    <w:p>
      <w:pPr>
        <w:ind w:firstLine="420"/>
        <w:keepLines w:val="0"/>
        <w:keepNext w:val="0"/>
        <w:pageBreakBefore w:val="0"/>
        <w:spacing w:line="360" w:lineRule="auto"/>
        <w:widowControl/>
        <w:rPr>
          <w:rFonts w:hint="eastAsia" w:ascii="宋体" w:hAnsi="宋体" w:eastAsia="宋体" w:cs="宋体"/>
          <w:sz w:val="21"/>
          <w:szCs w:val="21"/>
          <w:highlight w:val="none"/>
          <w:lang w:val="en-US" w:eastAsia="zh-CN"/>
        </w:rPr>
      </w:pPr>
      <w:r>
        <w:rPr>
          <w:rStyle w:val="1250"/>
          <w:rFonts w:hint="eastAsia" w:ascii="宋体" w:hAnsi="宋体"/>
          <w:szCs w:val="21"/>
          <w:highlight w:val="none"/>
        </w:rPr>
        <w:t xml:space="preserve">2.5 采购人有权要求中标人提供采购原材料或货物的采购合同、票据或付款凭证，以核实中标人供货来源的真实性</w:t>
      </w:r>
      <w:r>
        <w:rPr>
          <w:rFonts w:hint="eastAsia" w:ascii="宋体" w:hAnsi="宋体" w:eastAsia="宋体" w:cs="宋体"/>
          <w:sz w:val="21"/>
          <w:szCs w:val="21"/>
          <w:highlight w:val="none"/>
          <w:lang w:eastAsia="zh-CN"/>
        </w:rPr>
        <w:t xml:space="preserve">。</w:t>
      </w:r>
      <w:r/>
    </w:p>
    <w:p>
      <w:pPr>
        <w:ind w:firstLine="422"/>
        <w:spacing w:line="400" w:lineRule="exact"/>
        <w:rPr>
          <w:rFonts w:hint="eastAsia" w:ascii="宋体" w:hAnsi="宋体" w:cs="宋体"/>
          <w:b/>
          <w:bCs/>
          <w:color w:val="000000"/>
          <w:sz w:val="21"/>
          <w:szCs w:val="21"/>
          <w:highlight w:val="none"/>
        </w:rPr>
        <w:outlineLvl w:val="0"/>
      </w:pPr>
      <w:r/>
      <w:bookmarkStart w:id="58" w:name="_Toc48639222"/>
      <w:r/>
      <w:bookmarkStart w:id="59" w:name="_Toc48639351"/>
      <w:r>
        <w:rPr>
          <w:rFonts w:hint="eastAsia" w:ascii="宋体" w:hAnsi="宋体" w:cs="宋体"/>
          <w:b/>
          <w:bCs/>
          <w:color w:val="000000"/>
          <w:sz w:val="21"/>
          <w:szCs w:val="21"/>
          <w:highlight w:val="none"/>
          <w:lang w:val="en-US" w:eastAsia="zh-CN"/>
        </w:rPr>
        <w:t xml:space="preserve">六</w:t>
      </w:r>
      <w:r>
        <w:rPr>
          <w:rFonts w:hint="eastAsia" w:ascii="宋体" w:hAnsi="宋体" w:cs="宋体"/>
          <w:b/>
          <w:bCs/>
          <w:color w:val="000000"/>
          <w:sz w:val="21"/>
          <w:szCs w:val="21"/>
          <w:highlight w:val="none"/>
        </w:rPr>
        <w:t xml:space="preserve">、综合说明及其它要求：</w:t>
      </w:r>
      <w:bookmarkEnd w:id="58"/>
      <w:r/>
      <w:bookmarkEnd w:id="59"/>
      <w:r/>
      <w:r/>
    </w:p>
    <w:p>
      <w:pPr>
        <w:ind w:firstLine="420"/>
        <w:spacing w:line="4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、本次招标不接受整车进口</w:t>
      </w:r>
      <w:r>
        <w:rPr>
          <w:rFonts w:hint="eastAsia" w:ascii="宋体" w:hAnsi="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的投标。在本招标文件中所涉及品牌、型号供参考，但所投产品不得低于招标要求。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3、投标总报价一次</w:t>
      </w:r>
      <w:r>
        <w:rPr>
          <w:rFonts w:hint="eastAsia" w:ascii="宋体" w:hAnsi="宋体" w:eastAsia="宋体" w:cs="宋体"/>
          <w:color w:val="000000"/>
          <w:sz w:val="21"/>
          <w:szCs w:val="21"/>
          <w:highlight w:val="none"/>
          <w:lang w:eastAsia="zh-CN"/>
        </w:rPr>
        <w:t xml:space="preserve">报定，包括所有货物（含附属配套设施设备、器材）和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知识产权：供方应保证需方免除且供方承担由于需方在其本国使用该设备或设备任何一部分时而引起第三方提出的侵犯专利权、商标权或工业设计权的起诉、行动、行政程序索赔、请求等以及需方为此而产生的损失和损害、费用和支出（包括律师费）。</w:t>
      </w:r>
      <w:r/>
    </w:p>
    <w:p>
      <w:p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、本次招标不接受</w:t>
      </w:r>
      <w:r>
        <w:rPr>
          <w:rFonts w:hint="eastAsia" w:ascii="宋体" w:hAnsi="宋体" w:cs="宋体"/>
          <w:color w:val="000000"/>
          <w:sz w:val="21"/>
          <w:szCs w:val="21"/>
          <w:highlight w:val="none"/>
          <w:lang w:val="en-US" w:eastAsia="zh-CN"/>
        </w:rPr>
        <w:t xml:space="preserve">整车进口产品</w:t>
      </w:r>
      <w:r>
        <w:rPr>
          <w:rFonts w:hint="eastAsia" w:ascii="宋体" w:hAnsi="宋体" w:cs="宋体"/>
          <w:color w:val="000000"/>
          <w:sz w:val="21"/>
          <w:szCs w:val="21"/>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绿色采购</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rPr>
          <w:rFonts w:hint="eastAsia" w:ascii="宋体" w:hAnsi="宋体" w:eastAsia="宋体" w:cs="宋体"/>
          <w:b w:val="0"/>
          <w:bCs w:val="0"/>
          <w:color w:val="000000"/>
          <w:sz w:val="21"/>
          <w:szCs w:val="21"/>
          <w:highlight w:val="none"/>
        </w:rPr>
        <w:t xml:space="preserve">综合评分相同且报价相同的前提下，以提供节能、环保产品认证证书多的供应商为中标供应商。</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、凡涉及招标文件的补充说明和修改，均以招标代理机构发布的通知为准。</w:t>
      </w:r>
      <w:r/>
    </w:p>
    <w:p>
      <w:pPr>
        <w:pStyle w:val="1087"/>
        <w:jc w:val="center"/>
        <w:spacing w:after="240"/>
        <w:rPr>
          <w:rFonts w:hint="eastAsia"/>
          <w:color w:val="000000"/>
          <w:highlight w:val="none"/>
        </w:rPr>
      </w:pPr>
      <w:r>
        <w:rPr>
          <w:rFonts w:hint="eastAsia"/>
          <w:color w:val="000000"/>
          <w:sz w:val="21"/>
          <w:szCs w:val="21"/>
          <w:highlight w:val="none"/>
        </w:rPr>
        <w:br w:type="page" w:clear="all"/>
      </w:r>
      <w:bookmarkStart w:id="60" w:name="_Toc48639352"/>
      <w:r>
        <w:rPr>
          <w:rFonts w:hint="eastAsia"/>
          <w:color w:val="000000"/>
          <w:highlight w:val="none"/>
        </w:rPr>
        <w:t xml:space="preserve">第五章  合同一般条款</w:t>
      </w:r>
      <w:bookmarkEnd w:id="60"/>
      <w:r/>
      <w:r/>
    </w:p>
    <w:p>
      <w:pPr>
        <w:jc w:val="both"/>
        <w:spacing w:line="360" w:lineRule="auto"/>
        <w:rPr>
          <w:rFonts w:hint="eastAsia" w:ascii="宋体" w:hAnsi="宋体" w:cs="宋体"/>
          <w:color w:val="000000"/>
          <w:sz w:val="21"/>
          <w:szCs w:val="21"/>
          <w:highlight w:val="none"/>
          <w:lang w:val="zh-CN"/>
        </w:rPr>
        <w:outlineLvl w:val="0"/>
      </w:pPr>
      <w:r/>
      <w:bookmarkStart w:id="61" w:name="_Toc48639224"/>
      <w:r/>
      <w:bookmarkStart w:id="62" w:name="_Toc48639353"/>
      <w:r>
        <w:rPr>
          <w:rFonts w:hint="eastAsia" w:ascii="宋体" w:hAnsi="宋体" w:cs="宋体"/>
          <w:color w:val="000000"/>
          <w:sz w:val="21"/>
          <w:szCs w:val="21"/>
          <w:highlight w:val="none"/>
          <w:lang w:val="zh-CN"/>
        </w:rPr>
        <w:t xml:space="preserve">一、合同文件</w:t>
      </w:r>
      <w:bookmarkEnd w:id="61"/>
      <w:r/>
      <w:bookmarkEnd w:id="62"/>
      <w:r/>
      <w:r/>
    </w:p>
    <w:p>
      <w:pPr>
        <w:jc w:val="both"/>
        <w:spacing w:line="360" w:lineRule="auto"/>
        <w:rPr>
          <w:rFonts w:hint="eastAsia" w:ascii="宋体" w:hAnsi="宋体" w:cs="宋体"/>
          <w:color w:val="000000"/>
          <w:sz w:val="21"/>
          <w:szCs w:val="21"/>
          <w:highlight w:val="none"/>
          <w:lang w:val="zh-CN"/>
        </w:rPr>
        <w:outlineLvl w:val="0"/>
      </w:pPr>
      <w:r/>
      <w:bookmarkStart w:id="63" w:name="_Toc48639225"/>
      <w:r/>
      <w:bookmarkStart w:id="64" w:name="_Toc48639354"/>
      <w:r>
        <w:rPr>
          <w:rFonts w:hint="eastAsia" w:ascii="宋体" w:hAnsi="宋体" w:cs="宋体"/>
          <w:color w:val="000000"/>
          <w:sz w:val="21"/>
          <w:szCs w:val="21"/>
          <w:highlight w:val="none"/>
          <w:lang w:val="zh-CN"/>
        </w:rPr>
        <w:t xml:space="preserve">1. 合同文件适用法律</w:t>
      </w:r>
      <w:bookmarkEnd w:id="63"/>
      <w:r/>
      <w:bookmarkEnd w:id="64"/>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适用于合同文件的法律是中华人民共和国现行法律、法规及甲方所在地的地方性法规。</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2. 合同文件组成和解释顺序</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2.1合同文件的组成和解释顺序如下：</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2.1.1 合同的特殊性条款</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2.1.2 合同的一般性条款</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2.1.3 洽商、变更等明确双方权利义务的纪要、协议</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2.1.4 中标通知书、投标书和招标文件</w:t>
      </w:r>
      <w:r/>
    </w:p>
    <w:p>
      <w:pPr>
        <w:ind w:firstLine="425"/>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2.1.5 </w:t>
      </w:r>
      <w:r>
        <w:rPr>
          <w:rFonts w:hint="eastAsia" w:ascii="宋体" w:hAnsi="宋体" w:cs="宋体"/>
          <w:color w:val="000000"/>
          <w:sz w:val="21"/>
          <w:szCs w:val="21"/>
          <w:highlight w:val="none"/>
          <w:lang w:val="en-US" w:eastAsia="zh-CN"/>
        </w:rPr>
        <w:t xml:space="preserve">有关图纸</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2.1.6 </w:t>
      </w:r>
      <w:r>
        <w:rPr>
          <w:rFonts w:hint="eastAsia" w:ascii="宋体" w:hAnsi="宋体" w:cs="宋体"/>
          <w:color w:val="000000"/>
          <w:sz w:val="21"/>
          <w:szCs w:val="21"/>
          <w:highlight w:val="none"/>
          <w:lang w:val="zh-CN"/>
        </w:rPr>
        <w:t xml:space="preserve">标准、规范和其它有关技术资料、技术要求</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2.2 合同的特殊性条款的效力优于合同的一般性条款的效力</w:t>
      </w:r>
      <w:r/>
    </w:p>
    <w:p>
      <w:pPr>
        <w:jc w:val="both"/>
        <w:spacing w:line="360" w:lineRule="auto"/>
        <w:rPr>
          <w:rFonts w:hint="eastAsia" w:ascii="宋体" w:hAnsi="宋体" w:cs="宋体"/>
          <w:bCs/>
          <w:color w:val="000000"/>
          <w:sz w:val="21"/>
          <w:szCs w:val="21"/>
          <w:highlight w:val="none"/>
        </w:rPr>
        <w:outlineLvl w:val="0"/>
      </w:pPr>
      <w:r/>
      <w:bookmarkStart w:id="65" w:name="_Toc48639355"/>
      <w:r/>
      <w:bookmarkStart w:id="66" w:name="_Toc48639226"/>
      <w:r>
        <w:rPr>
          <w:rFonts w:hint="eastAsia" w:ascii="宋体" w:hAnsi="宋体" w:cs="宋体"/>
          <w:bCs/>
          <w:color w:val="000000"/>
          <w:sz w:val="21"/>
          <w:szCs w:val="21"/>
          <w:highlight w:val="none"/>
          <w:lang w:val="zh-CN"/>
        </w:rPr>
        <w:t xml:space="preserve">3. 合同文件使用文字</w:t>
      </w:r>
      <w:bookmarkEnd w:id="65"/>
      <w:r/>
      <w:bookmarkEnd w:id="66"/>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 合同文件使用中文书写、解释和说明</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jc w:val="both"/>
        <w:spacing w:line="360" w:lineRule="auto"/>
        <w:rPr>
          <w:rFonts w:hint="eastAsia" w:ascii="宋体" w:hAnsi="宋体" w:cs="宋体"/>
          <w:bCs/>
          <w:color w:val="000000"/>
          <w:sz w:val="21"/>
          <w:szCs w:val="21"/>
          <w:highlight w:val="none"/>
        </w:rPr>
        <w:outlineLvl w:val="0"/>
      </w:pPr>
      <w:r/>
      <w:bookmarkStart w:id="67" w:name="_Toc48639227"/>
      <w:r/>
      <w:bookmarkStart w:id="68" w:name="_Toc48639356"/>
      <w:r>
        <w:rPr>
          <w:rFonts w:hint="eastAsia" w:ascii="宋体" w:hAnsi="宋体" w:cs="宋体"/>
          <w:bCs/>
          <w:color w:val="000000"/>
          <w:sz w:val="21"/>
          <w:szCs w:val="21"/>
          <w:highlight w:val="none"/>
          <w:lang w:val="zh-CN"/>
        </w:rPr>
        <w:t xml:space="preserve">二、标的物的一般条款</w:t>
      </w:r>
      <w:bookmarkEnd w:id="67"/>
      <w:r/>
      <w:bookmarkEnd w:id="68"/>
      <w:r/>
      <w:r/>
    </w:p>
    <w:p>
      <w:pPr>
        <w:jc w:val="both"/>
        <w:spacing w:line="360" w:lineRule="auto"/>
        <w:rPr>
          <w:rFonts w:hint="eastAsia" w:ascii="宋体" w:hAnsi="宋体" w:cs="宋体"/>
          <w:bCs/>
          <w:color w:val="000000"/>
          <w:sz w:val="21"/>
          <w:szCs w:val="21"/>
          <w:highlight w:val="none"/>
        </w:rPr>
        <w:outlineLvl w:val="0"/>
      </w:pPr>
      <w:r/>
      <w:bookmarkStart w:id="69" w:name="_Toc48639228"/>
      <w:r/>
      <w:bookmarkStart w:id="70" w:name="_Toc48639357"/>
      <w:r>
        <w:rPr>
          <w:rFonts w:hint="eastAsia" w:ascii="宋体" w:hAnsi="宋体" w:cs="宋体"/>
          <w:bCs/>
          <w:color w:val="000000"/>
          <w:sz w:val="21"/>
          <w:szCs w:val="21"/>
          <w:highlight w:val="none"/>
          <w:lang w:val="zh-CN"/>
        </w:rPr>
        <w:t xml:space="preserve">4. 完整物权</w:t>
      </w:r>
      <w:bookmarkEnd w:id="69"/>
      <w:r/>
      <w:bookmarkEnd w:id="70"/>
      <w:r/>
      <w:r/>
    </w:p>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对于出卖的标的物，乙方应当拥有完整物权，并且乙方负有保证第三人不得向甲方主张任何权利（包括知识产权）的义务。</w:t>
      </w:r>
      <w:r/>
    </w:p>
    <w:p>
      <w:pPr>
        <w:jc w:val="both"/>
        <w:spacing w:line="360" w:lineRule="auto"/>
        <w:rPr>
          <w:rFonts w:hint="eastAsia" w:ascii="宋体" w:hAnsi="宋体" w:cs="宋体"/>
          <w:bCs/>
          <w:color w:val="000000"/>
          <w:sz w:val="21"/>
          <w:szCs w:val="21"/>
          <w:highlight w:val="none"/>
        </w:rPr>
        <w:outlineLvl w:val="0"/>
      </w:pPr>
      <w:r/>
      <w:bookmarkStart w:id="71" w:name="_Toc48639229"/>
      <w:r/>
      <w:bookmarkStart w:id="72" w:name="_Toc48639358"/>
      <w:r>
        <w:rPr>
          <w:rFonts w:hint="eastAsia" w:ascii="宋体" w:hAnsi="宋体" w:cs="宋体"/>
          <w:bCs/>
          <w:color w:val="000000"/>
          <w:sz w:val="21"/>
          <w:szCs w:val="21"/>
          <w:highlight w:val="none"/>
          <w:lang w:val="zh-CN"/>
        </w:rPr>
        <w:t xml:space="preserve">5. 质量保证</w:t>
      </w:r>
      <w:bookmarkEnd w:id="71"/>
      <w:r/>
      <w:bookmarkEnd w:id="72"/>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w:t>
      </w:r>
      <w:r>
        <w:rPr>
          <w:rFonts w:hint="eastAsia" w:ascii="宋体" w:hAnsi="宋体" w:cs="宋体"/>
          <w:color w:val="000000"/>
          <w:sz w:val="21"/>
          <w:szCs w:val="21"/>
          <w:highlight w:val="none"/>
          <w:lang w:val="en-US" w:eastAsia="zh-CN"/>
        </w:rPr>
        <w:t xml:space="preserve">或材料</w:t>
      </w:r>
      <w:r>
        <w:rPr>
          <w:rFonts w:hint="eastAsia" w:ascii="宋体" w:hAnsi="宋体" w:cs="宋体"/>
          <w:color w:val="000000"/>
          <w:sz w:val="21"/>
          <w:szCs w:val="21"/>
          <w:highlight w:val="none"/>
          <w:lang w:val="zh-CN"/>
        </w:rPr>
        <w:t xml:space="preserve">等缺陷及伴随服务而造成的任何不足或故障负责。</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5.2 根据甲方按检验标准</w:t>
      </w:r>
      <w:r>
        <w:rPr>
          <w:rFonts w:hint="eastAsia" w:ascii="宋体" w:hAnsi="宋体" w:cs="宋体"/>
          <w:color w:val="000000"/>
          <w:sz w:val="21"/>
          <w:szCs w:val="21"/>
          <w:highlight w:val="none"/>
          <w:lang w:val="en-US" w:eastAsia="zh-CN"/>
        </w:rPr>
        <w:t xml:space="preserve">或行业标准</w:t>
      </w:r>
      <w:r>
        <w:rPr>
          <w:rFonts w:hint="eastAsia" w:ascii="宋体" w:hAnsi="宋体" w:cs="宋体"/>
          <w:color w:val="000000"/>
          <w:sz w:val="21"/>
          <w:szCs w:val="21"/>
          <w:highlight w:val="none"/>
          <w:lang w:val="zh-CN"/>
        </w:rPr>
        <w:t xml:space="preserve">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5.3 除合同特殊条款规定外，合同条款中标的物的质量保证期均自</w:t>
      </w:r>
      <w:r>
        <w:rPr>
          <w:rFonts w:hint="eastAsia" w:ascii="宋体" w:hAnsi="宋体" w:cs="宋体"/>
          <w:color w:val="000000"/>
          <w:sz w:val="21"/>
          <w:szCs w:val="21"/>
          <w:highlight w:val="none"/>
          <w:lang w:val="en-US" w:eastAsia="zh-CN"/>
        </w:rPr>
        <w:t xml:space="preserve">相应批次</w:t>
      </w:r>
      <w:r>
        <w:rPr>
          <w:rFonts w:hint="eastAsia" w:ascii="宋体" w:hAnsi="宋体" w:cs="宋体"/>
          <w:color w:val="000000"/>
          <w:sz w:val="21"/>
          <w:szCs w:val="21"/>
          <w:highlight w:val="none"/>
          <w:lang w:val="zh-CN"/>
        </w:rPr>
        <w:t xml:space="preserve">标的物</w:t>
      </w:r>
      <w:r>
        <w:rPr>
          <w:rFonts w:hint="eastAsia" w:ascii="宋体" w:hAnsi="宋体" w:cs="宋体"/>
          <w:color w:val="000000"/>
          <w:sz w:val="21"/>
          <w:szCs w:val="21"/>
          <w:highlight w:val="none"/>
          <w:lang w:val="en-US" w:eastAsia="zh-CN"/>
        </w:rPr>
        <w:t xml:space="preserve">交货并</w:t>
      </w:r>
      <w:r>
        <w:rPr>
          <w:rFonts w:hint="eastAsia" w:ascii="宋体" w:hAnsi="宋体" w:cs="宋体"/>
          <w:color w:val="000000"/>
          <w:sz w:val="21"/>
          <w:szCs w:val="21"/>
          <w:highlight w:val="none"/>
          <w:lang w:val="zh-CN"/>
        </w:rPr>
        <w:t xml:space="preserve">通过最终验收之日起计算，</w:t>
      </w:r>
      <w:r>
        <w:rPr>
          <w:rFonts w:hint="eastAsia" w:ascii="宋体" w:hAnsi="宋体" w:eastAsia="宋体"/>
          <w:sz w:val="21"/>
          <w:szCs w:val="21"/>
          <w:highlight w:val="none"/>
        </w:rPr>
        <w:t xml:space="preserve">具体按招标文件中规定的质量保证期为准或中标单位承诺更高于招标要求的</w:t>
      </w:r>
      <w:r>
        <w:rPr>
          <w:rFonts w:hint="eastAsia" w:ascii="宋体" w:hAnsi="宋体" w:cs="宋体"/>
          <w:color w:val="000000"/>
          <w:sz w:val="21"/>
          <w:szCs w:val="21"/>
          <w:highlight w:val="none"/>
          <w:lang w:val="zh-CN"/>
        </w:rPr>
        <w:t xml:space="preserve">质量保证期</w:t>
      </w:r>
      <w:r>
        <w:rPr>
          <w:rFonts w:hint="eastAsia" w:ascii="宋体" w:hAnsi="宋体" w:cs="宋体"/>
          <w:color w:val="000000"/>
          <w:sz w:val="21"/>
          <w:szCs w:val="21"/>
          <w:highlight w:val="none"/>
          <w:lang w:val="en-US" w:eastAsia="zh-CN"/>
        </w:rPr>
        <w:t xml:space="preserve">为准</w:t>
      </w:r>
      <w:r>
        <w:rPr>
          <w:rFonts w:hint="eastAsia" w:ascii="宋体" w:hAnsi="宋体" w:cs="宋体"/>
          <w:color w:val="000000"/>
          <w:sz w:val="21"/>
          <w:szCs w:val="21"/>
          <w:highlight w:val="none"/>
          <w:lang w:val="zh-CN"/>
        </w:rPr>
        <w:t xml:space="preserve">。</w:t>
      </w:r>
      <w:r/>
    </w:p>
    <w:p>
      <w:pPr>
        <w:jc w:val="both"/>
        <w:spacing w:line="360" w:lineRule="auto"/>
        <w:rPr>
          <w:rFonts w:hint="eastAsia" w:ascii="宋体" w:hAnsi="宋体" w:cs="宋体"/>
          <w:bCs/>
          <w:color w:val="000000"/>
          <w:sz w:val="21"/>
          <w:szCs w:val="21"/>
          <w:highlight w:val="none"/>
        </w:rPr>
        <w:outlineLvl w:val="0"/>
      </w:pPr>
      <w:r/>
      <w:bookmarkStart w:id="73" w:name="_Toc48639230"/>
      <w:r/>
      <w:bookmarkStart w:id="74" w:name="_Toc48639359"/>
      <w:r>
        <w:rPr>
          <w:rFonts w:hint="eastAsia" w:ascii="宋体" w:hAnsi="宋体" w:cs="宋体"/>
          <w:bCs/>
          <w:color w:val="000000"/>
          <w:sz w:val="21"/>
          <w:szCs w:val="21"/>
          <w:highlight w:val="none"/>
          <w:lang w:val="zh-CN"/>
        </w:rPr>
        <w:t xml:space="preserve">6. 包装</w:t>
      </w:r>
      <w:bookmarkEnd w:id="73"/>
      <w:r/>
      <w:bookmarkEnd w:id="74"/>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both"/>
        <w:spacing w:line="360" w:lineRule="auto"/>
        <w:rPr>
          <w:rFonts w:hint="eastAsia" w:ascii="宋体" w:hAnsi="宋体" w:cs="宋体"/>
          <w:bCs/>
          <w:color w:val="000000"/>
          <w:sz w:val="21"/>
          <w:szCs w:val="21"/>
          <w:highlight w:val="none"/>
        </w:rPr>
        <w:outlineLvl w:val="0"/>
      </w:pPr>
      <w:r/>
      <w:bookmarkStart w:id="75" w:name="_Toc48639360"/>
      <w:r/>
      <w:bookmarkStart w:id="76" w:name="_Toc48639231"/>
      <w:r>
        <w:rPr>
          <w:rFonts w:hint="eastAsia" w:ascii="宋体" w:hAnsi="宋体" w:cs="宋体"/>
          <w:bCs/>
          <w:color w:val="000000"/>
          <w:sz w:val="21"/>
          <w:szCs w:val="21"/>
          <w:highlight w:val="none"/>
          <w:lang w:val="zh-CN"/>
        </w:rPr>
        <w:t xml:space="preserve">7. 伴随服务</w:t>
      </w:r>
      <w:bookmarkEnd w:id="75"/>
      <w:r/>
      <w:bookmarkEnd w:id="76"/>
      <w:r/>
      <w:r/>
    </w:p>
    <w:p>
      <w:pPr>
        <w:ind w:firstLine="420"/>
        <w:jc w:val="both"/>
        <w:spacing w:line="360" w:lineRule="auto"/>
        <w:rPr>
          <w:rFonts w:hint="eastAsia" w:ascii="宋体" w:hAnsi="宋体" w:cs="宋体"/>
          <w:color w:val="000000"/>
          <w:sz w:val="21"/>
          <w:szCs w:val="21"/>
          <w:highlight w:val="none"/>
        </w:rPr>
        <w:outlineLvl w:val="0"/>
      </w:pPr>
      <w:r/>
      <w:bookmarkStart w:id="77" w:name="_Toc48639361"/>
      <w:r/>
      <w:bookmarkStart w:id="78" w:name="_Toc48639232"/>
      <w:r>
        <w:rPr>
          <w:rFonts w:hint="eastAsia" w:ascii="宋体" w:hAnsi="宋体" w:cs="宋体"/>
          <w:color w:val="000000"/>
          <w:sz w:val="21"/>
          <w:szCs w:val="21"/>
          <w:highlight w:val="none"/>
          <w:lang w:val="zh-CN"/>
        </w:rPr>
        <w:t xml:space="preserve">7.1 乙方除应履行按期按量交付合格标的物的义务之外，还应提供下列服务。</w:t>
      </w:r>
      <w:bookmarkEnd w:id="77"/>
      <w:r/>
      <w:bookmarkEnd w:id="78"/>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7.1.1 标的物的现场安装、启动、调试、监督；</w:t>
      </w:r>
      <w:r/>
    </w:p>
    <w:p>
      <w:pPr>
        <w:ind w:firstLine="425"/>
        <w:jc w:val="both"/>
        <w:spacing w:line="360" w:lineRule="auto"/>
        <w:rPr>
          <w:rFonts w:hint="eastAsia" w:ascii="宋体" w:hAnsi="宋体" w:cs="宋体"/>
          <w:color w:val="000000"/>
          <w:sz w:val="21"/>
          <w:szCs w:val="21"/>
          <w:highlight w:val="none"/>
        </w:rPr>
        <w:outlineLvl w:val="0"/>
      </w:pPr>
      <w:r/>
      <w:bookmarkStart w:id="79" w:name="_Toc48639233"/>
      <w:r/>
      <w:bookmarkStart w:id="80" w:name="_Toc48639362"/>
      <w:r>
        <w:rPr>
          <w:rFonts w:hint="eastAsia" w:ascii="宋体" w:hAnsi="宋体" w:cs="宋体"/>
          <w:color w:val="000000"/>
          <w:sz w:val="21"/>
          <w:szCs w:val="21"/>
          <w:highlight w:val="none"/>
          <w:lang w:val="zh-CN"/>
        </w:rPr>
        <w:t xml:space="preserve">7.1.2 提供标的物组装和一般维修所必须的工具；</w:t>
      </w:r>
      <w:bookmarkEnd w:id="79"/>
      <w:r/>
      <w:bookmarkEnd w:id="80"/>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7.1.3 在合同规定的期限内对所提供标的物实行运行监督、维修服务的前提条件是该服务并不能免除乙方在质量保证期内所承担的义务；</w:t>
      </w:r>
      <w:r/>
    </w:p>
    <w:p>
      <w:pPr>
        <w:ind w:firstLine="425"/>
        <w:jc w:val="both"/>
        <w:spacing w:line="360" w:lineRule="auto"/>
        <w:rPr>
          <w:rFonts w:hint="eastAsia" w:ascii="宋体" w:hAnsi="宋体" w:cs="宋体"/>
          <w:color w:val="000000"/>
          <w:sz w:val="21"/>
          <w:szCs w:val="21"/>
          <w:highlight w:val="none"/>
        </w:rPr>
        <w:outlineLvl w:val="0"/>
      </w:pPr>
      <w:r/>
      <w:bookmarkStart w:id="81" w:name="_Toc48639363"/>
      <w:r/>
      <w:bookmarkStart w:id="82" w:name="_Toc48639234"/>
      <w:r>
        <w:rPr>
          <w:rFonts w:hint="eastAsia" w:ascii="宋体" w:hAnsi="宋体" w:cs="宋体"/>
          <w:color w:val="000000"/>
          <w:sz w:val="21"/>
          <w:szCs w:val="21"/>
          <w:highlight w:val="none"/>
          <w:lang w:val="zh-CN"/>
        </w:rPr>
        <w:t xml:space="preserve">7.1.4 对甲方技术人员的技术指导或培训。</w:t>
      </w:r>
      <w:bookmarkEnd w:id="81"/>
      <w:r/>
      <w:bookmarkEnd w:id="82"/>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7.2 除合同另有规定之外，伴随服务的费用均已含在合同价款中，甲方不再另行进行支付。</w:t>
      </w:r>
      <w:r/>
    </w:p>
    <w:p>
      <w:pPr>
        <w:jc w:val="both"/>
        <w:spacing w:line="360" w:lineRule="auto"/>
        <w:rPr>
          <w:rFonts w:hint="eastAsia" w:ascii="宋体" w:hAnsi="宋体" w:cs="宋体"/>
          <w:bCs/>
          <w:color w:val="000000"/>
          <w:sz w:val="21"/>
          <w:szCs w:val="21"/>
          <w:highlight w:val="none"/>
        </w:rPr>
        <w:outlineLvl w:val="0"/>
      </w:pPr>
      <w:r/>
      <w:bookmarkStart w:id="83" w:name="_Toc48639235"/>
      <w:r/>
      <w:bookmarkStart w:id="84" w:name="_Toc48639364"/>
      <w:r>
        <w:rPr>
          <w:rFonts w:hint="eastAsia" w:ascii="宋体" w:hAnsi="宋体" w:cs="宋体"/>
          <w:bCs/>
          <w:color w:val="000000"/>
          <w:sz w:val="21"/>
          <w:szCs w:val="21"/>
          <w:highlight w:val="none"/>
          <w:lang w:val="zh-CN"/>
        </w:rPr>
        <w:t xml:space="preserve">三、标的物的交付、检验和验收</w:t>
      </w:r>
      <w:bookmarkEnd w:id="83"/>
      <w:r/>
      <w:bookmarkEnd w:id="84"/>
      <w:r/>
      <w:r/>
    </w:p>
    <w:p>
      <w:pPr>
        <w:jc w:val="both"/>
        <w:spacing w:line="360" w:lineRule="auto"/>
        <w:rPr>
          <w:rFonts w:hint="eastAsia" w:ascii="宋体" w:hAnsi="宋体" w:cs="宋体"/>
          <w:bCs/>
          <w:color w:val="000000"/>
          <w:sz w:val="21"/>
          <w:szCs w:val="21"/>
          <w:highlight w:val="none"/>
        </w:rPr>
        <w:outlineLvl w:val="0"/>
      </w:pPr>
      <w:r/>
      <w:bookmarkStart w:id="85" w:name="_Toc48639236"/>
      <w:r/>
      <w:bookmarkStart w:id="86" w:name="_Toc48639365"/>
      <w:r>
        <w:rPr>
          <w:rFonts w:hint="eastAsia" w:ascii="宋体" w:hAnsi="宋体" w:cs="宋体"/>
          <w:bCs/>
          <w:color w:val="000000"/>
          <w:sz w:val="21"/>
          <w:szCs w:val="21"/>
          <w:highlight w:val="none"/>
          <w:lang w:val="zh-CN"/>
        </w:rPr>
        <w:t xml:space="preserve">8. 标的物的交付</w:t>
      </w:r>
      <w:bookmarkEnd w:id="85"/>
      <w:r/>
      <w:bookmarkEnd w:id="86"/>
      <w:r/>
      <w:r/>
    </w:p>
    <w:p>
      <w:pPr>
        <w:ind w:firstLine="425"/>
        <w:jc w:val="both"/>
        <w:spacing w:line="360" w:lineRule="auto"/>
        <w:rPr>
          <w:rFonts w:hint="eastAsia" w:ascii="宋体" w:hAnsi="宋体" w:cs="宋体"/>
          <w:color w:val="000000"/>
          <w:sz w:val="21"/>
          <w:szCs w:val="21"/>
          <w:highlight w:val="none"/>
        </w:rPr>
        <w:outlineLvl w:val="0"/>
      </w:pPr>
      <w:r/>
      <w:bookmarkStart w:id="87" w:name="_Toc48639237"/>
      <w:r/>
      <w:bookmarkStart w:id="88" w:name="_Toc48639366"/>
      <w:r>
        <w:rPr>
          <w:rFonts w:hint="eastAsia" w:ascii="宋体" w:hAnsi="宋体" w:cs="宋体"/>
          <w:color w:val="000000"/>
          <w:sz w:val="21"/>
          <w:szCs w:val="21"/>
          <w:highlight w:val="none"/>
          <w:lang w:val="zh-CN"/>
        </w:rPr>
        <w:t xml:space="preserve">8.1 标的物的所有权自标的物交付时转移。</w:t>
      </w:r>
      <w:bookmarkEnd w:id="87"/>
      <w:r/>
      <w:bookmarkEnd w:id="88"/>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8.2 乙方应当按照约定的期限和约定的地点交付标的物。</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8.3 乙方应当按照约定或者交易习惯向甲方交付提取标的物单证以外的有关单证和资料。</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9. 检验和验收</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9.3 验收期限自标的物交付之日起三十</w:t>
      </w:r>
      <w:r>
        <w:rPr>
          <w:rFonts w:hint="eastAsia" w:ascii="宋体" w:hAnsi="宋体" w:cs="宋体"/>
          <w:color w:val="000000"/>
          <w:sz w:val="21"/>
          <w:szCs w:val="21"/>
          <w:highlight w:val="none"/>
          <w:lang w:val="en-US" w:eastAsia="zh-CN"/>
        </w:rPr>
        <w:t xml:space="preserve">日</w:t>
      </w:r>
      <w:r>
        <w:rPr>
          <w:rFonts w:hint="eastAsia" w:ascii="宋体" w:hAnsi="宋体" w:cs="宋体"/>
          <w:color w:val="000000"/>
          <w:sz w:val="21"/>
          <w:szCs w:val="21"/>
          <w:highlight w:val="none"/>
          <w:lang w:val="zh-CN"/>
        </w:rPr>
        <w:t xml:space="preserve">内。特殊情况需延长的，双方应在合同的特殊条款中约定。</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9.4 如双方对验收结果有分歧，则以</w:t>
      </w:r>
      <w:r>
        <w:rPr>
          <w:rFonts w:hint="eastAsia" w:ascii="宋体" w:hAnsi="宋体" w:eastAsia="宋体"/>
          <w:sz w:val="21"/>
          <w:szCs w:val="21"/>
          <w:highlight w:val="none"/>
        </w:rPr>
        <w:t xml:space="preserve">苏州市市场监督管理局下属法定检验机构</w:t>
      </w:r>
      <w:r>
        <w:rPr>
          <w:rFonts w:hint="eastAsia" w:ascii="宋体" w:hAnsi="宋体" w:cs="宋体"/>
          <w:color w:val="000000"/>
          <w:sz w:val="21"/>
          <w:szCs w:val="21"/>
          <w:highlight w:val="none"/>
          <w:lang w:val="zh-CN"/>
        </w:rPr>
        <w:t xml:space="preserve">的检验结果为准，检验费用由有过失的一方支付。</w:t>
      </w:r>
      <w:r/>
    </w:p>
    <w:p>
      <w:pPr>
        <w:jc w:val="both"/>
        <w:spacing w:line="360" w:lineRule="auto"/>
        <w:rPr>
          <w:rFonts w:hint="eastAsia" w:ascii="宋体" w:hAnsi="宋体" w:cs="宋体"/>
          <w:bCs/>
          <w:color w:val="000000"/>
          <w:sz w:val="21"/>
          <w:szCs w:val="21"/>
          <w:highlight w:val="none"/>
        </w:rPr>
        <w:outlineLvl w:val="0"/>
      </w:pPr>
      <w:r/>
      <w:bookmarkStart w:id="89" w:name="_Toc48639367"/>
      <w:r/>
      <w:bookmarkStart w:id="90" w:name="_Toc48639238"/>
      <w:r>
        <w:rPr>
          <w:rFonts w:hint="eastAsia" w:ascii="宋体" w:hAnsi="宋体" w:cs="宋体"/>
          <w:bCs/>
          <w:color w:val="000000"/>
          <w:sz w:val="21"/>
          <w:szCs w:val="21"/>
          <w:highlight w:val="none"/>
          <w:lang w:val="zh-CN"/>
        </w:rPr>
        <w:t xml:space="preserve">四、对标的物提出异议的时间和办法</w:t>
      </w:r>
      <w:bookmarkEnd w:id="89"/>
      <w:r/>
      <w:bookmarkEnd w:id="90"/>
      <w:r/>
      <w:r/>
    </w:p>
    <w:p>
      <w:pPr>
        <w:jc w:val="both"/>
        <w:spacing w:line="360" w:lineRule="auto"/>
        <w:rPr>
          <w:rFonts w:hint="eastAsia" w:ascii="宋体" w:hAnsi="宋体" w:cs="宋体"/>
          <w:bCs/>
          <w:color w:val="000000"/>
          <w:sz w:val="21"/>
          <w:szCs w:val="21"/>
          <w:highlight w:val="none"/>
          <w:lang w:val="zh-CN"/>
        </w:rPr>
        <w:outlineLvl w:val="0"/>
      </w:pPr>
      <w:r/>
      <w:bookmarkStart w:id="91" w:name="_Toc48639368"/>
      <w:r/>
      <w:bookmarkStart w:id="92" w:name="_Toc48639239"/>
      <w:r>
        <w:rPr>
          <w:rFonts w:hint="eastAsia" w:ascii="宋体" w:hAnsi="宋体" w:cs="宋体"/>
          <w:bCs/>
          <w:color w:val="000000"/>
          <w:sz w:val="21"/>
          <w:szCs w:val="21"/>
          <w:highlight w:val="none"/>
          <w:lang w:val="zh-CN"/>
        </w:rPr>
        <w:t xml:space="preserve">10. 对标的物提出异议的时间和办法</w:t>
      </w:r>
      <w:bookmarkEnd w:id="91"/>
      <w:r/>
      <w:bookmarkEnd w:id="92"/>
      <w:r>
        <w:rPr>
          <w:rFonts w:hint="eastAsia" w:ascii="宋体" w:hAnsi="宋体" w:cs="宋体"/>
          <w:bCs/>
          <w:color w:val="000000"/>
          <w:sz w:val="21"/>
          <w:szCs w:val="21"/>
          <w:highlight w:val="none"/>
          <w:lang w:val="zh-CN"/>
        </w:rPr>
        <w:t xml:space="preserve"> </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10.1  甲方在验收过程中，应当于双方约定的检验期间内将标的物的数量或质量不符合约定的情形及处理方式以书面形式通知乙方。</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10.2  如甲方在验收期满后既不出具验收合格证明又未提出书面异议的视为乙方所交标的物符合合同规定。</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10.3  乙方应在收到甲方书面异议后</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天内</w:t>
      </w:r>
      <w:r>
        <w:rPr>
          <w:rFonts w:hint="eastAsia" w:ascii="宋体" w:hAnsi="宋体" w:eastAsia="宋体"/>
          <w:sz w:val="21"/>
          <w:szCs w:val="21"/>
          <w:highlight w:val="none"/>
        </w:rPr>
        <w:t xml:space="preserve">（双方在合同特殊条款另行规定的除外）</w:t>
      </w:r>
      <w:r>
        <w:rPr>
          <w:rFonts w:hint="eastAsia" w:ascii="宋体" w:hAnsi="宋体" w:cs="宋体"/>
          <w:color w:val="000000"/>
          <w:sz w:val="21"/>
          <w:szCs w:val="21"/>
          <w:highlight w:val="none"/>
          <w:lang w:val="zh-CN"/>
        </w:rPr>
        <w:t xml:space="preserve">负责处理问题，否则将视为默认甲方提出的异议和处理意见。</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五、合同价款和支付</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11. </w:t>
      </w:r>
      <w:r>
        <w:rPr>
          <w:rFonts w:hint="eastAsia" w:ascii="宋体" w:hAnsi="宋体" w:cs="宋体"/>
          <w:bCs/>
          <w:color w:val="000000"/>
          <w:sz w:val="21"/>
          <w:szCs w:val="21"/>
          <w:highlight w:val="none"/>
          <w:lang w:val="zh-CN"/>
        </w:rPr>
        <w:t xml:space="preserve">合同价款和支付</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11.1 本合同的结算货币为人民币，单位元。</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11.2 乙方应按照双方签订的合同规定交货并在合同特殊条款规定的期限内持下列单据结算货款。</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11.2.1</w:t>
      </w:r>
      <w:r>
        <w:rPr>
          <w:rFonts w:hint="eastAsia" w:ascii="宋体" w:hAnsi="宋体" w:cs="宋体"/>
          <w:color w:val="000000"/>
          <w:sz w:val="21"/>
          <w:szCs w:val="21"/>
          <w:highlight w:val="none"/>
          <w:lang w:val="en-US" w:eastAsia="zh-CN"/>
        </w:rPr>
        <w:t xml:space="preserve">正式足额</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lang w:val="en-US" w:eastAsia="zh-CN"/>
        </w:rPr>
        <w:t xml:space="preserve">合格</w:t>
      </w:r>
      <w:r>
        <w:rPr>
          <w:rFonts w:hint="eastAsia" w:ascii="宋体" w:hAnsi="宋体" w:cs="宋体"/>
          <w:color w:val="000000"/>
          <w:sz w:val="21"/>
          <w:szCs w:val="21"/>
          <w:highlight w:val="none"/>
          <w:lang w:val="zh-CN"/>
        </w:rPr>
        <w:t xml:space="preserve">发票；</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11.2.2甲方</w:t>
      </w:r>
      <w:r>
        <w:rPr>
          <w:rFonts w:hint="eastAsia" w:ascii="宋体" w:hAnsi="宋体" w:cs="宋体"/>
          <w:color w:val="000000"/>
          <w:sz w:val="21"/>
          <w:szCs w:val="21"/>
          <w:highlight w:val="none"/>
          <w:lang w:val="zh-CN"/>
        </w:rPr>
        <w:t xml:space="preserve">签收的送货回单</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验收合格证明。</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11.3 甲方应按合同特殊条款规定的期限和方式付款。</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11.4 根据国家现行税法对甲方征收的与本合同有关的税费均由甲方承担；根据国家现行税法对乙方征收的与本合同有关的一切税费均由乙方承担。</w:t>
      </w:r>
      <w:r/>
    </w:p>
    <w:p>
      <w:pPr>
        <w:jc w:val="both"/>
        <w:spacing w:line="360" w:lineRule="auto"/>
        <w:rPr>
          <w:rFonts w:hint="eastAsia" w:ascii="宋体" w:hAnsi="宋体" w:cs="宋体"/>
          <w:bCs/>
          <w:color w:val="000000"/>
          <w:sz w:val="21"/>
          <w:szCs w:val="21"/>
          <w:highlight w:val="none"/>
        </w:rPr>
        <w:outlineLvl w:val="0"/>
      </w:pPr>
      <w:r/>
      <w:bookmarkStart w:id="93" w:name="_Toc48639369"/>
      <w:r/>
      <w:bookmarkStart w:id="94" w:name="_Toc48639240"/>
      <w:r>
        <w:rPr>
          <w:rFonts w:hint="eastAsia" w:ascii="宋体" w:hAnsi="宋体" w:cs="宋体"/>
          <w:bCs/>
          <w:color w:val="000000"/>
          <w:sz w:val="21"/>
          <w:szCs w:val="21"/>
          <w:highlight w:val="none"/>
          <w:lang w:val="zh-CN"/>
        </w:rPr>
        <w:t xml:space="preserve">六、违约责任</w:t>
      </w:r>
      <w:bookmarkEnd w:id="93"/>
      <w:r/>
      <w:bookmarkEnd w:id="94"/>
      <w:r/>
      <w:r/>
    </w:p>
    <w:p>
      <w:pPr>
        <w:jc w:val="both"/>
        <w:spacing w:line="360" w:lineRule="auto"/>
        <w:rPr>
          <w:rFonts w:hint="eastAsia" w:ascii="宋体" w:hAnsi="宋体" w:cs="宋体"/>
          <w:bCs/>
          <w:color w:val="000000"/>
          <w:sz w:val="21"/>
          <w:szCs w:val="21"/>
          <w:highlight w:val="none"/>
        </w:rPr>
        <w:outlineLvl w:val="0"/>
      </w:pPr>
      <w:r/>
      <w:bookmarkStart w:id="95" w:name="_Toc48639241"/>
      <w:r/>
      <w:bookmarkStart w:id="96" w:name="_Toc48639370"/>
      <w:r>
        <w:rPr>
          <w:rFonts w:hint="eastAsia" w:ascii="宋体" w:hAnsi="宋体" w:cs="宋体"/>
          <w:bCs/>
          <w:color w:val="000000"/>
          <w:sz w:val="21"/>
          <w:szCs w:val="21"/>
          <w:highlight w:val="none"/>
          <w:lang w:val="zh-CN"/>
        </w:rPr>
        <w:t xml:space="preserve">12. 违约责任</w:t>
      </w:r>
      <w:bookmarkEnd w:id="95"/>
      <w:r/>
      <w:bookmarkEnd w:id="96"/>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合同一方不履行合同义务或者履行合同义务不符合约定的，应当承担继续履行、采取补救措施或者赔偿损失等违约责任。</w:t>
      </w:r>
      <w:r/>
    </w:p>
    <w:p>
      <w:pPr>
        <w:jc w:val="both"/>
        <w:spacing w:line="360" w:lineRule="auto"/>
        <w:rPr>
          <w:rFonts w:hint="eastAsia" w:ascii="宋体" w:hAnsi="宋体" w:cs="宋体"/>
          <w:bCs/>
          <w:color w:val="000000"/>
          <w:sz w:val="21"/>
          <w:szCs w:val="21"/>
          <w:highlight w:val="none"/>
        </w:rPr>
        <w:outlineLvl w:val="0"/>
      </w:pPr>
      <w:r/>
      <w:bookmarkStart w:id="97" w:name="_Toc48639242"/>
      <w:r/>
      <w:bookmarkStart w:id="98" w:name="_Toc48639371"/>
      <w:r>
        <w:rPr>
          <w:rFonts w:hint="eastAsia" w:ascii="宋体" w:hAnsi="宋体" w:cs="宋体"/>
          <w:bCs/>
          <w:color w:val="000000"/>
          <w:sz w:val="21"/>
          <w:szCs w:val="21"/>
          <w:highlight w:val="none"/>
          <w:lang w:val="zh-CN"/>
        </w:rPr>
        <w:t xml:space="preserve">13. 甲方违约责任</w:t>
      </w:r>
      <w:bookmarkEnd w:id="97"/>
      <w:r/>
      <w:bookmarkEnd w:id="98"/>
      <w:r/>
      <w:r/>
    </w:p>
    <w:p>
      <w:pPr>
        <w:ind w:firstLine="425"/>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13.</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 在合同生效后，甲方要求退货的（产品质量不合格或乙方无法正常履约除外），应向乙方偿付合同总价款的5%作为违约金，违约金不足以补偿损失的，乙方有权要求甲方补足。</w:t>
      </w:r>
      <w:r/>
    </w:p>
    <w:p>
      <w:pPr>
        <w:ind w:firstLine="425"/>
        <w:jc w:val="both"/>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13.2 </w:t>
      </w:r>
      <w:r>
        <w:rPr>
          <w:rFonts w:hint="eastAsia" w:ascii="宋体" w:hAnsi="宋体" w:eastAsia="宋体" w:cs="宋体"/>
          <w:color w:val="000000"/>
          <w:sz w:val="21"/>
          <w:szCs w:val="21"/>
          <w:highlight w:val="none"/>
          <w:lang w:val="zh-CN"/>
        </w:rPr>
        <w:t xml:space="preserve">甲方逾期付款的（正当拒付、供方同意延期付款时除外），应按同期银行贷款利率支付拖欠材料款的利息。但乙方不得因拖欠材料款而停止供货。</w:t>
      </w:r>
      <w:r/>
    </w:p>
    <w:p>
      <w:pPr>
        <w:ind w:firstLine="425"/>
        <w:jc w:val="both"/>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13.</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 </w:t>
      </w:r>
      <w:r>
        <w:rPr>
          <w:rFonts w:hint="eastAsia" w:ascii="宋体" w:hAnsi="宋体" w:eastAsia="宋体"/>
          <w:sz w:val="21"/>
          <w:szCs w:val="21"/>
          <w:highlight w:val="none"/>
        </w:rPr>
        <w:t xml:space="preserve">甲方违反合同规定，拒绝接收乙方交付的合格标的物，应当承担乙方由此造成的损失</w:t>
      </w:r>
      <w:r>
        <w:rPr>
          <w:rFonts w:hint="eastAsia" w:ascii="宋体" w:hAnsi="宋体" w:cs="宋体"/>
          <w:color w:val="000000"/>
          <w:sz w:val="21"/>
          <w:szCs w:val="21"/>
          <w:highlight w:val="none"/>
          <w:lang w:val="zh-CN"/>
        </w:rPr>
        <w:t xml:space="preserve">。</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14. 乙方违约责任</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14.1 </w:t>
      </w:r>
      <w:r>
        <w:rPr>
          <w:rFonts w:hint="eastAsia" w:ascii="宋体" w:hAnsi="宋体" w:eastAsia="宋体" w:cs="宋体"/>
          <w:sz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14.2 </w:t>
      </w:r>
      <w:r>
        <w:rPr>
          <w:rFonts w:hint="eastAsia" w:ascii="宋体" w:hAnsi="宋体" w:cs="宋体"/>
          <w:color w:val="000000"/>
          <w:sz w:val="21"/>
          <w:szCs w:val="21"/>
          <w:highlight w:val="none"/>
          <w:lang w:val="zh-CN"/>
        </w:rPr>
        <w:t xml:space="preserve">乙</w:t>
      </w:r>
      <w:r>
        <w:rPr>
          <w:rFonts w:hint="eastAsia" w:ascii="宋体" w:hAnsi="宋体" w:eastAsia="宋体"/>
          <w:sz w:val="21"/>
          <w:szCs w:val="21"/>
          <w:highlight w:val="none"/>
        </w:rPr>
        <w:t xml:space="preserve">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rFonts w:hint="eastAsia" w:ascii="宋体" w:hAnsi="宋体" w:eastAsia="宋体" w:cs="Times New Roman"/>
          <w:sz w:val="21"/>
          <w:szCs w:val="21"/>
          <w:highlight w:val="none"/>
          <w:lang w:val="zh-CN"/>
        </w:rPr>
        <w:t xml:space="preserve">。</w:t>
      </w:r>
      <w:r/>
    </w:p>
    <w:p>
      <w:pPr>
        <w:ind w:firstLine="425"/>
        <w:jc w:val="both"/>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 </w:t>
      </w:r>
      <w:r>
        <w:rPr>
          <w:rFonts w:ascii="宋体" w:hAnsi="宋体" w:eastAsia="宋体"/>
          <w:sz w:val="21"/>
          <w:szCs w:val="21"/>
          <w:highlight w:val="none"/>
        </w:rPr>
        <w:t xml:space="preserve">乙方逾期完工</w:t>
      </w:r>
      <w:r>
        <w:rPr>
          <w:rFonts w:hint="eastAsia" w:ascii="宋体" w:hAnsi="宋体" w:eastAsia="宋体"/>
          <w:sz w:val="21"/>
          <w:szCs w:val="21"/>
          <w:highlight w:val="none"/>
        </w:rPr>
        <w:t xml:space="preserve">（</w:t>
      </w:r>
      <w:r>
        <w:rPr>
          <w:rFonts w:ascii="宋体" w:hAnsi="宋体" w:eastAsia="宋体"/>
          <w:sz w:val="21"/>
          <w:szCs w:val="21"/>
          <w:highlight w:val="none"/>
        </w:rPr>
        <w:t xml:space="preserve">即项目全部安装调试完成，整体验收合格并提交竣工资料）</w:t>
      </w:r>
      <w:r>
        <w:rPr>
          <w:rFonts w:hint="eastAsia" w:ascii="宋体" w:hAnsi="宋体" w:eastAsia="宋体"/>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rPr>
          <w:rFonts w:hint="eastAsia" w:ascii="宋体" w:hAnsi="宋体" w:cs="宋体"/>
          <w:color w:val="000000"/>
          <w:sz w:val="21"/>
          <w:szCs w:val="21"/>
          <w:highlight w:val="none"/>
          <w:lang w:val="zh-CN"/>
        </w:rPr>
        <w:t xml:space="preserve">。</w:t>
      </w:r>
      <w:r/>
    </w:p>
    <w:p>
      <w:pPr>
        <w:pStyle w:val="1164"/>
        <w:ind w:firstLine="420"/>
        <w:spacing w:line="360" w:lineRule="auto"/>
        <w:rPr>
          <w:rFonts w:hint="eastAsia" w:hAnsi="宋体" w:eastAsia="宋体" w:cs="宋体"/>
          <w:color w:val="000000"/>
          <w:szCs w:val="21"/>
          <w:highlight w:val="none"/>
          <w:lang w:val="zh-CN"/>
        </w:rPr>
      </w:pPr>
      <w:r>
        <w:rPr>
          <w:rFonts w:hint="eastAsia" w:hAnsi="宋体" w:eastAsia="宋体" w:cs="宋体"/>
          <w:color w:val="000000"/>
          <w:szCs w:val="21"/>
          <w:highlight w:val="none"/>
          <w:lang w:val="zh-CN"/>
        </w:rPr>
        <w:t xml:space="preserve">14.</w:t>
      </w:r>
      <w:r>
        <w:rPr>
          <w:rFonts w:hint="eastAsia" w:hAnsi="宋体" w:eastAsia="宋体" w:cs="宋体"/>
          <w:color w:val="000000"/>
          <w:szCs w:val="21"/>
          <w:highlight w:val="none"/>
          <w:lang w:val="en-US" w:eastAsia="zh-CN"/>
        </w:rPr>
        <w:t xml:space="preserve">4 </w:t>
      </w:r>
      <w:r>
        <w:rPr>
          <w:rFonts w:hint="eastAsia" w:ascii="宋体" w:hAnsi="宋体" w:eastAsia="宋体"/>
          <w:sz w:val="21"/>
          <w:szCs w:val="21"/>
          <w:highlight w:val="none"/>
        </w:rPr>
        <w:t xml:space="preserve">乙方提前交货的，须经甲方同意，接货后，仍可按合同规定的付款时间付款</w:t>
      </w:r>
      <w:r>
        <w:rPr>
          <w:rFonts w:hint="eastAsia" w:hAnsi="宋体" w:eastAsia="宋体" w:cs="宋体"/>
          <w:color w:val="000000"/>
          <w:szCs w:val="21"/>
          <w:highlight w:val="none"/>
          <w:lang w:val="zh-CN"/>
        </w:rPr>
        <w:t xml:space="preserve">。</w:t>
      </w:r>
      <w:r/>
    </w:p>
    <w:p>
      <w:pPr>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sz w:val="21"/>
          <w:szCs w:val="21"/>
          <w:highlight w:val="none"/>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sz w:val="21"/>
          <w:szCs w:val="21"/>
          <w:highlight w:val="none"/>
        </w:rPr>
        <w:t xml:space="preserve">另行采购相应标的物、开挖、重新铺埋等所发生的一切费用均由乙方承担，乙方并应赔偿甲方的其他损失。</w:t>
      </w:r>
      <w:r/>
    </w:p>
    <w:p>
      <w:pPr>
        <w:ind w:firstLine="425"/>
        <w:jc w:val="both"/>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sz w:val="21"/>
          <w:szCs w:val="21"/>
          <w:highlight w:val="none"/>
        </w:rPr>
        <w:t xml:space="preserve">乙方向甲方一次性赔偿相当于被证明不符合合同规定批次标的物价款的300%的赔偿金。</w:t>
      </w:r>
      <w:r/>
    </w:p>
    <w:p>
      <w:pPr>
        <w:jc w:val="both"/>
        <w:spacing w:line="360" w:lineRule="auto"/>
        <w:rPr>
          <w:rFonts w:hint="eastAsia" w:ascii="宋体" w:hAnsi="宋体" w:eastAsia="宋体" w:cs="宋体"/>
          <w:color w:val="000000"/>
          <w:sz w:val="21"/>
          <w:szCs w:val="21"/>
          <w:highlight w:val="none"/>
          <w:lang w:val="zh-CN"/>
        </w:rPr>
      </w:pPr>
      <w:r/>
      <w:bookmarkStart w:id="99" w:name="_Toc48639243"/>
      <w:r/>
      <w:bookmarkStart w:id="100" w:name="_Toc48639372"/>
      <w:r>
        <w:rPr>
          <w:rFonts w:hint="eastAsia" w:ascii="宋体" w:hAnsi="宋体" w:eastAsia="宋体" w:cs="宋体"/>
          <w:color w:val="000000"/>
          <w:sz w:val="21"/>
          <w:szCs w:val="21"/>
          <w:highlight w:val="none"/>
          <w:lang w:val="zh-CN"/>
        </w:rPr>
        <w:t xml:space="preserve">15. 不可抗力</w:t>
      </w:r>
      <w:bookmarkEnd w:id="99"/>
      <w:r/>
      <w:bookmarkEnd w:id="100"/>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15.1 </w:t>
      </w:r>
      <w:r>
        <w:rPr>
          <w:rFonts w:hint="eastAsia" w:ascii="宋体" w:hAnsi="宋体" w:eastAsia="宋体"/>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rPr>
          <w:rFonts w:hint="eastAsia" w:ascii="宋体" w:hAnsi="宋体" w:cs="宋体"/>
          <w:color w:val="000000"/>
          <w:sz w:val="21"/>
          <w:szCs w:val="21"/>
          <w:highlight w:val="none"/>
          <w:lang w:val="zh-CN"/>
        </w:rPr>
        <w:t xml:space="preserve">。</w:t>
      </w:r>
      <w:r/>
    </w:p>
    <w:p>
      <w:pPr>
        <w:ind w:firstLine="425"/>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15.2 </w:t>
      </w:r>
      <w:r>
        <w:rPr>
          <w:rFonts w:hint="eastAsia" w:ascii="宋体" w:hAnsi="宋体" w:eastAsia="宋体"/>
          <w:sz w:val="21"/>
          <w:szCs w:val="21"/>
          <w:highlight w:val="none"/>
        </w:rPr>
        <w:t xml:space="preserve">受不可抗力影响的一方应在不可抗力发生后以尽快的方式通知另一方，如果不可抗力的时间超过14日，双方有权终止履行合同</w:t>
      </w:r>
      <w:r>
        <w:rPr>
          <w:rFonts w:hint="eastAsia" w:ascii="宋体" w:hAnsi="宋体" w:cs="宋体"/>
          <w:color w:val="000000"/>
          <w:sz w:val="21"/>
          <w:szCs w:val="21"/>
          <w:highlight w:val="none"/>
          <w:lang w:val="zh-CN"/>
        </w:rPr>
        <w:t xml:space="preserve">。</w:t>
      </w:r>
      <w:r/>
    </w:p>
    <w:p>
      <w:pPr>
        <w:jc w:val="both"/>
        <w:spacing w:line="360" w:lineRule="auto"/>
        <w:rPr>
          <w:rFonts w:hint="eastAsia" w:ascii="宋体" w:hAnsi="宋体" w:cs="宋体"/>
          <w:bCs/>
          <w:color w:val="000000"/>
          <w:sz w:val="21"/>
          <w:szCs w:val="21"/>
          <w:highlight w:val="none"/>
        </w:rPr>
        <w:outlineLvl w:val="0"/>
      </w:pPr>
      <w:r/>
      <w:bookmarkStart w:id="101" w:name="_Toc48639244"/>
      <w:r/>
      <w:bookmarkStart w:id="102" w:name="_Toc48639373"/>
      <w:r>
        <w:rPr>
          <w:rFonts w:hint="eastAsia" w:ascii="宋体" w:hAnsi="宋体" w:cs="宋体"/>
          <w:bCs/>
          <w:color w:val="000000"/>
          <w:sz w:val="21"/>
          <w:szCs w:val="21"/>
          <w:highlight w:val="none"/>
          <w:lang w:val="zh-CN"/>
        </w:rPr>
        <w:t xml:space="preserve">七、索赔</w:t>
      </w:r>
      <w:bookmarkEnd w:id="101"/>
      <w:r/>
      <w:bookmarkEnd w:id="102"/>
      <w:r/>
      <w:r/>
    </w:p>
    <w:p>
      <w:pPr>
        <w:jc w:val="both"/>
        <w:spacing w:line="360" w:lineRule="auto"/>
        <w:rPr>
          <w:rFonts w:hint="eastAsia" w:ascii="宋体" w:hAnsi="宋体" w:cs="宋体"/>
          <w:bCs/>
          <w:color w:val="000000"/>
          <w:sz w:val="21"/>
          <w:szCs w:val="21"/>
          <w:highlight w:val="none"/>
        </w:rPr>
        <w:outlineLvl w:val="0"/>
      </w:pPr>
      <w:r/>
      <w:bookmarkStart w:id="103" w:name="_Toc48639374"/>
      <w:r/>
      <w:bookmarkStart w:id="104" w:name="_Toc48639245"/>
      <w:r>
        <w:rPr>
          <w:rFonts w:hint="eastAsia" w:ascii="宋体" w:hAnsi="宋体" w:cs="宋体"/>
          <w:bCs/>
          <w:color w:val="000000"/>
          <w:sz w:val="21"/>
          <w:szCs w:val="21"/>
          <w:highlight w:val="none"/>
          <w:lang w:val="zh-CN"/>
        </w:rPr>
        <w:t xml:space="preserve">16. 索赔</w:t>
      </w:r>
      <w:bookmarkEnd w:id="103"/>
      <w:r/>
      <w:bookmarkEnd w:id="104"/>
      <w:r/>
      <w:r/>
    </w:p>
    <w:p>
      <w:pPr>
        <w:ind w:firstLine="425"/>
        <w:jc w:val="both"/>
        <w:spacing w:line="360" w:lineRule="auto"/>
        <w:rPr>
          <w:rFonts w:hint="eastAsia" w:ascii="宋体" w:hAnsi="宋体" w:eastAsia="宋体" w:cs="宋体"/>
          <w:color w:val="000000"/>
          <w:sz w:val="21"/>
          <w:szCs w:val="21"/>
          <w:highlight w:val="none"/>
          <w:lang w:val="zh-CN"/>
        </w:rPr>
        <w:outlineLvl w:val="0"/>
      </w:pPr>
      <w:r/>
      <w:bookmarkStart w:id="105" w:name="_Toc48639375"/>
      <w:r/>
      <w:bookmarkStart w:id="106" w:name="_Toc48639246"/>
      <w:r>
        <w:rPr>
          <w:rFonts w:hint="eastAsia" w:ascii="宋体" w:hAnsi="宋体" w:eastAsia="宋体" w:cs="宋体"/>
          <w:color w:val="000000"/>
          <w:sz w:val="21"/>
          <w:szCs w:val="21"/>
          <w:highlight w:val="none"/>
          <w:lang w:val="zh-CN"/>
        </w:rPr>
        <w:t xml:space="preserve">16.1 甲</w:t>
      </w:r>
      <w:r>
        <w:rPr>
          <w:rFonts w:hint="eastAsia" w:ascii="宋体" w:hAnsi="宋体" w:eastAsia="宋体"/>
          <w:sz w:val="21"/>
          <w:szCs w:val="21"/>
          <w:highlight w:val="none"/>
        </w:rPr>
        <w:t xml:space="preserve">方有权根据当地产品质量检验机构或其它有权部门出具的检验证书向乙方提出索赔</w:t>
      </w:r>
      <w:r>
        <w:rPr>
          <w:rFonts w:hint="eastAsia" w:ascii="宋体" w:hAnsi="宋体" w:eastAsia="宋体" w:cs="宋体"/>
          <w:color w:val="000000"/>
          <w:sz w:val="21"/>
          <w:szCs w:val="21"/>
          <w:highlight w:val="none"/>
          <w:lang w:val="zh-CN"/>
        </w:rPr>
        <w:t xml:space="preserve">。</w:t>
      </w:r>
      <w:bookmarkEnd w:id="105"/>
      <w:r/>
      <w:bookmarkEnd w:id="106"/>
      <w:r/>
      <w:r/>
    </w:p>
    <w:p>
      <w:pPr>
        <w:ind w:firstLine="425"/>
        <w:jc w:val="both"/>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en-US" w:eastAsia="zh-CN"/>
        </w:rPr>
        <w:t xml:space="preserve">16.2 </w:t>
      </w:r>
      <w:r>
        <w:rPr>
          <w:rFonts w:hint="eastAsia" w:ascii="宋体" w:hAnsi="宋体" w:eastAsia="宋体" w:cs="宋体"/>
          <w:color w:val="000000"/>
          <w:sz w:val="21"/>
          <w:szCs w:val="21"/>
          <w:highlight w:val="none"/>
          <w:lang w:val="zh-CN"/>
        </w:rPr>
        <w:t xml:space="preserve">合同货物如发生由于制造、运输、工艺或材料缺陷而造成的质量问题，乙方必须按</w:t>
      </w:r>
      <w:r>
        <w:rPr>
          <w:rFonts w:hint="eastAsia" w:ascii="宋体" w:hAnsi="宋体" w:eastAsia="宋体" w:cs="宋体"/>
          <w:color w:val="000000"/>
          <w:sz w:val="21"/>
          <w:szCs w:val="21"/>
          <w:highlight w:val="none"/>
          <w:lang w:val="en-US" w:eastAsia="zh-CN"/>
        </w:rPr>
        <w:t xml:space="preserve">合同约定</w:t>
      </w:r>
      <w:r>
        <w:rPr>
          <w:rFonts w:hint="eastAsia" w:ascii="宋体" w:hAnsi="宋体" w:eastAsia="宋体" w:cs="宋体"/>
          <w:color w:val="000000"/>
          <w:sz w:val="21"/>
          <w:szCs w:val="21"/>
          <w:highlight w:val="none"/>
          <w:lang w:val="zh-CN"/>
        </w:rPr>
        <w:t xml:space="preserve">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5"/>
        <w:jc w:val="both"/>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en-US" w:eastAsia="zh-CN"/>
        </w:rPr>
        <w:t xml:space="preserve">16.3 </w:t>
      </w:r>
      <w:r>
        <w:rPr>
          <w:rFonts w:hint="eastAsia" w:ascii="宋体" w:hAnsi="宋体" w:eastAsia="宋体" w:cs="宋体"/>
          <w:color w:val="000000"/>
          <w:sz w:val="21"/>
          <w:szCs w:val="21"/>
          <w:highlight w:val="none"/>
          <w:lang w:val="zh-CN"/>
        </w:rPr>
        <w:t xml:space="preserve">在本合同执行过程中，如由于乙方原因造成甲方或第三人人身伤害，或因乙方的故意行为或重大过失致使甲方或第三人财产损失的，乙方应依法承担赔偿责任。</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 在本合同规定的检验期和质量保证期内，如果乙方对甲方提出的索赔或差异有责任，则乙方应按甲方同意的下列一种或多种方式解决索赔事宜：</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.1 乙方同意退货，并按合同规定的货币将货款退还给</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lang w:val="zh-CN"/>
        </w:rPr>
        <w:t xml:space="preserve">，并承担由此发生的一切损失和费用，包括利息、银行手续费、运费、保险费、检验费、仓储费、装卸费、</w:t>
      </w:r>
      <w:r>
        <w:rPr>
          <w:rFonts w:hint="eastAsia" w:ascii="宋体" w:hAnsi="宋体" w:cs="宋体"/>
          <w:color w:val="000000"/>
          <w:sz w:val="21"/>
          <w:szCs w:val="21"/>
          <w:highlight w:val="none"/>
          <w:lang w:val="en-US" w:eastAsia="zh-CN"/>
        </w:rPr>
        <w:t xml:space="preserve">工程损失费</w:t>
      </w:r>
      <w:r>
        <w:rPr>
          <w:rFonts w:hint="eastAsia" w:ascii="宋体" w:hAnsi="宋体" w:cs="宋体"/>
          <w:color w:val="000000"/>
          <w:sz w:val="21"/>
          <w:szCs w:val="21"/>
          <w:highlight w:val="none"/>
          <w:lang w:val="zh-CN"/>
        </w:rPr>
        <w:t xml:space="preserve">以及为保护退回标的物所需的其</w:t>
      </w:r>
      <w:r>
        <w:rPr>
          <w:rFonts w:hint="eastAsia" w:ascii="宋体" w:hAnsi="宋体" w:cs="宋体"/>
          <w:color w:val="000000"/>
          <w:sz w:val="21"/>
          <w:szCs w:val="21"/>
          <w:highlight w:val="none"/>
          <w:lang w:val="en-US" w:eastAsia="zh-CN"/>
        </w:rPr>
        <w:t xml:space="preserve">他</w:t>
      </w:r>
      <w:r>
        <w:rPr>
          <w:rFonts w:hint="eastAsia" w:ascii="宋体" w:hAnsi="宋体" w:cs="宋体"/>
          <w:color w:val="000000"/>
          <w:sz w:val="21"/>
          <w:szCs w:val="21"/>
          <w:highlight w:val="none"/>
          <w:lang w:val="zh-CN"/>
        </w:rPr>
        <w:t xml:space="preserve">必要费用。</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.2 根</w:t>
      </w:r>
      <w:r>
        <w:rPr>
          <w:rFonts w:hint="eastAsia" w:ascii="宋体" w:hAnsi="宋体" w:eastAsia="宋体"/>
          <w:sz w:val="21"/>
          <w:szCs w:val="21"/>
          <w:highlight w:val="none"/>
        </w:rPr>
        <w:t xml:space="preserve">据标的物的低劣程度、损坏程度以及甲方遭受损失的数额，经</w:t>
      </w:r>
      <w:r>
        <w:rPr>
          <w:rFonts w:hint="eastAsia" w:ascii="宋体" w:hAnsi="宋体"/>
          <w:sz w:val="21"/>
          <w:szCs w:val="21"/>
          <w:highlight w:val="none"/>
          <w:lang w:val="en-US" w:eastAsia="zh-CN"/>
        </w:rPr>
        <w:t xml:space="preserve">甲乙</w:t>
      </w:r>
      <w:r>
        <w:rPr>
          <w:rFonts w:hint="eastAsia" w:ascii="宋体" w:hAnsi="宋体" w:eastAsia="宋体"/>
          <w:sz w:val="21"/>
          <w:szCs w:val="21"/>
          <w:highlight w:val="none"/>
        </w:rPr>
        <w:t xml:space="preserve">双方可商定降低标的物的价格，对已交付的货款多退少补</w:t>
      </w:r>
      <w:r>
        <w:rPr>
          <w:rFonts w:hint="eastAsia" w:ascii="宋体" w:hAnsi="宋体" w:cs="宋体"/>
          <w:color w:val="000000"/>
          <w:sz w:val="21"/>
          <w:szCs w:val="21"/>
          <w:highlight w:val="none"/>
          <w:lang w:val="zh-CN"/>
        </w:rPr>
        <w:t xml:space="preserve">。</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16.</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jc w:val="both"/>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八、知识产权：</w:t>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cs="宋体"/>
          <w:bCs/>
          <w:color w:val="000000"/>
          <w:sz w:val="21"/>
          <w:szCs w:val="21"/>
          <w:highlight w:val="none"/>
          <w:lang w:val="zh-CN"/>
        </w:rPr>
        <w:t xml:space="preserve">17. </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应保证</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免除且供方承担由于</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在其本国使用该设备或设备任何一部分时而引起第三方提出的侵犯专利权、商标权或工业设计权的起诉、行动、行政程序索赔、请求等以及</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为此而产生的损失和损害、费用和支出（包括律师费）</w:t>
      </w:r>
      <w:r>
        <w:rPr>
          <w:rFonts w:hint="eastAsia" w:ascii="宋体" w:hAnsi="宋体" w:cs="宋体"/>
          <w:color w:val="000000"/>
          <w:sz w:val="21"/>
          <w:szCs w:val="21"/>
          <w:highlight w:val="none"/>
          <w:lang w:eastAsia="zh-CN"/>
        </w:rPr>
        <w:t xml:space="preserve">。</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九、合同的解除和转让</w:t>
      </w:r>
      <w:r/>
    </w:p>
    <w:p>
      <w:pPr>
        <w:jc w:val="both"/>
        <w:spacing w:line="360" w:lineRule="auto"/>
        <w:rPr>
          <w:rFonts w:hint="eastAsia" w:ascii="宋体" w:hAnsi="宋体" w:cs="宋体"/>
          <w:bCs/>
          <w:color w:val="000000"/>
          <w:sz w:val="21"/>
          <w:szCs w:val="21"/>
          <w:highlight w:val="none"/>
        </w:rPr>
        <w:outlineLvl w:val="0"/>
      </w:pPr>
      <w:r/>
      <w:bookmarkStart w:id="107" w:name="_Toc48639247"/>
      <w:r/>
      <w:bookmarkStart w:id="108" w:name="_Toc48639376"/>
      <w:r>
        <w:rPr>
          <w:rFonts w:hint="eastAsia" w:ascii="宋体" w:hAnsi="宋体" w:cs="宋体"/>
          <w:bCs/>
          <w:color w:val="000000"/>
          <w:sz w:val="21"/>
          <w:szCs w:val="21"/>
          <w:highlight w:val="none"/>
        </w:rPr>
        <w:t xml:space="preserve">18</w:t>
      </w:r>
      <w:r>
        <w:rPr>
          <w:rFonts w:hint="eastAsia" w:ascii="宋体" w:hAnsi="宋体" w:cs="宋体"/>
          <w:bCs/>
          <w:color w:val="000000"/>
          <w:sz w:val="21"/>
          <w:szCs w:val="21"/>
          <w:highlight w:val="none"/>
          <w:lang w:eastAsia="zh-CN"/>
        </w:rPr>
        <w:t xml:space="preserve">. </w:t>
      </w:r>
      <w:r>
        <w:rPr>
          <w:rFonts w:hint="eastAsia" w:ascii="宋体" w:hAnsi="宋体" w:cs="宋体"/>
          <w:bCs/>
          <w:color w:val="000000"/>
          <w:sz w:val="21"/>
          <w:szCs w:val="21"/>
          <w:highlight w:val="none"/>
          <w:lang w:val="zh-CN"/>
        </w:rPr>
        <w:t xml:space="preserve">合同的解除</w:t>
      </w:r>
      <w:bookmarkEnd w:id="107"/>
      <w:r/>
      <w:bookmarkEnd w:id="108"/>
      <w:r/>
      <w:r/>
    </w:p>
    <w:p>
      <w:pPr>
        <w:ind w:firstLine="425"/>
        <w:jc w:val="both"/>
        <w:spacing w:line="360" w:lineRule="auto"/>
        <w:rPr>
          <w:rFonts w:hint="eastAsia" w:ascii="宋体" w:hAnsi="宋体" w:cs="宋体"/>
          <w:color w:val="000000"/>
          <w:sz w:val="21"/>
          <w:szCs w:val="21"/>
          <w:highlight w:val="none"/>
        </w:rPr>
        <w:outlineLvl w:val="0"/>
      </w:pPr>
      <w:r/>
      <w:bookmarkStart w:id="109" w:name="_Toc48639377"/>
      <w:r/>
      <w:bookmarkStart w:id="110" w:name="_Toc48639248"/>
      <w:r>
        <w:rPr>
          <w:rFonts w:hint="eastAsia" w:ascii="宋体" w:hAnsi="宋体" w:cs="宋体"/>
          <w:color w:val="000000"/>
          <w:sz w:val="21"/>
          <w:szCs w:val="21"/>
          <w:highlight w:val="none"/>
        </w:rPr>
        <w:t xml:space="preserve">18.1</w:t>
      </w:r>
      <w:r>
        <w:rPr>
          <w:rFonts w:hint="eastAsia" w:ascii="宋体" w:hAnsi="宋体" w:cs="宋体"/>
          <w:color w:val="000000"/>
          <w:sz w:val="21"/>
          <w:szCs w:val="21"/>
          <w:highlight w:val="none"/>
          <w:lang w:val="zh-CN"/>
        </w:rPr>
        <w:t xml:space="preserve">有下列情形之一</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合同一方可以解除合同</w:t>
      </w:r>
      <w:r>
        <w:rPr>
          <w:rFonts w:hint="eastAsia" w:ascii="宋体" w:hAnsi="宋体" w:cs="宋体"/>
          <w:color w:val="000000"/>
          <w:sz w:val="21"/>
          <w:szCs w:val="21"/>
          <w:highlight w:val="none"/>
        </w:rPr>
        <w:t xml:space="preserve">：</w:t>
      </w:r>
      <w:bookmarkEnd w:id="109"/>
      <w:r/>
      <w:bookmarkEnd w:id="110"/>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18.1.1 因不可抗力致使不能实现合同目的，未受不可抗力影响的一方有权解除合同；</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18.1.2 因合同一方违约导致合同不能履行，另一方有权解除合同；</w:t>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18.2 有权解除合同的一方，应当在违约事实或不可抗力发生之后三十天内书面通知对方以主张解除合同，合同在书面通知到达对方时解除。</w:t>
      </w:r>
      <w:r/>
    </w:p>
    <w:p>
      <w:pPr>
        <w:jc w:val="both"/>
        <w:spacing w:line="360" w:lineRule="auto"/>
        <w:rPr>
          <w:rFonts w:hint="eastAsia" w:ascii="宋体" w:hAnsi="宋体" w:cs="宋体"/>
          <w:bCs/>
          <w:color w:val="000000"/>
          <w:sz w:val="21"/>
          <w:szCs w:val="21"/>
          <w:highlight w:val="none"/>
        </w:rPr>
        <w:outlineLvl w:val="0"/>
      </w:pPr>
      <w:r/>
      <w:bookmarkStart w:id="111" w:name="_Toc48639249"/>
      <w:r/>
      <w:bookmarkStart w:id="112" w:name="_Toc48639378"/>
      <w:r>
        <w:rPr>
          <w:rFonts w:hint="eastAsia" w:ascii="宋体" w:hAnsi="宋体" w:cs="宋体"/>
          <w:bCs/>
          <w:color w:val="000000"/>
          <w:sz w:val="21"/>
          <w:szCs w:val="21"/>
          <w:highlight w:val="none"/>
          <w:lang w:val="zh-CN"/>
        </w:rPr>
        <w:t xml:space="preserve">19. 合同的转让</w:t>
      </w:r>
      <w:bookmarkEnd w:id="111"/>
      <w:r/>
      <w:bookmarkEnd w:id="112"/>
      <w:r/>
      <w:r/>
    </w:p>
    <w:p>
      <w:pPr>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     合同的部分和全部都不得转让。</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十、合同的生效</w:t>
      </w:r>
      <w:r/>
    </w:p>
    <w:p>
      <w:pPr>
        <w:jc w:val="both"/>
        <w:spacing w:line="360" w:lineRule="auto"/>
        <w:rPr>
          <w:rFonts w:hint="eastAsia" w:ascii="宋体" w:hAnsi="宋体" w:cs="宋体"/>
          <w:bCs/>
          <w:color w:val="000000"/>
          <w:sz w:val="21"/>
          <w:szCs w:val="21"/>
          <w:highlight w:val="none"/>
        </w:rPr>
        <w:outlineLvl w:val="0"/>
      </w:pPr>
      <w:r/>
      <w:bookmarkStart w:id="113" w:name="_Toc48639379"/>
      <w:r/>
      <w:bookmarkStart w:id="114" w:name="_Toc48639250"/>
      <w:r>
        <w:rPr>
          <w:rFonts w:hint="eastAsia" w:ascii="宋体" w:hAnsi="宋体" w:cs="宋体"/>
          <w:bCs/>
          <w:color w:val="000000"/>
          <w:sz w:val="21"/>
          <w:szCs w:val="21"/>
          <w:highlight w:val="none"/>
        </w:rPr>
        <w:t xml:space="preserve">20</w:t>
      </w:r>
      <w:r>
        <w:rPr>
          <w:rFonts w:hint="eastAsia" w:ascii="宋体" w:hAnsi="宋体" w:cs="宋体"/>
          <w:bCs/>
          <w:color w:val="000000"/>
          <w:sz w:val="21"/>
          <w:szCs w:val="21"/>
          <w:highlight w:val="none"/>
          <w:lang w:eastAsia="zh-CN"/>
        </w:rPr>
        <w:t xml:space="preserve">. </w:t>
      </w:r>
      <w:r>
        <w:rPr>
          <w:rFonts w:hint="eastAsia" w:ascii="宋体" w:hAnsi="宋体" w:cs="宋体"/>
          <w:bCs/>
          <w:color w:val="000000"/>
          <w:sz w:val="21"/>
          <w:szCs w:val="21"/>
          <w:highlight w:val="none"/>
          <w:lang w:val="zh-CN"/>
        </w:rPr>
        <w:t xml:space="preserve">合同的生效</w:t>
      </w:r>
      <w:bookmarkEnd w:id="113"/>
      <w:r/>
      <w:bookmarkEnd w:id="114"/>
      <w:r/>
      <w:r/>
    </w:p>
    <w:p>
      <w:pPr>
        <w:ind w:firstLine="425"/>
        <w:jc w:val="both"/>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cs="宋体"/>
          <w:color w:val="000000"/>
          <w:sz w:val="21"/>
          <w:szCs w:val="21"/>
          <w:highlight w:val="none"/>
        </w:rPr>
        <w:t xml:space="preserve">。</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十一、争议解决</w:t>
      </w:r>
      <w:r/>
    </w:p>
    <w:p>
      <w:pPr>
        <w:jc w:val="both"/>
        <w:spacing w:line="360" w:lineRule="auto"/>
        <w:rPr>
          <w:rFonts w:hint="eastAsia" w:ascii="宋体" w:hAnsi="宋体" w:cs="宋体"/>
          <w:bCs/>
          <w:color w:val="000000"/>
          <w:sz w:val="21"/>
          <w:szCs w:val="21"/>
          <w:highlight w:val="none"/>
        </w:rPr>
        <w:outlineLvl w:val="0"/>
      </w:pPr>
      <w:r/>
      <w:bookmarkStart w:id="115" w:name="_Toc48639380"/>
      <w:r/>
      <w:bookmarkStart w:id="116" w:name="_Toc48639251"/>
      <w:r>
        <w:rPr>
          <w:rFonts w:hint="eastAsia" w:ascii="宋体" w:hAnsi="宋体" w:cs="宋体"/>
          <w:bCs/>
          <w:color w:val="000000"/>
          <w:sz w:val="21"/>
          <w:szCs w:val="21"/>
          <w:highlight w:val="none"/>
          <w:lang w:val="zh-CN"/>
        </w:rPr>
        <w:t xml:space="preserve">21. 争议解决</w:t>
      </w:r>
      <w:bookmarkEnd w:id="115"/>
      <w:r/>
      <w:bookmarkEnd w:id="116"/>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甲乙双方因合同发生争议，双方应通过友好协商解决，协商不成，任何一方可以向甲方所在地人民法院起诉。</w:t>
      </w:r>
      <w:r/>
    </w:p>
    <w:p>
      <w:pPr>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十二、附则</w:t>
      </w:r>
      <w:r/>
    </w:p>
    <w:p>
      <w:pPr>
        <w:jc w:val="both"/>
        <w:spacing w:line="360" w:lineRule="auto"/>
        <w:rPr>
          <w:rFonts w:hint="eastAsia" w:ascii="宋体" w:hAnsi="宋体" w:cs="宋体"/>
          <w:bCs/>
          <w:color w:val="000000"/>
          <w:sz w:val="21"/>
          <w:szCs w:val="21"/>
          <w:highlight w:val="none"/>
        </w:rPr>
        <w:outlineLvl w:val="0"/>
      </w:pPr>
      <w:r/>
      <w:bookmarkStart w:id="117" w:name="_Toc48639252"/>
      <w:r/>
      <w:bookmarkStart w:id="118" w:name="_Toc48639381"/>
      <w:r>
        <w:rPr>
          <w:rFonts w:hint="eastAsia" w:ascii="宋体" w:hAnsi="宋体" w:cs="宋体"/>
          <w:bCs/>
          <w:color w:val="000000"/>
          <w:sz w:val="21"/>
          <w:szCs w:val="21"/>
          <w:highlight w:val="none"/>
          <w:lang w:val="zh-CN"/>
        </w:rPr>
        <w:t xml:space="preserve">22. 合同份数。</w:t>
      </w:r>
      <w:bookmarkEnd w:id="117"/>
      <w:r/>
      <w:bookmarkEnd w:id="118"/>
      <w:r/>
      <w:r/>
    </w:p>
    <w:p>
      <w:pPr>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 xml:space="preserve">本合同一式</w:t>
      </w:r>
      <w:r>
        <w:rPr>
          <w:rFonts w:hint="eastAsia" w:ascii="宋体" w:hAnsi="宋体" w:cs="宋体"/>
          <w:color w:val="000000"/>
          <w:sz w:val="21"/>
          <w:szCs w:val="21"/>
          <w:highlight w:val="none"/>
          <w:lang w:val="en-US" w:eastAsia="zh-CN"/>
        </w:rPr>
        <w:t xml:space="preserve">伍</w:t>
      </w:r>
      <w:r>
        <w:rPr>
          <w:rFonts w:hint="eastAsia" w:ascii="宋体" w:hAnsi="宋体" w:cs="宋体"/>
          <w:color w:val="000000"/>
          <w:sz w:val="21"/>
          <w:szCs w:val="21"/>
          <w:highlight w:val="none"/>
          <w:lang w:val="zh-CN"/>
        </w:rPr>
        <w:t xml:space="preserve">份，甲、乙方各执二份，招标代理机构一份</w:t>
      </w:r>
      <w:r>
        <w:rPr>
          <w:rFonts w:hint="eastAsia" w:ascii="宋体" w:hAnsi="宋体" w:eastAsia="宋体" w:cs="宋体"/>
          <w:color w:val="000000"/>
          <w:sz w:val="21"/>
          <w:szCs w:val="21"/>
          <w:highlight w:val="none"/>
          <w:lang w:val="zh-CN"/>
        </w:rPr>
        <w:t xml:space="preserve">，均具有同等法律效力</w:t>
      </w:r>
      <w:r>
        <w:rPr>
          <w:rFonts w:hint="eastAsia" w:ascii="宋体" w:hAnsi="宋体" w:cs="宋体"/>
          <w:color w:val="000000"/>
          <w:sz w:val="21"/>
          <w:szCs w:val="21"/>
          <w:highlight w:val="none"/>
          <w:lang w:val="zh-CN"/>
        </w:rPr>
        <w:t xml:space="preserve">。</w:t>
      </w:r>
      <w:r/>
    </w:p>
    <w:p>
      <w:pPr>
        <w:jc w:val="both"/>
        <w:spacing w:line="360" w:lineRule="auto"/>
        <w:rPr>
          <w:rFonts w:hint="eastAsia" w:ascii="宋体" w:hAnsi="宋体" w:cs="宋体"/>
          <w:bCs/>
          <w:color w:val="000000"/>
          <w:sz w:val="21"/>
          <w:szCs w:val="21"/>
          <w:highlight w:val="none"/>
        </w:rPr>
        <w:outlineLvl w:val="0"/>
      </w:pPr>
      <w:r/>
      <w:bookmarkStart w:id="119" w:name="_Toc48639382"/>
      <w:r/>
      <w:bookmarkStart w:id="120" w:name="_Toc48639253"/>
      <w:r>
        <w:rPr>
          <w:rFonts w:hint="eastAsia" w:ascii="宋体" w:hAnsi="宋体" w:cs="宋体"/>
          <w:bCs/>
          <w:color w:val="000000"/>
          <w:sz w:val="21"/>
          <w:szCs w:val="21"/>
          <w:highlight w:val="none"/>
          <w:lang w:val="zh-CN"/>
        </w:rPr>
        <w:t xml:space="preserve">23. 未尽事宜</w:t>
      </w:r>
      <w:bookmarkEnd w:id="119"/>
      <w:r/>
      <w:bookmarkEnd w:id="120"/>
      <w:r/>
      <w:r/>
    </w:p>
    <w:p>
      <w:pPr>
        <w:ind w:firstLine="425"/>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本合同未尽事宜应按《中华人民共和国民法典》、《中华人民共和国产品质量法》、《中华人民共和国政府采购法》及其它有关规定解释。</w:t>
      </w:r>
      <w:r/>
    </w:p>
    <w:p>
      <w:pPr>
        <w:pStyle w:val="1087"/>
        <w:jc w:val="center"/>
        <w:spacing w:after="240"/>
        <w:rPr>
          <w:rFonts w:hint="eastAsia"/>
          <w:color w:val="000000"/>
          <w:highlight w:val="none"/>
        </w:rPr>
      </w:pPr>
      <w:r>
        <w:rPr>
          <w:rFonts w:hint="eastAsia"/>
          <w:color w:val="000000"/>
          <w:sz w:val="21"/>
          <w:szCs w:val="21"/>
          <w:highlight w:val="none"/>
        </w:rPr>
        <w:br w:type="page" w:clear="all"/>
      </w:r>
      <w:bookmarkStart w:id="121" w:name="_Toc48639383"/>
      <w:r>
        <w:rPr>
          <w:rFonts w:hint="eastAsia"/>
          <w:color w:val="000000"/>
          <w:highlight w:val="none"/>
        </w:rPr>
        <w:t xml:space="preserve">第六章  合同特殊条款</w:t>
      </w:r>
      <w:bookmarkEnd w:id="121"/>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 ：</w:t>
      </w:r>
      <w:r>
        <w:rPr>
          <w:rFonts w:hint="eastAsia" w:ascii="宋体" w:hAnsi="宋体" w:cs="宋体"/>
          <w:b/>
          <w:bCs/>
          <w:color w:val="000000"/>
          <w:sz w:val="21"/>
          <w:szCs w:val="21"/>
          <w:highlight w:val="none"/>
          <w:lang w:val="zh-CN"/>
        </w:rPr>
        <w:t xml:space="preserve">苏州市吴江区盛泽镇人民政府</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 </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地址： </w:t>
      </w:r>
      <w:r/>
    </w:p>
    <w:p>
      <w:pPr>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w:t>
      </w:r>
      <w:r>
        <w:rPr>
          <w:rFonts w:hint="eastAsia" w:cs="宋体"/>
          <w:sz w:val="21"/>
          <w:szCs w:val="21"/>
          <w:highlight w:val="none"/>
        </w:rPr>
        <w:t xml:space="preserve">甲方委托中汇通项目管理咨询（苏州）有限公司进行采购</w:t>
      </w:r>
      <w:r>
        <w:rPr>
          <w:rFonts w:hint="eastAsia" w:ascii="宋体" w:hAnsi="宋体" w:cs="宋体"/>
          <w:color w:val="000000"/>
          <w:sz w:val="21"/>
          <w:szCs w:val="21"/>
          <w:highlight w:val="none"/>
          <w:lang w:val="zh-CN"/>
        </w:rPr>
        <w:t xml:space="preserve">编号</w:t>
      </w:r>
      <w:r>
        <w:rPr>
          <w:rFonts w:hint="eastAsia" w:ascii="宋体" w:hAnsi="宋体" w:cs="宋体"/>
          <w:color w:val="000000"/>
          <w:sz w:val="21"/>
          <w:szCs w:val="21"/>
          <w:highlight w:val="none"/>
          <w:lang w:eastAsia="zh-CN"/>
        </w:rPr>
        <w:t xml:space="preserve">JSZC-320509-ZHTX-G2026-0002</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lang w:val="zh-CN"/>
        </w:rPr>
        <w:t xml:space="preserve">招标文件、乙方中标的投标文件、中标通知书</w:t>
      </w:r>
      <w:r>
        <w:rPr>
          <w:rFonts w:hint="eastAsia" w:cs="宋体"/>
          <w:sz w:val="21"/>
          <w:szCs w:val="21"/>
          <w:highlight w:val="none"/>
        </w:rPr>
        <w:t xml:space="preserve">和《中华人民共和国民法典》及相关法律法规</w:t>
      </w:r>
      <w:r>
        <w:rPr>
          <w:rFonts w:hint="eastAsia" w:cs="宋体"/>
          <w:sz w:val="21"/>
          <w:szCs w:val="21"/>
          <w:highlight w:val="none"/>
          <w:lang w:val="en-US" w:eastAsia="zh-CN"/>
        </w:rPr>
        <w:t xml:space="preserve">的</w:t>
      </w:r>
      <w:r>
        <w:rPr>
          <w:rFonts w:hint="eastAsia" w:cs="宋体"/>
          <w:sz w:val="21"/>
          <w:szCs w:val="21"/>
          <w:highlight w:val="none"/>
        </w:rPr>
        <w:t xml:space="preserve">规定</w:t>
      </w:r>
      <w:r>
        <w:rPr>
          <w:rFonts w:hint="eastAsia" w:ascii="宋体" w:hAnsi="宋体" w:cs="宋体"/>
          <w:color w:val="000000"/>
          <w:sz w:val="21"/>
          <w:szCs w:val="21"/>
          <w:highlight w:val="none"/>
          <w:lang w:val="zh-CN"/>
        </w:rPr>
        <w:t xml:space="preserve">，甲乙双方就此次中标的</w:t>
      </w:r>
      <w:r>
        <w:rPr>
          <w:rFonts w:hint="eastAsia" w:ascii="宋体" w:hAnsi="宋体" w:cs="宋体"/>
          <w:color w:val="000000"/>
          <w:sz w:val="21"/>
          <w:szCs w:val="21"/>
          <w:highlight w:val="none"/>
          <w:u w:val="single"/>
        </w:rPr>
        <w:t xml:space="preserve">                  </w:t>
      </w:r>
      <w:r>
        <w:rPr>
          <w:rFonts w:hint="eastAsia" w:cs="宋体"/>
          <w:sz w:val="21"/>
          <w:szCs w:val="21"/>
          <w:highlight w:val="none"/>
        </w:rPr>
        <w:t xml:space="preserve">相关</w:t>
      </w:r>
      <w:r>
        <w:rPr>
          <w:rFonts w:hint="eastAsia" w:ascii="宋体" w:hAnsi="宋体" w:cs="宋体"/>
          <w:color w:val="000000"/>
          <w:sz w:val="21"/>
          <w:szCs w:val="21"/>
          <w:highlight w:val="none"/>
          <w:lang w:val="zh-CN"/>
        </w:rPr>
        <w:t xml:space="preserve">事宜，签订本合同书。</w:t>
      </w:r>
      <w:r/>
    </w:p>
    <w:p>
      <w:pPr>
        <w:ind w:firstLine="420"/>
        <w:jc w:val="both"/>
        <w:spacing w:line="440" w:lineRule="exact"/>
        <w:rPr>
          <w:rFonts w:hint="eastAsia" w:ascii="宋体" w:hAnsi="宋体" w:cs="宋体"/>
          <w:color w:val="000000"/>
          <w:sz w:val="21"/>
          <w:szCs w:val="21"/>
          <w:highlight w:val="none"/>
        </w:rPr>
        <w:outlineLvl w:val="0"/>
      </w:pPr>
      <w:r/>
      <w:bookmarkStart w:id="122" w:name="_Toc48639255"/>
      <w:r/>
      <w:bookmarkStart w:id="123" w:name="_Toc48639384"/>
      <w:r>
        <w:rPr>
          <w:rFonts w:hint="eastAsia" w:ascii="宋体" w:hAnsi="宋体" w:cs="宋体"/>
          <w:color w:val="000000"/>
          <w:sz w:val="21"/>
          <w:szCs w:val="21"/>
          <w:highlight w:val="none"/>
          <w:lang w:val="zh-CN"/>
        </w:rPr>
        <w:t xml:space="preserve">一、合同内容：</w:t>
      </w:r>
      <w:bookmarkEnd w:id="122"/>
      <w:r/>
      <w:bookmarkEnd w:id="123"/>
      <w:r/>
      <w:r/>
    </w:p>
    <w:p>
      <w:pPr>
        <w:ind w:firstLine="420"/>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、乙方负责完成甲方的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，详见《标的物清单》。</w:t>
      </w:r>
      <w:r/>
    </w:p>
    <w:p>
      <w:pPr>
        <w:ind w:firstLine="420"/>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①</w:t>
      </w:r>
      <w:r>
        <w:rPr>
          <w:rFonts w:hint="eastAsia" w:ascii="宋体" w:hAnsi="宋体" w:eastAsia="宋体" w:cs="宋体"/>
          <w:color w:val="000000"/>
          <w:sz w:val="21"/>
          <w:szCs w:val="21"/>
          <w:highlight w:val="none"/>
          <w:lang w:val="zh-CN"/>
        </w:rPr>
        <w:t xml:space="preserve">招标文件；</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②乙方中标的投标书；</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③乙方在招投标过程中所作的其他承诺、声明、书面澄清等；</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④中标通知书。</w:t>
      </w:r>
      <w:r/>
    </w:p>
    <w:p>
      <w:pPr>
        <w:ind w:firstLine="425"/>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以上与本合同具有同等效力。</w:t>
      </w:r>
      <w:r/>
    </w:p>
    <w:p>
      <w:pPr>
        <w:ind w:firstLine="420"/>
        <w:jc w:val="both"/>
        <w:spacing w:line="440" w:lineRule="exact"/>
        <w:rPr>
          <w:rFonts w:hint="eastAsia" w:ascii="宋体" w:hAnsi="宋体" w:cs="宋体"/>
          <w:color w:val="000000"/>
          <w:sz w:val="21"/>
          <w:szCs w:val="21"/>
          <w:highlight w:val="none"/>
        </w:rPr>
        <w:outlineLvl w:val="0"/>
      </w:pPr>
      <w:r/>
      <w:bookmarkStart w:id="124" w:name="_Toc48639256"/>
      <w:r/>
      <w:bookmarkStart w:id="125" w:name="_Toc48639385"/>
      <w:r>
        <w:rPr>
          <w:rFonts w:hint="eastAsia" w:ascii="宋体" w:hAnsi="宋体" w:cs="宋体"/>
          <w:color w:val="000000"/>
          <w:sz w:val="21"/>
          <w:szCs w:val="21"/>
          <w:highlight w:val="none"/>
          <w:lang w:val="zh-CN"/>
        </w:rPr>
        <w:t xml:space="preserve">二、价格与支付：</w:t>
      </w:r>
      <w:bookmarkEnd w:id="124"/>
      <w:r/>
      <w:bookmarkEnd w:id="125"/>
      <w:r/>
      <w:r/>
    </w:p>
    <w:p>
      <w:pPr>
        <w:ind w:firstLine="420"/>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1、本合同价格为项目所在地含税价，本合同价格按人民币</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zh-CN"/>
        </w:rPr>
        <w:t xml:space="preserve">结算。合同</w:t>
      </w:r>
      <w:r>
        <w:rPr>
          <w:rFonts w:hint="eastAsia" w:ascii="宋体" w:hAnsi="宋体" w:cs="宋体"/>
          <w:color w:val="000000"/>
          <w:sz w:val="21"/>
          <w:szCs w:val="21"/>
          <w:highlight w:val="none"/>
          <w:lang w:val="en-US" w:eastAsia="zh-CN"/>
        </w:rPr>
        <w:t xml:space="preserve">总</w:t>
      </w:r>
      <w:r>
        <w:rPr>
          <w:rFonts w:hint="eastAsia" w:ascii="宋体" w:hAnsi="宋体" w:cs="宋体"/>
          <w:color w:val="000000"/>
          <w:sz w:val="21"/>
          <w:szCs w:val="21"/>
          <w:highlight w:val="none"/>
          <w:lang w:val="zh-CN"/>
        </w:rPr>
        <w:t xml:space="preserve">价格</w:t>
      </w:r>
      <w:r>
        <w:rPr>
          <w:rFonts w:hint="eastAsia" w:ascii="宋体" w:hAnsi="宋体" w:cs="宋体"/>
          <w:color w:val="000000"/>
          <w:sz w:val="21"/>
          <w:szCs w:val="21"/>
          <w:highlight w:val="none"/>
        </w:rPr>
        <w:t xml:space="preserve">包括</w:t>
      </w:r>
      <w:r>
        <w:rPr>
          <w:rFonts w:hint="eastAsia" w:ascii="宋体" w:hAnsi="宋体" w:eastAsia="宋体" w:cs="宋体"/>
          <w:color w:val="000000"/>
          <w:sz w:val="21"/>
          <w:szCs w:val="21"/>
          <w:highlight w:val="none"/>
          <w:lang w:eastAsia="zh-CN"/>
        </w:rPr>
        <w:t xml:space="preserve">所有货物（含附属配套设施设备、器材）和</w:t>
      </w:r>
      <w:r>
        <w:rPr>
          <w:rFonts w:hint="eastAsia" w:ascii="宋体" w:hAnsi="宋体" w:eastAsia="宋体" w:cs="宋体"/>
          <w:color w:val="000000"/>
          <w:sz w:val="21"/>
          <w:szCs w:val="21"/>
          <w:highlight w:val="none"/>
          <w:lang w:val="en-US" w:eastAsia="zh-CN"/>
        </w:rPr>
        <w:t xml:space="preserve">配套</w:t>
      </w:r>
      <w:r>
        <w:rPr>
          <w:rFonts w:hint="eastAsia" w:ascii="宋体" w:hAnsi="宋体" w:eastAsia="宋体" w:cs="宋体"/>
          <w:color w:val="000000"/>
          <w:sz w:val="21"/>
          <w:szCs w:val="21"/>
          <w:highlight w:val="none"/>
          <w:lang w:eastAsia="zh-CN"/>
        </w:rPr>
        <w:t xml:space="preserve">服务以及相关的</w:t>
      </w:r>
      <w:r>
        <w:rPr>
          <w:rFonts w:hint="eastAsia" w:ascii="宋体" w:hAnsi="宋体" w:eastAsia="宋体" w:cs="宋体"/>
          <w:color w:val="000000"/>
          <w:sz w:val="21"/>
          <w:szCs w:val="21"/>
          <w:highlight w:val="none"/>
          <w:lang w:val="en-US" w:eastAsia="zh-CN"/>
        </w:rPr>
        <w:t xml:space="preserve">备品、</w:t>
      </w:r>
      <w:r>
        <w:rPr>
          <w:rFonts w:hint="eastAsia" w:ascii="宋体" w:hAnsi="宋体" w:eastAsia="宋体" w:cs="宋体"/>
          <w:color w:val="000000"/>
          <w:sz w:val="21"/>
          <w:szCs w:val="21"/>
          <w:highlight w:val="none"/>
          <w:lang w:eastAsia="zh-CN"/>
        </w:rPr>
        <w:t xml:space="preserve">备件、专用工具、</w:t>
      </w:r>
      <w:r>
        <w:rPr>
          <w:rFonts w:hint="eastAsia" w:ascii="宋体" w:hAnsi="宋体" w:eastAsia="宋体" w:cs="宋体"/>
          <w:color w:val="000000"/>
          <w:sz w:val="21"/>
          <w:szCs w:val="21"/>
          <w:highlight w:val="none"/>
          <w:lang w:val="en-US" w:eastAsia="zh-CN"/>
        </w:rPr>
        <w:t xml:space="preserve">包装、</w:t>
      </w:r>
      <w:r>
        <w:rPr>
          <w:rFonts w:hint="eastAsia" w:ascii="宋体" w:hAnsi="宋体" w:eastAsia="宋体" w:cs="宋体"/>
          <w:color w:val="000000"/>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000000"/>
          <w:sz w:val="21"/>
          <w:szCs w:val="21"/>
          <w:highlight w:val="none"/>
        </w:rPr>
        <w:t xml:space="preserve">车保险费用不含在投标总报价中）</w:t>
      </w:r>
      <w:r/>
    </w:p>
    <w:p>
      <w:pPr>
        <w:ind w:firstLine="42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、付款</w:t>
      </w:r>
      <w:r>
        <w:rPr>
          <w:rFonts w:hint="eastAsia" w:ascii="宋体" w:hAnsi="宋体" w:cs="宋体"/>
          <w:color w:val="000000"/>
          <w:sz w:val="21"/>
          <w:szCs w:val="21"/>
          <w:highlight w:val="none"/>
          <w:lang w:val="en-US" w:eastAsia="zh-CN"/>
        </w:rPr>
        <w:t xml:space="preserve">步骤</w:t>
      </w:r>
      <w:r>
        <w:rPr>
          <w:rFonts w:hint="eastAsia" w:ascii="宋体" w:hAnsi="宋体" w:cs="宋体"/>
          <w:color w:val="000000"/>
          <w:sz w:val="21"/>
          <w:szCs w:val="21"/>
          <w:highlight w:val="none"/>
          <w:lang w:val="zh-CN"/>
        </w:rPr>
        <w:t xml:space="preserve">：</w:t>
      </w:r>
      <w:r>
        <w:rPr>
          <w:rFonts w:hint="eastAsia" w:ascii="宋体" w:hAnsi="宋体" w:cs="宋体"/>
          <w:bCs/>
          <w:color w:val="000000"/>
          <w:sz w:val="21"/>
          <w:szCs w:val="21"/>
          <w:highlight w:val="none"/>
        </w:rPr>
        <w:t xml:space="preserve">在合同签订生效后，甲方向乙方支付</w:t>
      </w:r>
      <w:r>
        <w:rPr>
          <w:rFonts w:hint="eastAsia" w:ascii="宋体" w:hAnsi="宋体" w:eastAsia="宋体" w:cs="宋体"/>
          <w:bCs/>
          <w:color w:val="000000"/>
          <w:sz w:val="21"/>
          <w:szCs w:val="21"/>
          <w:highlight w:val="none"/>
        </w:rPr>
        <w:t xml:space="preserve">合同金额</w:t>
      </w:r>
      <w:r>
        <w:rPr>
          <w:rFonts w:hint="eastAsia" w:ascii="宋体" w:hAnsi="宋体" w:eastAsia="宋体" w:cs="宋体"/>
          <w:bCs/>
          <w:color w:val="000000"/>
          <w:sz w:val="21"/>
          <w:szCs w:val="21"/>
          <w:highlight w:val="none"/>
          <w:lang w:val="en-US" w:eastAsia="zh-CN"/>
        </w:rPr>
        <w:t xml:space="preserve">的</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0％</w:t>
      </w:r>
      <w:r>
        <w:rPr>
          <w:rFonts w:hint="eastAsia" w:ascii="宋体" w:hAnsi="宋体" w:eastAsia="宋体" w:cs="宋体"/>
          <w:bCs/>
          <w:color w:val="000000"/>
          <w:sz w:val="21"/>
          <w:szCs w:val="21"/>
          <w:highlight w:val="none"/>
          <w:lang w:val="en-US" w:eastAsia="zh-CN"/>
        </w:rPr>
        <w:t xml:space="preserve">作为</w:t>
      </w:r>
      <w:r>
        <w:rPr>
          <w:rFonts w:hint="eastAsia" w:ascii="宋体" w:hAnsi="宋体" w:eastAsia="宋体" w:cs="宋体"/>
          <w:bCs/>
          <w:color w:val="000000"/>
          <w:sz w:val="21"/>
          <w:szCs w:val="21"/>
          <w:highlight w:val="none"/>
        </w:rPr>
        <w:t xml:space="preserve">预付款</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待货物全部交付并整体调试竣工验收合格后，甲方向乙方</w:t>
      </w:r>
      <w:r>
        <w:rPr>
          <w:rFonts w:hint="eastAsia" w:ascii="宋体" w:hAnsi="宋体" w:eastAsia="宋体" w:cs="宋体"/>
          <w:bCs/>
          <w:color w:val="000000"/>
          <w:sz w:val="21"/>
          <w:szCs w:val="21"/>
          <w:highlight w:val="none"/>
          <w:lang w:val="en-US" w:eastAsia="zh-CN"/>
        </w:rPr>
        <w:t xml:space="preserve">支付至</w:t>
      </w:r>
      <w:r>
        <w:rPr>
          <w:rFonts w:hint="eastAsia" w:ascii="宋体" w:hAnsi="宋体" w:eastAsia="宋体" w:cs="宋体"/>
          <w:bCs/>
          <w:color w:val="000000"/>
          <w:sz w:val="21"/>
          <w:szCs w:val="21"/>
          <w:highlight w:val="none"/>
        </w:rPr>
        <w:t xml:space="preserve">合同金额的</w:t>
      </w:r>
      <w:r>
        <w:rPr>
          <w:rFonts w:hint="eastAsia" w:ascii="宋体" w:hAnsi="宋体" w:cs="宋体"/>
          <w:bCs/>
          <w:color w:val="000000"/>
          <w:sz w:val="21"/>
          <w:szCs w:val="21"/>
          <w:highlight w:val="none"/>
          <w:lang w:val="en-US" w:eastAsia="zh-CN"/>
        </w:rPr>
        <w:t xml:space="preserve">95</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竣工验收合格</w:t>
      </w:r>
      <w:r>
        <w:rPr>
          <w:rFonts w:hint="eastAsia" w:ascii="宋体" w:hAnsi="宋体" w:cs="宋体"/>
          <w:bCs/>
          <w:color w:val="000000"/>
          <w:sz w:val="21"/>
          <w:szCs w:val="21"/>
          <w:highlight w:val="none"/>
          <w:lang w:val="en-US" w:eastAsia="zh-CN"/>
        </w:rPr>
        <w:t xml:space="preserve">一年后，</w:t>
      </w:r>
      <w:r>
        <w:rPr>
          <w:rFonts w:hint="eastAsia" w:ascii="宋体" w:hAnsi="宋体" w:eastAsia="宋体" w:cs="宋体"/>
          <w:bCs/>
          <w:color w:val="000000"/>
          <w:sz w:val="21"/>
          <w:szCs w:val="21"/>
          <w:highlight w:val="none"/>
        </w:rPr>
        <w:t xml:space="preserve">甲方向乙方</w:t>
      </w:r>
      <w:r>
        <w:rPr>
          <w:rFonts w:hint="eastAsia" w:ascii="宋体" w:hAnsi="宋体" w:eastAsia="宋体" w:cs="宋体"/>
          <w:bCs/>
          <w:color w:val="000000"/>
          <w:sz w:val="21"/>
          <w:szCs w:val="21"/>
          <w:highlight w:val="none"/>
          <w:lang w:val="en-US" w:eastAsia="zh-CN"/>
        </w:rPr>
        <w:t xml:space="preserve">一次性</w:t>
      </w:r>
      <w:r>
        <w:rPr>
          <w:rFonts w:hint="eastAsia" w:ascii="宋体" w:hAnsi="宋体" w:cs="宋体"/>
          <w:bCs/>
          <w:color w:val="000000"/>
          <w:sz w:val="21"/>
          <w:szCs w:val="21"/>
          <w:highlight w:val="none"/>
          <w:lang w:val="en-US" w:eastAsia="zh-CN"/>
        </w:rPr>
        <w:t xml:space="preserve">付清</w:t>
      </w:r>
      <w:r>
        <w:rPr>
          <w:rFonts w:hint="eastAsia" w:ascii="宋体" w:hAnsi="宋体" w:eastAsia="宋体" w:cs="宋体"/>
          <w:bCs/>
          <w:color w:val="000000"/>
          <w:sz w:val="21"/>
          <w:szCs w:val="21"/>
          <w:highlight w:val="none"/>
        </w:rPr>
        <w:t xml:space="preserve">尾款。</w:t>
      </w:r>
      <w:r/>
    </w:p>
    <w:p>
      <w:pPr>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3、甲方付款时，乙方需提供以下资料：</w:t>
      </w:r>
      <w:r/>
    </w:p>
    <w:p>
      <w:pPr>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A、</w:t>
      </w:r>
      <w:r>
        <w:rPr>
          <w:rFonts w:hint="eastAsia" w:ascii="宋体" w:hAnsi="宋体" w:cs="宋体"/>
          <w:color w:val="000000"/>
          <w:sz w:val="21"/>
          <w:szCs w:val="21"/>
          <w:highlight w:val="none"/>
          <w:lang w:val="en-US" w:eastAsia="zh-CN"/>
        </w:rPr>
        <w:t xml:space="preserve">正式足额的合格</w:t>
      </w:r>
      <w:r>
        <w:rPr>
          <w:rFonts w:hint="eastAsia" w:ascii="宋体" w:hAnsi="宋体" w:cs="宋体"/>
          <w:color w:val="000000"/>
          <w:sz w:val="21"/>
          <w:szCs w:val="21"/>
          <w:highlight w:val="none"/>
          <w:lang w:val="zh-CN"/>
        </w:rPr>
        <w:t xml:space="preserve">发票。</w:t>
      </w:r>
      <w:r/>
    </w:p>
    <w:p>
      <w:pPr>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B、</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lang w:val="zh-CN"/>
        </w:rPr>
        <w:t xml:space="preserve">签收的送货回单</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验收合格证明。</w:t>
      </w:r>
      <w:r/>
    </w:p>
    <w:p>
      <w:pPr>
        <w:ind w:firstLine="420"/>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付款前，乙方应开具正规合格的增值税专用发票原件提交甲方，甲方将支付相应款项。</w:t>
      </w:r>
      <w:r/>
    </w:p>
    <w:p>
      <w:pPr>
        <w:ind w:firstLine="42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付款方式：银行</w:t>
      </w:r>
      <w:r>
        <w:rPr>
          <w:rFonts w:hint="eastAsia" w:ascii="宋体" w:hAnsi="宋体" w:eastAsia="宋体" w:cs="宋体"/>
          <w:color w:val="000000"/>
          <w:sz w:val="21"/>
          <w:szCs w:val="21"/>
          <w:highlight w:val="none"/>
          <w:lang w:val="zh-CN"/>
        </w:rPr>
        <w:t xml:space="preserve">汇票或转帐。</w:t>
      </w:r>
      <w:r/>
    </w:p>
    <w:p>
      <w:pPr>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乙方收款账户名称： </w:t>
      </w:r>
      <w:r/>
    </w:p>
    <w:p>
      <w:pPr>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开户银行名称： </w:t>
      </w:r>
      <w:r/>
    </w:p>
    <w:p>
      <w:pPr>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收款账号：</w:t>
      </w:r>
      <w:r/>
    </w:p>
    <w:p>
      <w:pPr>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bookmarkStart w:id="126" w:name="_Toc48639386"/>
      <w:r/>
      <w:bookmarkStart w:id="127" w:name="_Toc48639257"/>
      <w:r>
        <w:rPr>
          <w:rFonts w:hint="eastAsia" w:ascii="宋体" w:hAnsi="宋体" w:eastAsia="宋体" w:cs="宋体"/>
          <w:color w:val="000000"/>
          <w:sz w:val="21"/>
          <w:szCs w:val="21"/>
          <w:highlight w:val="none"/>
          <w:lang w:val="zh-CN" w:eastAsia="zh-CN"/>
        </w:rPr>
        <w:t xml:space="preserve">三、</w:t>
      </w:r>
      <w:bookmarkEnd w:id="126"/>
      <w:r/>
      <w:bookmarkEnd w:id="127"/>
      <w:r/>
      <w:bookmarkStart w:id="128" w:name="_Toc48639261"/>
      <w:r/>
      <w:bookmarkStart w:id="129" w:name="_Toc48639390"/>
      <w:r>
        <w:rPr>
          <w:rFonts w:hint="eastAsia" w:ascii="宋体" w:hAnsi="宋体" w:eastAsia="宋体" w:cs="宋体"/>
          <w:color w:val="000000"/>
          <w:sz w:val="21"/>
          <w:szCs w:val="21"/>
          <w:highlight w:val="none"/>
          <w:lang w:val="zh-CN" w:eastAsia="zh-CN"/>
        </w:rPr>
        <w:t xml:space="preserve">交付时间、地点、方式： </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（一）交付方式：所有合同货物均由乙方装运至甲方指定地点，所有货物的包装费用、运输费用及运输安全均由乙方负责。货物装运后由乙方办理保险，费用已含在合同总价中。</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（二）交货期：自合同签订生效后10个月内完成全部采购内容的供货安装调试并交付正常使用；整车质保2年，免费保修期为自货物验收合格之日起计算。</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（三）交货地点：甲方指定地点。</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（五）所有货物的外观、包装、运输应按国家规定或部颁标准执行。任何由于乙方包装及保护措施不足或不当以及其它原因造成的损坏或丢失，均由乙方负责修复或补缺。</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（六）货物交货时，包装须完整无破损，乙方还必须提供以下材料：</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A、货物装箱清单                    B、质量检验合格文件</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C、中英文技术资料                  D、使用维修保养中文说明书</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E、其它必备材料和必备工具等        F、保修单等其它必须材料</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（七）如因甲方原因货物不能在规定时间内进场，乙方承诺免费提供货物寄存场所一个月，货物寄存于乙方仓库。如超过一个月时间，所产生的仓储费用双方将协商另计。</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四</w:t>
      </w:r>
      <w:r>
        <w:rPr>
          <w:rFonts w:hint="eastAsia" w:ascii="宋体" w:hAnsi="宋体" w:cs="宋体"/>
          <w:color w:val="000000"/>
          <w:sz w:val="21"/>
          <w:szCs w:val="21"/>
          <w:highlight w:val="none"/>
          <w:lang w:val="zh-CN"/>
        </w:rPr>
        <w:t xml:space="preserve">、质量及验收：</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1、产品质量及安装符合国家质量标准和验收规范，供应商应保证所供标的物是全新的，未使用过的，并且是非长期积压的库存商品。</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2、所有产品各项技术应当符合国家（强制性）标准及各项规范要求；国家没有相应标准、规范的，可使用行业标准、规定；非标准设备按招标约定的技术要求和规范。 </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3、所有设备在到达安装现场时须经采购单位技术人员记录验收后才可进行设备安装，验货时须提交该产品的原厂质量合格证明及服务质保证明文件。</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4、所有设备、附（配）件应具备该类产品的功能要求，无瑕疵和缺陷，质量为合格产品，同时有明确的生产厂商或制造厂商。 </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5、缺陷保修：如果设备交付使用后，缺陷多次反复出现，中标方必须提出分析报告和解决方案，更换该产品，直到最后纠正缺陷、投标人提供质保从纠正之日起重新计算质保期。</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6、如果是超出投标人的责任范围的疏忽、误操作等情况而导致的更换修正，应由投标人进行修理，其额外费用由双方协商承担。</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7、验收要求：</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7.1履约验收标准：根据政府采购合同要求、招标文件要求、投标文件、承诺及有关行业规定。</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7.2履约验收主体：由甲方或委托专家（或第三方机构）组成的验收小组进行验收。</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7.4验收时间：</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（1）政府采购合同约定的履约验收条件达到时，甲方应当在 5 个工作日内启动履约验收工作，并向乙方发出《政府采购履约验收通知单》。</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（2）在政府采购合同约定的履行验收条件达到时，乙方可以主动联系甲方启动履约验收工作。</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7.5其他验收要求按照《江苏省政府采购履约验收管理办法》规定执行。</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五</w:t>
      </w:r>
      <w:r>
        <w:rPr>
          <w:rFonts w:hint="eastAsia" w:ascii="宋体" w:hAnsi="宋体" w:cs="宋体"/>
          <w:color w:val="000000"/>
          <w:sz w:val="21"/>
          <w:szCs w:val="21"/>
          <w:highlight w:val="none"/>
          <w:lang w:val="zh-CN"/>
        </w:rPr>
        <w:t xml:space="preserve">、售后服务及其他要求：</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（一）具体按招标文件售后服务条款。</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（二）其他要求按乙方投标文件承诺的条款执行。</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en-US" w:eastAsia="zh-CN"/>
        </w:rPr>
        <w:t xml:space="preserve">六</w:t>
      </w:r>
      <w:r>
        <w:rPr>
          <w:rFonts w:hint="eastAsia" w:ascii="宋体" w:hAnsi="宋体" w:cs="宋体"/>
          <w:color w:val="000000"/>
          <w:sz w:val="21"/>
          <w:szCs w:val="21"/>
          <w:highlight w:val="none"/>
          <w:lang w:val="zh-CN"/>
        </w:rPr>
        <w:t xml:space="preserve">、税费：</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（一）根据国家现行税法对甲方征收的与本合同有关的税费均由甲方承担；根据国家现行税法对乙方征收的与本合同有关的一切税费均由乙方承担。</w:t>
      </w:r>
      <w:r/>
    </w:p>
    <w:p>
      <w:pPr>
        <w:ind w:firstLine="425"/>
        <w:jc w:val="both"/>
        <w:spacing w:line="44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（二）本合同价格为含税价。乙方提供的所有货物、技术资料、技术服务、设备/部件等所有税费，已全部包含在合同价格内，由乙方承担。</w:t>
      </w:r>
      <w:r/>
    </w:p>
    <w:p>
      <w:pPr>
        <w:ind w:firstLine="425"/>
        <w:jc w:val="both"/>
        <w:spacing w:line="44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七、履约保证金：</w:t>
      </w:r>
      <w:bookmarkEnd w:id="128"/>
      <w:r/>
      <w:bookmarkEnd w:id="129"/>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lang w:val="zh-CN"/>
        </w:rPr>
        <w:t xml:space="preserve">。</w:t>
      </w:r>
      <w:r/>
    </w:p>
    <w:p>
      <w:pPr>
        <w:ind w:firstLine="425"/>
        <w:jc w:val="both"/>
        <w:spacing w:line="440" w:lineRule="exact"/>
        <w:rPr>
          <w:rFonts w:hint="eastAsia" w:ascii="宋体" w:hAnsi="宋体" w:cs="宋体"/>
          <w:color w:val="000000"/>
          <w:sz w:val="21"/>
          <w:szCs w:val="21"/>
          <w:highlight w:val="none"/>
        </w:rPr>
        <w:outlineLvl w:val="0"/>
      </w:pPr>
      <w:r/>
      <w:bookmarkStart w:id="130" w:name="_Toc48639391"/>
      <w:r/>
      <w:bookmarkStart w:id="131" w:name="_Toc48639262"/>
      <w:r>
        <w:rPr>
          <w:rFonts w:hint="eastAsia" w:ascii="宋体" w:hAnsi="宋体" w:cs="宋体"/>
          <w:color w:val="000000"/>
          <w:sz w:val="21"/>
          <w:szCs w:val="21"/>
          <w:highlight w:val="none"/>
        </w:rPr>
        <w:t xml:space="preserve">八、合同生效及其它：</w:t>
      </w:r>
      <w:bookmarkEnd w:id="130"/>
      <w:r/>
      <w:bookmarkEnd w:id="131"/>
      <w:r/>
      <w:r/>
    </w:p>
    <w:p>
      <w:pPr>
        <w:ind w:firstLine="425"/>
        <w:jc w:val="both"/>
        <w:spacing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1、本合同在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eastAsia="宋体" w:cs="宋体"/>
          <w:color w:val="000000"/>
          <w:sz w:val="21"/>
          <w:szCs w:val="21"/>
          <w:highlight w:val="none"/>
        </w:rPr>
        <w:t xml:space="preserve">。</w:t>
      </w:r>
      <w:r/>
    </w:p>
    <w:p>
      <w:pPr>
        <w:ind w:firstLine="425"/>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提交一份备存。</w:t>
      </w:r>
      <w:r/>
    </w:p>
    <w:p>
      <w:pPr>
        <w:ind w:firstLine="425"/>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采购合同签约与备案签署栏：</w:t>
      </w:r>
      <w:r/>
    </w:p>
    <w:p>
      <w:pPr>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 </w:t>
      </w:r>
      <w:r/>
    </w:p>
    <w:p>
      <w:pPr>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（公章或合同专用章）                      （公章或合同专用章）</w:t>
      </w:r>
      <w:r/>
    </w:p>
    <w:p>
      <w:pPr>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lang w:val="zh-CN"/>
        </w:rPr>
        <w:t xml:space="preserve">）：                法定代表人（</w:t>
      </w: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lang w:val="zh-CN"/>
        </w:rPr>
        <w:t xml:space="preserve">）：  </w:t>
      </w:r>
      <w:r/>
    </w:p>
    <w:p>
      <w:pPr>
        <w:jc w:val="both"/>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合同签订日期：                            合同签订日期：  </w:t>
      </w:r>
      <w:r/>
    </w:p>
    <w:p>
      <w:pPr>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合同签订地：苏州市</w:t>
      </w:r>
      <w:r>
        <w:rPr>
          <w:rFonts w:hint="eastAsia" w:ascii="宋体" w:hAnsi="宋体" w:eastAsia="宋体" w:cs="宋体"/>
          <w:color w:val="000000"/>
          <w:sz w:val="21"/>
          <w:szCs w:val="21"/>
          <w:highlight w:val="none"/>
          <w:lang w:val="en-US" w:eastAsia="zh-CN"/>
        </w:rPr>
        <w:t xml:space="preserve">吴江区</w:t>
      </w:r>
      <w:r>
        <w:rPr>
          <w:rFonts w:hint="eastAsia" w:ascii="宋体" w:hAnsi="宋体" w:eastAsia="宋体" w:cs="宋体"/>
          <w:color w:val="000000"/>
          <w:sz w:val="21"/>
          <w:szCs w:val="21"/>
          <w:highlight w:val="none"/>
          <w:lang w:eastAsia="zh-CN"/>
        </w:rPr>
        <w:t xml:space="preserve">。</w:t>
      </w:r>
      <w:r/>
    </w:p>
    <w:p>
      <w:pPr>
        <w:pStyle w:val="1087"/>
        <w:jc w:val="center"/>
        <w:spacing w:after="0"/>
        <w:rPr>
          <w:rFonts w:hint="eastAsia"/>
          <w:color w:val="000000"/>
          <w:highlight w:val="none"/>
        </w:rPr>
      </w:pPr>
      <w:r>
        <w:rPr>
          <w:rFonts w:hint="eastAsia"/>
          <w:color w:val="000000"/>
          <w:sz w:val="21"/>
          <w:szCs w:val="21"/>
          <w:highlight w:val="none"/>
          <w:lang w:val="zh-CN"/>
        </w:rPr>
        <w:br w:type="page" w:clear="all"/>
      </w:r>
      <w:bookmarkStart w:id="132" w:name="_Toc48639263"/>
      <w:r/>
      <w:bookmarkStart w:id="133" w:name="_Toc48639392"/>
      <w:r>
        <w:rPr>
          <w:rFonts w:hint="eastAsia"/>
          <w:color w:val="000000"/>
          <w:highlight w:val="none"/>
        </w:rPr>
        <w:t xml:space="preserve">第七章 评标方法、评分标准</w:t>
      </w:r>
      <w:bookmarkEnd w:id="132"/>
      <w:r/>
      <w:bookmarkEnd w:id="133"/>
      <w:r/>
      <w:r/>
    </w:p>
    <w:p>
      <w:pPr>
        <w:ind w:firstLine="422"/>
        <w:jc w:val="both"/>
        <w:spacing w:line="360" w:lineRule="auto"/>
        <w:widowControl w:val="off"/>
        <w:rPr>
          <w:rFonts w:hint="eastAsia" w:ascii="宋体" w:hAnsi="宋体" w:cs="宋体"/>
          <w:b/>
          <w:bCs/>
          <w:color w:val="000000"/>
          <w:sz w:val="21"/>
          <w:szCs w:val="21"/>
          <w:highlight w:val="none"/>
        </w:rPr>
        <w:outlineLvl w:val="0"/>
      </w:pPr>
      <w:r/>
      <w:bookmarkStart w:id="134" w:name="_Toc48639393"/>
      <w:r/>
      <w:bookmarkStart w:id="135" w:name="_Toc48639264"/>
      <w:r>
        <w:rPr>
          <w:rFonts w:hint="eastAsia" w:ascii="宋体" w:hAnsi="宋体" w:cs="宋体"/>
          <w:b/>
          <w:bCs/>
          <w:color w:val="000000"/>
          <w:sz w:val="21"/>
          <w:szCs w:val="21"/>
          <w:highlight w:val="none"/>
        </w:rPr>
        <w:t xml:space="preserve">一、评标方法：</w:t>
      </w:r>
      <w:bookmarkEnd w:id="134"/>
      <w:r/>
      <w:bookmarkEnd w:id="135"/>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本次采购评审方法为综合评分法。即在最大限度地满足采购文件实质性要求前提下，按照采购文件中规定的各项因素进行综合评审后，以评审总得分最高的供应商作为成交供应商的评审方法。</w:t>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综合评分的主要因素为：综合实力、业绩、技术、财务状况、信誉、服务、对采购文件的响应程度，以及相应的比重或者数值等。</w:t>
      </w:r>
      <w:r/>
    </w:p>
    <w:p>
      <w:pPr>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p>
    <w:p>
      <w:pPr>
        <w:pStyle w:val="919"/>
        <w:ind w:firstLine="422"/>
        <w:rPr>
          <w:rFonts w:hint="eastAsia" w:cs="宋体"/>
          <w:color w:val="000000"/>
          <w:sz w:val="21"/>
          <w:szCs w:val="21"/>
          <w:highlight w:val="none"/>
        </w:rPr>
      </w:pPr>
      <w:r>
        <w:rPr>
          <w:rFonts w:hint="eastAsia" w:cs="宋体"/>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产品品牌均相同的，按上述规定处理。</w:t>
      </w:r>
      <w:r/>
    </w:p>
    <w:p>
      <w:pPr>
        <w:ind w:firstLine="422"/>
        <w:jc w:val="both"/>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针对中小型企业的评审：</w:t>
      </w:r>
      <w:r/>
    </w:p>
    <w:p>
      <w:pPr>
        <w:ind w:firstLine="420"/>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cs="宋体"/>
          <w:b w:val="0"/>
          <w:bCs w:val="0"/>
          <w:color w:val="000000"/>
          <w:sz w:val="21"/>
          <w:szCs w:val="21"/>
          <w:highlight w:val="none"/>
          <w:u w:val="none"/>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投标人给予评审优惠</w:t>
      </w:r>
      <w:r>
        <w:rPr>
          <w:rFonts w:hint="eastAsia" w:ascii="宋体" w:hAnsi="宋体" w:cs="宋体"/>
          <w:b w:val="0"/>
          <w:bCs w:val="0"/>
          <w:color w:val="000000"/>
          <w:sz w:val="21"/>
          <w:szCs w:val="21"/>
          <w:highlight w:val="none"/>
          <w:u w:val="none"/>
          <w:lang w:eastAsia="zh-CN"/>
        </w:rPr>
        <w:t xml:space="preserve">：</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（1）在采购项目中，对符合规定的小型或微型企业对其报价给予20%的扣除，扣除后的价格参与价格评审。</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（2）中小微企业在响应文件中提供签署的《中小企业声明函》。未按采购文件的规定在响应文件中提供《中小企业声明函》的，不享受促进中小微企业发展的相关政府采购政策。</w:t>
      </w:r>
      <w:r/>
    </w:p>
    <w:p>
      <w:pPr>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（3）中小企业划分标准详见“工信部联企业〔2011〕300号通知”</w:t>
      </w:r>
      <w:r>
        <w:rPr>
          <w:rFonts w:hint="eastAsia" w:ascii="宋体" w:hAnsi="宋体" w:eastAsia="宋体" w:cs="宋体"/>
          <w:bCs/>
          <w:color w:val="000000"/>
          <w:sz w:val="21"/>
          <w:szCs w:val="21"/>
          <w:highlight w:val="none"/>
          <w:lang w:eastAsia="zh-CN"/>
        </w:rPr>
        <w:t xml:space="preserve">。</w:t>
      </w:r>
      <w:r/>
    </w:p>
    <w:p>
      <w:pPr>
        <w:ind w:firstLine="420"/>
        <w:spacing w:line="360" w:lineRule="auto"/>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以上规定</w:t>
      </w:r>
      <w:r>
        <w:rPr>
          <w:rFonts w:hint="eastAsia" w:ascii="宋体" w:hAnsi="宋体" w:cs="宋体"/>
          <w:bCs/>
          <w:color w:val="000000"/>
          <w:sz w:val="21"/>
          <w:szCs w:val="21"/>
          <w:highlight w:val="none"/>
        </w:rPr>
        <w:t xml:space="preserve">未尽事项，按《政府采购促进中小企业发展管理办法》、《苏州市政府采购促进中小企业发展实施意见》等有关制度规定执行。</w:t>
      </w:r>
      <w:r/>
    </w:p>
    <w:p>
      <w:pPr>
        <w:ind w:firstLine="422"/>
        <w:spacing w:line="360" w:lineRule="auto"/>
        <w:rPr>
          <w:rFonts w:hint="eastAsia" w:ascii="宋体" w:hAnsi="宋体" w:cs="宋体"/>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Cs/>
          <w:color w:val="000000"/>
          <w:sz w:val="21"/>
          <w:szCs w:val="21"/>
          <w:highlight w:val="none"/>
        </w:rPr>
        <w:t xml:space="preserve">①填报“中小企业声明函”需严格按“工信部联企业〔2011〕300号通知”中的《中小企业划型标准规定》进行。</w:t>
      </w:r>
      <w:r/>
    </w:p>
    <w:p>
      <w:pPr>
        <w:ind w:firstLine="315"/>
        <w:spacing w:line="360" w:lineRule="auto"/>
        <w:rPr>
          <w:rFonts w:hint="eastAsia" w:ascii="宋体" w:hAnsi="宋体" w:eastAsia="宋体"/>
          <w:color w:val="000000"/>
          <w:sz w:val="21"/>
          <w:szCs w:val="21"/>
          <w:highlight w:val="none"/>
          <w:lang w:val="en-US" w:eastAsia="zh-CN"/>
        </w:rPr>
      </w:pPr>
      <w:r>
        <w:rPr>
          <w:rFonts w:hint="eastAsia" w:ascii="宋体" w:hAnsi="宋体" w:cs="宋体"/>
          <w:bCs/>
          <w:color w:val="000000"/>
          <w:sz w:val="21"/>
          <w:szCs w:val="21"/>
          <w:highlight w:val="none"/>
        </w:rPr>
        <w:t xml:space="preserve">②若响应单位提供的 “中小企业声明函”为虚假声明则视同提供虚假材料，按“政府采购法”相关规定处理并报请政府监管部门给予行政处罚。</w:t>
      </w:r>
      <w:r/>
    </w:p>
    <w:p>
      <w:pPr>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针对残疾人福利性单位的评审:</w:t>
      </w:r>
      <w:r/>
    </w:p>
    <w:p>
      <w:pPr>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根据《关于促进残疾人就业政府采购政策的通知》（财库〔2017〕141号）的通知规定，对属于残疾人福利性单位的响应单位给予评审：</w:t>
      </w:r>
      <w:r/>
    </w:p>
    <w:p>
      <w:pPr>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p>
    <w:p>
      <w:pPr>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针对监狱企业的评审:</w:t>
      </w:r>
      <w:r/>
    </w:p>
    <w:p>
      <w:pPr>
        <w:ind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根据《关于政府采购支持监狱企业发展有关问题的通知》（财库〔2014〕68号）的通知规定，对属于监狱企业的响应单位给予评审：</w:t>
      </w:r>
      <w:r/>
    </w:p>
    <w:p>
      <w:pPr>
        <w:ind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监狱企业视同小型、微型企业，享受评审中价格扣除等政府采购促进中小企业发展的政府采购政策。</w:t>
      </w:r>
      <w:r/>
    </w:p>
    <w:p>
      <w:pPr>
        <w:ind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符合条件的监狱企业参加投标时，应当提供由省级以上监狱管理局、戒毒管理局（含新疆生产建设兵团）出具的属于监狱企业的证明文件。</w:t>
      </w:r>
      <w:r/>
    </w:p>
    <w:p>
      <w:pPr>
        <w:ind w:firstLine="422"/>
        <w:jc w:val="both"/>
        <w:spacing w:line="360" w:lineRule="auto"/>
        <w:widowControl w:val="off"/>
        <w:rPr>
          <w:rFonts w:hint="eastAsia" w:ascii="宋体" w:hAnsi="宋体"/>
          <w:b/>
          <w:color w:val="000000"/>
          <w:sz w:val="21"/>
          <w:szCs w:val="21"/>
          <w:highlight w:val="none"/>
        </w:rPr>
      </w:pPr>
      <w:r/>
      <w:bookmarkStart w:id="136" w:name="_Hlk60839198"/>
      <w:r>
        <w:rPr>
          <w:rFonts w:hint="eastAsia" w:ascii="宋体" w:hAnsi="宋体"/>
          <w:b/>
          <w:color w:val="000000"/>
          <w:sz w:val="21"/>
          <w:szCs w:val="21"/>
          <w:highlight w:val="none"/>
          <w:lang w:val="en-US" w:eastAsia="zh-CN"/>
        </w:rPr>
        <w:t xml:space="preserve">采购本国产品的评审加分：</w:t>
      </w:r>
      <w:r/>
    </w:p>
    <w:p>
      <w:pPr>
        <w:ind w:firstLine="420"/>
        <w:spacing w:line="360" w:lineRule="auto"/>
        <w:tabs>
          <w:tab w:val="left" w:pos="567" w:leader="none"/>
        </w:tabs>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对提供的制造商的认定证明负有核实义务及责任。若</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提供的 “中小企业声明函”或认定证明（包括制造商）为虚假声明则视同提供虚假材料，</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将按“政府采购法”相关规定处理并报请政府监管部门给予相应处罚。</w:t>
      </w:r>
      <w:r/>
    </w:p>
    <w:p>
      <w:pPr>
        <w:pStyle w:val="1165"/>
        <w:ind w:firstLine="422"/>
        <w:jc w:val="left"/>
        <w:keepLines w:val="0"/>
        <w:keepNext w:val="0"/>
        <w:pageBreakBefore w:val="0"/>
        <w:rPr>
          <w:rFonts w:hint="eastAsia"/>
          <w:color w:val="000000"/>
          <w:highlight w:val="none"/>
        </w:rPr>
      </w:pPr>
      <w:r>
        <w:rPr>
          <w:rFonts w:hint="eastAsia" w:cs="宋体"/>
          <w:b/>
          <w:bCs/>
          <w:color w:val="000000"/>
          <w:sz w:val="21"/>
          <w:szCs w:val="21"/>
          <w:highlight w:val="none"/>
        </w:rPr>
        <w:t xml:space="preserve">上述优惠政策不重复享受。</w:t>
      </w:r>
      <w:bookmarkEnd w:id="136"/>
      <w:r/>
      <w:r/>
    </w:p>
    <w:p>
      <w:pPr>
        <w:ind w:firstLine="422"/>
        <w:jc w:val="left"/>
        <w:keepLines w:val="0"/>
        <w:keepNext w:val="0"/>
        <w:pageBreakBefore w:val="0"/>
        <w:spacing w:line="360" w:lineRule="auto"/>
        <w:widowControl w:val="off"/>
        <w:rPr>
          <w:rFonts w:hint="eastAsia" w:ascii="宋体" w:hAnsi="宋体" w:cs="宋体"/>
          <w:b/>
          <w:bCs/>
          <w:color w:val="000000"/>
          <w:sz w:val="21"/>
          <w:szCs w:val="21"/>
          <w:highlight w:val="none"/>
        </w:rPr>
        <w:outlineLvl w:val="0"/>
      </w:pPr>
      <w:r/>
      <w:bookmarkStart w:id="137" w:name="_Toc48639401"/>
      <w:r/>
      <w:bookmarkStart w:id="138" w:name="_Toc48639272"/>
      <w:r>
        <w:rPr>
          <w:rFonts w:hint="eastAsia" w:ascii="宋体" w:hAnsi="宋体" w:cs="宋体"/>
          <w:b/>
          <w:bCs/>
          <w:color w:val="000000"/>
          <w:sz w:val="21"/>
          <w:szCs w:val="21"/>
          <w:highlight w:val="none"/>
        </w:rPr>
        <w:t xml:space="preserve">二、综合评分标准：</w:t>
      </w:r>
      <w:bookmarkEnd w:id="137"/>
      <w:r/>
      <w:bookmarkEnd w:id="138"/>
      <w:r/>
      <w:r/>
    </w:p>
    <w:p>
      <w:pPr>
        <w:ind w:firstLine="420"/>
        <w:jc w:val="left"/>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本次招标的评标方法采用综合评分法，总分值为100分。</w:t>
      </w:r>
      <w:r/>
    </w:p>
    <w:p>
      <w:pPr>
        <w:ind w:firstLine="422"/>
        <w:jc w:val="left"/>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一</w:t>
      </w:r>
      <w:r>
        <w:rPr>
          <w:rFonts w:hint="eastAsia" w:ascii="宋体" w:hAnsi="宋体"/>
          <w:b/>
          <w:color w:val="000000"/>
          <w:sz w:val="21"/>
          <w:szCs w:val="21"/>
          <w:highlight w:val="none"/>
        </w:rPr>
        <w:t xml:space="preserve">）价格基准分（30分）</w:t>
      </w:r>
      <w:r/>
    </w:p>
    <w:p>
      <w:pPr>
        <w:ind w:firstLine="420"/>
        <w:jc w:val="left"/>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第一步：投标报价低于或等于财政预算价格的，为有效投标报价。超财政预算的投标报价文件为未实质性响应文件，不参与评审。</w:t>
      </w:r>
      <w:r/>
    </w:p>
    <w:p>
      <w:pPr>
        <w:ind w:firstLine="420"/>
        <w:jc w:val="left"/>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第二步：在所有有效投标报价中满足采购文件要求，且投标价格最低的投标报价为评标基准价，其价格分为30分，其他投标供应商的价格分按照下列公式计算（计算结果四舍五入保留两位小数）</w:t>
      </w:r>
      <w:r/>
    </w:p>
    <w:p>
      <w:pPr>
        <w:ind w:firstLine="420"/>
        <w:jc w:val="left"/>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投标报价得分＝（评标基准价/投标报价）×30%×100</w:t>
      </w:r>
      <w:r/>
    </w:p>
    <w:p>
      <w:pPr>
        <w:ind w:firstLine="422"/>
        <w:jc w:val="left"/>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（二）投标产品技术质量（</w:t>
      </w:r>
      <w:r>
        <w:rPr>
          <w:rFonts w:hint="eastAsia" w:ascii="宋体" w:hAnsi="宋体"/>
          <w:b/>
          <w:color w:val="000000"/>
          <w:sz w:val="21"/>
          <w:szCs w:val="21"/>
          <w:highlight w:val="none"/>
          <w:lang w:val="en-US" w:eastAsia="zh-CN"/>
        </w:rPr>
        <w:t xml:space="preserve">40</w:t>
      </w:r>
      <w:r>
        <w:rPr>
          <w:rFonts w:hint="eastAsia" w:ascii="宋体" w:hAnsi="宋体"/>
          <w:b/>
          <w:color w:val="000000"/>
          <w:sz w:val="21"/>
          <w:szCs w:val="21"/>
          <w:highlight w:val="none"/>
        </w:rPr>
        <w:t xml:space="preserve">分）</w:t>
      </w:r>
      <w:r/>
    </w:p>
    <w:p>
      <w:pPr>
        <w:ind w:firstLine="420"/>
        <w:jc w:val="left"/>
        <w:keepLines w:val="0"/>
        <w:keepNext w:val="0"/>
        <w:pageBreakBefore w:val="0"/>
        <w:spacing w:line="360" w:lineRule="auto"/>
        <w:rPr>
          <w:rFonts w:hint="eastAsia" w:ascii="宋体" w:hAnsi="宋体" w:eastAsia="宋体"/>
          <w:bCs/>
          <w:sz w:val="21"/>
          <w:szCs w:val="21"/>
          <w:highlight w:val="none"/>
          <w:lang w:eastAsia="zh-CN"/>
        </w:rPr>
      </w:pPr>
      <w:r>
        <w:rPr>
          <w:rFonts w:hint="eastAsia" w:ascii="宋体" w:hAnsi="宋体" w:cs="宋体"/>
          <w:bCs/>
          <w:sz w:val="21"/>
          <w:szCs w:val="21"/>
          <w:highlight w:val="none"/>
        </w:rPr>
        <w:t xml:space="preserve">1、投标产品的技术参数、功能等符合情况</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35</w:t>
      </w:r>
      <w:r>
        <w:rPr>
          <w:rFonts w:hint="eastAsia" w:ascii="宋体" w:hAnsi="宋体" w:cs="宋体"/>
          <w:bCs/>
          <w:sz w:val="21"/>
          <w:szCs w:val="21"/>
          <w:highlight w:val="none"/>
        </w:rPr>
        <w:t xml:space="preserve">分</w:t>
      </w:r>
      <w:r>
        <w:rPr>
          <w:rFonts w:hint="eastAsia" w:ascii="宋体" w:hAnsi="宋体" w:cs="宋体"/>
          <w:bCs/>
          <w:sz w:val="21"/>
          <w:szCs w:val="21"/>
          <w:highlight w:val="none"/>
          <w:lang w:eastAsia="zh-CN"/>
        </w:rPr>
        <w:t xml:space="preserve">）</w:t>
      </w:r>
      <w:r/>
    </w:p>
    <w:p>
      <w:pPr>
        <w:ind w:firstLine="420"/>
        <w:jc w:val="left"/>
        <w:keepLines w:val="0"/>
        <w:keepNext w:val="0"/>
        <w:pageBreakBefore w:val="0"/>
        <w:spacing w:line="360" w:lineRule="auto"/>
        <w:rPr>
          <w:rStyle w:val="1243"/>
          <w:rFonts w:hint="eastAsia" w:ascii="宋体" w:hAnsi="宋体"/>
          <w:bCs/>
          <w:sz w:val="21"/>
          <w:szCs w:val="21"/>
          <w:highlight w:val="none"/>
        </w:rPr>
      </w:pPr>
      <w:r>
        <w:rPr>
          <w:rStyle w:val="1243"/>
          <w:rFonts w:hint="eastAsia" w:ascii="宋体" w:hAnsi="宋体"/>
          <w:bCs/>
          <w:sz w:val="21"/>
          <w:szCs w:val="21"/>
          <w:highlight w:val="none"/>
        </w:rPr>
        <w:t xml:space="preserve">投标单位所投产品的技术要求完全符合或优于招标文件的技术要求的得基准分</w:t>
      </w:r>
      <w:r>
        <w:rPr>
          <w:rStyle w:val="1243"/>
          <w:rFonts w:hint="eastAsia" w:ascii="宋体" w:hAnsi="宋体"/>
          <w:bCs/>
          <w:sz w:val="21"/>
          <w:szCs w:val="21"/>
          <w:highlight w:val="none"/>
          <w:lang w:val="en-US"/>
        </w:rPr>
        <w:t xml:space="preserve">35</w:t>
      </w:r>
      <w:r>
        <w:rPr>
          <w:rStyle w:val="1243"/>
          <w:rFonts w:hint="eastAsia" w:ascii="宋体" w:hAnsi="宋体"/>
          <w:bCs/>
          <w:sz w:val="21"/>
          <w:szCs w:val="21"/>
          <w:highlight w:val="none"/>
        </w:rPr>
        <w:t xml:space="preserve">分；</w:t>
      </w:r>
      <w:r>
        <w:rPr>
          <w:rStyle w:val="1250"/>
          <w:rFonts w:hint="eastAsia" w:ascii="宋体" w:hAnsi="宋体"/>
          <w:bCs/>
          <w:szCs w:val="21"/>
          <w:highlight w:val="none"/>
        </w:rPr>
        <w:t xml:space="preserve">其中标注“★”的技术参数为必须满足项；</w:t>
      </w:r>
      <w:r>
        <w:rPr>
          <w:rStyle w:val="1243"/>
          <w:rFonts w:hint="eastAsia" w:ascii="宋体" w:hAnsi="宋体"/>
          <w:bCs/>
          <w:sz w:val="21"/>
          <w:szCs w:val="21"/>
          <w:highlight w:val="none"/>
        </w:rPr>
        <w:t xml:space="preserve">标注“▲”的技术</w:t>
      </w:r>
      <w:r>
        <w:rPr>
          <w:rStyle w:val="1250"/>
          <w:rFonts w:hint="eastAsia" w:ascii="宋体" w:hAnsi="宋体"/>
          <w:bCs/>
          <w:szCs w:val="21"/>
          <w:highlight w:val="none"/>
        </w:rPr>
        <w:t xml:space="preserve">参数，</w:t>
      </w:r>
      <w:r>
        <w:rPr>
          <w:rStyle w:val="1243"/>
          <w:rFonts w:hint="eastAsia" w:ascii="宋体" w:hAnsi="宋体"/>
          <w:bCs/>
          <w:sz w:val="21"/>
          <w:szCs w:val="21"/>
          <w:highlight w:val="none"/>
        </w:rPr>
        <w:t xml:space="preserve">每一项负偏离扣</w:t>
      </w:r>
      <w:r>
        <w:rPr>
          <w:rStyle w:val="1243"/>
          <w:rFonts w:hint="eastAsia" w:ascii="宋体" w:hAnsi="宋体"/>
          <w:bCs/>
          <w:sz w:val="21"/>
          <w:szCs w:val="21"/>
          <w:highlight w:val="none"/>
          <w:lang w:val="en-US"/>
        </w:rPr>
        <w:t xml:space="preserve">2</w:t>
      </w:r>
      <w:r>
        <w:rPr>
          <w:rStyle w:val="1243"/>
          <w:rFonts w:hint="eastAsia" w:ascii="宋体" w:hAnsi="宋体"/>
          <w:bCs/>
          <w:sz w:val="21"/>
          <w:szCs w:val="21"/>
          <w:highlight w:val="none"/>
        </w:rPr>
        <w:t xml:space="preserve">分；其他技术</w:t>
      </w:r>
      <w:r>
        <w:rPr>
          <w:rStyle w:val="1250"/>
          <w:rFonts w:hint="eastAsia" w:ascii="宋体" w:hAnsi="宋体"/>
          <w:bCs/>
          <w:szCs w:val="21"/>
          <w:highlight w:val="none"/>
        </w:rPr>
        <w:t xml:space="preserve">参数，</w:t>
      </w:r>
      <w:r>
        <w:rPr>
          <w:rStyle w:val="1243"/>
          <w:rFonts w:hint="eastAsia" w:ascii="宋体" w:hAnsi="宋体"/>
          <w:bCs/>
          <w:sz w:val="21"/>
          <w:szCs w:val="21"/>
          <w:highlight w:val="none"/>
        </w:rPr>
        <w:t xml:space="preserve">每一项负偏离扣0.</w:t>
      </w:r>
      <w:r>
        <w:rPr>
          <w:rStyle w:val="1243"/>
          <w:rFonts w:hint="eastAsia" w:ascii="宋体" w:hAnsi="宋体"/>
          <w:bCs/>
          <w:sz w:val="21"/>
          <w:szCs w:val="21"/>
          <w:highlight w:val="none"/>
          <w:lang w:val="en-US"/>
        </w:rPr>
        <w:t xml:space="preserve">3</w:t>
      </w:r>
      <w:r>
        <w:rPr>
          <w:rStyle w:val="1243"/>
          <w:rFonts w:hint="eastAsia" w:ascii="宋体" w:hAnsi="宋体"/>
          <w:bCs/>
          <w:sz w:val="21"/>
          <w:szCs w:val="21"/>
          <w:highlight w:val="none"/>
        </w:rPr>
        <w:t xml:space="preserve">分，扣完为止。</w:t>
      </w:r>
      <w:r/>
    </w:p>
    <w:p>
      <w:pPr>
        <w:ind w:firstLine="420"/>
        <w:jc w:val="left"/>
        <w:keepLines w:val="0"/>
        <w:keepNext w:val="0"/>
        <w:pageBreakBefore w:val="0"/>
        <w:spacing w:line="360" w:lineRule="auto"/>
        <w:rPr>
          <w:rStyle w:val="1243"/>
          <w:rFonts w:hint="eastAsia" w:ascii="宋体" w:hAnsi="宋体"/>
          <w:bCs/>
          <w:szCs w:val="21"/>
          <w:highlight w:val="none"/>
        </w:rPr>
      </w:pPr>
      <w:r>
        <w:rPr>
          <w:rStyle w:val="1243"/>
          <w:rFonts w:hint="eastAsia" w:ascii="宋体" w:hAnsi="宋体"/>
          <w:bCs/>
          <w:sz w:val="21"/>
          <w:szCs w:val="21"/>
          <w:highlight w:val="none"/>
        </w:rPr>
        <w:t xml:space="preserve">说明：（1）在</w:t>
      </w:r>
      <w:r>
        <w:rPr>
          <w:rStyle w:val="1243"/>
          <w:rFonts w:hint="eastAsia" w:ascii="宋体" w:hAnsi="宋体"/>
          <w:bCs/>
          <w:sz w:val="21"/>
          <w:szCs w:val="21"/>
          <w:highlight w:val="none"/>
          <w:lang w:val="en-US"/>
        </w:rPr>
        <w:t xml:space="preserve">技术响应对照表</w:t>
      </w:r>
      <w:r>
        <w:rPr>
          <w:rStyle w:val="1243"/>
          <w:rFonts w:hint="eastAsia" w:ascii="宋体" w:hAnsi="宋体"/>
          <w:bCs/>
          <w:sz w:val="21"/>
          <w:szCs w:val="21"/>
          <w:highlight w:val="none"/>
        </w:rPr>
        <w:t xml:space="preserve">中按序清晰列示投标产品的技术参数、指标、功能等，以便与招标的技术要求相对比（如因技术参数顺</w:t>
      </w:r>
      <w:r>
        <w:rPr>
          <w:rStyle w:val="1243"/>
          <w:rFonts w:hint="eastAsia" w:ascii="宋体" w:hAnsi="宋体"/>
          <w:bCs/>
          <w:szCs w:val="21"/>
          <w:highlight w:val="none"/>
        </w:rPr>
        <w:t xml:space="preserve">序混乱等原因而导致误评，供应商自行担责）。</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rPr>
      </w:pPr>
      <w:r>
        <w:rPr>
          <w:rStyle w:val="1243"/>
          <w:rFonts w:hint="eastAsia" w:ascii="宋体" w:hAnsi="宋体"/>
          <w:bCs/>
          <w:szCs w:val="21"/>
          <w:highlight w:val="none"/>
        </w:rPr>
        <w:t xml:space="preserve">（2）标注“★”、“▲”的重要技术参数的需按招标文件要求提供相关证明材料，招标文件未作要求的，可提供第三方权威机构出具的检测报告或生产厂家彩页或手册或厂家盖章的技术白皮书等作为证明材料</w:t>
      </w:r>
      <w:r>
        <w:rPr>
          <w:rStyle w:val="1243"/>
          <w:rFonts w:hint="eastAsia" w:ascii="宋体" w:hAnsi="宋体" w:eastAsia="宋体" w:cs="Times New Roman"/>
          <w:bCs/>
          <w:szCs w:val="21"/>
          <w:highlight w:val="none"/>
        </w:rPr>
        <w:t xml:space="preserve">，以证明技术参数及功能的有效性，如未附相关证明材料或者所附的证明材料由评标委员会认为不能佐证技术指标的有效性的，则同样视为负偏离。其余技术参数可提供投标单位盖章的技术响应对照表。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rPr>
      </w:pPr>
      <w:r>
        <w:rPr>
          <w:rStyle w:val="1243"/>
          <w:rFonts w:hint="eastAsia" w:ascii="宋体" w:hAnsi="宋体" w:eastAsia="宋体" w:cs="Times New Roman"/>
          <w:bCs/>
          <w:szCs w:val="21"/>
          <w:highlight w:val="none"/>
          <w:lang w:val="en-US" w:eastAsia="zh-CN"/>
        </w:rPr>
        <w:t xml:space="preserve">2、</w:t>
      </w:r>
      <w:r>
        <w:rPr>
          <w:rStyle w:val="1243"/>
          <w:rFonts w:hint="eastAsia" w:ascii="宋体" w:hAnsi="宋体" w:eastAsia="宋体" w:cs="Times New Roman"/>
          <w:bCs/>
          <w:szCs w:val="21"/>
          <w:highlight w:val="none"/>
        </w:rPr>
        <w:t xml:space="preserve">技术性能情况（3分）</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lang w:val="zh-CN"/>
        </w:rPr>
      </w:pPr>
      <w:r>
        <w:rPr>
          <w:rStyle w:val="1243"/>
          <w:rFonts w:hint="eastAsia" w:ascii="宋体" w:hAnsi="宋体" w:eastAsia="宋体" w:cs="Times New Roman"/>
          <w:bCs/>
          <w:szCs w:val="21"/>
          <w:highlight w:val="none"/>
          <w:lang w:val="zh-CN"/>
        </w:rPr>
        <w:t xml:space="preserve">投标</w:t>
      </w:r>
      <w:r>
        <w:rPr>
          <w:rStyle w:val="1243"/>
          <w:rFonts w:hint="eastAsia" w:ascii="宋体" w:hAnsi="宋体" w:eastAsia="宋体" w:cs="Times New Roman"/>
          <w:bCs/>
          <w:szCs w:val="21"/>
          <w:highlight w:val="none"/>
        </w:rPr>
        <w:t xml:space="preserve">单位</w:t>
      </w:r>
      <w:r>
        <w:rPr>
          <w:rStyle w:val="1243"/>
          <w:rFonts w:hint="eastAsia" w:ascii="宋体" w:hAnsi="宋体" w:eastAsia="宋体" w:cs="Times New Roman"/>
          <w:bCs/>
          <w:szCs w:val="21"/>
          <w:highlight w:val="none"/>
          <w:lang w:val="zh-CN"/>
        </w:rPr>
        <w:t xml:space="preserve">针对所投车型提供的整车三维设计图、二维设计图（包括整车外观、结构设计等）</w:t>
      </w:r>
      <w:r>
        <w:rPr>
          <w:rStyle w:val="1243"/>
          <w:rFonts w:hint="eastAsia" w:ascii="宋体" w:hAnsi="宋体" w:eastAsia="宋体" w:cs="Times New Roman"/>
          <w:bCs/>
          <w:szCs w:val="21"/>
          <w:highlight w:val="none"/>
        </w:rPr>
        <w:t xml:space="preserve">情况：</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lang w:val="zh-CN"/>
        </w:rPr>
      </w:pPr>
      <w:r>
        <w:rPr>
          <w:rStyle w:val="1243"/>
          <w:rFonts w:hint="eastAsia" w:ascii="宋体" w:hAnsi="宋体" w:eastAsia="宋体" w:cs="Times New Roman"/>
          <w:bCs/>
          <w:szCs w:val="21"/>
          <w:highlight w:val="none"/>
          <w:lang w:val="zh-CN"/>
        </w:rPr>
        <w:t xml:space="preserve">设计合理、精细，布置得当，具备实用、舒适、科技等特性，完全满足技术要求的得</w:t>
      </w:r>
      <w:r>
        <w:rPr>
          <w:rStyle w:val="1243"/>
          <w:rFonts w:hint="eastAsia" w:ascii="宋体" w:hAnsi="宋体" w:eastAsia="宋体" w:cs="Times New Roman"/>
          <w:bCs/>
          <w:szCs w:val="21"/>
          <w:highlight w:val="none"/>
        </w:rPr>
        <w:t xml:space="preserve">3</w:t>
      </w:r>
      <w:r>
        <w:rPr>
          <w:rStyle w:val="1243"/>
          <w:rFonts w:hint="eastAsia" w:ascii="宋体" w:hAnsi="宋体" w:eastAsia="宋体" w:cs="Times New Roman"/>
          <w:bCs/>
          <w:szCs w:val="21"/>
          <w:highlight w:val="none"/>
          <w:lang w:val="zh-CN"/>
        </w:rPr>
        <w:t xml:space="preserve">分；设计基本合理，</w:t>
      </w:r>
      <w:r>
        <w:rPr>
          <w:rStyle w:val="1243"/>
          <w:rFonts w:hint="eastAsia" w:ascii="宋体" w:hAnsi="宋体" w:eastAsia="宋体" w:cs="Times New Roman"/>
          <w:bCs/>
          <w:szCs w:val="21"/>
          <w:highlight w:val="none"/>
          <w:lang w:val="en-US"/>
        </w:rPr>
        <w:t xml:space="preserve">基本</w:t>
      </w:r>
      <w:r>
        <w:rPr>
          <w:rStyle w:val="1243"/>
          <w:rFonts w:hint="eastAsia" w:ascii="宋体" w:hAnsi="宋体" w:eastAsia="宋体" w:cs="Times New Roman"/>
          <w:bCs/>
          <w:szCs w:val="21"/>
          <w:highlight w:val="none"/>
          <w:lang w:val="zh-CN"/>
        </w:rPr>
        <w:t xml:space="preserve">满足车辆主体要求，基本满足实用、舒适、科技等特性的得</w:t>
      </w:r>
      <w:r>
        <w:rPr>
          <w:rStyle w:val="1243"/>
          <w:rFonts w:hint="eastAsia" w:ascii="宋体" w:hAnsi="宋体" w:eastAsia="宋体" w:cs="Times New Roman"/>
          <w:bCs/>
          <w:szCs w:val="21"/>
          <w:highlight w:val="none"/>
        </w:rPr>
        <w:t xml:space="preserve">2</w:t>
      </w:r>
      <w:r>
        <w:rPr>
          <w:rStyle w:val="1243"/>
          <w:rFonts w:hint="eastAsia" w:ascii="宋体" w:hAnsi="宋体" w:eastAsia="宋体" w:cs="Times New Roman"/>
          <w:bCs/>
          <w:szCs w:val="21"/>
          <w:highlight w:val="none"/>
          <w:lang w:val="zh-CN"/>
        </w:rPr>
        <w:t xml:space="preserve">分；设计实用性不足、技术较为落后，实用、舒适、科技等特性不足的得</w:t>
      </w:r>
      <w:r>
        <w:rPr>
          <w:rStyle w:val="1243"/>
          <w:rFonts w:hint="eastAsia" w:ascii="宋体" w:hAnsi="宋体" w:eastAsia="宋体" w:cs="Times New Roman"/>
          <w:bCs/>
          <w:szCs w:val="21"/>
          <w:highlight w:val="none"/>
        </w:rPr>
        <w:t xml:space="preserve">1</w:t>
      </w:r>
      <w:r>
        <w:rPr>
          <w:rStyle w:val="1243"/>
          <w:rFonts w:hint="eastAsia" w:ascii="宋体" w:hAnsi="宋体" w:eastAsia="宋体" w:cs="Times New Roman"/>
          <w:bCs/>
          <w:szCs w:val="21"/>
          <w:highlight w:val="none"/>
          <w:lang w:val="zh-CN"/>
        </w:rPr>
        <w:t xml:space="preserve">分；设计存在重大瑕疵，实用、舒适、科技等性能较差，影响车辆使用的或未提供方案的本项不得分。</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rPr>
      </w:pPr>
      <w:r>
        <w:rPr>
          <w:rStyle w:val="1243"/>
          <w:rFonts w:hint="eastAsia" w:ascii="宋体" w:hAnsi="宋体" w:eastAsia="宋体" w:cs="Times New Roman"/>
          <w:bCs/>
          <w:szCs w:val="21"/>
          <w:highlight w:val="none"/>
        </w:rPr>
        <w:t xml:space="preserve">3、产品公告及检测报告(2分)</w:t>
      </w:r>
      <w:r/>
    </w:p>
    <w:p>
      <w:pPr>
        <w:ind w:firstLine="420"/>
        <w:jc w:val="left"/>
        <w:keepLines w:val="0"/>
        <w:keepNext w:val="0"/>
        <w:pageBreakBefore w:val="0"/>
        <w:spacing w:line="360" w:lineRule="auto"/>
        <w:rPr>
          <w:rStyle w:val="1243"/>
          <w:rFonts w:hint="eastAsia" w:ascii="宋体" w:hAnsi="宋体" w:eastAsia="宋体" w:cs="Times New Roman"/>
          <w:bCs/>
          <w:szCs w:val="21"/>
          <w:highlight w:val="none"/>
          <w:lang w:val="en-US" w:eastAsia="zh-CN"/>
        </w:rPr>
      </w:pPr>
      <w:r>
        <w:rPr>
          <w:rStyle w:val="1243"/>
          <w:rFonts w:hint="eastAsia" w:ascii="宋体" w:hAnsi="宋体" w:eastAsia="宋体" w:cs="Times New Roman"/>
          <w:bCs/>
          <w:szCs w:val="21"/>
          <w:highlight w:val="none"/>
        </w:rPr>
        <w:t xml:space="preserve">投标人需提供所投车辆国家工信部公告公示截图及国家消防装备质量检验检测中心出具的检测报告，提供齐全得2分，否则不得分。</w:t>
      </w:r>
      <w:r/>
    </w:p>
    <w:p>
      <w:pPr>
        <w:ind w:firstLine="422"/>
        <w:jc w:val="left"/>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（三）技术服务及售后服务方案（</w:t>
      </w:r>
      <w:r>
        <w:rPr>
          <w:rFonts w:hint="eastAsia" w:ascii="宋体" w:hAnsi="宋体"/>
          <w:b/>
          <w:color w:val="000000"/>
          <w:sz w:val="21"/>
          <w:szCs w:val="21"/>
          <w:highlight w:val="none"/>
          <w:lang w:val="en-US" w:eastAsia="zh-CN"/>
        </w:rPr>
        <w:t xml:space="preserve">26</w:t>
      </w:r>
      <w:r>
        <w:rPr>
          <w:rFonts w:hint="eastAsia" w:ascii="宋体" w:hAnsi="宋体"/>
          <w:b/>
          <w:color w:val="000000"/>
          <w:sz w:val="21"/>
          <w:szCs w:val="21"/>
          <w:highlight w:val="none"/>
        </w:rPr>
        <w:t xml:space="preserve">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1、针对本项目的项目实施方案（4分）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根据投标单位针对本项目的项目实施方案评定</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包括</w:t>
      </w:r>
      <w:r>
        <w:rPr>
          <w:rStyle w:val="1243"/>
          <w:rFonts w:hint="eastAsia" w:ascii="宋体" w:hAnsi="宋体" w:cs="Times New Roman"/>
          <w:bCs/>
          <w:sz w:val="21"/>
          <w:szCs w:val="21"/>
          <w:highlight w:val="none"/>
          <w:lang w:val="en-US"/>
        </w:rPr>
        <w:t xml:space="preserve">但不限于</w:t>
      </w:r>
      <w:r>
        <w:rPr>
          <w:rStyle w:val="1243"/>
          <w:rFonts w:hint="eastAsia" w:ascii="宋体" w:hAnsi="宋体" w:eastAsia="宋体" w:cs="Times New Roman"/>
          <w:bCs/>
          <w:sz w:val="21"/>
          <w:szCs w:val="21"/>
          <w:highlight w:val="none"/>
        </w:rPr>
        <w:t xml:space="preserve">项目货源组织、产品质量控制、交货进度计划及安装调试验收方案等</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项目实施方案内容完整不漏项、有针对性说明、切实可行、能切实提供项目进度及质量保证承诺及措施的得4分；方案各项内容阐述不够全面有缺漏项、针对性说明较为简单、可行性一般、项目进度及质量保证措施一般的得2分；方案各项内容粗略有缺漏项、缺乏针对性说明、项目进度及质量保证措施</w:t>
      </w:r>
      <w:r>
        <w:rPr>
          <w:rStyle w:val="1243"/>
          <w:rFonts w:hint="eastAsia" w:ascii="宋体" w:hAnsi="宋体" w:cs="Times New Roman"/>
          <w:bCs/>
          <w:sz w:val="21"/>
          <w:szCs w:val="21"/>
          <w:highlight w:val="none"/>
          <w:lang w:val="en-US"/>
        </w:rPr>
        <w:t xml:space="preserve">不足</w:t>
      </w:r>
      <w:r>
        <w:rPr>
          <w:rStyle w:val="1243"/>
          <w:rFonts w:hint="eastAsia" w:ascii="宋体" w:hAnsi="宋体" w:eastAsia="宋体" w:cs="Times New Roman"/>
          <w:bCs/>
          <w:sz w:val="21"/>
          <w:szCs w:val="21"/>
          <w:highlight w:val="none"/>
        </w:rPr>
        <w:t xml:space="preserve">的得1分；未提供相关说明或存在逻辑错误、前后矛盾的不得分。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2、针对本项目的售后服务方案（5分）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根据投标单位针对本项目的售后服务方案评定</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包括</w:t>
      </w:r>
      <w:r>
        <w:rPr>
          <w:rStyle w:val="1243"/>
          <w:rFonts w:hint="eastAsia" w:ascii="宋体" w:hAnsi="宋体" w:cs="Times New Roman"/>
          <w:bCs/>
          <w:sz w:val="21"/>
          <w:szCs w:val="21"/>
          <w:highlight w:val="none"/>
          <w:lang w:val="en-US"/>
        </w:rPr>
        <w:t xml:space="preserve">但不限于</w:t>
      </w:r>
      <w:r>
        <w:rPr>
          <w:rStyle w:val="1243"/>
          <w:rFonts w:hint="eastAsia" w:ascii="宋体" w:hAnsi="宋体" w:eastAsia="宋体" w:cs="Times New Roman"/>
          <w:bCs/>
          <w:sz w:val="21"/>
          <w:szCs w:val="21"/>
          <w:highlight w:val="none"/>
        </w:rPr>
        <w:t xml:space="preserve">售后服务范围、售后服务点设置、售后服务人员配备、响应时间、售后服务承诺等</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售后服务各项内容阐述全面无缺项、合理、内容详细，符合项目实际需求情况，可行性</w:t>
      </w:r>
      <w:r>
        <w:rPr>
          <w:rStyle w:val="1243"/>
          <w:rFonts w:hint="eastAsia" w:ascii="宋体" w:hAnsi="宋体" w:cs="Times New Roman"/>
          <w:bCs/>
          <w:sz w:val="21"/>
          <w:szCs w:val="21"/>
          <w:highlight w:val="none"/>
          <w:lang w:val="en-US"/>
        </w:rPr>
        <w:t xml:space="preserve">强</w:t>
      </w:r>
      <w:r>
        <w:rPr>
          <w:rStyle w:val="1243"/>
          <w:rFonts w:hint="eastAsia" w:ascii="宋体" w:hAnsi="宋体" w:eastAsia="宋体" w:cs="Times New Roman"/>
          <w:bCs/>
          <w:sz w:val="21"/>
          <w:szCs w:val="21"/>
          <w:highlight w:val="none"/>
        </w:rPr>
        <w:t xml:space="preserve">的得5分；售后服务各项内容阐述不够全面有缺漏项，针对性</w:t>
      </w:r>
      <w:r>
        <w:rPr>
          <w:rStyle w:val="1243"/>
          <w:rFonts w:hint="eastAsia" w:ascii="宋体" w:hAnsi="宋体" w:eastAsia="宋体" w:cs="Times New Roman"/>
          <w:bCs/>
          <w:sz w:val="21"/>
          <w:szCs w:val="21"/>
          <w:highlight w:val="none"/>
          <w:lang w:val="en-US"/>
        </w:rPr>
        <w:t xml:space="preserve">说明</w:t>
      </w:r>
      <w:r>
        <w:rPr>
          <w:rStyle w:val="1243"/>
          <w:rFonts w:hint="eastAsia" w:ascii="宋体" w:hAnsi="宋体" w:eastAsia="宋体" w:cs="Times New Roman"/>
          <w:bCs/>
          <w:sz w:val="21"/>
          <w:szCs w:val="21"/>
          <w:highlight w:val="none"/>
        </w:rPr>
        <w:t xml:space="preserve">较为简单、可行性一般的得3分；售后服务各项内容阐述粗略有缺漏项、缺乏针对性</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可行性</w:t>
      </w:r>
      <w:r>
        <w:rPr>
          <w:rStyle w:val="1243"/>
          <w:rFonts w:hint="eastAsia" w:ascii="宋体" w:hAnsi="宋体" w:eastAsia="宋体" w:cs="Times New Roman"/>
          <w:bCs/>
          <w:sz w:val="21"/>
          <w:szCs w:val="21"/>
          <w:highlight w:val="none"/>
          <w:lang w:val="en-US"/>
        </w:rPr>
        <w:t xml:space="preserve">不足</w:t>
      </w:r>
      <w:r>
        <w:rPr>
          <w:rStyle w:val="1243"/>
          <w:rFonts w:hint="eastAsia" w:ascii="宋体" w:hAnsi="宋体" w:eastAsia="宋体" w:cs="Times New Roman"/>
          <w:bCs/>
          <w:sz w:val="21"/>
          <w:szCs w:val="21"/>
          <w:highlight w:val="none"/>
        </w:rPr>
        <w:t xml:space="preserve">的得1分；未提供相关说明或或存在逻辑错误、前后矛盾的不得分。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3、针对本项目的应急和重大故障解决方案（5分）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根据投标单位针对本项目的应急和重大故障解决方案评定</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包括</w:t>
      </w:r>
      <w:r>
        <w:rPr>
          <w:rStyle w:val="1243"/>
          <w:rFonts w:hint="eastAsia" w:ascii="宋体" w:hAnsi="宋体" w:cs="Times New Roman"/>
          <w:bCs/>
          <w:sz w:val="21"/>
          <w:szCs w:val="21"/>
          <w:highlight w:val="none"/>
          <w:lang w:val="en-US"/>
        </w:rPr>
        <w:t xml:space="preserve">但不限于</w:t>
      </w:r>
      <w:r>
        <w:rPr>
          <w:rStyle w:val="1243"/>
          <w:rFonts w:hint="eastAsia" w:ascii="宋体" w:hAnsi="宋体" w:eastAsia="宋体" w:cs="Times New Roman"/>
          <w:bCs/>
          <w:sz w:val="21"/>
          <w:szCs w:val="21"/>
          <w:highlight w:val="none"/>
        </w:rPr>
        <w:t xml:space="preserve">应急和重大故障预防措施，以及出现问题的响应时间、补救措施等</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：应急和重大故障解决方案内容阐述全面无缺项、合理、内容详细，符合项目实际情况，可行性</w:t>
      </w:r>
      <w:r>
        <w:rPr>
          <w:rStyle w:val="1243"/>
          <w:rFonts w:hint="eastAsia" w:ascii="宋体" w:hAnsi="宋体" w:cs="Times New Roman"/>
          <w:bCs/>
          <w:sz w:val="21"/>
          <w:szCs w:val="21"/>
          <w:highlight w:val="none"/>
          <w:lang w:val="en-US"/>
        </w:rPr>
        <w:t xml:space="preserve">强</w:t>
      </w:r>
      <w:r>
        <w:rPr>
          <w:rStyle w:val="1243"/>
          <w:rFonts w:hint="eastAsia" w:ascii="宋体" w:hAnsi="宋体" w:eastAsia="宋体" w:cs="Times New Roman"/>
          <w:bCs/>
          <w:sz w:val="21"/>
          <w:szCs w:val="21"/>
          <w:highlight w:val="none"/>
        </w:rPr>
        <w:t xml:space="preserve">的得5分；应急和重大故障解决方案内容阐述不够全面有缺漏项，针对性</w:t>
      </w:r>
      <w:r>
        <w:rPr>
          <w:rStyle w:val="1243"/>
          <w:rFonts w:hint="eastAsia" w:ascii="宋体" w:hAnsi="宋体" w:eastAsia="宋体" w:cs="Times New Roman"/>
          <w:bCs/>
          <w:sz w:val="21"/>
          <w:szCs w:val="21"/>
          <w:highlight w:val="none"/>
          <w:lang w:val="en-US"/>
        </w:rPr>
        <w:t xml:space="preserve">说明</w:t>
      </w:r>
      <w:r>
        <w:rPr>
          <w:rStyle w:val="1243"/>
          <w:rFonts w:hint="eastAsia" w:ascii="宋体" w:hAnsi="宋体" w:eastAsia="宋体" w:cs="Times New Roman"/>
          <w:bCs/>
          <w:sz w:val="21"/>
          <w:szCs w:val="21"/>
          <w:highlight w:val="none"/>
        </w:rPr>
        <w:t xml:space="preserve">较为简单、可行性一般的得3分；应急和重大故障解决方案内容阐述粗略有缺漏项、缺乏针对性</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可行性</w:t>
      </w:r>
      <w:r>
        <w:rPr>
          <w:rStyle w:val="1243"/>
          <w:rFonts w:hint="eastAsia" w:ascii="宋体" w:hAnsi="宋体" w:eastAsia="宋体" w:cs="Times New Roman"/>
          <w:bCs/>
          <w:sz w:val="21"/>
          <w:szCs w:val="21"/>
          <w:highlight w:val="none"/>
          <w:lang w:val="en-US"/>
        </w:rPr>
        <w:t xml:space="preserve">不足</w:t>
      </w:r>
      <w:r>
        <w:rPr>
          <w:rStyle w:val="1243"/>
          <w:rFonts w:hint="eastAsia" w:ascii="宋体" w:hAnsi="宋体" w:eastAsia="宋体" w:cs="Times New Roman"/>
          <w:bCs/>
          <w:sz w:val="21"/>
          <w:szCs w:val="21"/>
          <w:highlight w:val="none"/>
        </w:rPr>
        <w:t xml:space="preserve">的得1分；未提供相关说明或或存在逻辑错误、前后矛盾的不得分。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4、针对本项目使用方人员的技术培训方案（4分）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根据投标单位提供的针对本项目使用方人员的技术培训方案评定</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包括</w:t>
      </w:r>
      <w:r>
        <w:rPr>
          <w:rStyle w:val="1243"/>
          <w:rFonts w:hint="eastAsia" w:ascii="宋体" w:hAnsi="宋体" w:cs="Times New Roman"/>
          <w:bCs/>
          <w:sz w:val="21"/>
          <w:szCs w:val="21"/>
          <w:highlight w:val="none"/>
          <w:lang w:val="en-US"/>
        </w:rPr>
        <w:t xml:space="preserve">但不限于</w:t>
      </w:r>
      <w:r>
        <w:rPr>
          <w:rStyle w:val="1243"/>
          <w:rFonts w:hint="eastAsia" w:ascii="宋体" w:hAnsi="宋体" w:eastAsia="宋体" w:cs="Times New Roman"/>
          <w:bCs/>
          <w:sz w:val="21"/>
          <w:szCs w:val="21"/>
          <w:highlight w:val="none"/>
        </w:rPr>
        <w:t xml:space="preserve">使用操作、常规检查、保养内容、日常使用注意事项等</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：技术培训服务方案内容无缺项、合理、内容详细，符合项目实际情况，可行性</w:t>
      </w:r>
      <w:r>
        <w:rPr>
          <w:rStyle w:val="1243"/>
          <w:rFonts w:hint="eastAsia" w:ascii="宋体" w:hAnsi="宋体" w:cs="Times New Roman"/>
          <w:bCs/>
          <w:sz w:val="21"/>
          <w:szCs w:val="21"/>
          <w:highlight w:val="none"/>
          <w:lang w:val="en-US"/>
        </w:rPr>
        <w:t xml:space="preserve">强</w:t>
      </w:r>
      <w:r>
        <w:rPr>
          <w:rStyle w:val="1243"/>
          <w:rFonts w:hint="eastAsia" w:ascii="宋体" w:hAnsi="宋体" w:eastAsia="宋体" w:cs="Times New Roman"/>
          <w:bCs/>
          <w:sz w:val="21"/>
          <w:szCs w:val="21"/>
          <w:highlight w:val="none"/>
        </w:rPr>
        <w:t xml:space="preserve">的得4分；技术培训服务方案阐述不够全面有缺漏项，针对性</w:t>
      </w:r>
      <w:r>
        <w:rPr>
          <w:rStyle w:val="1243"/>
          <w:rFonts w:hint="eastAsia" w:ascii="宋体" w:hAnsi="宋体" w:eastAsia="宋体" w:cs="Times New Roman"/>
          <w:bCs/>
          <w:sz w:val="21"/>
          <w:szCs w:val="21"/>
          <w:highlight w:val="none"/>
          <w:lang w:val="en-US"/>
        </w:rPr>
        <w:t xml:space="preserve">说明</w:t>
      </w:r>
      <w:r>
        <w:rPr>
          <w:rStyle w:val="1243"/>
          <w:rFonts w:hint="eastAsia" w:ascii="宋体" w:hAnsi="宋体" w:eastAsia="宋体" w:cs="Times New Roman"/>
          <w:bCs/>
          <w:sz w:val="21"/>
          <w:szCs w:val="21"/>
          <w:highlight w:val="none"/>
        </w:rPr>
        <w:t xml:space="preserve">较为简单、可行性一般的得2分；技术培训服务方案内容阐述粗略有缺漏项、缺乏针对性</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可行性</w:t>
      </w:r>
      <w:r>
        <w:rPr>
          <w:rStyle w:val="1243"/>
          <w:rFonts w:hint="eastAsia" w:ascii="宋体" w:hAnsi="宋体" w:eastAsia="宋体" w:cs="Times New Roman"/>
          <w:bCs/>
          <w:sz w:val="21"/>
          <w:szCs w:val="21"/>
          <w:highlight w:val="none"/>
          <w:lang w:val="en-US"/>
        </w:rPr>
        <w:t xml:space="preserve">不足</w:t>
      </w:r>
      <w:r>
        <w:rPr>
          <w:rStyle w:val="1243"/>
          <w:rFonts w:hint="eastAsia" w:ascii="宋体" w:hAnsi="宋体" w:eastAsia="宋体" w:cs="Times New Roman"/>
          <w:bCs/>
          <w:sz w:val="21"/>
          <w:szCs w:val="21"/>
          <w:highlight w:val="none"/>
        </w:rPr>
        <w:t xml:space="preserve">的得1分。未提供相关说明或存在逻辑错误、前后矛盾的不得分。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5、投标单位质保期满后维保收费及内容情况（4分）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维保收费及维保方案评定</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包括</w:t>
      </w:r>
      <w:r>
        <w:rPr>
          <w:rStyle w:val="1243"/>
          <w:rFonts w:hint="eastAsia" w:ascii="宋体" w:hAnsi="宋体" w:cs="Times New Roman"/>
          <w:bCs/>
          <w:sz w:val="21"/>
          <w:szCs w:val="21"/>
          <w:highlight w:val="none"/>
          <w:lang w:val="en-US"/>
        </w:rPr>
        <w:t xml:space="preserve">但不限于</w:t>
      </w:r>
      <w:r>
        <w:rPr>
          <w:rStyle w:val="1243"/>
          <w:rFonts w:hint="eastAsia" w:ascii="宋体" w:hAnsi="宋体" w:eastAsia="宋体" w:cs="Times New Roman"/>
          <w:bCs/>
          <w:sz w:val="21"/>
          <w:szCs w:val="21"/>
          <w:highlight w:val="none"/>
        </w:rPr>
        <w:t xml:space="preserve">维保收费（包括零配件、备品、备件价格）清单及价格、整个维保工作具体维保内容、维保流程、维保规范标准、维保档案等</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维保收费清单涵盖全面，价格优惠力度最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满足采购需求的得2分；维保收费清单涵盖简单，</w:t>
      </w:r>
      <w:r>
        <w:rPr>
          <w:rStyle w:val="1243"/>
          <w:rFonts w:hint="eastAsia" w:ascii="宋体" w:hAnsi="宋体" w:cs="Times New Roman"/>
          <w:bCs/>
          <w:sz w:val="21"/>
          <w:szCs w:val="21"/>
          <w:highlight w:val="none"/>
          <w:lang w:val="en-US"/>
        </w:rPr>
        <w:t xml:space="preserve">能</w:t>
      </w:r>
      <w:r>
        <w:rPr>
          <w:rStyle w:val="1243"/>
          <w:rFonts w:hint="eastAsia" w:ascii="宋体" w:hAnsi="宋体" w:eastAsia="宋体" w:cs="Times New Roman"/>
          <w:bCs/>
          <w:sz w:val="21"/>
          <w:szCs w:val="21"/>
          <w:highlight w:val="none"/>
        </w:rPr>
        <w:t xml:space="preserve">满足采购需求的得1分；未提供相关说明或存在逻辑错误、前后矛盾的不得分。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Style w:val="1243"/>
          <w:rFonts w:hint="eastAsia" w:ascii="宋体" w:hAnsi="宋体" w:eastAsia="宋体" w:cs="Times New Roman"/>
          <w:bCs/>
          <w:sz w:val="21"/>
          <w:szCs w:val="21"/>
          <w:highlight w:val="none"/>
        </w:rPr>
        <w:t xml:space="preserve">6、应急救援联勤联动保障方案（4分）</w:t>
      </w:r>
      <w:r/>
    </w:p>
    <w:p>
      <w:pPr>
        <w:ind w:firstLine="420"/>
        <w:jc w:val="left"/>
        <w:keepLines w:val="0"/>
        <w:keepNext w:val="0"/>
        <w:pageBreakBefore w:val="0"/>
        <w:spacing w:line="360" w:lineRule="auto"/>
        <w:rPr>
          <w:rStyle w:val="1243"/>
          <w:rFonts w:hint="default" w:ascii="宋体" w:hAnsi="宋体" w:eastAsia="宋体" w:cs="Times New Roman"/>
          <w:bCs/>
          <w:sz w:val="21"/>
          <w:szCs w:val="21"/>
          <w:highlight w:val="none"/>
          <w:lang w:val="en-US"/>
        </w:rPr>
      </w:pPr>
      <w:r>
        <w:rPr>
          <w:rStyle w:val="1243"/>
          <w:rFonts w:hint="eastAsia" w:ascii="宋体" w:hAnsi="宋体" w:eastAsia="宋体" w:cs="Times New Roman"/>
          <w:bCs/>
          <w:sz w:val="21"/>
          <w:szCs w:val="21"/>
          <w:highlight w:val="none"/>
        </w:rPr>
        <w:t xml:space="preserve">投标单位针对救援需求提供应急救援联勤联动保障方案，做好现场设备灭火救援及训演备勤现场技术服务保障，确保救援工作顺利实施：方案</w:t>
      </w:r>
      <w:r>
        <w:rPr>
          <w:rStyle w:val="1243"/>
          <w:rFonts w:hint="eastAsia" w:ascii="宋体" w:hAnsi="宋体" w:cs="Times New Roman"/>
          <w:bCs/>
          <w:sz w:val="21"/>
          <w:szCs w:val="21"/>
          <w:highlight w:val="none"/>
          <w:lang w:val="en-US"/>
        </w:rPr>
        <w:t xml:space="preserve">内容</w:t>
      </w:r>
      <w:r>
        <w:rPr>
          <w:rStyle w:val="1243"/>
          <w:rFonts w:hint="eastAsia" w:ascii="宋体" w:hAnsi="宋体" w:eastAsia="宋体" w:cs="Times New Roman"/>
          <w:bCs/>
          <w:sz w:val="21"/>
          <w:szCs w:val="21"/>
          <w:highlight w:val="none"/>
        </w:rPr>
        <w:t xml:space="preserve">阐述全面、合理、内容详细，针对性强的得</w:t>
      </w:r>
      <w:r>
        <w:rPr>
          <w:rStyle w:val="1243"/>
          <w:rFonts w:hint="eastAsia" w:ascii="宋体" w:hAnsi="宋体" w:eastAsia="宋体" w:cs="Times New Roman"/>
          <w:bCs/>
          <w:sz w:val="21"/>
          <w:szCs w:val="21"/>
          <w:highlight w:val="none"/>
          <w:lang w:val="en-US"/>
        </w:rPr>
        <w:t xml:space="preserve">4</w:t>
      </w:r>
      <w:r>
        <w:rPr>
          <w:rStyle w:val="1243"/>
          <w:rFonts w:hint="eastAsia" w:ascii="宋体" w:hAnsi="宋体" w:eastAsia="宋体" w:cs="Times New Roman"/>
          <w:bCs/>
          <w:sz w:val="21"/>
          <w:szCs w:val="21"/>
          <w:highlight w:val="none"/>
        </w:rPr>
        <w:t xml:space="preserve">分；方案</w:t>
      </w:r>
      <w:r>
        <w:rPr>
          <w:rStyle w:val="1243"/>
          <w:rFonts w:hint="eastAsia" w:ascii="宋体" w:hAnsi="宋体" w:cs="Times New Roman"/>
          <w:bCs/>
          <w:sz w:val="21"/>
          <w:szCs w:val="21"/>
          <w:highlight w:val="none"/>
          <w:lang w:val="en-US"/>
        </w:rPr>
        <w:t xml:space="preserve">内容</w:t>
      </w:r>
      <w:r>
        <w:rPr>
          <w:rStyle w:val="1243"/>
          <w:rFonts w:hint="eastAsia" w:ascii="宋体" w:hAnsi="宋体" w:eastAsia="宋体" w:cs="Times New Roman"/>
          <w:bCs/>
          <w:sz w:val="21"/>
          <w:szCs w:val="21"/>
          <w:highlight w:val="none"/>
        </w:rPr>
        <w:t xml:space="preserve">阐述</w:t>
      </w:r>
      <w:r>
        <w:rPr>
          <w:rStyle w:val="1243"/>
          <w:rFonts w:hint="eastAsia" w:ascii="宋体" w:hAnsi="宋体" w:eastAsia="宋体" w:cs="Times New Roman"/>
          <w:bCs/>
          <w:sz w:val="21"/>
          <w:szCs w:val="21"/>
          <w:highlight w:val="none"/>
          <w:lang w:val="en-US"/>
        </w:rPr>
        <w:t xml:space="preserve">简单，合理性、</w:t>
      </w:r>
      <w:r>
        <w:rPr>
          <w:rStyle w:val="1243"/>
          <w:rFonts w:hint="eastAsia" w:ascii="宋体" w:hAnsi="宋体" w:eastAsia="宋体" w:cs="Times New Roman"/>
          <w:bCs/>
          <w:sz w:val="21"/>
          <w:szCs w:val="21"/>
          <w:highlight w:val="none"/>
        </w:rPr>
        <w:t xml:space="preserve">针对性一般</w:t>
      </w:r>
      <w:r>
        <w:rPr>
          <w:rStyle w:val="1243"/>
          <w:rFonts w:hint="eastAsia" w:ascii="宋体" w:hAnsi="宋体" w:eastAsia="宋体" w:cs="Times New Roman"/>
          <w:bCs/>
          <w:sz w:val="21"/>
          <w:szCs w:val="21"/>
          <w:highlight w:val="none"/>
          <w:lang w:val="en-US"/>
        </w:rPr>
        <w:t xml:space="preserve">的</w:t>
      </w:r>
      <w:r>
        <w:rPr>
          <w:rStyle w:val="1243"/>
          <w:rFonts w:hint="eastAsia" w:ascii="宋体" w:hAnsi="宋体" w:eastAsia="宋体" w:cs="Times New Roman"/>
          <w:bCs/>
          <w:sz w:val="21"/>
          <w:szCs w:val="21"/>
          <w:highlight w:val="none"/>
        </w:rPr>
        <w:t xml:space="preserve">得2分；方案</w:t>
      </w:r>
      <w:r>
        <w:rPr>
          <w:rStyle w:val="1243"/>
          <w:rFonts w:hint="eastAsia" w:ascii="宋体" w:hAnsi="宋体" w:cs="Times New Roman"/>
          <w:bCs/>
          <w:sz w:val="21"/>
          <w:szCs w:val="21"/>
          <w:highlight w:val="none"/>
          <w:lang w:val="en-US"/>
        </w:rPr>
        <w:t xml:space="preserve">内容</w:t>
      </w:r>
      <w:r>
        <w:rPr>
          <w:rStyle w:val="1243"/>
          <w:rFonts w:hint="eastAsia" w:ascii="宋体" w:hAnsi="宋体" w:eastAsia="宋体" w:cs="Times New Roman"/>
          <w:bCs/>
          <w:sz w:val="21"/>
          <w:szCs w:val="21"/>
          <w:highlight w:val="none"/>
        </w:rPr>
        <w:t xml:space="preserve">阐述粗略，</w:t>
      </w:r>
      <w:r>
        <w:rPr>
          <w:rStyle w:val="1243"/>
          <w:rFonts w:hint="eastAsia" w:ascii="宋体" w:hAnsi="宋体" w:eastAsia="宋体" w:cs="Times New Roman"/>
          <w:bCs/>
          <w:sz w:val="21"/>
          <w:szCs w:val="21"/>
          <w:highlight w:val="none"/>
          <w:lang w:val="en-US"/>
        </w:rPr>
        <w:t xml:space="preserve">合理性、</w:t>
      </w:r>
      <w:r>
        <w:rPr>
          <w:rStyle w:val="1243"/>
          <w:rFonts w:hint="eastAsia" w:ascii="宋体" w:hAnsi="宋体" w:eastAsia="宋体" w:cs="Times New Roman"/>
          <w:bCs/>
          <w:sz w:val="21"/>
          <w:szCs w:val="21"/>
          <w:highlight w:val="none"/>
        </w:rPr>
        <w:t xml:space="preserve">针对性</w:t>
      </w:r>
      <w:r>
        <w:rPr>
          <w:rStyle w:val="1243"/>
          <w:rFonts w:hint="eastAsia" w:ascii="宋体" w:hAnsi="宋体" w:eastAsia="宋体" w:cs="Times New Roman"/>
          <w:bCs/>
          <w:sz w:val="21"/>
          <w:szCs w:val="21"/>
          <w:highlight w:val="none"/>
          <w:lang w:val="en-US"/>
        </w:rPr>
        <w:t xml:space="preserve">不足的</w:t>
      </w:r>
      <w:r>
        <w:rPr>
          <w:rStyle w:val="1243"/>
          <w:rFonts w:hint="eastAsia" w:ascii="宋体" w:hAnsi="宋体" w:eastAsia="宋体" w:cs="Times New Roman"/>
          <w:bCs/>
          <w:sz w:val="21"/>
          <w:szCs w:val="21"/>
          <w:highlight w:val="none"/>
        </w:rPr>
        <w:t xml:space="preserve">得1分；未提供相关说明或存在逻辑错误、前后矛盾的不得分。</w:t>
      </w:r>
      <w:r/>
    </w:p>
    <w:p>
      <w:pPr>
        <w:ind w:firstLine="422"/>
        <w:jc w:val="left"/>
        <w:keepLines w:val="0"/>
        <w:keepNext w:val="0"/>
        <w:pageBreakBefore w:val="0"/>
        <w:spacing w:line="360" w:lineRule="auto"/>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（四）类似业绩情况（4分）</w:t>
      </w:r>
      <w:r/>
    </w:p>
    <w:p>
      <w:pPr>
        <w:ind w:firstLine="420"/>
        <w:jc w:val="left"/>
        <w:keepLines w:val="0"/>
        <w:keepNext w:val="0"/>
        <w:pageBreakBefore w:val="0"/>
        <w:spacing w:line="360" w:lineRule="auto"/>
        <w:rPr>
          <w:rStyle w:val="1243"/>
          <w:rFonts w:hint="eastAsia" w:ascii="宋体" w:hAnsi="宋体" w:eastAsia="宋体" w:cs="Times New Roman"/>
          <w:bCs/>
          <w:sz w:val="21"/>
          <w:szCs w:val="21"/>
          <w:highlight w:val="none"/>
        </w:rPr>
      </w:pP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投标单位</w:t>
      </w:r>
      <w:r>
        <w:rPr>
          <w:rFonts w:hint="eastAsia" w:ascii="宋体" w:hAnsi="宋体"/>
          <w:bCs/>
          <w:color w:val="000000"/>
          <w:sz w:val="21"/>
          <w:szCs w:val="21"/>
          <w:highlight w:val="none"/>
          <w:lang w:val="en-US" w:eastAsia="zh-CN"/>
        </w:rPr>
        <w:t xml:space="preserve">自</w:t>
      </w:r>
      <w:r>
        <w:rPr>
          <w:rStyle w:val="1243"/>
          <w:rFonts w:hint="eastAsia" w:ascii="宋体" w:hAnsi="宋体" w:eastAsia="宋体" w:cs="Times New Roman"/>
          <w:bCs/>
          <w:sz w:val="21"/>
          <w:szCs w:val="21"/>
          <w:highlight w:val="none"/>
        </w:rPr>
        <w:t xml:space="preserve">202</w:t>
      </w:r>
      <w:r>
        <w:rPr>
          <w:rStyle w:val="1243"/>
          <w:rFonts w:hint="eastAsia" w:ascii="宋体" w:hAnsi="宋体" w:eastAsia="宋体" w:cs="Times New Roman"/>
          <w:bCs/>
          <w:sz w:val="21"/>
          <w:szCs w:val="21"/>
          <w:highlight w:val="none"/>
        </w:rPr>
        <w:t xml:space="preserve">1年1月1日至今（以合同签订日期为准）</w:t>
      </w:r>
      <w:r>
        <w:rPr>
          <w:rStyle w:val="1243"/>
          <w:rFonts w:hint="eastAsia" w:ascii="宋体" w:hAnsi="宋体" w:cs="Times New Roman"/>
          <w:bCs/>
          <w:sz w:val="21"/>
          <w:szCs w:val="21"/>
          <w:highlight w:val="none"/>
          <w:lang w:val="en-US"/>
        </w:rPr>
        <w:t xml:space="preserve">承接过</w:t>
      </w:r>
      <w:r>
        <w:rPr>
          <w:rStyle w:val="1243"/>
          <w:rFonts w:hint="eastAsia" w:ascii="宋体" w:hAnsi="宋体" w:eastAsia="宋体" w:cs="Times New Roman"/>
          <w:bCs/>
          <w:sz w:val="21"/>
          <w:szCs w:val="21"/>
          <w:highlight w:val="none"/>
        </w:rPr>
        <w:t xml:space="preserve">类似项目业绩情况，每提供</w:t>
      </w:r>
      <w:r>
        <w:rPr>
          <w:rFonts w:hint="eastAsia" w:ascii="宋体" w:hAnsi="宋体"/>
          <w:bCs/>
          <w:color w:val="000000"/>
          <w:sz w:val="21"/>
          <w:szCs w:val="21"/>
          <w:highlight w:val="none"/>
        </w:rPr>
        <w:t xml:space="preserve">一个业绩</w:t>
      </w:r>
      <w:r>
        <w:rPr>
          <w:rFonts w:hint="eastAsia" w:ascii="宋体" w:hAnsi="宋体"/>
          <w:bCs/>
          <w:color w:val="000000"/>
          <w:sz w:val="21"/>
          <w:szCs w:val="21"/>
          <w:highlight w:val="none"/>
          <w:lang w:val="en-US" w:eastAsia="zh-CN"/>
        </w:rPr>
        <w:t xml:space="preserve">的</w:t>
      </w:r>
      <w:r>
        <w:rPr>
          <w:rStyle w:val="1243"/>
          <w:rFonts w:hint="eastAsia" w:ascii="宋体" w:hAnsi="宋体" w:eastAsia="宋体" w:cs="Times New Roman"/>
          <w:bCs/>
          <w:sz w:val="21"/>
          <w:szCs w:val="21"/>
          <w:highlight w:val="none"/>
        </w:rPr>
        <w:t xml:space="preserve">得2分，</w:t>
      </w:r>
      <w:r>
        <w:rPr>
          <w:rStyle w:val="1243"/>
          <w:rFonts w:hint="eastAsia" w:ascii="宋体" w:hAnsi="宋体" w:cs="Times New Roman"/>
          <w:bCs/>
          <w:sz w:val="21"/>
          <w:szCs w:val="21"/>
          <w:highlight w:val="none"/>
          <w:lang w:val="en-US"/>
        </w:rPr>
        <w:t xml:space="preserve">本项</w:t>
      </w:r>
      <w:r>
        <w:rPr>
          <w:rStyle w:val="1243"/>
          <w:rFonts w:hint="eastAsia" w:ascii="宋体" w:hAnsi="宋体" w:eastAsia="宋体" w:cs="Times New Roman"/>
          <w:bCs/>
          <w:sz w:val="21"/>
          <w:szCs w:val="21"/>
          <w:highlight w:val="none"/>
        </w:rPr>
        <w:t xml:space="preserve">最高</w:t>
      </w:r>
      <w:r>
        <w:rPr>
          <w:rStyle w:val="1243"/>
          <w:rFonts w:hint="eastAsia" w:ascii="宋体" w:hAnsi="宋体" w:cs="Times New Roman"/>
          <w:bCs/>
          <w:sz w:val="21"/>
          <w:szCs w:val="21"/>
          <w:highlight w:val="none"/>
          <w:lang w:val="en-US"/>
        </w:rPr>
        <w:t xml:space="preserve">得</w:t>
      </w:r>
      <w:r>
        <w:rPr>
          <w:rStyle w:val="1243"/>
          <w:rFonts w:hint="eastAsia" w:ascii="宋体" w:hAnsi="宋体" w:eastAsia="宋体" w:cs="Times New Roman"/>
          <w:bCs/>
          <w:sz w:val="21"/>
          <w:szCs w:val="21"/>
          <w:highlight w:val="none"/>
        </w:rPr>
        <w:t xml:space="preserve">4分</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（投标文件</w:t>
      </w:r>
      <w:r>
        <w:rPr>
          <w:rFonts w:hint="eastAsia" w:ascii="宋体" w:hAnsi="宋体" w:eastAsia="宋体" w:cs="宋体"/>
          <w:bCs/>
          <w:color w:val="000000"/>
          <w:sz w:val="21"/>
          <w:szCs w:val="21"/>
          <w:highlight w:val="none"/>
        </w:rPr>
        <w:t xml:space="preserve">中提供完整合同复印件</w:t>
      </w:r>
      <w:r>
        <w:rPr>
          <w:rStyle w:val="1243"/>
          <w:rFonts w:hint="eastAsia" w:ascii="宋体" w:hAnsi="宋体" w:eastAsia="宋体" w:cs="Times New Roman"/>
          <w:bCs/>
          <w:sz w:val="21"/>
          <w:szCs w:val="21"/>
          <w:highlight w:val="none"/>
        </w:rPr>
        <w:t xml:space="preserve">，未提供或资料不全、不清晰的不得分</w:t>
      </w:r>
      <w:r>
        <w:rPr>
          <w:rStyle w:val="1243"/>
          <w:rFonts w:hint="eastAsia" w:ascii="宋体" w:hAnsi="宋体" w:cs="Times New Roman"/>
          <w:bCs/>
          <w:sz w:val="21"/>
          <w:szCs w:val="21"/>
          <w:highlight w:val="none"/>
        </w:rPr>
        <w:t xml:space="preserve">。</w:t>
      </w:r>
      <w:r>
        <w:rPr>
          <w:rStyle w:val="1243"/>
          <w:rFonts w:hint="eastAsia" w:ascii="宋体" w:hAnsi="宋体" w:eastAsia="宋体" w:cs="Times New Roman"/>
          <w:bCs/>
          <w:sz w:val="21"/>
          <w:szCs w:val="21"/>
          <w:highlight w:val="none"/>
        </w:rPr>
        <w:t xml:space="preserve">）</w:t>
      </w:r>
      <w:r/>
    </w:p>
    <w:p>
      <w:pPr>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p>
      <w:pPr>
        <w:ind w:firstLine="48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w:t>
      </w:r>
      <w:r/>
    </w:p>
    <w:p>
      <w:pPr>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、付款步骤、交货期、免费质保期如有负偏离的不得中标。</w:t>
      </w:r>
      <w:r/>
    </w:p>
    <w:p>
      <w:pPr>
        <w:ind w:firstLine="48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p>
    <w:p>
      <w:pPr>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p>
    <w:p>
      <w:pPr>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p>
    <w:p>
      <w:pPr>
        <w:jc w:val="right"/>
        <w:spacing w:line="360" w:lineRule="auto"/>
        <w:rPr>
          <w:rFonts w:hint="eastAsia" w:ascii="宋体" w:hAnsi="宋体" w:cs="黑体"/>
          <w:b w:val="0"/>
          <w:bCs/>
          <w:color w:val="000000"/>
          <w:sz w:val="21"/>
          <w:szCs w:val="21"/>
          <w:highlight w:val="none"/>
        </w:rPr>
      </w:pPr>
      <w:r>
        <w:rPr>
          <w:rFonts w:hint="eastAsia" w:ascii="宋体" w:hAnsi="宋体" w:cs="宋体"/>
          <w:b w:val="0"/>
          <w:bCs/>
          <w:color w:val="000000"/>
          <w:sz w:val="21"/>
          <w:szCs w:val="21"/>
          <w:highlight w:val="none"/>
        </w:rPr>
        <w:t xml:space="preserve">（全文完）</w:t>
      </w:r>
      <w:r/>
    </w:p>
    <w:sectPr>
      <w:footerReference w:type="default" r:id="rId14"/>
      <w:footerReference w:type="first" r:id="rId15"/>
      <w:footnotePr/>
      <w:endnotePr/>
      <w:type w:val="nextPage"/>
      <w:pgSz w:w="11850" w:h="16783"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sz w:val="15"/>
        <w:szCs w:val="15"/>
      </w:rPr>
    </w:pPr>
    <w:r>
      <w:rPr>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-8890</wp:posOffset>
              </wp:positionV>
              <wp:extent cx="6223000" cy="63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223000" cy="6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9pt;mso-position-horizontal:absolute;mso-position-vertical-relative:text;margin-top:-0.7pt;mso-position-vertical:absolute;width:490.0pt;height:0.0pt;mso-wrap-distance-left:9.0pt;mso-wrap-distance-top:0.0pt;mso-wrap-distance-right:9.0pt;mso-wrap-distance-bottom:0.0pt;visibility:visible;" path="m0,0l100000,100000ee" coordsize="100000,100000" filled="f" strokecolor="#000000">
              <v:path textboxrect="0,0,100000,100000"/>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5"/>
      </w:rPr>
      <w:framePr w:wrap="around" w:vAnchor="text" w:hAnchor="margin" w:xAlign="right" w:y="1"/>
    </w:pPr>
    <w:r>
      <w:fldChar w:fldCharType="begin"/>
    </w:r>
    <w:r>
      <w:rPr>
        <w:rStyle w:val="1155"/>
      </w:rPr>
      <w:instrText xml:space="preserve">PAGE  </w:instrText>
    </w:r>
    <w:r>
      <w:fldChar w:fldCharType="separate"/>
    </w:r>
    <w:r>
      <w:rPr>
        <w:rStyle w:val="1155"/>
      </w:rPr>
      <w:t xml:space="preserve">2</w:t>
    </w:r>
    <w:r>
      <w:fldChar w:fldCharType="end"/>
    </w:r>
    <w:r/>
  </w:p>
  <w:p>
    <w:pPr>
      <w:pStyle w:val="11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4"/>
                            <w:tabs>
                              <w:tab w:val="clear" w:pos="4153" w:leader="none"/>
                              <w:tab w:val="clear" w:pos="8306" w:leader="none"/>
                            </w:tabs>
                            <w:rPr>
                              <w:rFonts w:hint="eastAsia"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80</w:t>
                          </w:r>
                          <w:r>
                            <w:rPr>
                              <w:rFonts w:hint="eastAsia" w:eastAsia="宋体"/>
                            </w:rPr>
                            <w:fldChar w:fldCharType="end"/>
                          </w:r>
                          <w:r>
                            <w:rPr>
                              <w:rFonts w:hint="eastAsia" w:eastAsia="宋体"/>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4"/>
                      <w:tabs>
                        <w:tab w:val="clear" w:pos="4153" w:leader="none"/>
                        <w:tab w:val="clear" w:pos="8306" w:leader="none"/>
                      </w:tabs>
                      <w:rPr>
                        <w:rFonts w:hint="eastAsia"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80</w:t>
                    </w:r>
                    <w:r>
                      <w:rPr>
                        <w:rFonts w:hint="eastAsia" w:eastAsia="宋体"/>
                      </w:rPr>
                      <w:fldChar w:fldCharType="end"/>
                    </w:r>
                    <w:r>
                      <w:rPr>
                        <w:rFonts w:hint="eastAsia" w:eastAsia="宋体"/>
                      </w:rPr>
                      <w:t xml:space="preserve"> 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4"/>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4"/>
                            <w:tabs>
                              <w:tab w:val="clear" w:pos="4153" w:leader="none"/>
                              <w:tab w:val="clear" w:pos="8306" w:leader="none"/>
                            </w:tabs>
                            <w:rPr>
                              <w:rFonts w:hint="eastAsia"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79</w:t>
                          </w:r>
                          <w:r>
                            <w:rPr>
                              <w:rFonts w:hint="eastAsia" w:eastAsia="宋体"/>
                            </w:rPr>
                            <w:fldChar w:fldCharType="end"/>
                          </w:r>
                          <w:r>
                            <w:rPr>
                              <w:rFonts w:hint="eastAsia" w:eastAsia="宋体"/>
                            </w:rP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4"/>
                      <w:tabs>
                        <w:tab w:val="clear" w:pos="4153" w:leader="none"/>
                        <w:tab w:val="clear" w:pos="8306" w:leader="none"/>
                      </w:tabs>
                      <w:rPr>
                        <w:rFonts w:hint="eastAsia"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79</w:t>
                    </w:r>
                    <w:r>
                      <w:rPr>
                        <w:rFonts w:hint="eastAsia" w:eastAsia="宋体"/>
                      </w:rPr>
                      <w:fldChar w:fldCharType="end"/>
                    </w:r>
                    <w:r>
                      <w:rPr>
                        <w:rFonts w:hint="eastAsia" w:eastAsia="宋体"/>
                      </w:rPr>
                      <w:t xml:space="preserve"> 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left="3960" w:right="90" w:hanging="3960"/>
      <w:jc w:val="left"/>
      <w:rPr>
        <w:rFonts w:eastAsia="楷体_GB2312"/>
        <w:u w:val="single"/>
        <w:lang w:val="en-US" w:eastAsia="zh-CN"/>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-417830</wp:posOffset>
              </wp:positionH>
              <wp:positionV relativeFrom="paragraph">
                <wp:posOffset>-52070</wp:posOffset>
              </wp:positionV>
              <wp:extent cx="399415" cy="4064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2.9pt;mso-position-horizontal:absolute;mso-position-vertical-relative:text;margin-top:-4.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lang w:eastAsia="zh-CN"/>
      </w:rPr>
      <w:t xml:space="preserve">中汇通项目管理咨询（苏州）有限公司</w:t>
    </w:r>
    <w:r>
      <w:rPr>
        <w:rFonts w:hint="eastAsia"/>
      </w:rPr>
      <w:t xml:space="preserve">  </w:t>
    </w:r>
    <w:r>
      <w:t xml:space="preserve"> </w:t>
    </w:r>
    <w:r>
      <w:rPr>
        <w:rFonts w:hint="eastAsia"/>
      </w:rPr>
      <w:t xml:space="preserve"> </w:t>
    </w:r>
    <w:r>
      <w:rPr>
        <w:rFonts w:hint="eastAsia"/>
        <w:lang w:val="en-US" w:eastAsia="zh-CN"/>
      </w:rPr>
      <w:t xml:space="preserve">  </w:t>
    </w:r>
    <w:r>
      <w:t xml:space="preserve">                 </w:t>
    </w:r>
    <w:r>
      <w:rPr>
        <w:rFonts w:hint="eastAsia"/>
        <w:lang w:val="en-US" w:eastAsia="zh-CN"/>
      </w:rPr>
      <w:t xml:space="preserve">     JSZC-320509-ZHTX-G2026-0002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left="3960" w:right="90" w:hanging="3960"/>
      <w:jc w:val="left"/>
      <w:rPr>
        <w:rFonts w:eastAsia="楷体_GB2312"/>
        <w:lang w:val="en-US" w:eastAsia="zh-CN"/>
      </w:rPr>
      <w:pBdr>
        <w:top w:val="none" w:color="000000" w:sz="0" w:space="0"/>
        <w:left w:val="none" w:color="000000" w:sz="0" w:space="0"/>
        <w:bottom w:val="none" w:color="000000" w:sz="0" w:space="1"/>
        <w:right w:val="none" w:color="000000" w:sz="0" w:space="0"/>
        <w:between w:val="none" w:color="000000" w:sz="0" w:space="0"/>
      </w:pBdr>
    </w:pPr>
    <w:r>
      <w:rPr>
        <w:rFonts w:eastAsia="楷体_GB2312"/>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center"/>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center"/>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3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3"/>
    <w:lvlOverride w:ilvl="0">
      <w:startOverride w:val="1"/>
    </w:lvlOverride>
  </w:num>
  <w:num w:numId="3">
    <w:abstractNumId w:val="8"/>
  </w:num>
  <w:num w:numId="4">
    <w:abstractNumId w:val="1"/>
  </w:num>
  <w:num w:numId="5">
    <w:abstractNumId w:val="0"/>
  </w:num>
  <w:num w:numId="6">
    <w:abstractNumId w:val="5"/>
  </w:num>
  <w:num w:numId="7">
    <w:abstractNumId w:val="7"/>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link w:val="1249"/>
    <w:uiPriority w:val="0"/>
    <w:qFormat/>
    <w:rPr>
      <w:rFonts w:hint="default" w:ascii="Times New Roman" w:hAnsi="Times New Roman" w:eastAsia="宋体" w:cs="Times New Roman"/>
      <w:sz w:val="24"/>
      <w:lang w:val="en-US" w:eastAsia="zh-CN" w:bidi="ar-SA"/>
    </w:rPr>
  </w:style>
  <w:style w:type="paragraph" w:styleId="903">
    <w:name w:val="Heading 1"/>
    <w:basedOn w:val="902"/>
    <w:next w:val="902"/>
    <w:link w:val="940"/>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941"/>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942"/>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943"/>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44"/>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945"/>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47"/>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48"/>
    <w:uiPriority w:val="9"/>
    <w:unhideWhenUsed/>
    <w:qFormat/>
    <w:pPr>
      <w:keepLines/>
      <w:keepNext/>
      <w:spacing w:before="320" w:after="200"/>
      <w:outlineLvl w:val="8"/>
    </w:pPr>
    <w:rPr>
      <w:rFonts w:ascii="Arial" w:hAnsi="Arial" w:eastAsia="Arial" w:cs="Arial"/>
      <w:i/>
      <w:iCs/>
      <w:sz w:val="21"/>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right="0" w:firstLine="0"/>
      <w:spacing w:after="57"/>
    </w:pPr>
  </w:style>
  <w:style w:type="paragraph" w:styleId="915">
    <w:name w:val="Normal Indent"/>
    <w:basedOn w:val="902"/>
    <w:next w:val="902"/>
    <w:uiPriority w:val="0"/>
    <w:qFormat/>
    <w:pPr>
      <w:ind w:firstLine="420"/>
      <w:jc w:val="left"/>
    </w:pPr>
    <w:rPr>
      <w:rFonts w:eastAsia="楷体_GB2312"/>
    </w:rPr>
  </w:style>
  <w:style w:type="paragraph" w:styleId="916">
    <w:name w:val="Caption"/>
    <w:basedOn w:val="902"/>
    <w:next w:val="902"/>
    <w:uiPriority w:val="35"/>
    <w:semiHidden/>
    <w:unhideWhenUsed/>
    <w:qFormat/>
    <w:pPr>
      <w:spacing w:line="276" w:lineRule="auto"/>
    </w:pPr>
    <w:rPr>
      <w:b/>
      <w:bCs/>
      <w:color w:val="4f81bd" w:themeColor="accent1"/>
      <w:sz w:val="18"/>
      <w:szCs w:val="18"/>
    </w:rPr>
  </w:style>
  <w:style w:type="paragraph" w:styleId="917">
    <w:name w:val="toc 5"/>
    <w:basedOn w:val="902"/>
    <w:next w:val="902"/>
    <w:uiPriority w:val="39"/>
    <w:unhideWhenUsed/>
    <w:qFormat/>
    <w:pPr>
      <w:ind w:left="1134" w:right="0" w:firstLine="0"/>
      <w:spacing w:after="57"/>
    </w:pPr>
  </w:style>
  <w:style w:type="paragraph" w:styleId="918">
    <w:name w:val="toc 3"/>
    <w:basedOn w:val="902"/>
    <w:next w:val="902"/>
    <w:uiPriority w:val="39"/>
    <w:unhideWhenUsed/>
    <w:qFormat/>
    <w:pPr>
      <w:ind w:left="567" w:right="0" w:firstLine="0"/>
      <w:spacing w:after="57"/>
    </w:pPr>
  </w:style>
  <w:style w:type="paragraph" w:styleId="919">
    <w:name w:val="Plain Text"/>
    <w:basedOn w:val="902"/>
    <w:uiPriority w:val="0"/>
    <w:qFormat/>
    <w:pPr>
      <w:spacing w:line="360" w:lineRule="auto"/>
    </w:pPr>
    <w:rPr>
      <w:rFonts w:ascii="宋体" w:hAnsi="宋体" w:cs="黑体"/>
      <w:szCs w:val="24"/>
      <w:lang w:val="zh-CN"/>
    </w:rPr>
  </w:style>
  <w:style w:type="paragraph" w:styleId="920">
    <w:name w:val="toc 8"/>
    <w:basedOn w:val="902"/>
    <w:next w:val="902"/>
    <w:uiPriority w:val="39"/>
    <w:unhideWhenUsed/>
    <w:qFormat/>
    <w:pPr>
      <w:ind w:left="1984" w:right="0" w:firstLine="0"/>
      <w:spacing w:after="57"/>
    </w:pPr>
  </w:style>
  <w:style w:type="paragraph" w:styleId="921">
    <w:name w:val="endnote text"/>
    <w:basedOn w:val="902"/>
    <w:link w:val="1085"/>
    <w:uiPriority w:val="99"/>
    <w:semiHidden/>
    <w:unhideWhenUsed/>
    <w:qFormat/>
    <w:pPr>
      <w:spacing w:after="0" w:line="240" w:lineRule="auto"/>
    </w:pPr>
    <w:rPr>
      <w:sz w:val="20"/>
    </w:rPr>
  </w:style>
  <w:style w:type="paragraph" w:styleId="922">
    <w:name w:val="Footer"/>
    <w:basedOn w:val="902"/>
    <w:link w:val="958"/>
    <w:uiPriority w:val="99"/>
    <w:unhideWhenUsed/>
    <w:qFormat/>
    <w:pPr>
      <w:spacing w:after="0" w:line="240" w:lineRule="auto"/>
      <w:tabs>
        <w:tab w:val="center" w:pos="7143" w:leader="none"/>
        <w:tab w:val="right" w:pos="14287" w:leader="none"/>
      </w:tabs>
    </w:pPr>
  </w:style>
  <w:style w:type="paragraph" w:styleId="923">
    <w:name w:val="Header"/>
    <w:basedOn w:val="902"/>
    <w:link w:val="956"/>
    <w:uiPriority w:val="99"/>
    <w:unhideWhenUsed/>
    <w:qFormat/>
    <w:pPr>
      <w:spacing w:after="0" w:line="240" w:lineRule="auto"/>
      <w:tabs>
        <w:tab w:val="center" w:pos="7143" w:leader="none"/>
        <w:tab w:val="right" w:pos="14287" w:leader="none"/>
      </w:tabs>
    </w:pPr>
  </w:style>
  <w:style w:type="paragraph" w:styleId="924">
    <w:name w:val="toc 1"/>
    <w:basedOn w:val="902"/>
    <w:next w:val="902"/>
    <w:uiPriority w:val="39"/>
    <w:unhideWhenUsed/>
    <w:qFormat/>
    <w:pPr>
      <w:ind w:left="0" w:right="0" w:firstLine="0"/>
      <w:spacing w:after="57"/>
    </w:pPr>
  </w:style>
  <w:style w:type="paragraph" w:styleId="925">
    <w:name w:val="toc 4"/>
    <w:basedOn w:val="902"/>
    <w:next w:val="902"/>
    <w:uiPriority w:val="39"/>
    <w:unhideWhenUsed/>
    <w:qFormat/>
    <w:pPr>
      <w:ind w:left="850" w:right="0" w:firstLine="0"/>
      <w:spacing w:after="57"/>
    </w:pPr>
  </w:style>
  <w:style w:type="paragraph" w:styleId="926">
    <w:name w:val="Subtitle"/>
    <w:basedOn w:val="902"/>
    <w:next w:val="902"/>
    <w:link w:val="951"/>
    <w:uiPriority w:val="11"/>
    <w:qFormat/>
    <w:pPr>
      <w:spacing w:before="200" w:after="200"/>
    </w:pPr>
    <w:rPr>
      <w:sz w:val="24"/>
      <w:szCs w:val="24"/>
    </w:rPr>
  </w:style>
  <w:style w:type="paragraph" w:styleId="927">
    <w:name w:val="footnote text"/>
    <w:basedOn w:val="902"/>
    <w:link w:val="1084"/>
    <w:uiPriority w:val="99"/>
    <w:semiHidden/>
    <w:unhideWhenUsed/>
    <w:qFormat/>
    <w:pPr>
      <w:spacing w:after="40" w:line="240" w:lineRule="auto"/>
    </w:pPr>
    <w:rPr>
      <w:sz w:val="18"/>
    </w:rPr>
  </w:style>
  <w:style w:type="paragraph" w:styleId="928">
    <w:name w:val="toc 6"/>
    <w:basedOn w:val="902"/>
    <w:next w:val="902"/>
    <w:uiPriority w:val="39"/>
    <w:unhideWhenUsed/>
    <w:qFormat/>
    <w:pPr>
      <w:ind w:left="1417" w:right="0" w:firstLine="0"/>
      <w:spacing w:after="57"/>
    </w:pPr>
  </w:style>
  <w:style w:type="paragraph" w:styleId="929">
    <w:name w:val="table of figures"/>
    <w:basedOn w:val="902"/>
    <w:next w:val="902"/>
    <w:uiPriority w:val="99"/>
    <w:unhideWhenUsed/>
    <w:qFormat/>
    <w:pPr>
      <w:spacing w:after="0" w:afterAutospacing="0"/>
    </w:pPr>
  </w:style>
  <w:style w:type="paragraph" w:styleId="930">
    <w:name w:val="toc 2"/>
    <w:basedOn w:val="902"/>
    <w:next w:val="902"/>
    <w:uiPriority w:val="39"/>
    <w:unhideWhenUsed/>
    <w:qFormat/>
    <w:pPr>
      <w:ind w:left="283" w:right="0" w:firstLine="0"/>
      <w:spacing w:after="57"/>
    </w:pPr>
  </w:style>
  <w:style w:type="paragraph" w:styleId="931">
    <w:name w:val="toc 9"/>
    <w:basedOn w:val="902"/>
    <w:next w:val="902"/>
    <w:uiPriority w:val="39"/>
    <w:unhideWhenUsed/>
    <w:qFormat/>
    <w:pPr>
      <w:ind w:left="2268" w:right="0" w:firstLine="0"/>
      <w:spacing w:after="57"/>
    </w:pPr>
  </w:style>
  <w:style w:type="paragraph" w:styleId="932">
    <w:name w:val="Normal (Web)"/>
    <w:basedOn w:val="902"/>
    <w:uiPriority w:val="0"/>
    <w:qFormat/>
    <w:pPr>
      <w:jc w:val="left"/>
      <w:spacing w:before="100" w:beforeAutospacing="1" w:after="100" w:afterAutospacing="1"/>
      <w:widowControl/>
    </w:pPr>
    <w:rPr>
      <w:rFonts w:ascii="宋体" w:hAnsi="宋体" w:cs="宋体"/>
      <w:sz w:val="24"/>
    </w:rPr>
  </w:style>
  <w:style w:type="paragraph" w:styleId="933">
    <w:name w:val="Title"/>
    <w:basedOn w:val="902"/>
    <w:next w:val="902"/>
    <w:link w:val="950"/>
    <w:uiPriority w:val="10"/>
    <w:qFormat/>
    <w:pPr>
      <w:contextualSpacing/>
      <w:spacing w:before="300" w:after="200"/>
    </w:pPr>
    <w:rPr>
      <w:sz w:val="48"/>
      <w:szCs w:val="48"/>
    </w:rPr>
  </w:style>
  <w:style w:type="table" w:styleId="9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endnote reference"/>
    <w:uiPriority w:val="99"/>
    <w:semiHidden/>
    <w:unhideWhenUsed/>
    <w:qFormat/>
    <w:rPr>
      <w:vertAlign w:val="superscript"/>
    </w:rPr>
  </w:style>
  <w:style w:type="character" w:styleId="936">
    <w:name w:val="Emphasis"/>
    <w:basedOn w:val="912"/>
    <w:uiPriority w:val="0"/>
    <w:qFormat/>
    <w:rPr>
      <w:i/>
      <w:iCs/>
    </w:rPr>
  </w:style>
  <w:style w:type="character" w:styleId="937">
    <w:name w:val="Hyperlink"/>
    <w:uiPriority w:val="99"/>
    <w:unhideWhenUsed/>
    <w:qFormat/>
    <w:rPr>
      <w:color w:val="0000ff" w:themeColor="hyperlink"/>
      <w:u w:val="single"/>
    </w:rPr>
  </w:style>
  <w:style w:type="character" w:styleId="938">
    <w:name w:val="footnote reference"/>
    <w:uiPriority w:val="99"/>
    <w:unhideWhenUsed/>
    <w:qFormat/>
    <w:rPr>
      <w:vertAlign w:val="superscript"/>
    </w:rPr>
  </w:style>
  <w:style w:type="paragraph" w:styleId="939" w:customStyle="1">
    <w:name w:val="正文1"/>
    <w:basedOn w:val="902"/>
    <w:next w:val="902"/>
    <w:uiPriority w:val="0"/>
    <w:qFormat/>
    <w:pPr>
      <w:ind w:left="359" w:hanging="359"/>
      <w:spacing w:line="500" w:lineRule="exact"/>
      <w:tabs>
        <w:tab w:val="left" w:pos="480" w:leader="none"/>
      </w:tabs>
    </w:pPr>
    <w:rPr>
      <w:rFonts w:ascii="黑体" w:hAnsi="宋体" w:eastAsia="宋体"/>
      <w:sz w:val="21"/>
      <w:szCs w:val="24"/>
    </w:rPr>
  </w:style>
  <w:style w:type="character" w:styleId="940" w:customStyle="1">
    <w:name w:val="Heading 1 Char"/>
    <w:link w:val="903"/>
    <w:uiPriority w:val="9"/>
    <w:qFormat/>
    <w:rPr>
      <w:rFonts w:ascii="Arial" w:hAnsi="Arial" w:eastAsia="Arial" w:cs="Arial"/>
      <w:sz w:val="40"/>
      <w:szCs w:val="40"/>
    </w:rPr>
  </w:style>
  <w:style w:type="character" w:styleId="941" w:customStyle="1">
    <w:name w:val="Heading 2 Char"/>
    <w:link w:val="904"/>
    <w:uiPriority w:val="9"/>
    <w:qFormat/>
    <w:rPr>
      <w:rFonts w:ascii="Arial" w:hAnsi="Arial" w:eastAsia="Arial" w:cs="Arial"/>
      <w:sz w:val="34"/>
    </w:rPr>
  </w:style>
  <w:style w:type="character" w:styleId="942" w:customStyle="1">
    <w:name w:val="Heading 3 Char"/>
    <w:link w:val="905"/>
    <w:uiPriority w:val="9"/>
    <w:qFormat/>
    <w:rPr>
      <w:rFonts w:ascii="Arial" w:hAnsi="Arial" w:eastAsia="Arial" w:cs="Arial"/>
      <w:sz w:val="30"/>
      <w:szCs w:val="30"/>
    </w:rPr>
  </w:style>
  <w:style w:type="character" w:styleId="943" w:customStyle="1">
    <w:name w:val="Heading 4 Char"/>
    <w:link w:val="906"/>
    <w:uiPriority w:val="9"/>
    <w:qFormat/>
    <w:rPr>
      <w:rFonts w:ascii="Arial" w:hAnsi="Arial" w:eastAsia="Arial" w:cs="Arial"/>
      <w:b/>
      <w:bCs/>
      <w:sz w:val="26"/>
      <w:szCs w:val="26"/>
    </w:rPr>
  </w:style>
  <w:style w:type="character" w:styleId="944" w:customStyle="1">
    <w:name w:val="Heading 5 Char"/>
    <w:link w:val="907"/>
    <w:uiPriority w:val="9"/>
    <w:qFormat/>
    <w:rPr>
      <w:rFonts w:ascii="Arial" w:hAnsi="Arial" w:eastAsia="Arial" w:cs="Arial"/>
      <w:b/>
      <w:bCs/>
      <w:sz w:val="24"/>
      <w:szCs w:val="24"/>
    </w:rPr>
  </w:style>
  <w:style w:type="character" w:styleId="945" w:customStyle="1">
    <w:name w:val="Heading 6 Char"/>
    <w:link w:val="908"/>
    <w:uiPriority w:val="9"/>
    <w:qFormat/>
    <w:rPr>
      <w:rFonts w:ascii="Arial" w:hAnsi="Arial" w:eastAsia="Arial" w:cs="Arial"/>
      <w:b/>
      <w:bCs/>
      <w:sz w:val="22"/>
      <w:szCs w:val="22"/>
    </w:rPr>
  </w:style>
  <w:style w:type="character" w:styleId="946" w:customStyle="1">
    <w:name w:val="Heading 7 Char"/>
    <w:link w:val="909"/>
    <w:uiPriority w:val="9"/>
    <w:qFormat/>
    <w:rPr>
      <w:rFonts w:ascii="Arial" w:hAnsi="Arial" w:eastAsia="Arial" w:cs="Arial"/>
      <w:b/>
      <w:bCs/>
      <w:i/>
      <w:iCs/>
      <w:sz w:val="22"/>
      <w:szCs w:val="22"/>
    </w:rPr>
  </w:style>
  <w:style w:type="character" w:styleId="947" w:customStyle="1">
    <w:name w:val="Heading 8 Char"/>
    <w:link w:val="910"/>
    <w:uiPriority w:val="9"/>
    <w:qFormat/>
    <w:rPr>
      <w:rFonts w:ascii="Arial" w:hAnsi="Arial" w:eastAsia="Arial" w:cs="Arial"/>
      <w:i/>
      <w:iCs/>
      <w:sz w:val="22"/>
      <w:szCs w:val="22"/>
    </w:rPr>
  </w:style>
  <w:style w:type="character" w:styleId="948" w:customStyle="1">
    <w:name w:val="Heading 9 Char"/>
    <w:link w:val="911"/>
    <w:uiPriority w:val="9"/>
    <w:qFormat/>
    <w:rPr>
      <w:rFonts w:ascii="Arial" w:hAnsi="Arial" w:eastAsia="Arial" w:cs="Arial"/>
      <w:i/>
      <w:iCs/>
      <w:sz w:val="21"/>
      <w:szCs w:val="21"/>
    </w:rPr>
  </w:style>
  <w:style w:type="paragraph" w:styleId="949">
    <w:name w:val="No Spacing"/>
    <w:uiPriority w:val="1"/>
    <w:qFormat/>
    <w:pPr>
      <w:spacing w:before="0" w:after="0" w:line="240" w:lineRule="auto"/>
    </w:pPr>
    <w:rPr>
      <w:rFonts w:hint="default" w:ascii="Times New Roman" w:hAnsi="Times New Roman" w:eastAsia="宋体" w:cs="Times New Roman"/>
    </w:rPr>
  </w:style>
  <w:style w:type="character" w:styleId="950" w:customStyle="1">
    <w:name w:val="Title Char"/>
    <w:link w:val="933"/>
    <w:uiPriority w:val="10"/>
    <w:qFormat/>
    <w:rPr>
      <w:sz w:val="48"/>
      <w:szCs w:val="48"/>
    </w:rPr>
  </w:style>
  <w:style w:type="character" w:styleId="951" w:customStyle="1">
    <w:name w:val="Subtitle Char"/>
    <w:link w:val="926"/>
    <w:uiPriority w:val="11"/>
    <w:qFormat/>
    <w:rPr>
      <w:sz w:val="24"/>
      <w:szCs w:val="24"/>
    </w:rPr>
  </w:style>
  <w:style w:type="paragraph" w:styleId="952">
    <w:name w:val="Quote"/>
    <w:basedOn w:val="902"/>
    <w:next w:val="902"/>
    <w:link w:val="953"/>
    <w:uiPriority w:val="29"/>
    <w:qFormat/>
    <w:pPr>
      <w:ind w:left="720" w:right="720"/>
    </w:pPr>
    <w:rPr>
      <w:i/>
    </w:rPr>
  </w:style>
  <w:style w:type="character" w:styleId="953" w:customStyle="1">
    <w:name w:val="Quote Char"/>
    <w:link w:val="952"/>
    <w:uiPriority w:val="29"/>
    <w:qFormat/>
    <w:rPr>
      <w:i/>
    </w:rPr>
  </w:style>
  <w:style w:type="paragraph" w:styleId="954">
    <w:name w:val="Intense Quote"/>
    <w:basedOn w:val="902"/>
    <w:next w:val="902"/>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Header Char"/>
    <w:link w:val="923"/>
    <w:uiPriority w:val="99"/>
    <w:qFormat/>
  </w:style>
  <w:style w:type="character" w:styleId="957" w:customStyle="1">
    <w:name w:val="Footer Char"/>
    <w:link w:val="922"/>
    <w:uiPriority w:val="99"/>
    <w:qFormat/>
  </w:style>
  <w:style w:type="character" w:styleId="958" w:customStyle="1">
    <w:name w:val="Caption Char"/>
    <w:link w:val="922"/>
    <w:uiPriority w:val="99"/>
    <w:qFormat/>
  </w:style>
  <w:style w:type="table" w:styleId="9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Footnote Text Char"/>
    <w:link w:val="927"/>
    <w:uiPriority w:val="99"/>
    <w:qFormat/>
    <w:rPr>
      <w:sz w:val="18"/>
    </w:rPr>
  </w:style>
  <w:style w:type="character" w:styleId="1085" w:customStyle="1">
    <w:name w:val="Endnote Text Char"/>
    <w:link w:val="921"/>
    <w:uiPriority w:val="99"/>
    <w:qFormat/>
    <w:rPr>
      <w:sz w:val="20"/>
    </w:rPr>
  </w:style>
  <w:style w:type="paragraph" w:styleId="1086" w:customStyle="1">
    <w:name w:val="TOC Heading"/>
    <w:uiPriority w:val="39"/>
    <w:unhideWhenUsed/>
    <w:qFormat/>
    <w:rPr>
      <w:rFonts w:hint="default" w:ascii="Times New Roman" w:hAnsi="Times New Roman" w:eastAsia="宋体" w:cs="Times New Roman"/>
    </w:rPr>
  </w:style>
  <w:style w:type="paragraph" w:styleId="1087" w:customStyle="1">
    <w:name w:val="标题 11"/>
    <w:basedOn w:val="902"/>
    <w:next w:val="902"/>
    <w:link w:val="1098"/>
    <w:uiPriority w:val="0"/>
    <w:qFormat/>
    <w:pPr>
      <w:keepLines/>
      <w:keepNext/>
      <w:spacing w:after="100" w:line="360" w:lineRule="auto"/>
      <w:outlineLvl w:val="0"/>
    </w:pPr>
    <w:rPr>
      <w:b/>
      <w:sz w:val="28"/>
    </w:rPr>
  </w:style>
  <w:style w:type="paragraph" w:styleId="1088" w:customStyle="1">
    <w:name w:val="标题 21"/>
    <w:basedOn w:val="902"/>
    <w:next w:val="902"/>
    <w:link w:val="1099"/>
    <w:uiPriority w:val="0"/>
    <w:qFormat/>
    <w:pPr>
      <w:ind w:left="1012" w:hanging="750"/>
      <w:jc w:val="both"/>
      <w:keepLines/>
      <w:keepNext/>
      <w:spacing w:before="260" w:after="260" w:line="416" w:lineRule="auto"/>
      <w:widowControl w:val="off"/>
      <w:tabs>
        <w:tab w:val="left" w:pos="576" w:leader="none"/>
        <w:tab w:val="left" w:pos="1012" w:leader="none"/>
      </w:tabs>
      <w:outlineLvl w:val="1"/>
    </w:pPr>
    <w:rPr>
      <w:rFonts w:ascii="Arial" w:hAnsi="Arial" w:eastAsia="黑体"/>
      <w:b/>
      <w:bCs/>
      <w:sz w:val="32"/>
      <w:szCs w:val="32"/>
    </w:rPr>
  </w:style>
  <w:style w:type="paragraph" w:styleId="1089" w:customStyle="1">
    <w:name w:val="标题 31"/>
    <w:basedOn w:val="902"/>
    <w:next w:val="902"/>
    <w:link w:val="1100"/>
    <w:uiPriority w:val="0"/>
    <w:qFormat/>
    <w:pPr>
      <w:jc w:val="both"/>
      <w:keepLines/>
      <w:keepNext/>
      <w:spacing w:before="260" w:beforeAutospacing="0" w:after="260" w:afterAutospacing="0" w:line="415" w:lineRule="auto"/>
      <w:widowControl w:val="off"/>
      <w:outlineLvl w:val="2"/>
    </w:pPr>
    <w:rPr>
      <w:b/>
      <w:sz w:val="32"/>
    </w:rPr>
  </w:style>
  <w:style w:type="paragraph" w:styleId="1090" w:customStyle="1">
    <w:name w:val="标题 41"/>
    <w:basedOn w:val="902"/>
    <w:next w:val="902"/>
    <w:link w:val="1101"/>
    <w:uiPriority w:val="0"/>
    <w:qFormat/>
    <w:pPr>
      <w:ind w:left="1536" w:hanging="750"/>
      <w:jc w:val="both"/>
      <w:keepLines/>
      <w:keepNext/>
      <w:spacing w:before="280" w:after="290" w:line="376" w:lineRule="auto"/>
      <w:widowControl w:val="off"/>
      <w:tabs>
        <w:tab w:val="left" w:pos="864" w:leader="none"/>
        <w:tab w:val="left" w:pos="1536" w:leader="none"/>
      </w:tabs>
      <w:outlineLvl w:val="3"/>
    </w:pPr>
    <w:rPr>
      <w:rFonts w:ascii="Arial" w:hAnsi="Arial" w:eastAsia="黑体"/>
      <w:b/>
      <w:bCs/>
      <w:sz w:val="28"/>
      <w:szCs w:val="28"/>
    </w:rPr>
  </w:style>
  <w:style w:type="paragraph" w:styleId="1091" w:customStyle="1">
    <w:name w:val="标题 51"/>
    <w:basedOn w:val="902"/>
    <w:next w:val="902"/>
    <w:link w:val="1102"/>
    <w:uiPriority w:val="0"/>
    <w:qFormat/>
    <w:pPr>
      <w:ind w:left="1798" w:hanging="750"/>
      <w:jc w:val="both"/>
      <w:keepLines/>
      <w:keepNext/>
      <w:spacing w:before="280" w:after="290" w:line="376" w:lineRule="auto"/>
      <w:widowControl w:val="off"/>
      <w:tabs>
        <w:tab w:val="left" w:pos="1008" w:leader="none"/>
        <w:tab w:val="left" w:pos="1798" w:leader="none"/>
      </w:tabs>
      <w:outlineLvl w:val="4"/>
    </w:pPr>
    <w:rPr>
      <w:b/>
      <w:bCs/>
      <w:sz w:val="28"/>
      <w:szCs w:val="28"/>
    </w:rPr>
  </w:style>
  <w:style w:type="paragraph" w:styleId="1092" w:customStyle="1">
    <w:name w:val="标题 61"/>
    <w:basedOn w:val="902"/>
    <w:next w:val="902"/>
    <w:link w:val="1103"/>
    <w:uiPriority w:val="0"/>
    <w:qFormat/>
    <w:pPr>
      <w:ind w:left="2060" w:hanging="750"/>
      <w:jc w:val="both"/>
      <w:keepLines/>
      <w:keepNext/>
      <w:spacing w:before="240" w:after="64" w:line="320" w:lineRule="auto"/>
      <w:widowControl w:val="off"/>
      <w:tabs>
        <w:tab w:val="left" w:pos="1152" w:leader="none"/>
        <w:tab w:val="left" w:pos="2060" w:leader="none"/>
      </w:tabs>
      <w:outlineLvl w:val="5"/>
    </w:pPr>
    <w:rPr>
      <w:rFonts w:ascii="Arial" w:hAnsi="Arial" w:eastAsia="黑体"/>
      <w:b/>
      <w:bCs/>
      <w:szCs w:val="24"/>
    </w:rPr>
  </w:style>
  <w:style w:type="paragraph" w:styleId="1093" w:customStyle="1">
    <w:name w:val="标题 71"/>
    <w:basedOn w:val="902"/>
    <w:next w:val="902"/>
    <w:link w:val="1104"/>
    <w:uiPriority w:val="0"/>
    <w:qFormat/>
    <w:pPr>
      <w:ind w:left="2322" w:hanging="750"/>
      <w:jc w:val="both"/>
      <w:keepLines/>
      <w:keepNext/>
      <w:spacing w:before="240" w:after="64" w:line="320" w:lineRule="auto"/>
      <w:widowControl w:val="off"/>
      <w:tabs>
        <w:tab w:val="left" w:pos="1296" w:leader="none"/>
        <w:tab w:val="left" w:pos="2322" w:leader="none"/>
      </w:tabs>
      <w:outlineLvl w:val="6"/>
    </w:pPr>
    <w:rPr>
      <w:b/>
      <w:bCs/>
      <w:szCs w:val="24"/>
    </w:rPr>
  </w:style>
  <w:style w:type="paragraph" w:styleId="1094" w:customStyle="1">
    <w:name w:val="标题 81"/>
    <w:basedOn w:val="902"/>
    <w:next w:val="902"/>
    <w:link w:val="1105"/>
    <w:uiPriority w:val="0"/>
    <w:qFormat/>
    <w:pPr>
      <w:ind w:left="2584" w:hanging="750"/>
      <w:jc w:val="both"/>
      <w:keepLines/>
      <w:keepNext/>
      <w:spacing w:before="240" w:after="64" w:line="320" w:lineRule="auto"/>
      <w:widowControl w:val="off"/>
      <w:tabs>
        <w:tab w:val="left" w:pos="1440" w:leader="none"/>
        <w:tab w:val="left" w:pos="2584" w:leader="none"/>
      </w:tabs>
      <w:outlineLvl w:val="7"/>
    </w:pPr>
    <w:rPr>
      <w:rFonts w:ascii="Arial" w:hAnsi="Arial" w:eastAsia="黑体"/>
      <w:szCs w:val="24"/>
    </w:rPr>
  </w:style>
  <w:style w:type="paragraph" w:styleId="1095" w:customStyle="1">
    <w:name w:val="标题 91"/>
    <w:basedOn w:val="902"/>
    <w:next w:val="902"/>
    <w:link w:val="1106"/>
    <w:uiPriority w:val="0"/>
    <w:qFormat/>
    <w:pPr>
      <w:ind w:left="2846" w:hanging="750"/>
      <w:jc w:val="both"/>
      <w:keepLines/>
      <w:keepNext/>
      <w:spacing w:before="240" w:after="64" w:line="320" w:lineRule="auto"/>
      <w:widowControl w:val="off"/>
      <w:tabs>
        <w:tab w:val="left" w:pos="1584" w:leader="none"/>
        <w:tab w:val="left" w:pos="2846" w:leader="none"/>
      </w:tabs>
      <w:outlineLvl w:val="8"/>
    </w:pPr>
    <w:rPr>
      <w:rFonts w:ascii="Arial" w:hAnsi="Arial" w:eastAsia="黑体"/>
      <w:sz w:val="21"/>
      <w:szCs w:val="21"/>
    </w:rPr>
  </w:style>
  <w:style w:type="character" w:styleId="1096" w:customStyle="1">
    <w:name w:val="默认段落字体1"/>
    <w:link w:val="902"/>
    <w:uiPriority w:val="0"/>
    <w:semiHidden/>
    <w:qFormat/>
  </w:style>
  <w:style w:type="table" w:styleId="1097" w:customStyle="1">
    <w:name w:val="普通表格1"/>
    <w:uiPriority w:val="99"/>
    <w:unhideWhenUsed/>
    <w:qFormat/>
    <w:tblPr/>
  </w:style>
  <w:style w:type="character" w:styleId="1098" w:customStyle="1">
    <w:name w:val="标题 1 字符"/>
    <w:link w:val="1087"/>
    <w:uiPriority w:val="0"/>
    <w:qFormat/>
    <w:rPr>
      <w:rFonts w:eastAsia="宋体"/>
      <w:b/>
      <w:sz w:val="28"/>
    </w:rPr>
  </w:style>
  <w:style w:type="character" w:styleId="1099" w:customStyle="1">
    <w:name w:val="标题 2 字符"/>
    <w:link w:val="1088"/>
    <w:uiPriority w:val="0"/>
    <w:qFormat/>
    <w:rPr>
      <w:rFonts w:ascii="Arial" w:hAnsi="Arial" w:eastAsia="黑体"/>
      <w:b/>
      <w:bCs/>
      <w:sz w:val="32"/>
      <w:szCs w:val="32"/>
    </w:rPr>
  </w:style>
  <w:style w:type="character" w:styleId="1100" w:customStyle="1">
    <w:name w:val="标题 3 字符"/>
    <w:link w:val="1089"/>
    <w:uiPriority w:val="0"/>
    <w:qFormat/>
    <w:rPr>
      <w:b/>
      <w:sz w:val="32"/>
    </w:rPr>
  </w:style>
  <w:style w:type="character" w:styleId="1101" w:customStyle="1">
    <w:name w:val="标题 4 字符"/>
    <w:link w:val="1090"/>
    <w:uiPriority w:val="0"/>
    <w:qFormat/>
    <w:rPr>
      <w:rFonts w:ascii="Arial" w:hAnsi="Arial" w:eastAsia="黑体"/>
      <w:b/>
      <w:bCs/>
      <w:sz w:val="28"/>
      <w:szCs w:val="28"/>
    </w:rPr>
  </w:style>
  <w:style w:type="character" w:styleId="1102" w:customStyle="1">
    <w:name w:val="标题 5 字符"/>
    <w:link w:val="1091"/>
    <w:uiPriority w:val="0"/>
    <w:qFormat/>
    <w:rPr>
      <w:b/>
      <w:bCs/>
      <w:sz w:val="28"/>
      <w:szCs w:val="28"/>
    </w:rPr>
  </w:style>
  <w:style w:type="character" w:styleId="1103" w:customStyle="1">
    <w:name w:val="标题 6 字符"/>
    <w:link w:val="1092"/>
    <w:uiPriority w:val="0"/>
    <w:qFormat/>
    <w:rPr>
      <w:rFonts w:ascii="Arial" w:hAnsi="Arial" w:eastAsia="黑体"/>
      <w:b/>
      <w:bCs/>
      <w:sz w:val="24"/>
      <w:szCs w:val="24"/>
    </w:rPr>
  </w:style>
  <w:style w:type="character" w:styleId="1104" w:customStyle="1">
    <w:name w:val="标题 7 字符"/>
    <w:link w:val="1093"/>
    <w:uiPriority w:val="0"/>
    <w:qFormat/>
    <w:rPr>
      <w:b/>
      <w:bCs/>
      <w:sz w:val="24"/>
      <w:szCs w:val="24"/>
    </w:rPr>
  </w:style>
  <w:style w:type="character" w:styleId="1105" w:customStyle="1">
    <w:name w:val="标题 8 字符"/>
    <w:link w:val="1094"/>
    <w:uiPriority w:val="0"/>
    <w:qFormat/>
    <w:rPr>
      <w:rFonts w:ascii="Arial" w:hAnsi="Arial" w:eastAsia="黑体"/>
      <w:sz w:val="24"/>
      <w:szCs w:val="24"/>
    </w:rPr>
  </w:style>
  <w:style w:type="character" w:styleId="1106" w:customStyle="1">
    <w:name w:val="标题 9 字符"/>
    <w:link w:val="1095"/>
    <w:uiPriority w:val="0"/>
    <w:qFormat/>
    <w:rPr>
      <w:rFonts w:ascii="Arial" w:hAnsi="Arial" w:eastAsia="黑体"/>
      <w:sz w:val="21"/>
      <w:szCs w:val="21"/>
    </w:rPr>
  </w:style>
  <w:style w:type="paragraph" w:styleId="1107" w:customStyle="1">
    <w:name w:val="目录 71"/>
    <w:basedOn w:val="902"/>
    <w:next w:val="902"/>
    <w:uiPriority w:val="39"/>
    <w:unhideWhenUsed/>
    <w:qFormat/>
    <w:pPr>
      <w:ind w:left="2520"/>
      <w:jc w:val="both"/>
      <w:widowControl w:val="off"/>
    </w:pPr>
    <w:rPr>
      <w:rFonts w:ascii="Calibri" w:hAnsi="Calibri" w:eastAsia="宋体" w:cs="Times New Roman"/>
      <w:sz w:val="21"/>
      <w:szCs w:val="22"/>
    </w:rPr>
  </w:style>
  <w:style w:type="paragraph" w:styleId="1108" w:customStyle="1">
    <w:name w:val="正文缩进1"/>
    <w:basedOn w:val="902"/>
    <w:next w:val="902"/>
    <w:link w:val="1109"/>
    <w:uiPriority w:val="0"/>
    <w:qFormat/>
    <w:pPr>
      <w:ind w:firstLine="420"/>
      <w:jc w:val="left"/>
    </w:pPr>
    <w:rPr>
      <w:rFonts w:eastAsia="楷体_GB2312"/>
    </w:rPr>
  </w:style>
  <w:style w:type="character" w:styleId="1109" w:customStyle="1">
    <w:name w:val="正文缩进 字符"/>
    <w:link w:val="1108"/>
    <w:uiPriority w:val="0"/>
    <w:qFormat/>
    <w:rPr>
      <w:rFonts w:eastAsia="楷体_GB2312"/>
      <w:sz w:val="24"/>
    </w:rPr>
  </w:style>
  <w:style w:type="paragraph" w:styleId="1110" w:customStyle="1">
    <w:name w:val="题注1"/>
    <w:basedOn w:val="902"/>
    <w:next w:val="902"/>
    <w:uiPriority w:val="0"/>
    <w:qFormat/>
    <w:pPr>
      <w:ind w:left="4815"/>
      <w:jc w:val="center"/>
      <w:spacing w:line="360" w:lineRule="auto"/>
      <w:widowControl w:val="off"/>
    </w:pPr>
    <w:rPr>
      <w:rFonts w:ascii="Arial Unicode MS" w:hAnsi="Arial Unicode MS" w:cs="宋体"/>
      <w:sz w:val="21"/>
    </w:rPr>
  </w:style>
  <w:style w:type="paragraph" w:styleId="1111" w:customStyle="1">
    <w:name w:val="文档结构图1"/>
    <w:basedOn w:val="902"/>
    <w:link w:val="1112"/>
    <w:uiPriority w:val="0"/>
    <w:semiHidden/>
    <w:qFormat/>
    <w:pPr>
      <w:shd w:val="clear" w:color="auto" w:fill="000080"/>
    </w:pPr>
  </w:style>
  <w:style w:type="character" w:styleId="1112" w:customStyle="1">
    <w:name w:val="文档结构图 字符"/>
    <w:link w:val="1111"/>
    <w:uiPriority w:val="0"/>
    <w:semiHidden/>
    <w:qFormat/>
    <w:rPr>
      <w:sz w:val="24"/>
      <w:shd w:val="clear" w:color="auto" w:fill="000080"/>
    </w:rPr>
  </w:style>
  <w:style w:type="paragraph" w:styleId="1113" w:customStyle="1">
    <w:name w:val="批注文字1"/>
    <w:basedOn w:val="902"/>
    <w:link w:val="1114"/>
    <w:uiPriority w:val="0"/>
    <w:qFormat/>
  </w:style>
  <w:style w:type="character" w:styleId="1114" w:customStyle="1">
    <w:name w:val="批注文字 字符"/>
    <w:link w:val="1113"/>
    <w:uiPriority w:val="0"/>
    <w:qFormat/>
    <w:rPr>
      <w:sz w:val="24"/>
    </w:rPr>
  </w:style>
  <w:style w:type="paragraph" w:styleId="1115" w:customStyle="1">
    <w:name w:val="正文文本 31"/>
    <w:basedOn w:val="902"/>
    <w:link w:val="1116"/>
    <w:uiPriority w:val="0"/>
    <w:qFormat/>
    <w:pPr>
      <w:spacing w:after="120"/>
    </w:pPr>
    <w:rPr>
      <w:sz w:val="16"/>
      <w:szCs w:val="16"/>
    </w:rPr>
  </w:style>
  <w:style w:type="character" w:styleId="1116" w:customStyle="1">
    <w:name w:val="正文文本 3 字符"/>
    <w:link w:val="1115"/>
    <w:uiPriority w:val="0"/>
    <w:qFormat/>
    <w:rPr>
      <w:sz w:val="16"/>
      <w:szCs w:val="16"/>
    </w:rPr>
  </w:style>
  <w:style w:type="paragraph" w:styleId="1117" w:customStyle="1">
    <w:name w:val="正文文本1"/>
    <w:basedOn w:val="902"/>
    <w:next w:val="902"/>
    <w:link w:val="1118"/>
    <w:uiPriority w:val="0"/>
    <w:qFormat/>
  </w:style>
  <w:style w:type="character" w:styleId="1118" w:customStyle="1">
    <w:name w:val="正文文本 字符"/>
    <w:link w:val="1117"/>
    <w:uiPriority w:val="0"/>
    <w:qFormat/>
    <w:rPr>
      <w:sz w:val="24"/>
    </w:rPr>
  </w:style>
  <w:style w:type="paragraph" w:styleId="1119" w:customStyle="1">
    <w:name w:val="正文文本缩进1"/>
    <w:basedOn w:val="902"/>
    <w:next w:val="1120"/>
    <w:link w:val="1121"/>
    <w:uiPriority w:val="0"/>
    <w:qFormat/>
    <w:pPr>
      <w:ind w:firstLine="425"/>
      <w:spacing w:line="360" w:lineRule="auto"/>
    </w:pPr>
  </w:style>
  <w:style w:type="paragraph" w:styleId="1120" w:customStyle="1">
    <w:name w:val="寄信人地址1"/>
    <w:basedOn w:val="902"/>
    <w:uiPriority w:val="0"/>
    <w:qFormat/>
    <w:rPr>
      <w:rFonts w:ascii="Arial" w:hAnsi="Arial"/>
    </w:rPr>
  </w:style>
  <w:style w:type="character" w:styleId="1121" w:customStyle="1">
    <w:name w:val="正文文本缩进 字符"/>
    <w:link w:val="1119"/>
    <w:uiPriority w:val="0"/>
    <w:qFormat/>
    <w:rPr>
      <w:sz w:val="24"/>
    </w:rPr>
  </w:style>
  <w:style w:type="paragraph" w:styleId="1122" w:customStyle="1">
    <w:name w:val="文本块1"/>
    <w:basedOn w:val="902"/>
    <w:uiPriority w:val="0"/>
    <w:qFormat/>
    <w:pPr>
      <w:ind w:left="630" w:right="-609" w:firstLine="420"/>
      <w:spacing w:line="360" w:lineRule="auto"/>
    </w:pPr>
    <w:rPr>
      <w:rFonts w:hint="eastAsia" w:ascii="仿宋_GB2312" w:eastAsia="仿宋_GB2312"/>
    </w:rPr>
  </w:style>
  <w:style w:type="paragraph" w:styleId="1123" w:customStyle="1">
    <w:name w:val="目录 51"/>
    <w:basedOn w:val="902"/>
    <w:next w:val="902"/>
    <w:uiPriority w:val="39"/>
    <w:unhideWhenUsed/>
    <w:qFormat/>
    <w:pPr>
      <w:ind w:left="1680"/>
      <w:jc w:val="both"/>
      <w:widowControl w:val="off"/>
    </w:pPr>
    <w:rPr>
      <w:rFonts w:ascii="Calibri" w:hAnsi="Calibri" w:eastAsia="宋体" w:cs="Times New Roman"/>
      <w:sz w:val="21"/>
      <w:szCs w:val="22"/>
    </w:rPr>
  </w:style>
  <w:style w:type="paragraph" w:styleId="1124" w:customStyle="1">
    <w:name w:val="目录 31"/>
    <w:basedOn w:val="902"/>
    <w:next w:val="902"/>
    <w:uiPriority w:val="39"/>
    <w:qFormat/>
    <w:pPr>
      <w:ind w:left="840"/>
    </w:pPr>
  </w:style>
  <w:style w:type="paragraph" w:styleId="1125" w:customStyle="1">
    <w:name w:val="纯文本11"/>
    <w:basedOn w:val="902"/>
    <w:link w:val="1126"/>
    <w:uiPriority w:val="0"/>
    <w:qFormat/>
    <w:rPr>
      <w:rFonts w:ascii="宋体" w:hAnsi="Courier New" w:eastAsia="楷体_GB2312"/>
      <w:sz w:val="26"/>
    </w:rPr>
  </w:style>
  <w:style w:type="character" w:styleId="1126" w:customStyle="1">
    <w:name w:val="纯文本 字符"/>
    <w:link w:val="1125"/>
    <w:uiPriority w:val="0"/>
    <w:qFormat/>
    <w:rPr>
      <w:rFonts w:ascii="宋体" w:hAnsi="Courier New" w:eastAsia="楷体_GB2312"/>
      <w:sz w:val="26"/>
      <w:lang w:val="en-US" w:eastAsia="zh-CN" w:bidi="ar-SA"/>
    </w:rPr>
  </w:style>
  <w:style w:type="paragraph" w:styleId="1127" w:customStyle="1">
    <w:name w:val="目录 81"/>
    <w:basedOn w:val="902"/>
    <w:next w:val="902"/>
    <w:uiPriority w:val="39"/>
    <w:unhideWhenUsed/>
    <w:qFormat/>
    <w:pPr>
      <w:ind w:left="2940"/>
      <w:jc w:val="both"/>
      <w:widowControl w:val="off"/>
    </w:pPr>
    <w:rPr>
      <w:rFonts w:ascii="Calibri" w:hAnsi="Calibri" w:eastAsia="宋体" w:cs="Times New Roman"/>
      <w:sz w:val="21"/>
      <w:szCs w:val="22"/>
    </w:rPr>
  </w:style>
  <w:style w:type="paragraph" w:styleId="1128" w:customStyle="1">
    <w:name w:val="日期1"/>
    <w:basedOn w:val="902"/>
    <w:next w:val="902"/>
    <w:link w:val="1129"/>
    <w:uiPriority w:val="0"/>
    <w:qFormat/>
    <w:rPr>
      <w:rFonts w:ascii="宋体" w:hAnsi="宋体" w:eastAsia="楷体_GB2312"/>
    </w:rPr>
  </w:style>
  <w:style w:type="character" w:styleId="1129" w:customStyle="1">
    <w:name w:val="日期 字符"/>
    <w:link w:val="1128"/>
    <w:uiPriority w:val="0"/>
    <w:qFormat/>
    <w:rPr>
      <w:rFonts w:ascii="宋体" w:hAnsi="宋体" w:eastAsia="楷体_GB2312"/>
      <w:sz w:val="24"/>
    </w:rPr>
  </w:style>
  <w:style w:type="paragraph" w:styleId="1130" w:customStyle="1">
    <w:name w:val="正文文本缩进 21"/>
    <w:basedOn w:val="902"/>
    <w:link w:val="1131"/>
    <w:uiPriority w:val="0"/>
    <w:qFormat/>
    <w:pPr>
      <w:ind w:left="420"/>
      <w:spacing w:after="120" w:afterAutospacing="0" w:line="480" w:lineRule="auto"/>
    </w:pPr>
  </w:style>
  <w:style w:type="character" w:styleId="1131" w:customStyle="1">
    <w:name w:val="正文文本缩进 2 字符"/>
    <w:link w:val="1130"/>
    <w:uiPriority w:val="0"/>
    <w:qFormat/>
    <w:rPr>
      <w:sz w:val="24"/>
    </w:rPr>
  </w:style>
  <w:style w:type="paragraph" w:styleId="1132" w:customStyle="1">
    <w:name w:val="批注框文本1"/>
    <w:basedOn w:val="902"/>
    <w:link w:val="1133"/>
    <w:uiPriority w:val="0"/>
    <w:qFormat/>
    <w:rPr>
      <w:sz w:val="18"/>
    </w:rPr>
  </w:style>
  <w:style w:type="character" w:styleId="1133" w:customStyle="1">
    <w:name w:val="批注框文本 字符"/>
    <w:link w:val="1132"/>
    <w:uiPriority w:val="0"/>
    <w:qFormat/>
    <w:rPr>
      <w:sz w:val="18"/>
    </w:rPr>
  </w:style>
  <w:style w:type="paragraph" w:styleId="1134" w:customStyle="1">
    <w:name w:val="页脚1"/>
    <w:basedOn w:val="902"/>
    <w:link w:val="1135"/>
    <w:uiPriority w:val="99"/>
    <w:qFormat/>
    <w:pPr>
      <w:jc w:val="left"/>
      <w:tabs>
        <w:tab w:val="center" w:pos="4153" w:leader="none"/>
        <w:tab w:val="right" w:pos="8306" w:leader="none"/>
      </w:tabs>
    </w:pPr>
    <w:rPr>
      <w:rFonts w:eastAsia="楷体_GB2312"/>
      <w:sz w:val="18"/>
    </w:rPr>
  </w:style>
  <w:style w:type="character" w:styleId="1135" w:customStyle="1">
    <w:name w:val="页脚 字符"/>
    <w:link w:val="1134"/>
    <w:uiPriority w:val="99"/>
    <w:qFormat/>
    <w:rPr>
      <w:rFonts w:eastAsia="楷体_GB2312"/>
      <w:sz w:val="18"/>
    </w:rPr>
  </w:style>
  <w:style w:type="paragraph" w:styleId="1136" w:customStyle="1">
    <w:name w:val="页眉1"/>
    <w:basedOn w:val="902"/>
    <w:link w:val="1137"/>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1137" w:customStyle="1">
    <w:name w:val="页眉 字符"/>
    <w:link w:val="1136"/>
    <w:uiPriority w:val="0"/>
    <w:qFormat/>
    <w:rPr>
      <w:rFonts w:eastAsia="楷体_GB2312"/>
      <w:sz w:val="18"/>
    </w:rPr>
  </w:style>
  <w:style w:type="paragraph" w:styleId="1138" w:customStyle="1">
    <w:name w:val="目录 11"/>
    <w:basedOn w:val="902"/>
    <w:next w:val="902"/>
    <w:uiPriority w:val="39"/>
    <w:qFormat/>
    <w:pPr>
      <w:jc w:val="left"/>
    </w:pPr>
    <w:rPr>
      <w:rFonts w:eastAsia="楷体_GB2312"/>
      <w:sz w:val="24"/>
    </w:rPr>
  </w:style>
  <w:style w:type="paragraph" w:styleId="1139" w:customStyle="1">
    <w:name w:val="目录 41"/>
    <w:basedOn w:val="902"/>
    <w:next w:val="902"/>
    <w:uiPriority w:val="39"/>
    <w:unhideWhenUsed/>
    <w:qFormat/>
    <w:pPr>
      <w:ind w:left="1260"/>
      <w:jc w:val="both"/>
      <w:widowControl w:val="off"/>
    </w:pPr>
    <w:rPr>
      <w:rFonts w:ascii="Calibri" w:hAnsi="Calibri" w:eastAsia="宋体" w:cs="Times New Roman"/>
      <w:sz w:val="21"/>
      <w:szCs w:val="22"/>
    </w:rPr>
  </w:style>
  <w:style w:type="paragraph" w:styleId="1140" w:customStyle="1">
    <w:name w:val="目录 61"/>
    <w:basedOn w:val="902"/>
    <w:next w:val="902"/>
    <w:uiPriority w:val="39"/>
    <w:unhideWhenUsed/>
    <w:qFormat/>
    <w:pPr>
      <w:ind w:left="2100"/>
      <w:jc w:val="both"/>
      <w:widowControl w:val="off"/>
    </w:pPr>
    <w:rPr>
      <w:rFonts w:ascii="Calibri" w:hAnsi="Calibri" w:eastAsia="宋体" w:cs="Times New Roman"/>
      <w:sz w:val="21"/>
      <w:szCs w:val="22"/>
    </w:rPr>
  </w:style>
  <w:style w:type="paragraph" w:styleId="1141" w:customStyle="1">
    <w:name w:val="正文文本缩进 31"/>
    <w:basedOn w:val="902"/>
    <w:link w:val="1142"/>
    <w:uiPriority w:val="0"/>
    <w:qFormat/>
    <w:pPr>
      <w:ind w:left="420"/>
      <w:spacing w:after="120" w:afterAutospacing="0"/>
    </w:pPr>
    <w:rPr>
      <w:sz w:val="16"/>
    </w:rPr>
  </w:style>
  <w:style w:type="character" w:styleId="1142" w:customStyle="1">
    <w:name w:val="正文文本缩进 3 字符"/>
    <w:link w:val="1141"/>
    <w:uiPriority w:val="0"/>
    <w:qFormat/>
    <w:rPr>
      <w:sz w:val="16"/>
    </w:rPr>
  </w:style>
  <w:style w:type="paragraph" w:styleId="1143" w:customStyle="1">
    <w:name w:val="目录 21"/>
    <w:basedOn w:val="902"/>
    <w:next w:val="902"/>
    <w:uiPriority w:val="39"/>
    <w:qFormat/>
    <w:pPr>
      <w:jc w:val="both"/>
      <w:spacing w:before="156" w:after="156"/>
      <w:widowControl w:val="off"/>
      <w:tabs>
        <w:tab w:val="left" w:pos="840" w:leader="none"/>
        <w:tab w:val="right" w:pos="9344" w:leader="dot"/>
      </w:tabs>
    </w:pPr>
    <w:rPr>
      <w:sz w:val="21"/>
      <w:szCs w:val="24"/>
    </w:rPr>
  </w:style>
  <w:style w:type="paragraph" w:styleId="1144" w:customStyle="1">
    <w:name w:val="目录 91"/>
    <w:basedOn w:val="902"/>
    <w:next w:val="902"/>
    <w:uiPriority w:val="39"/>
    <w:unhideWhenUsed/>
    <w:qFormat/>
    <w:pPr>
      <w:ind w:left="3360"/>
      <w:jc w:val="both"/>
      <w:widowControl w:val="off"/>
    </w:pPr>
    <w:rPr>
      <w:rFonts w:ascii="Calibri" w:hAnsi="Calibri" w:eastAsia="宋体" w:cs="Times New Roman"/>
      <w:sz w:val="21"/>
      <w:szCs w:val="22"/>
    </w:rPr>
  </w:style>
  <w:style w:type="paragraph" w:styleId="1145" w:customStyle="1">
    <w:name w:val="正文文本 21"/>
    <w:basedOn w:val="902"/>
    <w:link w:val="1146"/>
    <w:uiPriority w:val="0"/>
    <w:qFormat/>
    <w:pPr>
      <w:spacing w:after="120" w:afterAutospacing="0" w:line="480" w:lineRule="auto"/>
    </w:pPr>
  </w:style>
  <w:style w:type="character" w:styleId="1146" w:customStyle="1">
    <w:name w:val="正文文本 2 字符"/>
    <w:link w:val="1145"/>
    <w:uiPriority w:val="0"/>
    <w:qFormat/>
    <w:rPr>
      <w:sz w:val="24"/>
    </w:rPr>
  </w:style>
  <w:style w:type="paragraph" w:styleId="1147" w:customStyle="1">
    <w:name w:val="HTML 预设格式11"/>
    <w:basedOn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148" w:customStyle="1">
    <w:name w:val="普通(网站)11"/>
    <w:basedOn w:val="902"/>
    <w:uiPriority w:val="99"/>
    <w:qFormat/>
    <w:pPr>
      <w:jc w:val="left"/>
      <w:spacing w:before="100" w:beforeAutospacing="1" w:after="100" w:afterAutospacing="1"/>
      <w:widowControl/>
    </w:pPr>
    <w:rPr>
      <w:rFonts w:ascii="宋体" w:hAnsi="宋体"/>
      <w:sz w:val="24"/>
    </w:rPr>
  </w:style>
  <w:style w:type="paragraph" w:styleId="1149" w:customStyle="1">
    <w:name w:val="索引 11"/>
    <w:basedOn w:val="902"/>
    <w:next w:val="902"/>
    <w:uiPriority w:val="0"/>
    <w:semiHidden/>
    <w:qFormat/>
    <w:pPr>
      <w:jc w:val="both"/>
      <w:spacing w:line="280" w:lineRule="exact"/>
      <w:widowControl w:val="off"/>
    </w:pPr>
    <w:rPr>
      <w:color w:val="ff0000"/>
      <w:sz w:val="21"/>
      <w:szCs w:val="24"/>
    </w:rPr>
  </w:style>
  <w:style w:type="paragraph" w:styleId="1150" w:customStyle="1">
    <w:name w:val="批注主题1"/>
    <w:basedOn w:val="1113"/>
    <w:next w:val="1113"/>
    <w:link w:val="1151"/>
    <w:uiPriority w:val="0"/>
    <w:qFormat/>
    <w:rPr>
      <w:b/>
      <w:bCs/>
    </w:rPr>
  </w:style>
  <w:style w:type="character" w:styleId="1151" w:customStyle="1">
    <w:name w:val="批注主题 字符"/>
    <w:link w:val="1150"/>
    <w:uiPriority w:val="0"/>
    <w:qFormat/>
    <w:rPr>
      <w:b/>
      <w:bCs/>
      <w:sz w:val="24"/>
    </w:rPr>
  </w:style>
  <w:style w:type="paragraph" w:styleId="1152" w:customStyle="1">
    <w:name w:val="正文首行缩进 21"/>
    <w:basedOn w:val="1119"/>
    <w:uiPriority w:val="0"/>
    <w:qFormat/>
    <w:pPr>
      <w:ind w:left="420" w:firstLine="200"/>
      <w:spacing w:after="120"/>
    </w:pPr>
  </w:style>
  <w:style w:type="table" w:styleId="1153" w:customStyle="1">
    <w:name w:val="网格型11"/>
    <w:basedOn w:val="1097"/>
    <w:uiPriority w:val="0"/>
    <w:unhideWhenUsed/>
    <w:qFormat/>
    <w:tblPr/>
  </w:style>
  <w:style w:type="character" w:styleId="1154" w:customStyle="1">
    <w:name w:val="要点1"/>
    <w:link w:val="902"/>
    <w:uiPriority w:val="0"/>
    <w:qFormat/>
    <w:rPr>
      <w:rFonts w:cs="Times New Roman"/>
      <w:b/>
      <w:bCs/>
    </w:rPr>
  </w:style>
  <w:style w:type="character" w:styleId="1155" w:customStyle="1">
    <w:name w:val="页码1"/>
    <w:link w:val="902"/>
    <w:uiPriority w:val="0"/>
    <w:qFormat/>
  </w:style>
  <w:style w:type="character" w:styleId="1156" w:customStyle="1">
    <w:name w:val="已访问的超链接1"/>
    <w:link w:val="902"/>
    <w:uiPriority w:val="99"/>
    <w:qFormat/>
    <w:rPr>
      <w:color w:val="800080"/>
      <w:u w:val="none"/>
    </w:rPr>
  </w:style>
  <w:style w:type="character" w:styleId="1157" w:customStyle="1">
    <w:name w:val="强调1"/>
    <w:link w:val="902"/>
    <w:uiPriority w:val="0"/>
    <w:qFormat/>
  </w:style>
  <w:style w:type="character" w:styleId="1158" w:customStyle="1">
    <w:name w:val="HTML 定义1"/>
    <w:link w:val="902"/>
    <w:uiPriority w:val="0"/>
    <w:qFormat/>
  </w:style>
  <w:style w:type="character" w:styleId="1159" w:customStyle="1">
    <w:name w:val="HTML 变量1"/>
    <w:link w:val="902"/>
    <w:uiPriority w:val="0"/>
    <w:qFormat/>
  </w:style>
  <w:style w:type="character" w:styleId="1160" w:customStyle="1">
    <w:name w:val="超链接1"/>
    <w:link w:val="902"/>
    <w:uiPriority w:val="99"/>
    <w:qFormat/>
    <w:rPr>
      <w:color w:val="0000ff"/>
      <w:u w:val="none"/>
    </w:rPr>
  </w:style>
  <w:style w:type="character" w:styleId="1161" w:customStyle="1">
    <w:name w:val="HTML 代码1"/>
    <w:link w:val="902"/>
    <w:uiPriority w:val="0"/>
    <w:qFormat/>
    <w:rPr>
      <w:rFonts w:ascii="Courier New" w:hAnsi="Courier New"/>
      <w:sz w:val="20"/>
    </w:rPr>
  </w:style>
  <w:style w:type="character" w:styleId="1162" w:customStyle="1">
    <w:name w:val="批注引用1"/>
    <w:link w:val="902"/>
    <w:uiPriority w:val="0"/>
    <w:qFormat/>
    <w:rPr>
      <w:sz w:val="21"/>
      <w:szCs w:val="21"/>
    </w:rPr>
  </w:style>
  <w:style w:type="character" w:styleId="1163" w:customStyle="1">
    <w:name w:val="HTML 引文1"/>
    <w:link w:val="902"/>
    <w:uiPriority w:val="0"/>
    <w:qFormat/>
  </w:style>
  <w:style w:type="paragraph" w:styleId="1164" w:customStyle="1">
    <w:name w:val="段"/>
    <w:next w:val="902"/>
    <w:uiPriority w:val="0"/>
    <w:qFormat/>
    <w:pPr>
      <w:ind w:firstLine="200"/>
      <w:jc w:val="both"/>
    </w:pPr>
    <w:rPr>
      <w:rFonts w:hint="default" w:ascii="宋体" w:hAnsi="Times New Roman" w:eastAsia="Times New Roman" w:cs="Times New Roman"/>
      <w:sz w:val="21"/>
      <w:lang w:val="en-US" w:eastAsia="zh-CN" w:bidi="ar-SA"/>
    </w:rPr>
  </w:style>
  <w:style w:type="paragraph" w:styleId="1165" w:customStyle="1">
    <w:name w:val="首行缩进"/>
    <w:basedOn w:val="902"/>
    <w:uiPriority w:val="0"/>
    <w:qFormat/>
    <w:pPr>
      <w:ind w:firstLine="480"/>
      <w:jc w:val="left"/>
      <w:spacing w:line="360" w:lineRule="auto"/>
    </w:pPr>
    <w:rPr>
      <w:rFonts w:ascii="宋体" w:hAnsi="宋体"/>
      <w:sz w:val="24"/>
    </w:rPr>
  </w:style>
  <w:style w:type="character" w:styleId="1166" w:customStyle="1">
    <w:name w:val="批注文字 Char"/>
    <w:link w:val="902"/>
    <w:uiPriority w:val="0"/>
    <w:qFormat/>
    <w:rPr>
      <w:sz w:val="24"/>
    </w:rPr>
  </w:style>
  <w:style w:type="character" w:styleId="1167" w:customStyle="1">
    <w:name w:val="GP正文(首行缩进) Char Char"/>
    <w:link w:val="1168"/>
    <w:uiPriority w:val="0"/>
    <w:qFormat/>
    <w:rPr>
      <w:rFonts w:ascii="宋体" w:hAnsi="宋体"/>
      <w:sz w:val="24"/>
      <w:szCs w:val="22"/>
      <w:lang w:val="zh-CN"/>
    </w:rPr>
  </w:style>
  <w:style w:type="paragraph" w:styleId="1168" w:customStyle="1">
    <w:name w:val="GP正文(首行缩进)"/>
    <w:basedOn w:val="902"/>
    <w:link w:val="1167"/>
    <w:uiPriority w:val="0"/>
    <w:qFormat/>
    <w:pPr>
      <w:ind w:firstLine="480"/>
      <w:jc w:val="both"/>
      <w:spacing w:line="360" w:lineRule="auto"/>
      <w:widowControl w:val="off"/>
    </w:pPr>
    <w:rPr>
      <w:rFonts w:ascii="宋体" w:hAnsi="宋体"/>
      <w:szCs w:val="22"/>
      <w:lang w:val="zh-CN"/>
    </w:rPr>
  </w:style>
  <w:style w:type="character" w:styleId="1169" w:customStyle="1">
    <w:name w:val="p12"/>
    <w:link w:val="902"/>
    <w:uiPriority w:val="0"/>
    <w:qFormat/>
  </w:style>
  <w:style w:type="character" w:styleId="1170" w:customStyle="1">
    <w:name w:val="meter-bar"/>
    <w:link w:val="902"/>
    <w:uiPriority w:val="0"/>
    <w:qFormat/>
  </w:style>
  <w:style w:type="character" w:styleId="1171" w:customStyle="1">
    <w:name w:val="HTML 打字机1"/>
    <w:link w:val="902"/>
    <w:uiPriority w:val="0"/>
    <w:qFormat/>
    <w:rPr>
      <w:rFonts w:hint="eastAsia" w:ascii="黑体" w:hAnsi="Courier New" w:eastAsia="黑体"/>
      <w:sz w:val="14"/>
    </w:rPr>
  </w:style>
  <w:style w:type="character" w:styleId="1172" w:customStyle="1">
    <w:name w:val="strength-txt"/>
    <w:link w:val="902"/>
    <w:uiPriority w:val="0"/>
    <w:qFormat/>
  </w:style>
  <w:style w:type="character" w:styleId="1173" w:customStyle="1">
    <w:name w:val="列出段落 Char"/>
    <w:link w:val="902"/>
    <w:uiPriority w:val="0"/>
    <w:qFormat/>
    <w:rPr>
      <w:rFonts w:ascii="Calibri" w:hAnsi="Calibri"/>
      <w:sz w:val="21"/>
      <w:szCs w:val="22"/>
    </w:rPr>
  </w:style>
  <w:style w:type="character" w:styleId="1174" w:customStyle="1">
    <w:name w:val="prdltop5oa1"/>
    <w:link w:val="902"/>
    <w:uiPriority w:val="0"/>
    <w:qFormat/>
    <w:rPr>
      <w:b/>
      <w:color w:val="222222"/>
    </w:rPr>
  </w:style>
  <w:style w:type="character" w:styleId="1175" w:customStyle="1">
    <w:name w:val="no"/>
    <w:link w:val="902"/>
    <w:uiPriority w:val="0"/>
    <w:qFormat/>
    <w:rPr>
      <w:color w:val="666666"/>
      <w:sz w:val="18"/>
      <w:szCs w:val="18"/>
    </w:rPr>
  </w:style>
  <w:style w:type="character" w:styleId="1176" w:customStyle="1">
    <w:name w:val="close6"/>
    <w:link w:val="902"/>
    <w:uiPriority w:val="0"/>
    <w:qFormat/>
  </w:style>
  <w:style w:type="character" w:styleId="1177" w:customStyle="1">
    <w:name w:val="wp-custom-style-link"/>
    <w:link w:val="902"/>
    <w:uiPriority w:val="0"/>
    <w:qFormat/>
    <w:rPr>
      <w:color w:val="000000"/>
    </w:rPr>
  </w:style>
  <w:style w:type="character" w:styleId="1178" w:customStyle="1">
    <w:name w:val="+正文 Char3"/>
    <w:link w:val="1179"/>
    <w:uiPriority w:val="0"/>
    <w:qFormat/>
    <w:rPr>
      <w:rFonts w:ascii="Times New Roman" w:hAnsi="Times New Roman"/>
      <w:sz w:val="24"/>
      <w:szCs w:val="28"/>
    </w:rPr>
  </w:style>
  <w:style w:type="paragraph" w:styleId="1179" w:customStyle="1">
    <w:name w:val="+正文"/>
    <w:basedOn w:val="902"/>
    <w:link w:val="1178"/>
    <w:uiPriority w:val="0"/>
    <w:qFormat/>
    <w:pPr>
      <w:ind w:firstLine="200"/>
      <w:jc w:val="both"/>
      <w:spacing w:line="360" w:lineRule="auto"/>
      <w:widowControl w:val="off"/>
    </w:pPr>
    <w:rPr>
      <w:rFonts w:ascii="Times New Roman" w:hAnsi="Times New Roman"/>
      <w:szCs w:val="28"/>
    </w:rPr>
  </w:style>
  <w:style w:type="character" w:styleId="1180" w:customStyle="1">
    <w:name w:val="font41"/>
    <w:link w:val="902"/>
    <w:uiPriority w:val="0"/>
    <w:qFormat/>
    <w:rPr>
      <w:rFonts w:hint="eastAsia" w:ascii="宋体" w:hAnsi="宋体" w:eastAsia="宋体" w:cs="宋体"/>
      <w:color w:val="000000"/>
      <w:sz w:val="24"/>
      <w:szCs w:val="24"/>
      <w:u w:val="none"/>
    </w:rPr>
  </w:style>
  <w:style w:type="character" w:styleId="1181" w:customStyle="1">
    <w:name w:val="Plain Text Char"/>
    <w:link w:val="902"/>
    <w:uiPriority w:val="0"/>
    <w:qFormat/>
    <w:rPr>
      <w:rFonts w:ascii="宋体" w:hAnsi="Courier New" w:eastAsia="宋体" w:cs="Times New Roman"/>
      <w:sz w:val="24"/>
      <w:szCs w:val="24"/>
    </w:rPr>
  </w:style>
  <w:style w:type="character" w:styleId="1182" w:customStyle="1">
    <w:name w:val="apple-converted-space"/>
    <w:link w:val="902"/>
    <w:uiPriority w:val="0"/>
    <w:qFormat/>
  </w:style>
  <w:style w:type="character" w:styleId="1183" w:customStyle="1">
    <w:name w:val="列表段落 字符"/>
    <w:link w:val="1184"/>
    <w:uiPriority w:val="0"/>
    <w:qFormat/>
    <w:rPr>
      <w:rFonts w:ascii="Calibri" w:hAnsi="Calibri"/>
      <w:sz w:val="21"/>
      <w:szCs w:val="22"/>
    </w:rPr>
  </w:style>
  <w:style w:type="paragraph" w:styleId="1184" w:customStyle="1">
    <w:name w:val="列表段落"/>
    <w:basedOn w:val="902"/>
    <w:link w:val="1183"/>
    <w:uiPriority w:val="0"/>
    <w:qFormat/>
    <w:pPr>
      <w:ind w:firstLine="420"/>
      <w:jc w:val="both"/>
      <w:widowControl w:val="off"/>
    </w:pPr>
    <w:rPr>
      <w:sz w:val="21"/>
      <w:szCs w:val="22"/>
    </w:rPr>
  </w:style>
  <w:style w:type="character" w:styleId="1185" w:customStyle="1">
    <w:name w:val="close1"/>
    <w:link w:val="902"/>
    <w:uiPriority w:val="0"/>
    <w:qFormat/>
  </w:style>
  <w:style w:type="character" w:styleId="1186" w:customStyle="1">
    <w:name w:val="close"/>
    <w:link w:val="902"/>
    <w:uiPriority w:val="0"/>
    <w:qFormat/>
  </w:style>
  <w:style w:type="character" w:styleId="1187" w:customStyle="1">
    <w:name w:val="close7"/>
    <w:link w:val="902"/>
    <w:uiPriority w:val="0"/>
    <w:qFormat/>
  </w:style>
  <w:style w:type="character" w:styleId="1188" w:customStyle="1">
    <w:name w:val="Plain Text Char Char"/>
    <w:link w:val="1189"/>
    <w:uiPriority w:val="0"/>
    <w:qFormat/>
    <w:rPr>
      <w:rFonts w:ascii="宋体" w:hAnsi="Courier New" w:eastAsia="楷体_GB2312"/>
      <w:sz w:val="26"/>
    </w:rPr>
  </w:style>
  <w:style w:type="paragraph" w:styleId="1189" w:customStyle="1">
    <w:name w:val="纯文本1"/>
    <w:basedOn w:val="902"/>
    <w:link w:val="1188"/>
    <w:uiPriority w:val="0"/>
    <w:qFormat/>
    <w:rPr>
      <w:rFonts w:ascii="宋体" w:hAnsi="Courier New" w:eastAsia="楷体_GB2312"/>
      <w:sz w:val="26"/>
    </w:rPr>
  </w:style>
  <w:style w:type="character" w:styleId="1190" w:customStyle="1">
    <w:name w:val="font21"/>
    <w:link w:val="902"/>
    <w:uiPriority w:val="0"/>
    <w:qFormat/>
    <w:rPr>
      <w:rFonts w:hint="eastAsia" w:ascii="宋体" w:hAnsi="宋体" w:eastAsia="宋体" w:cs="宋体"/>
      <w:color w:val="000000"/>
      <w:sz w:val="24"/>
      <w:szCs w:val="24"/>
      <w:u w:val="none"/>
    </w:rPr>
  </w:style>
  <w:style w:type="character" w:styleId="1191" w:customStyle="1">
    <w:name w:val="prdltop5oa2"/>
    <w:link w:val="902"/>
    <w:uiPriority w:val="0"/>
    <w:qFormat/>
    <w:rPr>
      <w:b/>
      <w:color w:val="222222"/>
    </w:rPr>
  </w:style>
  <w:style w:type="character" w:styleId="1192" w:customStyle="1">
    <w:name w:val="font31"/>
    <w:link w:val="902"/>
    <w:uiPriority w:val="0"/>
    <w:qFormat/>
    <w:rPr>
      <w:rFonts w:hint="eastAsia" w:ascii="宋体" w:hAnsi="宋体" w:eastAsia="宋体" w:cs="宋体"/>
      <w:color w:val="000000"/>
      <w:sz w:val="24"/>
      <w:szCs w:val="24"/>
      <w:u w:val="none"/>
      <w:vertAlign w:val="superscript"/>
    </w:rPr>
  </w:style>
  <w:style w:type="paragraph" w:styleId="1193" w:customStyle="1">
    <w:name w:val="Char1 Char Char Char"/>
    <w:basedOn w:val="902"/>
    <w:uiPriority w:val="0"/>
    <w:qFormat/>
    <w:pPr>
      <w:jc w:val="both"/>
      <w:widowControl w:val="off"/>
    </w:pPr>
    <w:rPr>
      <w:sz w:val="21"/>
      <w:szCs w:val="24"/>
    </w:rPr>
  </w:style>
  <w:style w:type="paragraph" w:styleId="1194" w:customStyle="1">
    <w:name w:val=" Char1 Char Char Char"/>
    <w:basedOn w:val="902"/>
    <w:uiPriority w:val="0"/>
    <w:qFormat/>
    <w:pPr>
      <w:jc w:val="both"/>
      <w:widowControl w:val="off"/>
    </w:pPr>
    <w:rPr>
      <w:sz w:val="21"/>
      <w:szCs w:val="24"/>
    </w:rPr>
  </w:style>
  <w:style w:type="paragraph" w:styleId="1195" w:customStyle="1">
    <w:name w:val="编号，小四"/>
    <w:basedOn w:val="902"/>
    <w:uiPriority w:val="0"/>
    <w:qFormat/>
    <w:pPr>
      <w:ind w:left="420"/>
      <w:jc w:val="both"/>
      <w:spacing w:line="360" w:lineRule="auto"/>
      <w:widowControl w:val="off"/>
    </w:pPr>
    <w:rPr>
      <w:rFonts w:ascii="Verdana" w:hAnsi="Verdana" w:cs="宋体"/>
    </w:rPr>
  </w:style>
  <w:style w:type="paragraph" w:styleId="1196" w:customStyle="1">
    <w:name w:val="_Style 26"/>
    <w:basedOn w:val="1111"/>
    <w:uiPriority w:val="0"/>
    <w:qFormat/>
    <w:pPr>
      <w:jc w:val="both"/>
      <w:spacing w:line="360" w:lineRule="auto"/>
      <w:widowControl w:val="off"/>
    </w:pPr>
    <w:rPr>
      <w:sz w:val="21"/>
      <w:szCs w:val="24"/>
    </w:rPr>
  </w:style>
  <w:style w:type="paragraph" w:styleId="1197" w:customStyle="1">
    <w:name w:val="font5"/>
    <w:basedOn w:val="902"/>
    <w:uiPriority w:val="0"/>
    <w:qFormat/>
    <w:pPr>
      <w:spacing w:before="100" w:beforeAutospacing="1" w:after="100" w:afterAutospacing="1"/>
    </w:pPr>
    <w:rPr>
      <w:rFonts w:hint="eastAsia" w:ascii="宋体" w:hAnsi="宋体"/>
      <w:sz w:val="18"/>
    </w:rPr>
  </w:style>
  <w:style w:type="paragraph" w:styleId="1198" w:customStyle="1">
    <w:name w:val="TOC 标题"/>
    <w:basedOn w:val="1087"/>
    <w:next w:val="902"/>
    <w:uiPriority w:val="39"/>
    <w:qFormat/>
    <w:pPr>
      <w:spacing w:before="480" w:after="0" w:line="276" w:lineRule="auto"/>
      <w:outlineLvl w:val="9"/>
    </w:pPr>
    <w:rPr>
      <w:rFonts w:ascii="Cambria" w:hAnsi="Cambria" w:eastAsia="宋体" w:cs="Times New Roman"/>
      <w:bCs/>
      <w:color w:val="365f91"/>
      <w:sz w:val="28"/>
      <w:szCs w:val="28"/>
      <w:lang w:val="en-US" w:eastAsia="zh-CN"/>
    </w:rPr>
  </w:style>
  <w:style w:type="paragraph" w:styleId="1199" w:customStyle="1">
    <w:name w:val="列出段落2"/>
    <w:basedOn w:val="902"/>
    <w:uiPriority w:val="0"/>
    <w:qFormat/>
    <w:pPr>
      <w:ind w:firstLine="420"/>
      <w:jc w:val="both"/>
      <w:widowControl w:val="off"/>
    </w:pPr>
    <w:rPr>
      <w:rFonts w:ascii="Calibri" w:hAnsi="Calibri"/>
      <w:sz w:val="21"/>
      <w:szCs w:val="22"/>
    </w:rPr>
  </w:style>
  <w:style w:type="paragraph" w:styleId="1200" w:customStyle="1">
    <w:name w:val="Char Char Char Char Char Char1 Char Char Char Char"/>
    <w:basedOn w:val="1111"/>
    <w:uiPriority w:val="0"/>
    <w:qFormat/>
    <w:pPr>
      <w:spacing w:line="360" w:lineRule="auto"/>
    </w:pPr>
    <w:rPr>
      <w:szCs w:val="24"/>
    </w:rPr>
  </w:style>
  <w:style w:type="paragraph" w:styleId="1201" w:customStyle="1">
    <w:name w:val=" Char Char1"/>
    <w:basedOn w:val="902"/>
    <w:uiPriority w:val="0"/>
    <w:qFormat/>
    <w:pPr>
      <w:spacing w:after="160" w:line="240" w:lineRule="exact"/>
    </w:pPr>
    <w:rPr>
      <w:rFonts w:ascii="Verdana" w:hAnsi="Verdana"/>
      <w:sz w:val="20"/>
      <w:lang w:eastAsia="en-US"/>
    </w:rPr>
  </w:style>
  <w:style w:type="paragraph" w:styleId="1202" w:customStyle="1">
    <w:name w:val="列出段落1"/>
    <w:basedOn w:val="902"/>
    <w:uiPriority w:val="34"/>
    <w:qFormat/>
    <w:pPr>
      <w:ind w:firstLine="420"/>
      <w:jc w:val="both"/>
      <w:widowControl w:val="off"/>
    </w:pPr>
    <w:rPr>
      <w:rFonts w:ascii="Calibri" w:hAnsi="Calibri" w:cs="宋体"/>
      <w:sz w:val="21"/>
      <w:szCs w:val="21"/>
    </w:rPr>
  </w:style>
  <w:style w:type="paragraph" w:styleId="1203" w:customStyle="1">
    <w:name w:val=" Char Char Char"/>
    <w:basedOn w:val="902"/>
    <w:uiPriority w:val="0"/>
    <w:qFormat/>
    <w:pPr>
      <w:jc w:val="both"/>
      <w:widowControl w:val="off"/>
    </w:pPr>
    <w:rPr>
      <w:sz w:val="21"/>
      <w:szCs w:val="24"/>
    </w:rPr>
  </w:style>
  <w:style w:type="paragraph" w:styleId="1204" w:customStyle="1">
    <w:name w:val="Char Char Char Char Char Char Char Char Char1 Char"/>
    <w:basedOn w:val="1111"/>
    <w:uiPriority w:val="0"/>
    <w:qFormat/>
    <w:pPr>
      <w:jc w:val="both"/>
      <w:spacing w:line="360" w:lineRule="auto"/>
      <w:widowControl w:val="off"/>
    </w:pPr>
    <w:rPr>
      <w:rFonts w:eastAsia="楷体_GB2312"/>
      <w:sz w:val="28"/>
    </w:rPr>
  </w:style>
  <w:style w:type="paragraph" w:styleId="1205" w:customStyle="1">
    <w:name w:val="H-TextFormat"/>
    <w:uiPriority w:val="0"/>
    <w:qFormat/>
    <w:rPr>
      <w:rFonts w:hint="default" w:ascii="Arial" w:hAnsi="Arial" w:eastAsia="宋体" w:cs="Times New Roman"/>
      <w:sz w:val="22"/>
      <w:lang w:val="en-GB" w:eastAsia="en-US" w:bidi="ar-SA"/>
    </w:rPr>
  </w:style>
  <w:style w:type="paragraph" w:styleId="1206" w:customStyle="1">
    <w:name w:val="p3"/>
    <w:basedOn w:val="902"/>
    <w:uiPriority w:val="0"/>
    <w:qFormat/>
    <w:pPr>
      <w:spacing w:before="100" w:beforeAutospacing="1" w:after="100" w:afterAutospacing="1"/>
    </w:pPr>
    <w:rPr>
      <w:rFonts w:ascii="宋体" w:hAnsi="宋体" w:cs="宋体"/>
      <w:szCs w:val="24"/>
    </w:rPr>
  </w:style>
  <w:style w:type="paragraph" w:styleId="1207" w:customStyle="1">
    <w:name w:val="NRSection"/>
    <w:basedOn w:val="902"/>
    <w:uiPriority w:val="0"/>
    <w:qFormat/>
    <w:pPr>
      <w:outlineLvl w:val="4"/>
    </w:pPr>
    <w:rPr>
      <w:b/>
    </w:rPr>
  </w:style>
  <w:style w:type="paragraph" w:styleId="1208" w:customStyle="1">
    <w:name w:val="Char Char1"/>
    <w:basedOn w:val="902"/>
    <w:uiPriority w:val="0"/>
    <w:qFormat/>
    <w:pPr>
      <w:spacing w:after="160" w:line="240" w:lineRule="exact"/>
    </w:pPr>
    <w:rPr>
      <w:rFonts w:ascii="Verdana" w:hAnsi="Verdana"/>
      <w:sz w:val="20"/>
      <w:lang w:eastAsia="en-US"/>
    </w:rPr>
  </w:style>
  <w:style w:type="paragraph" w:styleId="1209" w:customStyle="1">
    <w:name w:val="Char Char Char"/>
    <w:basedOn w:val="902"/>
    <w:uiPriority w:val="0"/>
    <w:qFormat/>
    <w:pPr>
      <w:jc w:val="both"/>
      <w:widowControl w:val="off"/>
    </w:pPr>
    <w:rPr>
      <w:sz w:val="21"/>
      <w:szCs w:val="24"/>
    </w:rPr>
  </w:style>
  <w:style w:type="paragraph" w:styleId="1210" w:customStyle="1">
    <w:name w:val="默认段落字体 Para Char Char Char Char Char Char Char Char Char1 Char Char Char Char"/>
    <w:basedOn w:val="902"/>
    <w:uiPriority w:val="0"/>
    <w:qFormat/>
    <w:pPr>
      <w:jc w:val="both"/>
      <w:widowControl w:val="off"/>
    </w:pPr>
    <w:rPr>
      <w:rFonts w:ascii="Tahoma" w:hAnsi="Tahoma"/>
    </w:rPr>
  </w:style>
  <w:style w:type="paragraph" w:styleId="1211" w:customStyle="1">
    <w:name w:val="+标题1"/>
    <w:basedOn w:val="1087"/>
    <w:uiPriority w:val="0"/>
    <w:qFormat/>
    <w:pPr>
      <w:ind w:left="360" w:hanging="360"/>
      <w:keepNext w:val="0"/>
      <w:pageBreakBefore/>
      <w:spacing w:before="240" w:after="240" w:line="360" w:lineRule="auto"/>
      <w:widowControl w:val="off"/>
      <w:tabs>
        <w:tab w:val="left" w:pos="360" w:leader="none"/>
        <w:tab w:val="left" w:pos="432" w:leader="none"/>
      </w:tabs>
    </w:pPr>
    <w:rPr>
      <w:rFonts w:eastAsia="黑体"/>
      <w:bCs/>
      <w:sz w:val="28"/>
      <w:szCs w:val="28"/>
    </w:rPr>
  </w:style>
  <w:style w:type="paragraph" w:styleId="1212" w:customStyle="1">
    <w:name w:val="xl35"/>
    <w:basedOn w:val="902"/>
    <w:uiPriority w:val="0"/>
    <w:qFormat/>
    <w:pPr>
      <w:jc w:val="right"/>
      <w:spacing w:before="100" w:beforeAutospacing="1" w:after="100" w:afterAutospacing="1"/>
    </w:pPr>
    <w:rPr>
      <w:rFonts w:ascii="宋体" w:hAnsi="宋体"/>
      <w:sz w:val="18"/>
    </w:rPr>
  </w:style>
  <w:style w:type="paragraph" w:styleId="1213" w:customStyle="1">
    <w:name w:val="_Style 12"/>
    <w:basedOn w:val="1111"/>
    <w:uiPriority w:val="0"/>
    <w:qFormat/>
    <w:pPr>
      <w:jc w:val="both"/>
      <w:spacing w:line="360" w:lineRule="auto"/>
      <w:widowControl w:val="off"/>
    </w:pPr>
    <w:rPr>
      <w:sz w:val="21"/>
      <w:szCs w:val="24"/>
    </w:rPr>
  </w:style>
  <w:style w:type="paragraph" w:styleId="1214" w:customStyle="1">
    <w:name w:val="Char"/>
    <w:basedOn w:val="902"/>
    <w:uiPriority w:val="0"/>
    <w:qFormat/>
    <w:pPr>
      <w:jc w:val="both"/>
      <w:widowControl w:val="off"/>
      <w:tabs>
        <w:tab w:val="left" w:pos="360" w:leader="none"/>
      </w:tabs>
    </w:pPr>
    <w:rPr>
      <w:szCs w:val="24"/>
    </w:rPr>
  </w:style>
  <w:style w:type="paragraph" w:styleId="1215" w:customStyle="1">
    <w:name w:val="图"/>
    <w:basedOn w:val="902"/>
    <w:uiPriority w:val="0"/>
    <w:qFormat/>
    <w:pPr>
      <w:jc w:val="center"/>
      <w:keepNext/>
      <w:spacing w:before="60" w:after="60" w:line="300" w:lineRule="auto"/>
      <w:widowControl w:val="off"/>
    </w:pPr>
    <w:rPr>
      <w:spacing w:val="20"/>
    </w:rPr>
  </w:style>
  <w:style w:type="paragraph" w:styleId="1216" w:customStyle="1">
    <w:name w:val="样式 首行缩进:  0 字符"/>
    <w:basedOn w:val="902"/>
    <w:uiPriority w:val="0"/>
    <w:qFormat/>
    <w:pPr>
      <w:ind w:firstLine="200"/>
      <w:jc w:val="both"/>
      <w:spacing w:line="360" w:lineRule="auto"/>
      <w:widowControl w:val="off"/>
    </w:pPr>
    <w:rPr>
      <w:rFonts w:ascii="Verdana" w:hAnsi="Verdana" w:cs="宋体"/>
    </w:rPr>
  </w:style>
  <w:style w:type="paragraph" w:styleId="1217" w:customStyle="1">
    <w:name w:val="p1"/>
    <w:basedOn w:val="902"/>
    <w:uiPriority w:val="0"/>
    <w:qFormat/>
    <w:pPr>
      <w:spacing w:before="100" w:beforeAutospacing="1" w:after="100" w:afterAutospacing="1"/>
    </w:pPr>
    <w:rPr>
      <w:rFonts w:ascii="宋体" w:hAnsi="宋体" w:cs="宋体"/>
      <w:szCs w:val="24"/>
    </w:rPr>
  </w:style>
  <w:style w:type="paragraph" w:styleId="1218" w:customStyle="1">
    <w:name w:val=" Char Char Char Char"/>
    <w:basedOn w:val="902"/>
    <w:uiPriority w:val="0"/>
    <w:qFormat/>
    <w:pPr>
      <w:spacing w:after="160" w:line="240" w:lineRule="exact"/>
    </w:pPr>
    <w:rPr>
      <w:rFonts w:eastAsia="仿宋_GB2312"/>
      <w:sz w:val="32"/>
      <w:szCs w:val="24"/>
    </w:rPr>
  </w:style>
  <w:style w:type="paragraph" w:styleId="1219" w:customStyle="1">
    <w:name w:val="3级标题"/>
    <w:basedOn w:val="902"/>
    <w:uiPriority w:val="0"/>
    <w:qFormat/>
    <w:pPr>
      <w:contextualSpacing/>
      <w:ind w:left="1680" w:hanging="420"/>
      <w:keepLines/>
      <w:spacing w:before="120" w:after="120" w:line="360" w:lineRule="auto"/>
      <w:widowControl w:val="off"/>
      <w:outlineLvl w:val="2"/>
    </w:pPr>
    <w:rPr>
      <w:rFonts w:ascii="黑体" w:hAnsi="黑体" w:eastAsia="黑体"/>
      <w:sz w:val="28"/>
      <w:szCs w:val="36"/>
      <w:lang w:eastAsia="en-US" w:bidi="en-US"/>
    </w:rPr>
  </w:style>
  <w:style w:type="paragraph" w:styleId="1220" w:customStyle="1">
    <w:name w:val="Char1"/>
    <w:basedOn w:val="902"/>
    <w:uiPriority w:val="0"/>
    <w:qFormat/>
    <w:pPr>
      <w:ind w:left="360" w:hanging="360"/>
      <w:jc w:val="both"/>
      <w:widowControl w:val="off"/>
      <w:tabs>
        <w:tab w:val="left" w:pos="360" w:leader="none"/>
      </w:tabs>
    </w:pPr>
  </w:style>
  <w:style w:type="paragraph" w:styleId="1221" w:customStyle="1">
    <w:name w:val="1"/>
    <w:basedOn w:val="902"/>
    <w:uiPriority w:val="0"/>
    <w:qFormat/>
    <w:pPr>
      <w:ind w:left="420" w:firstLine="270"/>
      <w:jc w:val="both"/>
      <w:widowControl w:val="off"/>
      <w:tabs>
        <w:tab w:val="left" w:pos="425" w:leader="none"/>
      </w:tabs>
    </w:pPr>
    <w:rPr>
      <w:sz w:val="21"/>
    </w:rPr>
  </w:style>
  <w:style w:type="paragraph" w:styleId="1222" w:customStyle="1">
    <w:name w:val=" Char1"/>
    <w:basedOn w:val="902"/>
    <w:uiPriority w:val="0"/>
    <w:qFormat/>
    <w:pPr>
      <w:ind w:left="360" w:hanging="360"/>
      <w:jc w:val="both"/>
      <w:widowControl w:val="off"/>
      <w:tabs>
        <w:tab w:val="left" w:pos="360" w:leader="none"/>
      </w:tabs>
    </w:pPr>
  </w:style>
  <w:style w:type="paragraph" w:styleId="1223" w:customStyle="1">
    <w:name w:val="Char Char Char1 Char Char Char Char"/>
    <w:basedOn w:val="902"/>
    <w:uiPriority w:val="0"/>
    <w:qFormat/>
    <w:pPr>
      <w:spacing w:after="160" w:line="240" w:lineRule="exact"/>
    </w:pPr>
  </w:style>
  <w:style w:type="paragraph" w:styleId="1224" w:customStyle="1">
    <w:name w:val=" Char Char Char Char Char Char1 Char Char Char Char"/>
    <w:basedOn w:val="1111"/>
    <w:uiPriority w:val="0"/>
    <w:qFormat/>
    <w:pPr>
      <w:spacing w:line="360" w:lineRule="auto"/>
    </w:pPr>
    <w:rPr>
      <w:szCs w:val="24"/>
    </w:rPr>
  </w:style>
  <w:style w:type="paragraph" w:styleId="1225" w:customStyle="1">
    <w:name w:val="+标题2"/>
    <w:basedOn w:val="1088"/>
    <w:uiPriority w:val="0"/>
    <w:qFormat/>
    <w:pPr>
      <w:numPr>
        <w:ilvl w:val="0"/>
        <w:numId w:val="0"/>
      </w:numPr>
      <w:jc w:val="left"/>
      <w:keepLines w:val="0"/>
      <w:spacing w:before="120" w:after="120" w:line="240" w:lineRule="atLeast"/>
      <w:tabs>
        <w:tab w:val="left" w:pos="630" w:leader="none"/>
      </w:tabs>
    </w:pPr>
    <w:rPr>
      <w:rFonts w:ascii="Times New Roman" w:hAnsi="Times New Roman" w:eastAsia="宋体"/>
      <w:sz w:val="24"/>
      <w:szCs w:val="24"/>
    </w:rPr>
  </w:style>
  <w:style w:type="paragraph" w:styleId="1226">
    <w:name w:val="List Paragraph"/>
    <w:basedOn w:val="902"/>
    <w:uiPriority w:val="0"/>
    <w:qFormat/>
    <w:pPr>
      <w:ind w:firstLine="420"/>
      <w:jc w:val="both"/>
      <w:widowControl w:val="off"/>
    </w:pPr>
    <w:rPr>
      <w:rFonts w:ascii="Calibri" w:hAnsi="Calibri"/>
      <w:sz w:val="21"/>
      <w:szCs w:val="22"/>
    </w:rPr>
  </w:style>
  <w:style w:type="paragraph" w:styleId="1227" w:customStyle="1">
    <w:name w:val="p16"/>
    <w:basedOn w:val="902"/>
    <w:uiPriority w:val="0"/>
    <w:qFormat/>
    <w:pPr>
      <w:spacing w:before="100" w:beforeAutospacing="1" w:after="100" w:afterAutospacing="1"/>
    </w:pPr>
    <w:rPr>
      <w:rFonts w:ascii="宋体" w:hAnsi="宋体" w:cs="宋体"/>
      <w:szCs w:val="24"/>
    </w:rPr>
  </w:style>
  <w:style w:type="paragraph" w:styleId="1228" w:customStyle="1">
    <w:name w:val=" Char Char Char Char Char Char"/>
    <w:basedOn w:val="1111"/>
    <w:uiPriority w:val="0"/>
    <w:qFormat/>
    <w:pPr>
      <w:jc w:val="both"/>
      <w:spacing w:line="360" w:lineRule="auto"/>
      <w:widowControl w:val="off"/>
    </w:pPr>
    <w:rPr>
      <w:rFonts w:ascii="Tahoma" w:hAnsi="Tahoma"/>
    </w:rPr>
  </w:style>
  <w:style w:type="paragraph" w:styleId="1229" w:customStyle="1">
    <w:name w:val="my正文"/>
    <w:basedOn w:val="902"/>
    <w:uiPriority w:val="0"/>
    <w:qFormat/>
    <w:pPr>
      <w:ind w:firstLine="480"/>
      <w:jc w:val="both"/>
      <w:spacing w:line="360" w:lineRule="auto"/>
      <w:widowControl w:val="off"/>
    </w:pPr>
    <w:rPr>
      <w:szCs w:val="24"/>
    </w:rPr>
  </w:style>
  <w:style w:type="paragraph" w:styleId="1230" w:customStyle="1">
    <w:name w:val=" Char Char Char Char Char Char Char Char Char Char"/>
    <w:basedOn w:val="902"/>
    <w:uiPriority w:val="0"/>
    <w:qFormat/>
    <w:pPr>
      <w:ind w:left="360" w:hanging="360"/>
      <w:jc w:val="both"/>
      <w:widowControl w:val="off"/>
      <w:tabs>
        <w:tab w:val="left" w:pos="360" w:leader="none"/>
      </w:tabs>
    </w:pPr>
    <w:rPr>
      <w:szCs w:val="24"/>
    </w:rPr>
  </w:style>
  <w:style w:type="paragraph" w:styleId="1231" w:customStyle="1">
    <w:name w:val="纯文本2"/>
    <w:basedOn w:val="902"/>
    <w:uiPriority w:val="0"/>
    <w:qFormat/>
    <w:rPr>
      <w:rFonts w:ascii="宋体" w:hAnsi="Courier New" w:eastAsia="楷体_GB2312"/>
      <w:sz w:val="26"/>
    </w:rPr>
  </w:style>
  <w:style w:type="paragraph" w:styleId="1232" w:customStyle="1">
    <w:name w:val="--规划正文"/>
    <w:basedOn w:val="902"/>
    <w:uiPriority w:val="0"/>
    <w:qFormat/>
    <w:pPr>
      <w:ind w:firstLine="200"/>
      <w:jc w:val="both"/>
      <w:spacing w:line="360" w:lineRule="auto"/>
      <w:widowControl w:val="off"/>
    </w:pPr>
    <w:rPr>
      <w:sz w:val="21"/>
    </w:rPr>
  </w:style>
  <w:style w:type="paragraph" w:styleId="1233" w:customStyle="1">
    <w:name w:val=" Char"/>
    <w:basedOn w:val="902"/>
    <w:uiPriority w:val="0"/>
    <w:qFormat/>
    <w:pPr>
      <w:ind w:left="840" w:hanging="420"/>
      <w:jc w:val="both"/>
      <w:widowControl w:val="off"/>
      <w:tabs>
        <w:tab w:val="left" w:pos="840" w:leader="none"/>
      </w:tabs>
    </w:pPr>
    <w:rPr>
      <w:szCs w:val="24"/>
    </w:rPr>
  </w:style>
  <w:style w:type="paragraph" w:styleId="1234" w:customStyle="1">
    <w:name w:val="HTML 预设格式1"/>
    <w:basedOn w:val="90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35" w:customStyle="1">
    <w:name w:val="Char Char Char Char"/>
    <w:basedOn w:val="1111"/>
    <w:uiPriority w:val="0"/>
    <w:qFormat/>
    <w:pPr>
      <w:jc w:val="both"/>
      <w:spacing w:line="360" w:lineRule="auto"/>
      <w:widowControl w:val="off"/>
    </w:pPr>
    <w:rPr>
      <w:rFonts w:ascii="Tahoma" w:hAnsi="Tahoma"/>
      <w:szCs w:val="24"/>
    </w:rPr>
  </w:style>
  <w:style w:type="paragraph" w:styleId="1236" w:customStyle="1">
    <w:name w:val=" Char Char Char1 Char Char Char Char"/>
    <w:basedOn w:val="902"/>
    <w:uiPriority w:val="0"/>
    <w:qFormat/>
    <w:pPr>
      <w:spacing w:after="160" w:line="240" w:lineRule="exact"/>
    </w:pPr>
  </w:style>
  <w:style w:type="paragraph" w:styleId="1237" w:customStyle="1">
    <w:name w:val="p25"/>
    <w:basedOn w:val="902"/>
    <w:uiPriority w:val="0"/>
    <w:qFormat/>
    <w:rPr>
      <w:rFonts w:ascii="宋体" w:hAnsi="宋体" w:cs="宋体"/>
      <w:sz w:val="26"/>
      <w:szCs w:val="26"/>
    </w:rPr>
  </w:style>
  <w:style w:type="paragraph" w:styleId="1238" w:customStyle="1">
    <w:name w:val="Char Char Char Char Char Char Char Char Char Char"/>
    <w:basedOn w:val="902"/>
    <w:uiPriority w:val="0"/>
    <w:qFormat/>
    <w:pPr>
      <w:ind w:left="360" w:hanging="360"/>
      <w:jc w:val="both"/>
      <w:widowControl w:val="off"/>
      <w:tabs>
        <w:tab w:val="left" w:pos="360" w:leader="none"/>
      </w:tabs>
    </w:pPr>
    <w:rPr>
      <w:szCs w:val="24"/>
    </w:rPr>
  </w:style>
  <w:style w:type="paragraph" w:styleId="1239" w:customStyle="1">
    <w:name w:val="Char Char Char Char Char Char"/>
    <w:basedOn w:val="1111"/>
    <w:uiPriority w:val="0"/>
    <w:qFormat/>
    <w:pPr>
      <w:jc w:val="both"/>
      <w:spacing w:line="360" w:lineRule="auto"/>
      <w:widowControl w:val="off"/>
    </w:pPr>
    <w:rPr>
      <w:rFonts w:ascii="Tahoma" w:hAnsi="Tahoma"/>
    </w:rPr>
  </w:style>
  <w:style w:type="paragraph" w:styleId="1240" w:customStyle="1">
    <w:name w:val="xl31"/>
    <w:basedOn w:val="902"/>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table" w:styleId="1241" w:customStyle="1">
    <w:name w:val="网格型1"/>
    <w:basedOn w:val="1097"/>
    <w:uiPriority w:val="59"/>
    <w:unhideWhenUsed/>
    <w:qFormat/>
    <w:rPr>
      <w:rFonts w:ascii="Calibri" w:hAnsi="Calibri" w:eastAsia="宋体" w:cs="Times New Roman"/>
    </w:rPr>
    <w:tblPr/>
  </w:style>
  <w:style w:type="paragraph" w:styleId="1242" w:customStyle="1">
    <w:name w:val="_Style 30"/>
    <w:basedOn w:val="902"/>
    <w:next w:val="1125"/>
    <w:uiPriority w:val="0"/>
    <w:qFormat/>
    <w:rPr>
      <w:rFonts w:ascii="宋体" w:hAnsi="Courier New"/>
    </w:rPr>
  </w:style>
  <w:style w:type="character" w:styleId="1243" w:customStyle="1">
    <w:name w:val="NormalCharacter1"/>
    <w:link w:val="902"/>
    <w:uiPriority w:val="0"/>
    <w:qFormat/>
    <w:rPr>
      <w:rFonts w:ascii="Times New Roman" w:hAnsi="Times New Roman" w:eastAsia="宋体" w:cs="Times New Roman"/>
      <w:sz w:val="21"/>
      <w:lang w:val="en-US" w:eastAsia="zh-CN" w:bidi="ar-SA"/>
    </w:rPr>
  </w:style>
  <w:style w:type="paragraph" w:styleId="1244" w:customStyle="1">
    <w:name w:val="UserStyle_78"/>
    <w:basedOn w:val="902"/>
    <w:uiPriority w:val="0"/>
    <w:qFormat/>
    <w:pPr>
      <w:jc w:val="both"/>
    </w:pPr>
    <w:rPr>
      <w:rFonts w:ascii="宋体" w:hAnsi="Courier New" w:eastAsia="楷体_GB2312"/>
      <w:sz w:val="26"/>
      <w:szCs w:val="26"/>
      <w:lang w:val="en-US" w:eastAsia="zh-CN" w:bidi="ar-SA"/>
    </w:rPr>
  </w:style>
  <w:style w:type="paragraph" w:styleId="1245" w:customStyle="1">
    <w:name w:val="NormalIndent1"/>
    <w:basedOn w:val="902"/>
    <w:uiPriority w:val="0"/>
    <w:qFormat/>
    <w:pPr>
      <w:ind w:firstLine="420"/>
      <w:jc w:val="left"/>
    </w:pPr>
    <w:rPr>
      <w:rFonts w:ascii="Times New Roman" w:hAnsi="Times New Roman" w:eastAsia="楷体_GB2312"/>
      <w:sz w:val="24"/>
      <w:szCs w:val="20"/>
      <w:lang w:val="en-US" w:eastAsia="zh-CN" w:bidi="ar-SA"/>
    </w:rPr>
  </w:style>
  <w:style w:type="paragraph" w:styleId="1246" w:customStyle="1">
    <w:name w:val="正文缩进111"/>
    <w:basedOn w:val="902"/>
    <w:next w:val="902"/>
    <w:uiPriority w:val="0"/>
    <w:qFormat/>
    <w:pPr>
      <w:ind w:firstLine="420"/>
    </w:pPr>
    <w:rPr>
      <w:rFonts w:ascii="Calibri" w:hAnsi="Calibri"/>
      <w:sz w:val="24"/>
    </w:rPr>
  </w:style>
  <w:style w:type="paragraph" w:styleId="1247" w:customStyle="1">
    <w:name w:val="普通(网站)1"/>
    <w:basedOn w:val="902"/>
    <w:uiPriority w:val="99"/>
    <w:qFormat/>
    <w:pPr>
      <w:jc w:val="left"/>
      <w:spacing w:before="100" w:beforeAutospacing="1" w:after="100" w:afterAutospacing="1"/>
      <w:widowControl/>
    </w:pPr>
    <w:rPr>
      <w:rFonts w:ascii="宋体" w:hAnsi="宋体"/>
      <w:sz w:val="24"/>
    </w:rPr>
  </w:style>
  <w:style w:type="character" w:styleId="1248" w:customStyle="1">
    <w:name w:val="font01"/>
    <w:basedOn w:val="1096"/>
    <w:link w:val="902"/>
    <w:uiPriority w:val="0"/>
    <w:qFormat/>
    <w:rPr>
      <w:rFonts w:hint="eastAsia" w:ascii="宋体" w:hAnsi="宋体" w:eastAsia="宋体" w:cs="宋体"/>
      <w:color w:val="000000"/>
      <w:sz w:val="22"/>
      <w:szCs w:val="22"/>
      <w:u w:val="none"/>
    </w:rPr>
  </w:style>
  <w:style w:type="character" w:styleId="1249" w:customStyle="1">
    <w:name w:val="font11"/>
    <w:basedOn w:val="1096"/>
    <w:link w:val="902"/>
    <w:uiPriority w:val="0"/>
    <w:qFormat/>
    <w:rPr>
      <w:rFonts w:hint="eastAsia" w:ascii="宋体" w:hAnsi="宋体" w:eastAsia="宋体" w:cs="宋体"/>
      <w:color w:val="ff0000"/>
      <w:sz w:val="22"/>
      <w:szCs w:val="22"/>
      <w:u w:val="none"/>
    </w:rPr>
  </w:style>
  <w:style w:type="character" w:styleId="1250" w:customStyle="1">
    <w:name w:val="NormalCharacter"/>
    <w:uiPriority w:val="0"/>
    <w:qFormat/>
    <w:rPr>
      <w:rFonts w:ascii="Times New Roman" w:hAnsi="Times New Roman" w:eastAsia="宋体" w:cs="Times New Roman"/>
      <w:sz w:val="21"/>
      <w:lang w:val="en-US" w:eastAsia="zh-CN" w:bidi="ar-SA"/>
    </w:rPr>
  </w:style>
  <w:style w:type="paragraph" w:styleId="1251" w:customStyle="1">
    <w:name w:val="[基本段落]"/>
    <w:basedOn w:val="902"/>
    <w:uiPriority w:val="0"/>
    <w:qFormat/>
    <w:pPr>
      <w:spacing w:line="288" w:lineRule="auto"/>
      <w:widowControl/>
    </w:pPr>
    <w:rPr>
      <w:rFonts w:ascii="??????_GBK" w:hAnsi="??????_GBK"/>
      <w:color w:val="000000"/>
      <w:sz w:val="24"/>
    </w:rPr>
  </w:style>
  <w:style w:type="paragraph" w:styleId="1252" w:customStyle="1">
    <w:name w:val="_Style 3"/>
    <w:uiPriority w:val="99"/>
    <w:qFormat/>
    <w:pPr>
      <w:jc w:val="both"/>
      <w:widowControl w:val="off"/>
    </w:pPr>
    <w:rPr>
      <w:rFonts w:ascii="Calibri" w:hAnsi="Calibri" w:eastAsia="宋体" w:cs="Times New Roman"/>
      <w:sz w:val="21"/>
      <w:szCs w:val="21"/>
      <w:lang w:val="en-US" w:eastAsia="zh-CN" w:bidi="ar-SA"/>
    </w:r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仲兰兰</cp:lastModifiedBy>
  <cp:revision>18</cp:revision>
  <dcterms:created xsi:type="dcterms:W3CDTF">2018-11-15T07:58:00Z</dcterms:created>
  <dcterms:modified xsi:type="dcterms:W3CDTF">2026-02-12T05:39:09Z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eyJoZGlkIjoiMDIxZDYxNzFmOWE1MzZiOWMxMmZiMGM5MjAxNzM0ZTQiLCJ1c2VySWQiOiIzNzk0OTE4MzIifQ==</vt:lpwstr>
  </property>
  <property fmtid="{D5CDD505-2E9C-101B-9397-08002B2CF9AE}" pid="3" name="KSOProductBuildVer">
    <vt:lpwstr>2052-12.1.0.25225</vt:lpwstr>
  </property>
  <property fmtid="{D5CDD505-2E9C-101B-9397-08002B2CF9AE}" pid="4" name="ICV">
    <vt:lpwstr>1FC8C4C15F464764AE34F61B062EB9C2_12</vt:lpwstr>
  </property>
</Properties>
</file>