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95A63">
      <w:pPr>
        <w:jc w:val="center"/>
        <w:rPr>
          <w:rFonts w:hint="eastAsia" w:ascii="宋体" w:hAnsi="宋体" w:cs="宋体"/>
          <w:b/>
          <w:bCs/>
          <w:sz w:val="52"/>
          <w:highlight w:val="none"/>
        </w:rPr>
      </w:pPr>
      <w:bookmarkStart w:id="146" w:name="_GoBack"/>
      <w:bookmarkEnd w:id="146"/>
      <w:r>
        <w:rPr>
          <w:rFonts w:hint="eastAsia" w:ascii="宋体" w:hAnsi="宋体" w:cs="宋体"/>
          <w:b/>
          <w:bCs/>
          <w:sz w:val="52"/>
          <w:highlight w:val="none"/>
        </w:rPr>
        <w:t>宜 兴 市 政 府 采 购</w:t>
      </w:r>
    </w:p>
    <w:p w14:paraId="58A217CF">
      <w:pPr>
        <w:jc w:val="center"/>
        <w:rPr>
          <w:rFonts w:hint="eastAsia" w:ascii="宋体" w:hAnsi="宋体" w:cs="宋体"/>
          <w:b/>
          <w:bCs/>
          <w:sz w:val="52"/>
          <w:highlight w:val="none"/>
        </w:rPr>
      </w:pPr>
    </w:p>
    <w:p w14:paraId="193183D9">
      <w:pPr>
        <w:pStyle w:val="191"/>
        <w:rPr>
          <w:rFonts w:hint="eastAsia"/>
          <w:highlight w:val="none"/>
        </w:rPr>
      </w:pPr>
    </w:p>
    <w:p w14:paraId="095030EE">
      <w:pPr>
        <w:jc w:val="center"/>
        <w:rPr>
          <w:rFonts w:hint="eastAsia" w:ascii="宋体" w:hAnsi="宋体" w:cs="宋体"/>
          <w:b/>
          <w:bCs/>
          <w:sz w:val="96"/>
          <w:szCs w:val="96"/>
          <w:highlight w:val="none"/>
        </w:rPr>
      </w:pPr>
      <w:r>
        <w:rPr>
          <w:rFonts w:hint="eastAsia" w:ascii="宋体" w:hAnsi="宋体" w:cs="宋体"/>
          <w:b/>
          <w:bCs/>
          <w:sz w:val="96"/>
          <w:szCs w:val="96"/>
          <w:highlight w:val="none"/>
        </w:rPr>
        <w:t>招</w:t>
      </w:r>
    </w:p>
    <w:p w14:paraId="5BCE6AA8">
      <w:pPr>
        <w:jc w:val="center"/>
        <w:rPr>
          <w:rFonts w:hint="eastAsia" w:ascii="宋体" w:hAnsi="宋体" w:cs="宋体"/>
          <w:b/>
          <w:bCs/>
          <w:sz w:val="96"/>
          <w:szCs w:val="96"/>
          <w:highlight w:val="none"/>
        </w:rPr>
      </w:pPr>
      <w:r>
        <w:rPr>
          <w:rFonts w:hint="eastAsia" w:ascii="宋体" w:hAnsi="宋体" w:cs="宋体"/>
          <w:b/>
          <w:bCs/>
          <w:sz w:val="96"/>
          <w:szCs w:val="96"/>
          <w:highlight w:val="none"/>
        </w:rPr>
        <w:t>标</w:t>
      </w:r>
    </w:p>
    <w:p w14:paraId="77C4E4D5">
      <w:pPr>
        <w:jc w:val="center"/>
        <w:rPr>
          <w:rFonts w:hint="eastAsia" w:ascii="宋体" w:hAnsi="宋体" w:cs="宋体"/>
          <w:b/>
          <w:bCs/>
          <w:sz w:val="96"/>
          <w:szCs w:val="96"/>
          <w:highlight w:val="none"/>
        </w:rPr>
      </w:pPr>
      <w:r>
        <w:rPr>
          <w:rFonts w:hint="eastAsia" w:ascii="宋体" w:hAnsi="宋体" w:cs="宋体"/>
          <w:b/>
          <w:bCs/>
          <w:sz w:val="96"/>
          <w:szCs w:val="96"/>
          <w:highlight w:val="none"/>
        </w:rPr>
        <w:t>文</w:t>
      </w:r>
    </w:p>
    <w:p w14:paraId="01A83231">
      <w:pPr>
        <w:jc w:val="center"/>
        <w:rPr>
          <w:rFonts w:hint="eastAsia" w:ascii="宋体" w:hAnsi="宋体" w:cs="宋体"/>
          <w:b/>
          <w:bCs/>
          <w:sz w:val="96"/>
          <w:szCs w:val="96"/>
          <w:highlight w:val="none"/>
        </w:rPr>
      </w:pPr>
      <w:r>
        <w:rPr>
          <w:rFonts w:hint="eastAsia" w:ascii="宋体" w:hAnsi="宋体" w:cs="宋体"/>
          <w:b/>
          <w:bCs/>
          <w:sz w:val="96"/>
          <w:szCs w:val="96"/>
          <w:highlight w:val="none"/>
        </w:rPr>
        <w:t>件</w:t>
      </w:r>
    </w:p>
    <w:p w14:paraId="639FE792">
      <w:pPr>
        <w:jc w:val="center"/>
        <w:rPr>
          <w:rFonts w:hint="eastAsia" w:ascii="宋体" w:hAnsi="宋体" w:cs="宋体"/>
          <w:b/>
          <w:bCs/>
          <w:sz w:val="48"/>
          <w:szCs w:val="48"/>
          <w:highlight w:val="none"/>
        </w:rPr>
      </w:pPr>
    </w:p>
    <w:p w14:paraId="4F7A0231">
      <w:pPr>
        <w:jc w:val="center"/>
        <w:rPr>
          <w:rFonts w:hint="eastAsia" w:ascii="宋体" w:hAnsi="宋体"/>
          <w:b/>
          <w:bCs/>
          <w:sz w:val="84"/>
          <w:highlight w:val="none"/>
        </w:rPr>
      </w:pPr>
      <w:r>
        <w:rPr>
          <w:rFonts w:hint="eastAsia" w:ascii="宋体" w:hAnsi="宋体"/>
          <w:b/>
          <w:bCs/>
          <w:sz w:val="84"/>
          <w:highlight w:val="none"/>
        </w:rPr>
        <w:t>（电子标）</w:t>
      </w:r>
    </w:p>
    <w:p w14:paraId="455247DA">
      <w:pPr>
        <w:jc w:val="both"/>
        <w:rPr>
          <w:rFonts w:hint="eastAsia" w:ascii="宋体" w:hAnsi="宋体" w:cs="宋体"/>
          <w:sz w:val="32"/>
          <w:highlight w:val="none"/>
        </w:rPr>
      </w:pPr>
    </w:p>
    <w:p w14:paraId="20E395F2">
      <w:pPr>
        <w:pStyle w:val="14"/>
        <w:rPr>
          <w:rFonts w:hint="eastAsia"/>
          <w:highlight w:val="none"/>
        </w:rPr>
      </w:pPr>
    </w:p>
    <w:p w14:paraId="2317A82A">
      <w:pPr>
        <w:spacing w:line="360" w:lineRule="auto"/>
        <w:ind w:left="0" w:firstLine="1260"/>
        <w:jc w:val="both"/>
        <w:rPr>
          <w:rFonts w:hint="eastAsia" w:ascii="宋体" w:hAnsi="宋体" w:cs="宋体"/>
          <w:sz w:val="32"/>
          <w:highlight w:val="none"/>
        </w:rPr>
      </w:pPr>
    </w:p>
    <w:p w14:paraId="240A0236">
      <w:pPr>
        <w:spacing w:line="360" w:lineRule="auto"/>
        <w:ind w:left="0" w:firstLine="1260"/>
        <w:jc w:val="both"/>
        <w:rPr>
          <w:rFonts w:hint="eastAsia" w:ascii="宋体" w:hAnsi="宋体" w:eastAsia="宋体" w:cs="Times New Roman"/>
          <w:color w:val="000000"/>
          <w:sz w:val="32"/>
          <w:highlight w:val="none"/>
          <w:lang w:eastAsia="zh-CN"/>
        </w:rPr>
      </w:pPr>
      <w:r>
        <w:rPr>
          <w:rFonts w:hint="eastAsia" w:ascii="宋体" w:hAnsi="宋体" w:cs="宋体"/>
          <w:sz w:val="32"/>
          <w:highlight w:val="none"/>
        </w:rPr>
        <w:t>项目编</w:t>
      </w:r>
      <w:r>
        <w:rPr>
          <w:rFonts w:hint="eastAsia" w:ascii="宋体" w:hAnsi="宋体" w:cs="宋体"/>
          <w:sz w:val="32"/>
          <w:highlight w:val="none"/>
          <w:lang w:eastAsia="zh-CN"/>
        </w:rPr>
        <w:t>号：</w:t>
      </w:r>
      <w:r>
        <w:rPr>
          <w:rFonts w:hint="eastAsia" w:ascii="宋体" w:hAnsi="宋体" w:cs="宋体"/>
          <w:sz w:val="32"/>
          <w:highlight w:val="none"/>
          <w:lang w:val="en-US" w:eastAsia="zh-CN"/>
        </w:rPr>
        <w:t>JSZC-320282-HXZX-G2026-0004</w:t>
      </w:r>
    </w:p>
    <w:p w14:paraId="14915698">
      <w:pPr>
        <w:spacing w:line="360" w:lineRule="auto"/>
        <w:ind w:left="0" w:firstLine="1260"/>
        <w:jc w:val="both"/>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eastAsia="zh-CN"/>
        </w:rPr>
        <w:t>采购人：</w:t>
      </w:r>
      <w:r>
        <w:rPr>
          <w:rFonts w:hint="eastAsia" w:ascii="宋体" w:hAnsi="宋体" w:cs="Times New Roman"/>
          <w:color w:val="000000"/>
          <w:sz w:val="32"/>
          <w:highlight w:val="none"/>
          <w:lang w:eastAsia="zh-CN"/>
        </w:rPr>
        <w:t>江苏省宜兴第一中学周铁分校</w:t>
      </w:r>
    </w:p>
    <w:p w14:paraId="11EE7588">
      <w:pPr>
        <w:spacing w:line="360" w:lineRule="auto"/>
        <w:ind w:left="0" w:firstLine="1260"/>
        <w:jc w:val="both"/>
        <w:rPr>
          <w:rFonts w:hint="eastAsia" w:ascii="宋体" w:hAnsi="宋体" w:cs="Times New Roman"/>
          <w:color w:val="000000"/>
          <w:sz w:val="32"/>
          <w:highlight w:val="none"/>
          <w:lang w:eastAsia="zh-CN"/>
        </w:rPr>
      </w:pPr>
      <w:r>
        <w:rPr>
          <w:rFonts w:hint="eastAsia" w:ascii="宋体" w:hAnsi="宋体" w:eastAsia="宋体" w:cs="Times New Roman"/>
          <w:color w:val="000000"/>
          <w:sz w:val="32"/>
          <w:highlight w:val="none"/>
          <w:lang w:eastAsia="zh-CN"/>
        </w:rPr>
        <w:t>项目名称：</w:t>
      </w:r>
      <w:r>
        <w:rPr>
          <w:rFonts w:hint="eastAsia" w:ascii="宋体" w:hAnsi="宋体" w:cs="Times New Roman"/>
          <w:color w:val="000000"/>
          <w:sz w:val="32"/>
          <w:highlight w:val="none"/>
          <w:lang w:eastAsia="zh-CN"/>
        </w:rPr>
        <w:t>理化生实验室设备采购(第二批)</w:t>
      </w:r>
    </w:p>
    <w:p w14:paraId="16545CF5">
      <w:pPr>
        <w:spacing w:line="360" w:lineRule="auto"/>
        <w:ind w:left="0" w:firstLine="1260"/>
        <w:jc w:val="both"/>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采购代理机构：</w:t>
      </w:r>
      <w:r>
        <w:rPr>
          <w:rFonts w:hint="eastAsia" w:ascii="宋体" w:hAnsi="宋体" w:cs="Times New Roman"/>
          <w:color w:val="000000"/>
          <w:sz w:val="32"/>
          <w:highlight w:val="none"/>
          <w:lang w:eastAsia="zh-CN"/>
        </w:rPr>
        <w:t>江苏宏翔工程造价咨询有限公司</w:t>
      </w:r>
    </w:p>
    <w:p w14:paraId="54AD3575">
      <w:pPr>
        <w:ind w:firstLine="960"/>
        <w:jc w:val="center"/>
        <w:rPr>
          <w:rFonts w:hint="eastAsia" w:ascii="宋体" w:hAnsi="宋体" w:eastAsia="宋体" w:cs="Times New Roman"/>
          <w:color w:val="000000"/>
          <w:sz w:val="32"/>
          <w:highlight w:val="none"/>
          <w:lang w:val="en-US" w:eastAsia="zh-CN"/>
        </w:rPr>
      </w:pPr>
    </w:p>
    <w:p w14:paraId="14C31328">
      <w:pPr>
        <w:pStyle w:val="14"/>
        <w:rPr>
          <w:rFonts w:hint="eastAsia"/>
          <w:highlight w:val="none"/>
          <w:lang w:val="en-US" w:eastAsia="zh-CN"/>
        </w:rPr>
      </w:pPr>
    </w:p>
    <w:p w14:paraId="51B24C63">
      <w:pPr>
        <w:jc w:val="center"/>
        <w:rPr>
          <w:rStyle w:val="204"/>
          <w:rFonts w:hint="eastAsia" w:ascii="宋体" w:hAnsi="宋体" w:cs="宋体"/>
          <w:bCs/>
          <w:sz w:val="48"/>
          <w:highlight w:val="none"/>
        </w:rPr>
      </w:pPr>
      <w:r>
        <w:rPr>
          <w:rFonts w:hint="eastAsia" w:ascii="宋体" w:hAnsi="宋体" w:eastAsia="宋体" w:cs="Times New Roman"/>
          <w:color w:val="000000"/>
          <w:sz w:val="32"/>
          <w:highlight w:val="none"/>
          <w:lang w:val="en-US" w:eastAsia="zh-CN"/>
        </w:rPr>
        <w:t>202</w:t>
      </w:r>
      <w:r>
        <w:rPr>
          <w:rFonts w:hint="eastAsia" w:ascii="宋体" w:hAnsi="宋体" w:cs="Times New Roman"/>
          <w:color w:val="000000"/>
          <w:sz w:val="32"/>
          <w:highlight w:val="none"/>
          <w:lang w:val="en-US" w:eastAsia="zh-CN"/>
        </w:rPr>
        <w:t>6</w:t>
      </w:r>
      <w:r>
        <w:rPr>
          <w:rFonts w:hint="eastAsia" w:ascii="宋体" w:hAnsi="宋体" w:eastAsia="宋体" w:cs="Times New Roman"/>
          <w:color w:val="000000"/>
          <w:sz w:val="32"/>
          <w:highlight w:val="none"/>
          <w:lang w:val="en-US" w:eastAsia="zh-CN"/>
        </w:rPr>
        <w:t>年</w:t>
      </w:r>
      <w:r>
        <w:rPr>
          <w:rFonts w:hint="eastAsia" w:ascii="宋体" w:hAnsi="宋体" w:cs="Times New Roman"/>
          <w:color w:val="000000"/>
          <w:sz w:val="32"/>
          <w:highlight w:val="none"/>
          <w:lang w:val="en-US" w:eastAsia="zh-CN"/>
        </w:rPr>
        <w:t>3</w:t>
      </w:r>
      <w:r>
        <w:rPr>
          <w:rFonts w:hint="eastAsia" w:ascii="宋体" w:hAnsi="宋体" w:eastAsia="宋体" w:cs="Times New Roman"/>
          <w:color w:val="000000"/>
          <w:sz w:val="32"/>
          <w:highlight w:val="none"/>
          <w:lang w:eastAsia="zh-CN"/>
        </w:rPr>
        <w:t>月</w:t>
      </w:r>
      <w:r>
        <w:rPr>
          <w:rFonts w:hint="eastAsia" w:ascii="宋体" w:hAnsi="宋体" w:cs="Times New Roman"/>
          <w:color w:val="000000"/>
          <w:sz w:val="32"/>
          <w:highlight w:val="none"/>
          <w:lang w:val="en-US" w:eastAsia="zh-CN"/>
        </w:rPr>
        <w:t>25日</w:t>
      </w:r>
    </w:p>
    <w:p w14:paraId="14D77731">
      <w:pPr>
        <w:jc w:val="center"/>
        <w:rPr>
          <w:rStyle w:val="204"/>
          <w:rFonts w:hint="eastAsia" w:ascii="宋体" w:hAnsi="宋体" w:cs="宋体"/>
          <w:bCs/>
          <w:sz w:val="48"/>
          <w:highlight w:val="none"/>
        </w:rPr>
      </w:pPr>
    </w:p>
    <w:p w14:paraId="1C6A32BC">
      <w:pPr>
        <w:jc w:val="center"/>
        <w:rPr>
          <w:rStyle w:val="204"/>
          <w:rFonts w:hint="eastAsia" w:ascii="宋体" w:hAnsi="宋体" w:cs="宋体"/>
          <w:bCs/>
          <w:sz w:val="48"/>
          <w:highlight w:val="none"/>
        </w:rPr>
      </w:pPr>
      <w:r>
        <w:rPr>
          <w:rStyle w:val="204"/>
          <w:rFonts w:hint="eastAsia" w:ascii="宋体" w:hAnsi="宋体" w:cs="宋体"/>
          <w:bCs/>
          <w:sz w:val="48"/>
          <w:highlight w:val="none"/>
        </w:rPr>
        <w:t>目     录</w:t>
      </w:r>
    </w:p>
    <w:p w14:paraId="7BF736B0">
      <w:pPr>
        <w:jc w:val="center"/>
        <w:rPr>
          <w:rFonts w:hint="eastAsia" w:ascii="宋体" w:hAnsi="宋体" w:cs="宋体"/>
          <w:bCs/>
          <w:sz w:val="30"/>
          <w:highlight w:val="none"/>
        </w:rPr>
      </w:pPr>
    </w:p>
    <w:p w14:paraId="0FC4EC9B">
      <w:pPr>
        <w:jc w:val="center"/>
        <w:rPr>
          <w:rFonts w:hint="eastAsia" w:ascii="宋体" w:hAnsi="宋体" w:cs="宋体"/>
          <w:bCs/>
          <w:sz w:val="30"/>
          <w:highlight w:val="none"/>
        </w:rPr>
      </w:pPr>
    </w:p>
    <w:p w14:paraId="2B6C0FC6">
      <w:pPr>
        <w:pStyle w:val="22"/>
        <w:tabs>
          <w:tab w:val="right" w:leader="dot" w:pos="8730"/>
        </w:tabs>
        <w:spacing w:line="360" w:lineRule="auto"/>
        <w:rPr>
          <w:sz w:val="24"/>
          <w:szCs w:val="2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"1-1" \h \z \u </w:instrText>
      </w:r>
      <w:r>
        <w:rPr>
          <w:rFonts w:hint="eastAsia" w:ascii="宋体" w:hAnsi="宋体" w:eastAsia="宋体" w:cs="宋体"/>
          <w:sz w:val="32"/>
          <w:szCs w:val="32"/>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_Toc3934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第一章 投标邀请函</w:t>
      </w:r>
      <w:r>
        <w:rPr>
          <w:sz w:val="24"/>
          <w:szCs w:val="22"/>
          <w:highlight w:val="none"/>
        </w:rPr>
        <w:tab/>
      </w:r>
      <w:r>
        <w:rPr>
          <w:sz w:val="24"/>
          <w:szCs w:val="22"/>
          <w:highlight w:val="none"/>
        </w:rPr>
        <w:fldChar w:fldCharType="begin"/>
      </w:r>
      <w:r>
        <w:rPr>
          <w:sz w:val="24"/>
          <w:szCs w:val="22"/>
          <w:highlight w:val="none"/>
        </w:rPr>
        <w:instrText xml:space="preserve"> PAGEREF _Toc3934 \h </w:instrText>
      </w:r>
      <w:r>
        <w:rPr>
          <w:sz w:val="24"/>
          <w:szCs w:val="22"/>
          <w:highlight w:val="none"/>
        </w:rPr>
        <w:fldChar w:fldCharType="separate"/>
      </w:r>
      <w:r>
        <w:rPr>
          <w:sz w:val="24"/>
          <w:szCs w:val="22"/>
          <w:highlight w:val="none"/>
        </w:rPr>
        <w:t>1</w:t>
      </w:r>
      <w:r>
        <w:rPr>
          <w:sz w:val="24"/>
          <w:szCs w:val="22"/>
          <w:highlight w:val="none"/>
        </w:rPr>
        <w:fldChar w:fldCharType="end"/>
      </w:r>
      <w:r>
        <w:rPr>
          <w:rFonts w:hint="eastAsia" w:ascii="宋体" w:hAnsi="宋体" w:eastAsia="宋体" w:cs="宋体"/>
          <w:sz w:val="24"/>
          <w:szCs w:val="32"/>
          <w:highlight w:val="none"/>
        </w:rPr>
        <w:fldChar w:fldCharType="end"/>
      </w:r>
    </w:p>
    <w:p w14:paraId="70388E64">
      <w:pPr>
        <w:pStyle w:val="22"/>
        <w:tabs>
          <w:tab w:val="right" w:leader="dot" w:pos="8730"/>
        </w:tabs>
        <w:spacing w:line="360" w:lineRule="auto"/>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_Toc29279 </w:instrText>
      </w:r>
      <w:r>
        <w:rPr>
          <w:rFonts w:hint="eastAsia" w:ascii="宋体" w:hAnsi="宋体" w:eastAsia="宋体" w:cs="宋体"/>
          <w:sz w:val="24"/>
          <w:szCs w:val="32"/>
          <w:highlight w:val="none"/>
        </w:rPr>
        <w:fldChar w:fldCharType="separate"/>
      </w:r>
      <w:r>
        <w:rPr>
          <w:rFonts w:hint="eastAsia"/>
          <w:sz w:val="24"/>
          <w:szCs w:val="22"/>
          <w:highlight w:val="none"/>
        </w:rPr>
        <w:t>第二章 投标人须知</w:t>
      </w:r>
      <w:r>
        <w:rPr>
          <w:sz w:val="24"/>
          <w:szCs w:val="22"/>
          <w:highlight w:val="none"/>
        </w:rPr>
        <w:tab/>
      </w:r>
      <w:r>
        <w:rPr>
          <w:sz w:val="24"/>
          <w:szCs w:val="22"/>
          <w:highlight w:val="none"/>
        </w:rPr>
        <w:fldChar w:fldCharType="begin"/>
      </w:r>
      <w:r>
        <w:rPr>
          <w:sz w:val="24"/>
          <w:szCs w:val="22"/>
          <w:highlight w:val="none"/>
        </w:rPr>
        <w:instrText xml:space="preserve"> PAGEREF _Toc29279 \h </w:instrText>
      </w:r>
      <w:r>
        <w:rPr>
          <w:sz w:val="24"/>
          <w:szCs w:val="22"/>
          <w:highlight w:val="none"/>
        </w:rPr>
        <w:fldChar w:fldCharType="separate"/>
      </w:r>
      <w:r>
        <w:rPr>
          <w:sz w:val="24"/>
          <w:szCs w:val="22"/>
          <w:highlight w:val="none"/>
        </w:rPr>
        <w:t>4</w:t>
      </w:r>
      <w:r>
        <w:rPr>
          <w:sz w:val="24"/>
          <w:szCs w:val="22"/>
          <w:highlight w:val="none"/>
        </w:rPr>
        <w:fldChar w:fldCharType="end"/>
      </w:r>
      <w:r>
        <w:rPr>
          <w:rFonts w:hint="eastAsia" w:ascii="宋体" w:hAnsi="宋体" w:eastAsia="宋体" w:cs="宋体"/>
          <w:sz w:val="24"/>
          <w:szCs w:val="32"/>
          <w:highlight w:val="none"/>
        </w:rPr>
        <w:fldChar w:fldCharType="end"/>
      </w:r>
    </w:p>
    <w:p w14:paraId="7D8A8D11">
      <w:pPr>
        <w:pStyle w:val="22"/>
        <w:tabs>
          <w:tab w:val="right" w:leader="dot" w:pos="8730"/>
        </w:tabs>
        <w:spacing w:line="360" w:lineRule="auto"/>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_Toc17942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第</w:t>
      </w:r>
      <w:r>
        <w:rPr>
          <w:rFonts w:hint="eastAsia" w:ascii="Times New Roman" w:hAnsi="Times New Roman" w:eastAsia="宋体" w:cs="Times New Roman"/>
          <w:sz w:val="24"/>
          <w:szCs w:val="22"/>
          <w:highlight w:val="none"/>
          <w:lang w:val="en-US" w:eastAsia="zh-CN"/>
        </w:rPr>
        <w:t>三</w:t>
      </w:r>
      <w:r>
        <w:rPr>
          <w:rFonts w:hint="eastAsia" w:ascii="Times New Roman" w:hAnsi="Times New Roman" w:eastAsia="宋体" w:cs="Times New Roman"/>
          <w:sz w:val="24"/>
          <w:szCs w:val="22"/>
          <w:highlight w:val="none"/>
        </w:rPr>
        <w:t>章 项目技术要求和有关说明</w:t>
      </w:r>
      <w:r>
        <w:rPr>
          <w:sz w:val="24"/>
          <w:szCs w:val="22"/>
          <w:highlight w:val="none"/>
        </w:rPr>
        <w:tab/>
      </w:r>
      <w:r>
        <w:rPr>
          <w:sz w:val="24"/>
          <w:szCs w:val="22"/>
          <w:highlight w:val="none"/>
        </w:rPr>
        <w:fldChar w:fldCharType="begin"/>
      </w:r>
      <w:r>
        <w:rPr>
          <w:sz w:val="24"/>
          <w:szCs w:val="22"/>
          <w:highlight w:val="none"/>
        </w:rPr>
        <w:instrText xml:space="preserve"> PAGEREF _Toc17942 \h </w:instrText>
      </w:r>
      <w:r>
        <w:rPr>
          <w:sz w:val="24"/>
          <w:szCs w:val="22"/>
          <w:highlight w:val="none"/>
        </w:rPr>
        <w:fldChar w:fldCharType="separate"/>
      </w:r>
      <w:r>
        <w:rPr>
          <w:sz w:val="24"/>
          <w:szCs w:val="22"/>
          <w:highlight w:val="none"/>
        </w:rPr>
        <w:t>20</w:t>
      </w:r>
      <w:r>
        <w:rPr>
          <w:sz w:val="24"/>
          <w:szCs w:val="22"/>
          <w:highlight w:val="none"/>
        </w:rPr>
        <w:fldChar w:fldCharType="end"/>
      </w:r>
      <w:r>
        <w:rPr>
          <w:rFonts w:hint="eastAsia" w:ascii="宋体" w:hAnsi="宋体" w:eastAsia="宋体" w:cs="宋体"/>
          <w:sz w:val="24"/>
          <w:szCs w:val="32"/>
          <w:highlight w:val="none"/>
        </w:rPr>
        <w:fldChar w:fldCharType="end"/>
      </w:r>
    </w:p>
    <w:p w14:paraId="7EDDFA21">
      <w:pPr>
        <w:pStyle w:val="22"/>
        <w:tabs>
          <w:tab w:val="right" w:leader="dot" w:pos="8730"/>
        </w:tabs>
        <w:spacing w:line="360" w:lineRule="auto"/>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_Toc178 </w:instrText>
      </w:r>
      <w:r>
        <w:rPr>
          <w:rFonts w:hint="eastAsia" w:ascii="宋体" w:hAnsi="宋体" w:eastAsia="宋体" w:cs="宋体"/>
          <w:sz w:val="24"/>
          <w:szCs w:val="32"/>
          <w:highlight w:val="none"/>
        </w:rPr>
        <w:fldChar w:fldCharType="separate"/>
      </w:r>
      <w:r>
        <w:rPr>
          <w:rFonts w:hint="eastAsia" w:ascii="Times New Roman" w:hAnsi="Times New Roman" w:eastAsia="宋体" w:cs="Times New Roman"/>
          <w:sz w:val="24"/>
          <w:szCs w:val="22"/>
          <w:highlight w:val="none"/>
        </w:rPr>
        <w:t>第四章 评审方法和标准</w:t>
      </w:r>
      <w:r>
        <w:rPr>
          <w:sz w:val="24"/>
          <w:szCs w:val="22"/>
          <w:highlight w:val="none"/>
        </w:rPr>
        <w:tab/>
      </w:r>
      <w:r>
        <w:rPr>
          <w:sz w:val="24"/>
          <w:szCs w:val="22"/>
          <w:highlight w:val="none"/>
        </w:rPr>
        <w:fldChar w:fldCharType="begin"/>
      </w:r>
      <w:r>
        <w:rPr>
          <w:sz w:val="24"/>
          <w:szCs w:val="22"/>
          <w:highlight w:val="none"/>
        </w:rPr>
        <w:instrText xml:space="preserve"> PAGEREF _Toc178 \h </w:instrText>
      </w:r>
      <w:r>
        <w:rPr>
          <w:sz w:val="24"/>
          <w:szCs w:val="22"/>
          <w:highlight w:val="none"/>
        </w:rPr>
        <w:fldChar w:fldCharType="separate"/>
      </w:r>
      <w:r>
        <w:rPr>
          <w:sz w:val="24"/>
          <w:szCs w:val="22"/>
          <w:highlight w:val="none"/>
        </w:rPr>
        <w:t>52</w:t>
      </w:r>
      <w:r>
        <w:rPr>
          <w:sz w:val="24"/>
          <w:szCs w:val="22"/>
          <w:highlight w:val="none"/>
        </w:rPr>
        <w:fldChar w:fldCharType="end"/>
      </w:r>
      <w:r>
        <w:rPr>
          <w:rFonts w:hint="eastAsia" w:ascii="宋体" w:hAnsi="宋体" w:eastAsia="宋体" w:cs="宋体"/>
          <w:sz w:val="24"/>
          <w:szCs w:val="32"/>
          <w:highlight w:val="none"/>
        </w:rPr>
        <w:fldChar w:fldCharType="end"/>
      </w:r>
    </w:p>
    <w:p w14:paraId="6A94D3EA">
      <w:pPr>
        <w:pStyle w:val="22"/>
        <w:tabs>
          <w:tab w:val="right" w:leader="dot" w:pos="8730"/>
        </w:tabs>
        <w:spacing w:line="360" w:lineRule="auto"/>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_Toc27593 </w:instrText>
      </w:r>
      <w:r>
        <w:rPr>
          <w:rFonts w:hint="eastAsia" w:ascii="宋体" w:hAnsi="宋体" w:eastAsia="宋体" w:cs="宋体"/>
          <w:sz w:val="24"/>
          <w:szCs w:val="32"/>
          <w:highlight w:val="none"/>
        </w:rPr>
        <w:fldChar w:fldCharType="separate"/>
      </w:r>
      <w:r>
        <w:rPr>
          <w:rFonts w:hint="eastAsia"/>
          <w:sz w:val="24"/>
          <w:szCs w:val="22"/>
          <w:highlight w:val="none"/>
        </w:rPr>
        <w:t>第五章 政府采购合同（格式）</w:t>
      </w:r>
      <w:r>
        <w:rPr>
          <w:sz w:val="24"/>
          <w:szCs w:val="22"/>
          <w:highlight w:val="none"/>
        </w:rPr>
        <w:tab/>
      </w:r>
      <w:r>
        <w:rPr>
          <w:sz w:val="24"/>
          <w:szCs w:val="22"/>
          <w:highlight w:val="none"/>
        </w:rPr>
        <w:fldChar w:fldCharType="begin"/>
      </w:r>
      <w:r>
        <w:rPr>
          <w:sz w:val="24"/>
          <w:szCs w:val="22"/>
          <w:highlight w:val="none"/>
        </w:rPr>
        <w:instrText xml:space="preserve"> PAGEREF _Toc27593 \h </w:instrText>
      </w:r>
      <w:r>
        <w:rPr>
          <w:sz w:val="24"/>
          <w:szCs w:val="22"/>
          <w:highlight w:val="none"/>
        </w:rPr>
        <w:fldChar w:fldCharType="separate"/>
      </w:r>
      <w:r>
        <w:rPr>
          <w:sz w:val="24"/>
          <w:szCs w:val="22"/>
          <w:highlight w:val="none"/>
        </w:rPr>
        <w:t>55</w:t>
      </w:r>
      <w:r>
        <w:rPr>
          <w:sz w:val="24"/>
          <w:szCs w:val="22"/>
          <w:highlight w:val="none"/>
        </w:rPr>
        <w:fldChar w:fldCharType="end"/>
      </w:r>
      <w:r>
        <w:rPr>
          <w:rFonts w:hint="eastAsia" w:ascii="宋体" w:hAnsi="宋体" w:eastAsia="宋体" w:cs="宋体"/>
          <w:sz w:val="24"/>
          <w:szCs w:val="32"/>
          <w:highlight w:val="none"/>
        </w:rPr>
        <w:fldChar w:fldCharType="end"/>
      </w:r>
    </w:p>
    <w:p w14:paraId="4CF60065">
      <w:pPr>
        <w:pStyle w:val="22"/>
        <w:tabs>
          <w:tab w:val="right" w:leader="dot" w:pos="8730"/>
        </w:tabs>
        <w:spacing w:line="360" w:lineRule="auto"/>
        <w:rPr>
          <w:sz w:val="24"/>
          <w:szCs w:val="2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_Toc25903 </w:instrText>
      </w:r>
      <w:r>
        <w:rPr>
          <w:rFonts w:hint="eastAsia" w:ascii="宋体" w:hAnsi="宋体" w:eastAsia="宋体" w:cs="宋体"/>
          <w:sz w:val="24"/>
          <w:szCs w:val="32"/>
          <w:highlight w:val="none"/>
        </w:rPr>
        <w:fldChar w:fldCharType="separate"/>
      </w:r>
      <w:r>
        <w:rPr>
          <w:rFonts w:hint="eastAsia"/>
          <w:sz w:val="24"/>
          <w:szCs w:val="22"/>
          <w:highlight w:val="none"/>
        </w:rPr>
        <w:t>第六章 附件（投标文件格式）</w:t>
      </w:r>
      <w:r>
        <w:rPr>
          <w:sz w:val="24"/>
          <w:szCs w:val="22"/>
          <w:highlight w:val="none"/>
        </w:rPr>
        <w:tab/>
      </w:r>
      <w:r>
        <w:rPr>
          <w:sz w:val="24"/>
          <w:szCs w:val="22"/>
          <w:highlight w:val="none"/>
        </w:rPr>
        <w:fldChar w:fldCharType="begin"/>
      </w:r>
      <w:r>
        <w:rPr>
          <w:sz w:val="24"/>
          <w:szCs w:val="22"/>
          <w:highlight w:val="none"/>
        </w:rPr>
        <w:instrText xml:space="preserve"> PAGEREF _Toc25903 \h </w:instrText>
      </w:r>
      <w:r>
        <w:rPr>
          <w:sz w:val="24"/>
          <w:szCs w:val="22"/>
          <w:highlight w:val="none"/>
        </w:rPr>
        <w:fldChar w:fldCharType="separate"/>
      </w:r>
      <w:r>
        <w:rPr>
          <w:sz w:val="24"/>
          <w:szCs w:val="22"/>
          <w:highlight w:val="none"/>
        </w:rPr>
        <w:t>65</w:t>
      </w:r>
      <w:r>
        <w:rPr>
          <w:sz w:val="24"/>
          <w:szCs w:val="22"/>
          <w:highlight w:val="none"/>
        </w:rPr>
        <w:fldChar w:fldCharType="end"/>
      </w:r>
      <w:r>
        <w:rPr>
          <w:rFonts w:hint="eastAsia" w:ascii="宋体" w:hAnsi="宋体" w:eastAsia="宋体" w:cs="宋体"/>
          <w:sz w:val="24"/>
          <w:szCs w:val="32"/>
          <w:highlight w:val="none"/>
        </w:rPr>
        <w:fldChar w:fldCharType="end"/>
      </w:r>
    </w:p>
    <w:p w14:paraId="40A29353">
      <w:pPr>
        <w:pStyle w:val="191"/>
        <w:spacing w:line="360" w:lineRule="auto"/>
        <w:rPr>
          <w:rFonts w:ascii="宋体" w:hAnsi="宋体"/>
          <w:sz w:val="32"/>
          <w:szCs w:val="32"/>
          <w:highlight w:val="none"/>
        </w:rPr>
      </w:pPr>
      <w:r>
        <w:rPr>
          <w:rFonts w:hint="eastAsia" w:ascii="宋体" w:hAnsi="宋体" w:eastAsia="宋体" w:cs="宋体"/>
          <w:sz w:val="22"/>
          <w:szCs w:val="32"/>
          <w:highlight w:val="none"/>
        </w:rPr>
        <w:fldChar w:fldCharType="end"/>
      </w:r>
    </w:p>
    <w:p w14:paraId="0FACA435">
      <w:pPr>
        <w:pStyle w:val="191"/>
        <w:rPr>
          <w:rFonts w:ascii="宋体" w:hAnsi="宋体"/>
          <w:sz w:val="32"/>
          <w:szCs w:val="32"/>
          <w:highlight w:val="none"/>
        </w:rPr>
      </w:pPr>
    </w:p>
    <w:p w14:paraId="38CE0F1A">
      <w:pPr>
        <w:pStyle w:val="191"/>
        <w:rPr>
          <w:highlight w:val="none"/>
        </w:rPr>
      </w:pPr>
    </w:p>
    <w:p w14:paraId="594A76D3">
      <w:pPr>
        <w:pStyle w:val="191"/>
        <w:rPr>
          <w:highlight w:val="none"/>
        </w:rPr>
      </w:pPr>
    </w:p>
    <w:p w14:paraId="45DFE7EB">
      <w:pPr>
        <w:pStyle w:val="191"/>
        <w:rPr>
          <w:highlight w:val="none"/>
        </w:rPr>
      </w:pPr>
    </w:p>
    <w:p w14:paraId="752D9901">
      <w:pPr>
        <w:pStyle w:val="191"/>
        <w:rPr>
          <w:highlight w:val="none"/>
        </w:rPr>
      </w:pPr>
    </w:p>
    <w:p w14:paraId="36F3085C">
      <w:pPr>
        <w:pStyle w:val="191"/>
        <w:rPr>
          <w:highlight w:val="none"/>
        </w:rPr>
      </w:pPr>
    </w:p>
    <w:p w14:paraId="127A495F">
      <w:pPr>
        <w:pStyle w:val="191"/>
        <w:rPr>
          <w:highlight w:val="none"/>
        </w:rPr>
      </w:pPr>
    </w:p>
    <w:p w14:paraId="296F7E73">
      <w:pPr>
        <w:pStyle w:val="191"/>
        <w:rPr>
          <w:highlight w:val="none"/>
        </w:rPr>
      </w:pPr>
    </w:p>
    <w:p w14:paraId="6BC4E406">
      <w:pPr>
        <w:pStyle w:val="191"/>
        <w:rPr>
          <w:highlight w:val="none"/>
        </w:rPr>
      </w:pPr>
    </w:p>
    <w:p w14:paraId="15305A4D">
      <w:pPr>
        <w:pStyle w:val="191"/>
        <w:rPr>
          <w:highlight w:val="none"/>
        </w:rPr>
      </w:pPr>
    </w:p>
    <w:p w14:paraId="40E33630">
      <w:pPr>
        <w:pStyle w:val="191"/>
        <w:rPr>
          <w:highlight w:val="none"/>
        </w:rPr>
      </w:pPr>
    </w:p>
    <w:p w14:paraId="026354F8">
      <w:pPr>
        <w:pStyle w:val="191"/>
        <w:rPr>
          <w:highlight w:val="none"/>
        </w:rPr>
      </w:pPr>
    </w:p>
    <w:p w14:paraId="07DF8C8A">
      <w:pPr>
        <w:pStyle w:val="191"/>
        <w:rPr>
          <w:highlight w:val="none"/>
        </w:rPr>
      </w:pPr>
    </w:p>
    <w:p w14:paraId="4848951A">
      <w:pPr>
        <w:pStyle w:val="191"/>
        <w:rPr>
          <w:highlight w:val="none"/>
        </w:rPr>
      </w:pPr>
    </w:p>
    <w:p w14:paraId="4DD57C22">
      <w:pPr>
        <w:pStyle w:val="191"/>
        <w:rPr>
          <w:highlight w:val="none"/>
        </w:rPr>
      </w:pPr>
    </w:p>
    <w:p w14:paraId="5CF0C235">
      <w:pPr>
        <w:pStyle w:val="191"/>
        <w:rPr>
          <w:highlight w:val="none"/>
        </w:rPr>
      </w:pPr>
    </w:p>
    <w:p w14:paraId="02212D25">
      <w:pPr>
        <w:pStyle w:val="191"/>
        <w:rPr>
          <w:highlight w:val="none"/>
        </w:rPr>
      </w:pPr>
    </w:p>
    <w:p w14:paraId="72F4BA00">
      <w:pPr>
        <w:pStyle w:val="191"/>
        <w:rPr>
          <w:highlight w:val="none"/>
        </w:rPr>
      </w:pPr>
    </w:p>
    <w:p w14:paraId="1FE5D1AC">
      <w:pPr>
        <w:pStyle w:val="191"/>
        <w:rPr>
          <w:highlight w:val="none"/>
        </w:rPr>
      </w:pPr>
    </w:p>
    <w:p w14:paraId="73C8C826">
      <w:pPr>
        <w:pStyle w:val="191"/>
        <w:rPr>
          <w:highlight w:val="none"/>
        </w:rPr>
      </w:pPr>
    </w:p>
    <w:p w14:paraId="022D669A">
      <w:pPr>
        <w:pStyle w:val="191"/>
        <w:rPr>
          <w:highlight w:val="none"/>
        </w:rPr>
      </w:pPr>
    </w:p>
    <w:p w14:paraId="016F3D5A">
      <w:pPr>
        <w:pStyle w:val="187"/>
        <w:rPr>
          <w:rFonts w:hint="eastAsia"/>
          <w:highlight w:val="none"/>
        </w:rPr>
        <w:sectPr>
          <w:footerReference r:id="rId3" w:type="default"/>
          <w:pgSz w:w="11906" w:h="16838"/>
          <w:pgMar w:top="1440" w:right="1588" w:bottom="1440" w:left="1588" w:header="851" w:footer="992" w:gutter="0"/>
          <w:pgNumType w:start="1"/>
          <w:cols w:space="1701" w:num="1"/>
          <w:docGrid w:linePitch="360" w:charSpace="0"/>
        </w:sectPr>
      </w:pPr>
    </w:p>
    <w:p w14:paraId="43B1E6AE">
      <w:pPr>
        <w:pStyle w:val="187"/>
        <w:spacing w:line="360" w:lineRule="auto"/>
        <w:rPr>
          <w:rFonts w:hint="eastAsia" w:ascii="Times New Roman" w:hAnsi="Times New Roman" w:eastAsia="宋体" w:cs="Times New Roman"/>
          <w:highlight w:val="none"/>
        </w:rPr>
      </w:pPr>
      <w:bookmarkStart w:id="0" w:name="_Toc3934"/>
      <w:r>
        <w:rPr>
          <w:rFonts w:hint="eastAsia" w:ascii="Times New Roman" w:hAnsi="Times New Roman" w:eastAsia="宋体" w:cs="Times New Roman"/>
          <w:highlight w:val="none"/>
        </w:rPr>
        <w:t>第一章 投标邀请函</w:t>
      </w:r>
      <w:bookmarkEnd w:id="0"/>
    </w:p>
    <w:p w14:paraId="0570DC26">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江苏省宜兴第一中学周铁分校</w:t>
      </w:r>
      <w:r>
        <w:rPr>
          <w:rFonts w:hint="eastAsia" w:ascii="宋体" w:hAnsi="宋体" w:cs="宋体"/>
          <w:bCs/>
          <w:sz w:val="24"/>
          <w:szCs w:val="24"/>
          <w:highlight w:val="none"/>
        </w:rPr>
        <w:t>对</w:t>
      </w:r>
      <w:r>
        <w:rPr>
          <w:rFonts w:hint="eastAsia" w:ascii="宋体" w:hAnsi="宋体" w:cs="宋体"/>
          <w:bCs/>
          <w:sz w:val="24"/>
          <w:szCs w:val="24"/>
          <w:highlight w:val="none"/>
          <w:lang w:eastAsia="zh-CN"/>
        </w:rPr>
        <w:t>理化生实验室设备采购(第二批)</w:t>
      </w:r>
      <w:r>
        <w:rPr>
          <w:rFonts w:hint="eastAsia" w:ascii="宋体" w:hAnsi="宋体" w:cs="宋体"/>
          <w:sz w:val="24"/>
          <w:szCs w:val="28"/>
          <w:highlight w:val="none"/>
        </w:rPr>
        <w:t>进行公开招标，</w:t>
      </w:r>
      <w:r>
        <w:rPr>
          <w:rFonts w:hint="eastAsia" w:ascii="宋体" w:hAnsi="宋体" w:cs="宋体"/>
          <w:bCs/>
          <w:sz w:val="24"/>
          <w:szCs w:val="24"/>
          <w:highlight w:val="none"/>
        </w:rPr>
        <w:t>欢迎你单位参加投标并提请注意下列附表中的相关事项：</w:t>
      </w:r>
    </w:p>
    <w:tbl>
      <w:tblPr>
        <w:tblStyle w:val="33"/>
        <w:tblW w:w="9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3"/>
        <w:gridCol w:w="966"/>
        <w:gridCol w:w="1464"/>
        <w:gridCol w:w="6677"/>
      </w:tblGrid>
      <w:tr w14:paraId="4187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733" w:type="dxa"/>
            <w:noWrap w:val="0"/>
            <w:vAlign w:val="top"/>
          </w:tcPr>
          <w:p w14:paraId="2131A67C">
            <w:pPr>
              <w:keepNext w:val="0"/>
              <w:keepLines w:val="0"/>
              <w:pageBreakBefore w:val="0"/>
              <w:widowControl w:val="0"/>
              <w:spacing w:line="400" w:lineRule="exact"/>
              <w:jc w:val="center"/>
              <w:rPr>
                <w:rFonts w:hint="eastAsia" w:ascii="宋体" w:hAnsi="宋体" w:cs="宋体"/>
                <w:bCs/>
                <w:sz w:val="24"/>
                <w:szCs w:val="24"/>
                <w:highlight w:val="none"/>
              </w:rPr>
            </w:pPr>
            <w:bookmarkStart w:id="1" w:name="OLE_LINK37"/>
            <w:r>
              <w:rPr>
                <w:rFonts w:hint="eastAsia" w:ascii="宋体" w:hAnsi="宋体" w:cs="宋体"/>
                <w:bCs/>
                <w:sz w:val="24"/>
                <w:szCs w:val="24"/>
                <w:highlight w:val="none"/>
              </w:rPr>
              <w:t>序号</w:t>
            </w:r>
          </w:p>
        </w:tc>
        <w:tc>
          <w:tcPr>
            <w:tcW w:w="9107" w:type="dxa"/>
            <w:gridSpan w:val="3"/>
            <w:noWrap w:val="0"/>
            <w:vAlign w:val="top"/>
          </w:tcPr>
          <w:p w14:paraId="72B568A9">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cs="宋体"/>
                <w:bCs/>
                <w:sz w:val="24"/>
                <w:szCs w:val="24"/>
                <w:highlight w:val="none"/>
              </w:rPr>
              <w:t>内    容</w:t>
            </w:r>
          </w:p>
        </w:tc>
      </w:tr>
      <w:tr w14:paraId="167AB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08F7119C">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cs="宋体"/>
                <w:bCs/>
                <w:sz w:val="24"/>
                <w:szCs w:val="24"/>
                <w:highlight w:val="none"/>
              </w:rPr>
              <w:t>1</w:t>
            </w:r>
          </w:p>
        </w:tc>
        <w:tc>
          <w:tcPr>
            <w:tcW w:w="966" w:type="dxa"/>
            <w:noWrap w:val="0"/>
            <w:vAlign w:val="center"/>
          </w:tcPr>
          <w:p w14:paraId="522DD207">
            <w:pPr>
              <w:keepNext w:val="0"/>
              <w:keepLines w:val="0"/>
              <w:pageBreakBefore w:val="0"/>
              <w:widowControl w:val="0"/>
              <w:spacing w:line="400" w:lineRule="exact"/>
              <w:jc w:val="center"/>
              <w:rPr>
                <w:rFonts w:hint="eastAsia" w:ascii="宋体" w:hAnsi="宋体" w:cs="宋体"/>
                <w:b/>
                <w:bCs/>
                <w:color w:val="auto"/>
                <w:sz w:val="24"/>
                <w:highlight w:val="none"/>
                <w:u w:val="none"/>
                <w:lang w:val="zh-CN"/>
              </w:rPr>
            </w:pPr>
            <w:r>
              <w:rPr>
                <w:rFonts w:hint="eastAsia" w:ascii="宋体" w:hAnsi="宋体" w:cs="宋体"/>
                <w:b/>
                <w:bCs/>
                <w:color w:val="auto"/>
                <w:sz w:val="24"/>
                <w:highlight w:val="none"/>
                <w:u w:val="none"/>
                <w:lang w:val="zh-CN"/>
              </w:rPr>
              <w:t>项目</w:t>
            </w:r>
          </w:p>
          <w:p w14:paraId="4C37D960">
            <w:pPr>
              <w:keepNext w:val="0"/>
              <w:keepLines w:val="0"/>
              <w:pageBreakBefore w:val="0"/>
              <w:widowControl w:val="0"/>
              <w:spacing w:line="400" w:lineRule="exact"/>
              <w:jc w:val="center"/>
              <w:rPr>
                <w:rFonts w:hint="eastAsia" w:ascii="宋体" w:hAnsi="宋体" w:cs="宋体"/>
                <w:bCs/>
                <w:color w:val="auto"/>
                <w:sz w:val="24"/>
                <w:szCs w:val="24"/>
                <w:highlight w:val="none"/>
              </w:rPr>
            </w:pPr>
            <w:r>
              <w:rPr>
                <w:rFonts w:hint="eastAsia" w:ascii="宋体" w:hAnsi="宋体" w:cs="宋体"/>
                <w:b/>
                <w:bCs/>
                <w:color w:val="auto"/>
                <w:sz w:val="24"/>
                <w:highlight w:val="none"/>
                <w:u w:val="none"/>
                <w:lang w:val="zh-CN"/>
              </w:rPr>
              <w:t>信息</w:t>
            </w:r>
            <w:bookmarkStart w:id="2" w:name="OLE_LINK108"/>
            <w:bookmarkEnd w:id="2"/>
          </w:p>
        </w:tc>
        <w:tc>
          <w:tcPr>
            <w:tcW w:w="8141" w:type="dxa"/>
            <w:gridSpan w:val="2"/>
            <w:noWrap w:val="0"/>
            <w:vAlign w:val="top"/>
          </w:tcPr>
          <w:p w14:paraId="3FE66284">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项目名称：</w:t>
            </w:r>
            <w:r>
              <w:rPr>
                <w:rFonts w:hint="eastAsia" w:cs="Times New Roman"/>
                <w:sz w:val="24"/>
                <w:szCs w:val="24"/>
                <w:highlight w:val="none"/>
                <w:lang w:val="en-US" w:eastAsia="zh-CN"/>
              </w:rPr>
              <w:t>理化生实验室设备采购(第二批)</w:t>
            </w:r>
          </w:p>
          <w:p w14:paraId="62B20768">
            <w:pPr>
              <w:pStyle w:val="211"/>
              <w:keepNext w:val="0"/>
              <w:keepLines w:val="0"/>
              <w:pageBreakBefore w:val="0"/>
              <w:widowControl w:val="0"/>
              <w:spacing w:line="400" w:lineRule="exact"/>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项目编号：</w:t>
            </w:r>
            <w:r>
              <w:rPr>
                <w:rFonts w:hint="eastAsia" w:cs="Times New Roman"/>
                <w:sz w:val="24"/>
                <w:szCs w:val="24"/>
                <w:highlight w:val="none"/>
                <w:lang w:val="en-US" w:eastAsia="zh-CN"/>
              </w:rPr>
              <w:t>JSZC-320282-HXZX-G2026-0004</w:t>
            </w:r>
          </w:p>
          <w:p w14:paraId="6134D6F9">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品    目：货物</w:t>
            </w:r>
          </w:p>
          <w:p w14:paraId="64889461">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本项目是否专门面向中小企业：是</w:t>
            </w:r>
          </w:p>
          <w:p w14:paraId="3C5E80F7">
            <w:pPr>
              <w:pStyle w:val="211"/>
              <w:keepNext w:val="0"/>
              <w:keepLines w:val="0"/>
              <w:pageBreakBefore w:val="0"/>
              <w:widowControl w:val="0"/>
              <w:spacing w:line="400" w:lineRule="exact"/>
              <w:rPr>
                <w:rFonts w:hint="eastAsia" w:ascii="宋体" w:hAnsi="宋体"/>
                <w:bCs/>
                <w:color w:val="auto"/>
                <w:sz w:val="24"/>
                <w:szCs w:val="24"/>
                <w:highlight w:val="none"/>
                <w:lang w:val="en-US" w:eastAsia="zh-CN"/>
              </w:rPr>
            </w:pPr>
            <w:r>
              <w:rPr>
                <w:rFonts w:hint="eastAsia" w:ascii="宋体" w:hAnsi="Times New Roman" w:eastAsia="宋体" w:cs="Times New Roman"/>
                <w:sz w:val="24"/>
                <w:szCs w:val="24"/>
                <w:highlight w:val="none"/>
                <w:lang w:val="en-US" w:eastAsia="zh-CN"/>
              </w:rPr>
              <w:t>本项目标的所属行业：</w:t>
            </w:r>
            <w:r>
              <w:rPr>
                <w:rFonts w:hint="eastAsia" w:ascii="宋体" w:hAnsi="宋体"/>
                <w:bCs/>
                <w:color w:val="auto"/>
                <w:sz w:val="24"/>
                <w:szCs w:val="24"/>
                <w:highlight w:val="none"/>
                <w:lang w:val="en-US" w:eastAsia="zh-CN"/>
              </w:rPr>
              <w:t>工业</w:t>
            </w:r>
          </w:p>
          <w:p w14:paraId="67E529BC">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核心产品：</w:t>
            </w:r>
            <w:r>
              <w:rPr>
                <w:rFonts w:hint="eastAsia" w:cs="Times New Roman"/>
                <w:sz w:val="24"/>
                <w:szCs w:val="24"/>
                <w:highlight w:val="none"/>
                <w:lang w:val="en-US" w:eastAsia="zh-CN"/>
              </w:rPr>
              <w:t>实验桌</w:t>
            </w:r>
          </w:p>
          <w:p w14:paraId="7309BEEB">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采购方式：公开招标</w:t>
            </w:r>
          </w:p>
          <w:p w14:paraId="320C24B7">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评审方法：综合评分法</w:t>
            </w:r>
          </w:p>
          <w:p w14:paraId="35018F42">
            <w:pPr>
              <w:pStyle w:val="211"/>
              <w:keepNext w:val="0"/>
              <w:keepLines w:val="0"/>
              <w:pageBreakBefore w:val="0"/>
              <w:widowControl w:val="0"/>
              <w:spacing w:line="400" w:lineRule="exact"/>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预算金额：</w:t>
            </w:r>
            <w:r>
              <w:rPr>
                <w:rFonts w:hint="eastAsia" w:cs="Times New Roman"/>
                <w:sz w:val="24"/>
                <w:szCs w:val="24"/>
                <w:highlight w:val="none"/>
                <w:lang w:val="en-US" w:eastAsia="zh-CN"/>
              </w:rPr>
              <w:t>117.77万</w:t>
            </w:r>
            <w:r>
              <w:rPr>
                <w:rFonts w:hint="eastAsia" w:ascii="宋体" w:hAnsi="Times New Roman" w:eastAsia="宋体" w:cs="Times New Roman"/>
                <w:sz w:val="24"/>
                <w:szCs w:val="24"/>
                <w:highlight w:val="none"/>
                <w:lang w:val="en-US" w:eastAsia="zh-CN"/>
              </w:rPr>
              <w:t>元</w:t>
            </w:r>
          </w:p>
          <w:p w14:paraId="4B27F6C9">
            <w:pPr>
              <w:keepNext w:val="0"/>
              <w:keepLines w:val="0"/>
              <w:widowControl/>
              <w:suppressLineNumbers w:val="0"/>
              <w:jc w:val="left"/>
              <w:rPr>
                <w:rFonts w:hint="eastAsia" w:ascii="宋体" w:hAnsi="宋体" w:eastAsia="宋体" w:cs="宋体"/>
                <w:color w:val="000000"/>
                <w:sz w:val="24"/>
                <w:szCs w:val="24"/>
                <w:lang w:val="en-US" w:eastAsia="zh-CN" w:bidi="ar"/>
              </w:rPr>
            </w:pPr>
            <w:r>
              <w:rPr>
                <w:rFonts w:hint="eastAsia" w:ascii="宋体" w:hAnsi="Times New Roman" w:eastAsia="宋体" w:cs="Times New Roman"/>
                <w:sz w:val="24"/>
                <w:szCs w:val="24"/>
                <w:highlight w:val="none"/>
                <w:lang w:val="en-US" w:eastAsia="zh-CN"/>
              </w:rPr>
              <w:t>最高限价：</w:t>
            </w:r>
            <w:r>
              <w:rPr>
                <w:rFonts w:hint="eastAsia" w:cs="Times New Roman"/>
                <w:sz w:val="24"/>
                <w:szCs w:val="24"/>
                <w:highlight w:val="none"/>
                <w:lang w:val="en-US" w:eastAsia="zh-CN"/>
              </w:rPr>
              <w:t>117.766480万</w:t>
            </w:r>
            <w:r>
              <w:rPr>
                <w:rFonts w:hint="eastAsia" w:ascii="宋体" w:hAnsi="Times New Roman" w:eastAsia="宋体" w:cs="Times New Roman"/>
                <w:sz w:val="24"/>
                <w:szCs w:val="24"/>
                <w:highlight w:val="none"/>
                <w:lang w:val="en-US" w:eastAsia="zh-CN"/>
              </w:rPr>
              <w:t>元</w:t>
            </w:r>
            <w:r>
              <w:rPr>
                <w:rFonts w:hint="eastAsia" w:cs="Times New Roman"/>
                <w:sz w:val="24"/>
                <w:szCs w:val="24"/>
                <w:highlight w:val="none"/>
                <w:lang w:val="en-US" w:eastAsia="zh-CN"/>
              </w:rPr>
              <w:t>，</w:t>
            </w:r>
            <w:r>
              <w:rPr>
                <w:rFonts w:hint="eastAsia" w:ascii="宋体" w:hAnsi="宋体" w:eastAsia="宋体" w:cs="宋体"/>
                <w:color w:val="000000"/>
                <w:sz w:val="24"/>
                <w:szCs w:val="24"/>
                <w:lang w:val="en-US" w:eastAsia="zh-CN" w:bidi="ar"/>
              </w:rPr>
              <w:t>具体详见“第三章 项目技术要求和有关说明”</w:t>
            </w:r>
          </w:p>
          <w:p w14:paraId="5B65849E">
            <w:pPr>
              <w:keepNext w:val="0"/>
              <w:keepLines w:val="0"/>
              <w:widowControl/>
              <w:suppressLineNumbers w:val="0"/>
              <w:jc w:val="lef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rPr>
              <w:t>供应商报价不能超过本项目最高限价，且清单中的每个采购标的均不得超过单项限价，具体单项报价须在“明细报价表”中明确体现</w:t>
            </w:r>
          </w:p>
          <w:p w14:paraId="350CB318">
            <w:pPr>
              <w:pStyle w:val="211"/>
              <w:keepNext w:val="0"/>
              <w:keepLines w:val="0"/>
              <w:pageBreakBefore w:val="0"/>
              <w:widowControl w:val="0"/>
              <w:spacing w:line="400" w:lineRule="exact"/>
              <w:rPr>
                <w:rFonts w:hint="eastAsia"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是否接受进口产品：不接受</w:t>
            </w:r>
          </w:p>
          <w:p w14:paraId="7805FED3">
            <w:pPr>
              <w:pStyle w:val="211"/>
              <w:keepNext w:val="0"/>
              <w:keepLines w:val="0"/>
              <w:pageBreakBefore w:val="0"/>
              <w:widowControl w:val="0"/>
              <w:spacing w:line="400" w:lineRule="exact"/>
              <w:rPr>
                <w:rFonts w:hint="eastAsia" w:ascii="宋体" w:hAnsi="宋体" w:cs="宋体"/>
                <w:bCs/>
                <w:color w:val="auto"/>
                <w:sz w:val="24"/>
                <w:szCs w:val="24"/>
                <w:highlight w:val="none"/>
              </w:rPr>
            </w:pPr>
            <w:r>
              <w:rPr>
                <w:rFonts w:hint="eastAsia" w:ascii="宋体" w:hAnsi="Times New Roman" w:eastAsia="宋体" w:cs="Times New Roman"/>
                <w:sz w:val="24"/>
                <w:szCs w:val="24"/>
                <w:highlight w:val="none"/>
                <w:lang w:val="zh-CN" w:eastAsia="zh-CN"/>
              </w:rPr>
              <w:t>集中考察或答疑：无</w:t>
            </w:r>
            <w:r>
              <w:rPr>
                <w:rFonts w:hint="eastAsia" w:ascii="宋体" w:hAnsi="Times New Roman" w:eastAsia="宋体" w:cs="Times New Roman"/>
                <w:sz w:val="24"/>
                <w:szCs w:val="24"/>
                <w:highlight w:val="none"/>
                <w:lang w:val="en-US" w:eastAsia="zh-CN"/>
              </w:rPr>
              <w:t xml:space="preserve"> </w:t>
            </w:r>
          </w:p>
        </w:tc>
      </w:tr>
      <w:tr w14:paraId="194F9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4A953C6E">
            <w:pPr>
              <w:keepNext w:val="0"/>
              <w:keepLines w:val="0"/>
              <w:pageBreakBefore w:val="0"/>
              <w:widowControl w:val="0"/>
              <w:spacing w:line="400" w:lineRule="exact"/>
              <w:jc w:val="center"/>
              <w:rPr>
                <w:rFonts w:hint="eastAsia" w:ascii="宋体" w:hAnsi="宋体" w:cs="宋体"/>
                <w:bCs/>
                <w:sz w:val="24"/>
                <w:szCs w:val="24"/>
                <w:highlight w:val="none"/>
              </w:rPr>
            </w:pPr>
            <w:bookmarkStart w:id="3" w:name="OLE_LINK61"/>
            <w:r>
              <w:rPr>
                <w:rFonts w:hint="eastAsia" w:ascii="宋体" w:hAnsi="宋体" w:cs="宋体"/>
                <w:bCs/>
                <w:sz w:val="24"/>
                <w:szCs w:val="24"/>
                <w:highlight w:val="none"/>
              </w:rPr>
              <w:t>2</w:t>
            </w:r>
          </w:p>
        </w:tc>
        <w:tc>
          <w:tcPr>
            <w:tcW w:w="966" w:type="dxa"/>
            <w:noWrap w:val="0"/>
            <w:vAlign w:val="center"/>
          </w:tcPr>
          <w:p w14:paraId="6E8CFE27">
            <w:pPr>
              <w:pStyle w:val="211"/>
              <w:keepNext w:val="0"/>
              <w:keepLines w:val="0"/>
              <w:pageBreakBefore w:val="0"/>
              <w:widowControl w:val="0"/>
              <w:spacing w:line="400" w:lineRule="exact"/>
              <w:jc w:val="center"/>
              <w:rPr>
                <w:rFonts w:hint="eastAsia" w:hAnsi="宋体" w:cs="宋体"/>
                <w:b/>
                <w:bCs/>
                <w:highlight w:val="none"/>
                <w:lang w:val="zh-CN"/>
              </w:rPr>
            </w:pPr>
            <w:bookmarkStart w:id="4" w:name="OLE_LINK208"/>
            <w:r>
              <w:rPr>
                <w:rFonts w:hint="eastAsia" w:hAnsi="宋体" w:cs="宋体"/>
                <w:b/>
                <w:bCs/>
                <w:highlight w:val="none"/>
                <w:lang w:val="zh-CN"/>
              </w:rPr>
              <w:t>资格</w:t>
            </w:r>
          </w:p>
          <w:p w14:paraId="6BE329B9">
            <w:pPr>
              <w:pStyle w:val="211"/>
              <w:keepNext w:val="0"/>
              <w:keepLines w:val="0"/>
              <w:pageBreakBefore w:val="0"/>
              <w:widowControl w:val="0"/>
              <w:spacing w:line="400" w:lineRule="exact"/>
              <w:jc w:val="center"/>
              <w:rPr>
                <w:rFonts w:hint="eastAsia" w:hAnsi="宋体" w:cs="宋体"/>
                <w:highlight w:val="none"/>
              </w:rPr>
            </w:pPr>
            <w:r>
              <w:rPr>
                <w:rFonts w:hint="eastAsia" w:hAnsi="宋体" w:cs="宋体"/>
                <w:b/>
                <w:bCs/>
                <w:highlight w:val="none"/>
                <w:lang w:val="zh-CN"/>
              </w:rPr>
              <w:t>审查</w:t>
            </w:r>
            <w:bookmarkEnd w:id="4"/>
          </w:p>
        </w:tc>
        <w:tc>
          <w:tcPr>
            <w:tcW w:w="8141" w:type="dxa"/>
            <w:gridSpan w:val="2"/>
            <w:noWrap w:val="0"/>
            <w:vAlign w:val="top"/>
          </w:tcPr>
          <w:p w14:paraId="1CB15252">
            <w:pPr>
              <w:pStyle w:val="211"/>
              <w:keepNext w:val="0"/>
              <w:keepLines w:val="0"/>
              <w:pageBreakBefore w:val="0"/>
              <w:widowControl w:val="0"/>
              <w:spacing w:line="400" w:lineRule="exact"/>
              <w:rPr>
                <w:rFonts w:hint="eastAsia"/>
                <w:sz w:val="24"/>
                <w:szCs w:val="24"/>
                <w:highlight w:val="none"/>
              </w:rPr>
            </w:pPr>
            <w:r>
              <w:rPr>
                <w:rFonts w:hint="eastAsia"/>
                <w:sz w:val="24"/>
                <w:szCs w:val="24"/>
                <w:highlight w:val="none"/>
              </w:rPr>
              <w:t>2.1供应商参加本次政府采购活动</w:t>
            </w:r>
            <w:r>
              <w:rPr>
                <w:rFonts w:hint="eastAsia"/>
                <w:sz w:val="24"/>
                <w:szCs w:val="24"/>
                <w:highlight w:val="none"/>
                <w:lang w:val="zh-CN"/>
              </w:rPr>
              <w:t>应具备下列资格条件</w:t>
            </w:r>
            <w:r>
              <w:rPr>
                <w:rFonts w:hint="eastAsia"/>
                <w:sz w:val="24"/>
                <w:szCs w:val="24"/>
                <w:highlight w:val="none"/>
              </w:rPr>
              <w:t>：</w:t>
            </w:r>
          </w:p>
          <w:p w14:paraId="49A549AF">
            <w:pPr>
              <w:keepNext w:val="0"/>
              <w:keepLines w:val="0"/>
              <w:pageBreakBefore w:val="0"/>
              <w:widowControl w:val="0"/>
              <w:spacing w:line="400" w:lineRule="exact"/>
              <w:rPr>
                <w:rFonts w:hint="eastAsia"/>
                <w:sz w:val="24"/>
                <w:szCs w:val="24"/>
                <w:highlight w:val="none"/>
                <w:lang w:val="zh-CN"/>
              </w:rPr>
            </w:pPr>
            <w:r>
              <w:rPr>
                <w:rFonts w:hint="eastAsia"/>
                <w:sz w:val="24"/>
                <w:szCs w:val="24"/>
                <w:highlight w:val="none"/>
                <w:lang w:val="zh-CN"/>
              </w:rPr>
              <w:t>①</w:t>
            </w:r>
            <w:r>
              <w:rPr>
                <w:rFonts w:hint="eastAsia"/>
                <w:sz w:val="24"/>
                <w:szCs w:val="24"/>
                <w:highlight w:val="none"/>
              </w:rPr>
              <w:t>满足《中华人民共和国政府采购法》第二十二条规定</w:t>
            </w:r>
            <w:r>
              <w:rPr>
                <w:rFonts w:hint="eastAsia"/>
                <w:sz w:val="24"/>
                <w:szCs w:val="24"/>
                <w:highlight w:val="none"/>
                <w:lang w:val="zh-CN"/>
              </w:rPr>
              <w:t>；</w:t>
            </w:r>
          </w:p>
          <w:p w14:paraId="2F3BA6D8">
            <w:pPr>
              <w:keepNext w:val="0"/>
              <w:keepLines w:val="0"/>
              <w:pageBreakBefore w:val="0"/>
              <w:widowControl w:val="0"/>
              <w:spacing w:line="400" w:lineRule="exact"/>
              <w:rPr>
                <w:rFonts w:hint="eastAsia"/>
                <w:sz w:val="24"/>
                <w:szCs w:val="24"/>
                <w:highlight w:val="none"/>
                <w:lang w:val="zh-CN"/>
              </w:rPr>
            </w:pPr>
            <w:r>
              <w:rPr>
                <w:rFonts w:hint="eastAsia"/>
                <w:sz w:val="24"/>
                <w:szCs w:val="24"/>
                <w:highlight w:val="none"/>
                <w:lang w:val="zh-CN"/>
              </w:rPr>
              <w:t>②</w:t>
            </w:r>
            <w:r>
              <w:rPr>
                <w:rFonts w:hint="eastAsia"/>
                <w:sz w:val="24"/>
                <w:szCs w:val="24"/>
                <w:highlight w:val="none"/>
              </w:rPr>
              <w:t>落实政府采购政策需满足的资格要求：</w:t>
            </w:r>
            <w:r>
              <w:rPr>
                <w:rFonts w:hint="eastAsia"/>
                <w:sz w:val="24"/>
                <w:szCs w:val="24"/>
                <w:highlight w:val="none"/>
                <w:lang w:val="en-US" w:eastAsia="zh-CN"/>
              </w:rPr>
              <w:t>本项目专门面向中小企业</w:t>
            </w:r>
            <w:r>
              <w:rPr>
                <w:rFonts w:hint="eastAsia"/>
                <w:sz w:val="24"/>
                <w:szCs w:val="24"/>
                <w:highlight w:val="none"/>
                <w:lang w:val="zh-CN"/>
              </w:rPr>
              <w:t>；</w:t>
            </w:r>
          </w:p>
          <w:p w14:paraId="53E815D3">
            <w:pPr>
              <w:keepNext w:val="0"/>
              <w:keepLines w:val="0"/>
              <w:pageBreakBefore w:val="0"/>
              <w:widowControl w:val="0"/>
              <w:spacing w:line="400" w:lineRule="exact"/>
              <w:rPr>
                <w:rFonts w:hint="eastAsia"/>
                <w:sz w:val="24"/>
                <w:szCs w:val="24"/>
                <w:highlight w:val="none"/>
                <w:lang w:val="zh-CN"/>
              </w:rPr>
            </w:pPr>
            <w:r>
              <w:rPr>
                <w:rFonts w:hint="eastAsia"/>
                <w:sz w:val="24"/>
                <w:szCs w:val="24"/>
                <w:highlight w:val="none"/>
              </w:rPr>
              <w:t>③其他要求：</w:t>
            </w:r>
          </w:p>
          <w:p w14:paraId="6955CAAC">
            <w:pPr>
              <w:keepNext w:val="0"/>
              <w:keepLines w:val="0"/>
              <w:pageBreakBefore w:val="0"/>
              <w:widowControl w:val="0"/>
              <w:numPr>
                <w:ilvl w:val="0"/>
                <w:numId w:val="0"/>
              </w:numPr>
              <w:spacing w:line="400" w:lineRule="exact"/>
              <w:ind w:left="220"/>
              <w:jc w:val="left"/>
              <w:rPr>
                <w:rFonts w:hint="eastAsia"/>
                <w:sz w:val="24"/>
                <w:szCs w:val="24"/>
                <w:highlight w:val="none"/>
              </w:rPr>
            </w:pPr>
            <w:r>
              <w:rPr>
                <w:rFonts w:hint="eastAsia"/>
                <w:sz w:val="24"/>
                <w:szCs w:val="24"/>
                <w:highlight w:val="none"/>
              </w:rPr>
              <w:t>无不良</w:t>
            </w:r>
            <w:r>
              <w:rPr>
                <w:rFonts w:hint="eastAsia"/>
                <w:sz w:val="24"/>
                <w:szCs w:val="24"/>
                <w:highlight w:val="none"/>
                <w:lang w:val="zh-CN"/>
              </w:rPr>
              <w:t>信用记录；</w:t>
            </w:r>
          </w:p>
          <w:p w14:paraId="051A74F6">
            <w:pPr>
              <w:keepNext w:val="0"/>
              <w:keepLines w:val="0"/>
              <w:pageBreakBefore w:val="0"/>
              <w:widowControl w:val="0"/>
              <w:numPr>
                <w:ilvl w:val="0"/>
                <w:numId w:val="0"/>
              </w:numPr>
              <w:spacing w:line="400" w:lineRule="exact"/>
              <w:ind w:left="220"/>
              <w:jc w:val="left"/>
              <w:rPr>
                <w:rFonts w:hint="eastAsia"/>
                <w:sz w:val="24"/>
                <w:szCs w:val="24"/>
                <w:highlight w:val="none"/>
              </w:rPr>
            </w:pPr>
            <w:r>
              <w:rPr>
                <w:rFonts w:hint="eastAsia"/>
                <w:sz w:val="24"/>
                <w:szCs w:val="24"/>
                <w:highlight w:val="none"/>
                <w:lang w:val="zh-CN" w:eastAsia="zh-CN"/>
              </w:rPr>
              <w:t>不接受联合体</w:t>
            </w:r>
            <w:r>
              <w:rPr>
                <w:rFonts w:hint="eastAsia"/>
                <w:sz w:val="24"/>
                <w:szCs w:val="24"/>
                <w:highlight w:val="none"/>
                <w:lang w:val="zh-CN"/>
              </w:rPr>
              <w:t>；</w:t>
            </w:r>
            <w:r>
              <w:rPr>
                <w:rFonts w:hint="eastAsia"/>
                <w:sz w:val="24"/>
                <w:szCs w:val="24"/>
                <w:highlight w:val="none"/>
                <w:lang w:val="en-US" w:eastAsia="zh-CN"/>
              </w:rPr>
              <w:t>不接受分包</w:t>
            </w:r>
          </w:p>
          <w:p w14:paraId="7D77449B">
            <w:pPr>
              <w:keepNext w:val="0"/>
              <w:keepLines w:val="0"/>
              <w:pageBreakBefore w:val="0"/>
              <w:widowControl w:val="0"/>
              <w:numPr>
                <w:ilvl w:val="0"/>
                <w:numId w:val="0"/>
              </w:numPr>
              <w:spacing w:line="400" w:lineRule="exact"/>
              <w:ind w:left="220"/>
              <w:jc w:val="left"/>
              <w:rPr>
                <w:rFonts w:hint="eastAsia"/>
                <w:highlight w:val="none"/>
              </w:rPr>
            </w:pPr>
            <w:r>
              <w:rPr>
                <w:rFonts w:hint="eastAsia" w:ascii="宋体" w:hAnsi="宋体" w:cs="宋体"/>
                <w:bCs/>
                <w:color w:val="auto"/>
                <w:sz w:val="24"/>
                <w:szCs w:val="24"/>
                <w:highlight w:val="none"/>
              </w:rPr>
              <w:t>特定资格要求</w:t>
            </w:r>
            <w:r>
              <w:rPr>
                <w:rFonts w:hint="eastAsia"/>
                <w:sz w:val="24"/>
                <w:szCs w:val="24"/>
                <w:highlight w:val="none"/>
              </w:rPr>
              <w:t>：</w:t>
            </w:r>
            <w:r>
              <w:rPr>
                <w:rFonts w:hint="eastAsia"/>
                <w:sz w:val="24"/>
                <w:szCs w:val="24"/>
                <w:highlight w:val="none"/>
                <w:lang w:val="en-US" w:eastAsia="zh-CN"/>
              </w:rPr>
              <w:t>无。</w:t>
            </w:r>
            <w:bookmarkEnd w:id="3"/>
          </w:p>
        </w:tc>
      </w:tr>
      <w:tr w14:paraId="17D97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733" w:type="dxa"/>
            <w:noWrap w:val="0"/>
            <w:vAlign w:val="center"/>
          </w:tcPr>
          <w:p w14:paraId="79411483">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cs="宋体"/>
                <w:bCs/>
                <w:sz w:val="24"/>
                <w:szCs w:val="24"/>
                <w:highlight w:val="none"/>
              </w:rPr>
              <w:t>3</w:t>
            </w:r>
          </w:p>
        </w:tc>
        <w:tc>
          <w:tcPr>
            <w:tcW w:w="966" w:type="dxa"/>
            <w:noWrap w:val="0"/>
            <w:vAlign w:val="center"/>
          </w:tcPr>
          <w:p w14:paraId="3481DED4">
            <w:pPr>
              <w:pStyle w:val="211"/>
              <w:keepNext w:val="0"/>
              <w:keepLines w:val="0"/>
              <w:pageBreakBefore w:val="0"/>
              <w:widowControl w:val="0"/>
              <w:spacing w:line="400" w:lineRule="exact"/>
              <w:jc w:val="center"/>
              <w:rPr>
                <w:rFonts w:hint="eastAsia" w:ascii="宋体" w:hAnsi="Times New Roman" w:eastAsia="宋体" w:cs="Times New Roman"/>
                <w:b/>
                <w:bCs/>
                <w:szCs w:val="22"/>
                <w:highlight w:val="none"/>
                <w:lang w:val="en-US" w:eastAsia="zh-CN"/>
              </w:rPr>
            </w:pPr>
            <w:r>
              <w:rPr>
                <w:rFonts w:hint="eastAsia" w:ascii="宋体" w:hAnsi="Times New Roman" w:eastAsia="宋体" w:cs="Times New Roman"/>
                <w:b/>
                <w:bCs/>
                <w:szCs w:val="22"/>
                <w:highlight w:val="none"/>
                <w:lang w:val="en-US" w:eastAsia="zh-CN"/>
              </w:rPr>
              <w:t>招标</w:t>
            </w:r>
          </w:p>
          <w:p w14:paraId="64B14F3A">
            <w:pPr>
              <w:pStyle w:val="211"/>
              <w:keepNext w:val="0"/>
              <w:keepLines w:val="0"/>
              <w:pageBreakBefore w:val="0"/>
              <w:widowControl w:val="0"/>
              <w:spacing w:line="400" w:lineRule="exact"/>
              <w:jc w:val="center"/>
              <w:rPr>
                <w:rFonts w:hint="eastAsia" w:hAnsi="宋体" w:cs="宋体"/>
                <w:bCs/>
                <w:szCs w:val="24"/>
                <w:highlight w:val="none"/>
              </w:rPr>
            </w:pPr>
            <w:r>
              <w:rPr>
                <w:rFonts w:hint="eastAsia" w:ascii="宋体" w:hAnsi="Times New Roman" w:eastAsia="宋体" w:cs="Times New Roman"/>
                <w:b/>
                <w:bCs/>
                <w:szCs w:val="22"/>
                <w:highlight w:val="none"/>
                <w:lang w:val="zh-CN"/>
              </w:rPr>
              <w:t>文件</w:t>
            </w:r>
          </w:p>
        </w:tc>
        <w:tc>
          <w:tcPr>
            <w:tcW w:w="8141" w:type="dxa"/>
            <w:gridSpan w:val="2"/>
            <w:noWrap w:val="0"/>
            <w:vAlign w:val="top"/>
          </w:tcPr>
          <w:p w14:paraId="48BC9E5D">
            <w:pPr>
              <w:keepNext w:val="0"/>
              <w:keepLines w:val="0"/>
              <w:pageBreakBefore w:val="0"/>
              <w:widowControl w:val="0"/>
              <w:numPr>
                <w:ilvl w:val="0"/>
                <w:numId w:val="0"/>
              </w:numPr>
              <w:spacing w:line="400" w:lineRule="exact"/>
              <w:jc w:val="left"/>
              <w:rPr>
                <w:rFonts w:hint="eastAsia" w:ascii="宋体" w:hAnsi="宋体" w:cs="宋体"/>
                <w:bCs/>
                <w:color w:val="auto"/>
                <w:sz w:val="24"/>
                <w:szCs w:val="21"/>
                <w:highlight w:val="none"/>
              </w:rPr>
            </w:pPr>
            <w:r>
              <w:rPr>
                <w:rFonts w:hint="eastAsia"/>
                <w:highlight w:val="none"/>
                <w:lang w:val="en-US" w:eastAsia="zh-CN"/>
              </w:rPr>
              <w:t>1、</w:t>
            </w:r>
            <w:r>
              <w:rPr>
                <w:rFonts w:hint="eastAsia" w:ascii="宋体" w:hAnsi="宋体" w:cs="宋体"/>
                <w:bCs/>
                <w:color w:val="auto"/>
                <w:sz w:val="24"/>
                <w:szCs w:val="21"/>
                <w:highlight w:val="none"/>
                <w:lang w:eastAsia="zh-CN"/>
              </w:rPr>
              <w:t>招标文件</w:t>
            </w:r>
            <w:r>
              <w:rPr>
                <w:rFonts w:hint="eastAsia" w:ascii="宋体" w:hAnsi="宋体" w:cs="宋体"/>
                <w:bCs/>
                <w:color w:val="auto"/>
                <w:sz w:val="24"/>
                <w:szCs w:val="21"/>
                <w:highlight w:val="none"/>
              </w:rPr>
              <w:t>的获取：首次</w:t>
            </w:r>
            <w:r>
              <w:rPr>
                <w:rFonts w:hint="eastAsia" w:ascii="宋体" w:hAnsi="宋体" w:cs="宋体"/>
                <w:bCs/>
                <w:color w:val="auto"/>
                <w:sz w:val="24"/>
                <w:szCs w:val="21"/>
                <w:highlight w:val="none"/>
                <w:lang w:eastAsia="zh-CN"/>
              </w:rPr>
              <w:t>投标文件</w:t>
            </w:r>
            <w:r>
              <w:rPr>
                <w:rFonts w:hint="eastAsia" w:ascii="宋体" w:hAnsi="宋体" w:cs="宋体"/>
                <w:bCs/>
                <w:color w:val="auto"/>
                <w:sz w:val="24"/>
                <w:szCs w:val="21"/>
                <w:highlight w:val="none"/>
              </w:rPr>
              <w:t>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，应在“项目参与”中下载电子</w:t>
            </w:r>
            <w:r>
              <w:rPr>
                <w:rFonts w:hint="eastAsia" w:ascii="宋体" w:hAnsi="宋体" w:cs="宋体"/>
                <w:bCs/>
                <w:color w:val="auto"/>
                <w:sz w:val="24"/>
                <w:szCs w:val="21"/>
                <w:highlight w:val="none"/>
                <w:lang w:eastAsia="zh-CN"/>
              </w:rPr>
              <w:t>招标文件</w:t>
            </w:r>
            <w:r>
              <w:rPr>
                <w:rFonts w:hint="eastAsia" w:ascii="宋体" w:hAnsi="宋体" w:cs="宋体"/>
                <w:bCs/>
                <w:color w:val="auto"/>
                <w:sz w:val="24"/>
                <w:szCs w:val="21"/>
                <w:highlight w:val="none"/>
              </w:rPr>
              <w:t>(后缀名为“.kedt”)；可在“江苏政府采购网”采购公告附件中下载w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w:t>
            </w:r>
            <w:r>
              <w:rPr>
                <w:rFonts w:hint="eastAsia" w:ascii="宋体" w:hAnsi="宋体" w:cs="宋体"/>
                <w:bCs/>
                <w:color w:val="auto"/>
                <w:sz w:val="24"/>
                <w:szCs w:val="21"/>
                <w:highlight w:val="none"/>
                <w:lang w:eastAsia="zh-CN"/>
              </w:rPr>
              <w:t>招标文件</w:t>
            </w:r>
            <w:r>
              <w:rPr>
                <w:rFonts w:hint="eastAsia" w:ascii="宋体" w:hAnsi="宋体" w:cs="宋体"/>
                <w:bCs/>
                <w:color w:val="auto"/>
                <w:sz w:val="24"/>
                <w:szCs w:val="21"/>
                <w:highlight w:val="none"/>
              </w:rPr>
              <w:t>。</w:t>
            </w:r>
          </w:p>
          <w:p w14:paraId="21116FBB">
            <w:pPr>
              <w:keepNext w:val="0"/>
              <w:keepLines w:val="0"/>
              <w:pageBreakBefore w:val="0"/>
              <w:widowControl w:val="0"/>
              <w:numPr>
                <w:ilvl w:val="0"/>
                <w:numId w:val="0"/>
              </w:numPr>
              <w:spacing w:line="400" w:lineRule="exact"/>
              <w:jc w:val="left"/>
              <w:rPr>
                <w:rFonts w:ascii="宋体" w:hAnsi="宋体"/>
                <w:bCs/>
                <w:color w:val="auto"/>
                <w:sz w:val="24"/>
                <w:szCs w:val="24"/>
                <w:highlight w:val="none"/>
              </w:rPr>
            </w:pPr>
            <w:r>
              <w:rPr>
                <w:rFonts w:hint="eastAsia" w:ascii="宋体" w:hAnsi="宋体" w:cs="宋体"/>
                <w:bCs/>
                <w:color w:val="auto"/>
                <w:sz w:val="24"/>
                <w:szCs w:val="21"/>
                <w:highlight w:val="none"/>
                <w:lang w:val="en-US" w:eastAsia="zh-CN"/>
              </w:rPr>
              <w:t>2、</w:t>
            </w:r>
            <w:r>
              <w:rPr>
                <w:rFonts w:hint="eastAsia" w:ascii="宋体" w:hAnsi="宋体" w:cs="宋体"/>
                <w:bCs/>
                <w:color w:val="auto"/>
                <w:sz w:val="24"/>
                <w:szCs w:val="21"/>
                <w:highlight w:val="none"/>
              </w:rPr>
              <w:t>“CA锁”的使用：供应商须办理有效的CA锁（即有效的CA数字证书及电子签章）才可参与全流程电子政府采购活动，省内各地区办理的“苏采云”系统下的CA锁全省通用。</w:t>
            </w:r>
          </w:p>
          <w:p w14:paraId="1A037894">
            <w:pPr>
              <w:keepNext w:val="0"/>
              <w:keepLines w:val="0"/>
              <w:pageBreakBefore w:val="0"/>
              <w:widowControl w:val="0"/>
              <w:numPr>
                <w:ilvl w:val="0"/>
                <w:numId w:val="0"/>
              </w:numPr>
              <w:spacing w:line="400" w:lineRule="exact"/>
              <w:jc w:val="left"/>
              <w:rPr>
                <w:rFonts w:hint="eastAsia" w:eastAsia="宋体"/>
                <w:highlight w:val="none"/>
                <w:lang w:val="en-US" w:eastAsia="zh-CN"/>
              </w:rPr>
            </w:pPr>
            <w:r>
              <w:rPr>
                <w:rFonts w:hint="eastAsia" w:ascii="宋体" w:hAnsi="宋体" w:cs="宋体"/>
                <w:bCs/>
                <w:color w:val="auto"/>
                <w:sz w:val="24"/>
                <w:szCs w:val="21"/>
                <w:highlight w:val="none"/>
                <w:lang w:val="en-US" w:eastAsia="zh-CN"/>
              </w:rPr>
              <w:t>3、</w:t>
            </w:r>
            <w:r>
              <w:rPr>
                <w:rFonts w:hint="eastAsia" w:ascii="宋体" w:hAnsi="宋体" w:cs="宋体"/>
                <w:bCs/>
                <w:color w:val="auto"/>
                <w:sz w:val="24"/>
                <w:szCs w:val="21"/>
                <w:highlight w:val="none"/>
              </w:rPr>
              <w:t>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p>
        </w:tc>
      </w:tr>
      <w:tr w14:paraId="78D7E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733" w:type="dxa"/>
            <w:noWrap w:val="0"/>
            <w:vAlign w:val="center"/>
          </w:tcPr>
          <w:p w14:paraId="1B01E181">
            <w:pPr>
              <w:keepNext w:val="0"/>
              <w:keepLines w:val="0"/>
              <w:pageBreakBefore w:val="0"/>
              <w:widowControl w:val="0"/>
              <w:spacing w:line="400" w:lineRule="exact"/>
              <w:jc w:val="center"/>
              <w:rPr>
                <w:rFonts w:hint="eastAsia" w:ascii="宋体" w:hAnsi="宋体" w:eastAsia="宋体" w:cs="Times New Roman"/>
                <w:bCs/>
                <w:sz w:val="24"/>
                <w:szCs w:val="24"/>
                <w:highlight w:val="none"/>
                <w:lang w:val="en-US" w:eastAsia="zh-CN" w:bidi="ar-SA"/>
              </w:rPr>
            </w:pPr>
            <w:r>
              <w:rPr>
                <w:rFonts w:hint="eastAsia" w:ascii="宋体" w:hAnsi="宋体"/>
                <w:bCs/>
                <w:sz w:val="24"/>
                <w:szCs w:val="24"/>
                <w:highlight w:val="none"/>
              </w:rPr>
              <w:t>4</w:t>
            </w:r>
          </w:p>
        </w:tc>
        <w:tc>
          <w:tcPr>
            <w:tcW w:w="966" w:type="dxa"/>
            <w:noWrap w:val="0"/>
            <w:vAlign w:val="center"/>
          </w:tcPr>
          <w:p w14:paraId="50DD9E16">
            <w:pPr>
              <w:keepNext w:val="0"/>
              <w:keepLines w:val="0"/>
              <w:pageBreakBefore w:val="0"/>
              <w:widowControl w:val="0"/>
              <w:spacing w:line="400" w:lineRule="exact"/>
              <w:jc w:val="center"/>
              <w:rPr>
                <w:rFonts w:hint="eastAsia" w:ascii="宋体" w:hAnsi="宋体"/>
                <w:b/>
                <w:color w:val="auto"/>
                <w:sz w:val="24"/>
                <w:szCs w:val="24"/>
                <w:highlight w:val="none"/>
              </w:rPr>
            </w:pPr>
            <w:r>
              <w:rPr>
                <w:rFonts w:hint="eastAsia" w:ascii="宋体" w:hAnsi="宋体"/>
                <w:b/>
                <w:color w:val="auto"/>
                <w:sz w:val="24"/>
                <w:szCs w:val="24"/>
                <w:highlight w:val="none"/>
              </w:rPr>
              <w:t>投标</w:t>
            </w:r>
          </w:p>
          <w:p w14:paraId="61E26CF8">
            <w:pPr>
              <w:keepNext w:val="0"/>
              <w:keepLines w:val="0"/>
              <w:pageBreakBefore w:val="0"/>
              <w:widowControl w:val="0"/>
              <w:spacing w:line="400" w:lineRule="exact"/>
              <w:jc w:val="center"/>
              <w:rPr>
                <w:rFonts w:hint="eastAsia" w:ascii="宋体" w:hAnsi="Times New Roman" w:eastAsia="宋体" w:cs="Times New Roman"/>
                <w:b/>
                <w:bCs/>
                <w:sz w:val="24"/>
                <w:szCs w:val="22"/>
                <w:highlight w:val="none"/>
                <w:u w:val="none"/>
                <w:lang w:val="en-US" w:eastAsia="zh-CN" w:bidi="ar-SA"/>
              </w:rPr>
            </w:pPr>
            <w:r>
              <w:rPr>
                <w:rFonts w:hint="eastAsia" w:ascii="宋体" w:hAnsi="宋体"/>
                <w:b/>
                <w:color w:val="auto"/>
                <w:sz w:val="24"/>
                <w:szCs w:val="24"/>
                <w:highlight w:val="none"/>
              </w:rPr>
              <w:t>文件</w:t>
            </w:r>
          </w:p>
        </w:tc>
        <w:tc>
          <w:tcPr>
            <w:tcW w:w="8141" w:type="dxa"/>
            <w:gridSpan w:val="2"/>
            <w:noWrap w:val="0"/>
            <w:vAlign w:val="top"/>
          </w:tcPr>
          <w:p w14:paraId="4677523B">
            <w:pPr>
              <w:keepNext w:val="0"/>
              <w:keepLines w:val="0"/>
              <w:pageBreakBefore w:val="0"/>
              <w:widowControl w:val="0"/>
              <w:spacing w:line="400" w:lineRule="exact"/>
              <w:jc w:val="left"/>
              <w:rPr>
                <w:rFonts w:ascii="宋体" w:hAnsi="宋体" w:cs="宋体"/>
                <w:bCs/>
                <w:color w:val="auto"/>
                <w:sz w:val="24"/>
                <w:szCs w:val="21"/>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制作及提交：</w:t>
            </w:r>
            <w:r>
              <w:rPr>
                <w:rFonts w:hint="eastAsia" w:ascii="宋体" w:hAnsi="宋体" w:cs="宋体"/>
                <w:bCs/>
                <w:color w:val="auto"/>
                <w:sz w:val="24"/>
                <w:szCs w:val="21"/>
                <w:highlight w:val="none"/>
              </w:rPr>
              <w:t>将电子</w:t>
            </w:r>
            <w:r>
              <w:rPr>
                <w:rFonts w:hint="eastAsia" w:ascii="宋体" w:hAnsi="宋体" w:cs="宋体"/>
                <w:bCs/>
                <w:color w:val="auto"/>
                <w:sz w:val="24"/>
                <w:szCs w:val="21"/>
                <w:highlight w:val="none"/>
                <w:lang w:val="en-US" w:eastAsia="zh-CN"/>
              </w:rPr>
              <w:t>招标</w:t>
            </w:r>
            <w:r>
              <w:rPr>
                <w:rFonts w:hint="eastAsia" w:ascii="宋体" w:hAnsi="宋体" w:cs="宋体"/>
                <w:bCs/>
                <w:color w:val="auto"/>
                <w:sz w:val="24"/>
                <w:szCs w:val="21"/>
                <w:highlight w:val="none"/>
              </w:rPr>
              <w:t>文件导入政府采购客户端工具制作</w:t>
            </w:r>
            <w:r>
              <w:rPr>
                <w:rFonts w:hint="eastAsia" w:ascii="宋体" w:hAnsi="宋体" w:cs="宋体"/>
                <w:bCs/>
                <w:color w:val="auto"/>
                <w:sz w:val="24"/>
                <w:szCs w:val="21"/>
                <w:highlight w:val="none"/>
                <w:lang w:eastAsia="zh-CN"/>
              </w:rPr>
              <w:t>投标文件</w:t>
            </w:r>
            <w:r>
              <w:rPr>
                <w:rFonts w:hint="eastAsia" w:ascii="宋体" w:hAnsi="宋体" w:cs="宋体"/>
                <w:bCs/>
                <w:color w:val="auto"/>
                <w:sz w:val="24"/>
                <w:szCs w:val="21"/>
                <w:highlight w:val="none"/>
              </w:rPr>
              <w:t>，导出加密的</w:t>
            </w:r>
            <w:r>
              <w:rPr>
                <w:rFonts w:hint="eastAsia" w:ascii="宋体" w:hAnsi="宋体" w:cs="宋体"/>
                <w:bCs/>
                <w:color w:val="auto"/>
                <w:sz w:val="24"/>
                <w:szCs w:val="21"/>
                <w:highlight w:val="none"/>
                <w:lang w:eastAsia="zh-CN"/>
              </w:rPr>
              <w:t>投标文件</w:t>
            </w:r>
            <w:r>
              <w:rPr>
                <w:rFonts w:hint="eastAsia" w:ascii="宋体" w:hAnsi="宋体" w:cs="宋体"/>
                <w:bCs/>
                <w:color w:val="auto"/>
                <w:sz w:val="24"/>
                <w:szCs w:val="21"/>
                <w:highlight w:val="none"/>
              </w:rPr>
              <w:t>(后缀名为zip)，通过“苏采云”系统上传</w:t>
            </w:r>
            <w:r>
              <w:rPr>
                <w:rFonts w:hint="eastAsia" w:ascii="宋体" w:hAnsi="宋体" w:cs="宋体"/>
                <w:bCs/>
                <w:color w:val="auto"/>
                <w:sz w:val="24"/>
                <w:szCs w:val="21"/>
                <w:highlight w:val="none"/>
                <w:lang w:eastAsia="zh-CN"/>
              </w:rPr>
              <w:t>投标文件</w:t>
            </w:r>
            <w:r>
              <w:rPr>
                <w:rFonts w:hint="eastAsia" w:ascii="宋体" w:hAnsi="宋体" w:cs="宋体"/>
                <w:bCs/>
                <w:color w:val="auto"/>
                <w:sz w:val="24"/>
                <w:szCs w:val="21"/>
                <w:highlight w:val="none"/>
              </w:rPr>
              <w:t>。</w:t>
            </w:r>
          </w:p>
          <w:p w14:paraId="6020DFAB">
            <w:pPr>
              <w:keepNext w:val="0"/>
              <w:keepLines w:val="0"/>
              <w:pageBreakBefore w:val="0"/>
              <w:widowControl w:val="0"/>
              <w:spacing w:line="400" w:lineRule="exact"/>
              <w:rPr>
                <w:rFonts w:hint="eastAsia" w:ascii="宋体" w:hAnsi="宋体" w:eastAsia="宋体" w:cs="Times New Roman"/>
                <w:bCs/>
                <w:sz w:val="24"/>
                <w:szCs w:val="24"/>
                <w:highlight w:val="none"/>
                <w:lang w:val="en-US" w:eastAsia="zh-CN" w:bidi="ar-SA"/>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bCs/>
                <w:color w:val="auto"/>
                <w:sz w:val="24"/>
                <w:szCs w:val="24"/>
                <w:highlight w:val="none"/>
              </w:rPr>
              <w:t>提交</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截止时间后的</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，恕不接受。</w:t>
            </w:r>
          </w:p>
        </w:tc>
      </w:tr>
      <w:tr w14:paraId="50ED7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733" w:type="dxa"/>
            <w:noWrap w:val="0"/>
            <w:vAlign w:val="center"/>
          </w:tcPr>
          <w:p w14:paraId="5320C848">
            <w:pPr>
              <w:keepNext w:val="0"/>
              <w:keepLines w:val="0"/>
              <w:pageBreakBefore w:val="0"/>
              <w:widowControl w:val="0"/>
              <w:spacing w:line="400" w:lineRule="exact"/>
              <w:jc w:val="center"/>
              <w:rPr>
                <w:rFonts w:hint="eastAsia" w:ascii="宋体" w:hAnsi="宋体"/>
                <w:bCs/>
                <w:sz w:val="24"/>
                <w:szCs w:val="24"/>
                <w:highlight w:val="none"/>
              </w:rPr>
            </w:pPr>
            <w:r>
              <w:rPr>
                <w:rFonts w:hint="eastAsia" w:ascii="宋体" w:hAnsi="宋体"/>
                <w:bCs/>
                <w:color w:val="auto"/>
                <w:sz w:val="24"/>
                <w:szCs w:val="24"/>
                <w:highlight w:val="none"/>
                <w:lang w:val="en-US" w:eastAsia="zh-CN"/>
              </w:rPr>
              <w:t>5</w:t>
            </w:r>
          </w:p>
        </w:tc>
        <w:tc>
          <w:tcPr>
            <w:tcW w:w="966" w:type="dxa"/>
            <w:noWrap w:val="0"/>
            <w:vAlign w:val="center"/>
          </w:tcPr>
          <w:p w14:paraId="058E16E8">
            <w:pPr>
              <w:pStyle w:val="211"/>
              <w:keepNext w:val="0"/>
              <w:keepLines w:val="0"/>
              <w:pageBreakBefore w:val="0"/>
              <w:widowControl w:val="0"/>
              <w:spacing w:line="400" w:lineRule="exact"/>
              <w:jc w:val="center"/>
              <w:rPr>
                <w:b/>
                <w:bCs/>
                <w:color w:val="auto"/>
                <w:szCs w:val="22"/>
                <w:highlight w:val="none"/>
                <w:lang w:val="zh-CN"/>
              </w:rPr>
            </w:pPr>
            <w:r>
              <w:rPr>
                <w:rFonts w:hint="eastAsia"/>
                <w:b/>
                <w:bCs/>
                <w:color w:val="auto"/>
                <w:szCs w:val="22"/>
                <w:highlight w:val="none"/>
                <w:lang w:val="zh-CN"/>
              </w:rPr>
              <w:t>投标</w:t>
            </w:r>
          </w:p>
          <w:p w14:paraId="6476127E">
            <w:pPr>
              <w:keepNext w:val="0"/>
              <w:keepLines w:val="0"/>
              <w:pageBreakBefore w:val="0"/>
              <w:widowControl w:val="0"/>
              <w:spacing w:line="400" w:lineRule="exact"/>
              <w:jc w:val="center"/>
              <w:rPr>
                <w:rFonts w:hint="eastAsia" w:ascii="宋体" w:hAnsi="宋体"/>
                <w:b/>
                <w:color w:val="auto"/>
                <w:sz w:val="24"/>
                <w:szCs w:val="24"/>
                <w:highlight w:val="none"/>
              </w:rPr>
            </w:pPr>
            <w:r>
              <w:rPr>
                <w:rFonts w:hint="eastAsia"/>
                <w:b/>
                <w:bCs/>
                <w:color w:val="auto"/>
                <w:sz w:val="24"/>
                <w:szCs w:val="22"/>
                <w:highlight w:val="none"/>
                <w:lang w:val="zh-CN"/>
              </w:rPr>
              <w:t>保证金</w:t>
            </w:r>
          </w:p>
        </w:tc>
        <w:tc>
          <w:tcPr>
            <w:tcW w:w="8141" w:type="dxa"/>
            <w:gridSpan w:val="2"/>
            <w:noWrap w:val="0"/>
            <w:vAlign w:val="center"/>
          </w:tcPr>
          <w:p w14:paraId="35C342BA">
            <w:pPr>
              <w:keepNext w:val="0"/>
              <w:keepLines w:val="0"/>
              <w:pageBreakBefore w:val="0"/>
              <w:widowControl w:val="0"/>
              <w:spacing w:line="400" w:lineRule="exact"/>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本项目免收投标保证金。</w:t>
            </w:r>
          </w:p>
        </w:tc>
      </w:tr>
      <w:tr w14:paraId="3324D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2EA5E783">
            <w:pPr>
              <w:keepNext w:val="0"/>
              <w:keepLines w:val="0"/>
              <w:pageBreakBefore w:val="0"/>
              <w:widowControl w:val="0"/>
              <w:spacing w:line="400" w:lineRule="exact"/>
              <w:jc w:val="center"/>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6</w:t>
            </w:r>
          </w:p>
        </w:tc>
        <w:tc>
          <w:tcPr>
            <w:tcW w:w="966" w:type="dxa"/>
            <w:noWrap w:val="0"/>
            <w:vAlign w:val="center"/>
          </w:tcPr>
          <w:p w14:paraId="68AA5697">
            <w:pPr>
              <w:keepNext w:val="0"/>
              <w:keepLines w:val="0"/>
              <w:pageBreakBefore w:val="0"/>
              <w:widowControl w:val="0"/>
              <w:spacing w:line="400" w:lineRule="exact"/>
              <w:jc w:val="center"/>
              <w:rPr>
                <w:rFonts w:hint="eastAsia"/>
                <w:b/>
                <w:bCs/>
                <w:color w:val="auto"/>
                <w:sz w:val="24"/>
                <w:szCs w:val="22"/>
                <w:highlight w:val="none"/>
                <w:lang w:val="en-US" w:eastAsia="zh-CN"/>
              </w:rPr>
            </w:pPr>
            <w:r>
              <w:rPr>
                <w:rFonts w:hint="eastAsia"/>
                <w:b/>
                <w:bCs/>
                <w:color w:val="auto"/>
                <w:sz w:val="24"/>
                <w:szCs w:val="22"/>
                <w:highlight w:val="none"/>
                <w:lang w:val="en-US" w:eastAsia="zh-CN"/>
              </w:rPr>
              <w:t>其他</w:t>
            </w:r>
          </w:p>
          <w:p w14:paraId="15E1A896">
            <w:pPr>
              <w:keepNext w:val="0"/>
              <w:keepLines w:val="0"/>
              <w:pageBreakBefore w:val="0"/>
              <w:widowControl w:val="0"/>
              <w:spacing w:line="400" w:lineRule="exact"/>
              <w:jc w:val="center"/>
              <w:rPr>
                <w:rFonts w:hint="default" w:eastAsia="宋体"/>
                <w:b/>
                <w:bCs/>
                <w:color w:val="auto"/>
                <w:sz w:val="24"/>
                <w:szCs w:val="22"/>
                <w:highlight w:val="none"/>
                <w:lang w:val="en-US" w:eastAsia="zh-CN"/>
              </w:rPr>
            </w:pPr>
            <w:r>
              <w:rPr>
                <w:rFonts w:hint="eastAsia"/>
                <w:b/>
                <w:bCs/>
                <w:color w:val="auto"/>
                <w:sz w:val="24"/>
                <w:szCs w:val="22"/>
                <w:highlight w:val="none"/>
                <w:lang w:val="en-US" w:eastAsia="zh-CN"/>
              </w:rPr>
              <w:t>要求</w:t>
            </w:r>
          </w:p>
        </w:tc>
        <w:tc>
          <w:tcPr>
            <w:tcW w:w="8141" w:type="dxa"/>
            <w:gridSpan w:val="2"/>
            <w:noWrap w:val="0"/>
            <w:vAlign w:val="center"/>
          </w:tcPr>
          <w:p w14:paraId="5B440B75">
            <w:pPr>
              <w:keepNext w:val="0"/>
              <w:keepLines w:val="0"/>
              <w:pageBreakBefore w:val="0"/>
              <w:widowControl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19480FE4">
            <w:pPr>
              <w:keepNext w:val="0"/>
              <w:keepLines w:val="0"/>
              <w:pageBreakBefore w:val="0"/>
              <w:widowControl w:val="0"/>
              <w:spacing w:line="400" w:lineRule="exact"/>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p>
        </w:tc>
      </w:tr>
      <w:tr w14:paraId="7260D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33" w:type="dxa"/>
            <w:noWrap w:val="0"/>
            <w:vAlign w:val="center"/>
          </w:tcPr>
          <w:p w14:paraId="0579148C">
            <w:pPr>
              <w:keepNext w:val="0"/>
              <w:keepLines w:val="0"/>
              <w:pageBreakBefore w:val="0"/>
              <w:widowControl w:val="0"/>
              <w:spacing w:line="400" w:lineRule="exact"/>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7</w:t>
            </w:r>
          </w:p>
        </w:tc>
        <w:tc>
          <w:tcPr>
            <w:tcW w:w="966" w:type="dxa"/>
            <w:noWrap w:val="0"/>
            <w:vAlign w:val="center"/>
          </w:tcPr>
          <w:p w14:paraId="4B06BE0C">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b/>
                <w:color w:val="auto"/>
                <w:sz w:val="24"/>
                <w:szCs w:val="24"/>
                <w:highlight w:val="none"/>
              </w:rPr>
              <w:t>不见面开标</w:t>
            </w:r>
          </w:p>
        </w:tc>
        <w:tc>
          <w:tcPr>
            <w:tcW w:w="8141" w:type="dxa"/>
            <w:gridSpan w:val="2"/>
            <w:noWrap w:val="0"/>
            <w:vAlign w:val="top"/>
          </w:tcPr>
          <w:p w14:paraId="2BDC7EAE">
            <w:pPr>
              <w:keepNext w:val="0"/>
              <w:keepLines w:val="0"/>
              <w:pageBreakBefore w:val="0"/>
              <w:widowControl w:val="0"/>
              <w:spacing w:line="400" w:lineRule="exact"/>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p>
          <w:p w14:paraId="2470E853">
            <w:pPr>
              <w:keepNext w:val="0"/>
              <w:keepLines w:val="0"/>
              <w:pageBreakBefore w:val="0"/>
              <w:widowControl w:val="0"/>
              <w:numPr>
                <w:ilvl w:val="0"/>
                <w:numId w:val="0"/>
              </w:numPr>
              <w:spacing w:line="400" w:lineRule="exact"/>
              <w:ind w:left="0" w:firstLine="0"/>
              <w:jc w:val="left"/>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1.</w:t>
            </w:r>
            <w:r>
              <w:rPr>
                <w:rFonts w:hint="eastAsia" w:ascii="宋体" w:hAnsi="宋体" w:cs="宋体"/>
                <w:bCs/>
                <w:color w:val="auto"/>
                <w:sz w:val="24"/>
                <w:szCs w:val="21"/>
                <w:highlight w:val="none"/>
              </w:rPr>
              <w:t>不见面开标注意事项：</w:t>
            </w:r>
          </w:p>
          <w:p w14:paraId="505FCF3A">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2712AEC4">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p>
          <w:p w14:paraId="072AD7CC">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096EC08A">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215C6AA3">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4548BDBE">
            <w:pPr>
              <w:keepNext w:val="0"/>
              <w:keepLines w:val="0"/>
              <w:pageBreakBefore w:val="0"/>
              <w:widowControl w:val="0"/>
              <w:numPr>
                <w:ilvl w:val="0"/>
                <w:numId w:val="0"/>
              </w:numPr>
              <w:spacing w:line="400" w:lineRule="exact"/>
              <w:ind w:left="0" w:firstLine="0"/>
              <w:jc w:val="left"/>
              <w:rPr>
                <w:rFonts w:hint="eastAsia" w:ascii="宋体" w:hAnsi="宋体" w:cs="宋体"/>
                <w:bCs/>
                <w:color w:val="auto"/>
                <w:sz w:val="24"/>
                <w:szCs w:val="21"/>
                <w:highlight w:val="none"/>
              </w:rPr>
            </w:pPr>
            <w:r>
              <w:rPr>
                <w:rFonts w:hint="eastAsia" w:ascii="宋体" w:hAnsi="宋体" w:eastAsia="宋体" w:cs="宋体"/>
                <w:b w:val="0"/>
                <w:bCs/>
                <w:color w:val="auto"/>
                <w:sz w:val="24"/>
                <w:szCs w:val="21"/>
                <w:highlight w:val="none"/>
                <w:lang w:val="en-US" w:eastAsia="zh-CN" w:bidi="ar-SA"/>
              </w:rPr>
              <w:t>2.</w:t>
            </w:r>
            <w:r>
              <w:rPr>
                <w:rFonts w:hint="eastAsia" w:ascii="宋体" w:hAnsi="宋体" w:cs="宋体"/>
                <w:bCs/>
                <w:color w:val="auto"/>
                <w:sz w:val="24"/>
                <w:szCs w:val="21"/>
                <w:highlight w:val="none"/>
              </w:rPr>
              <w:t>采购活动时间：</w:t>
            </w:r>
          </w:p>
          <w:p w14:paraId="627E94EB">
            <w:pPr>
              <w:keepNext w:val="0"/>
              <w:keepLines w:val="0"/>
              <w:pageBreakBefore w:val="0"/>
              <w:widowControl w:val="0"/>
              <w:spacing w:line="400" w:lineRule="exact"/>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提交投标文件截止（即投标截止）时间及开标时间：详见本项目招标公告</w:t>
            </w:r>
          </w:p>
          <w:p w14:paraId="5BA1CA9F">
            <w:pPr>
              <w:keepNext w:val="0"/>
              <w:keepLines w:val="0"/>
              <w:pageBreakBefore w:val="0"/>
              <w:widowControl w:val="0"/>
              <w:spacing w:line="400" w:lineRule="exact"/>
              <w:ind w:firstLine="480"/>
              <w:rPr>
                <w:rFonts w:hint="eastAsia" w:ascii="宋体" w:hAnsi="宋体" w:cs="宋体"/>
                <w:bCs/>
                <w:sz w:val="24"/>
                <w:szCs w:val="24"/>
                <w:highlight w:val="none"/>
                <w:lang w:val="zh-CN"/>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34484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jc w:val="center"/>
        </w:trPr>
        <w:tc>
          <w:tcPr>
            <w:tcW w:w="733" w:type="dxa"/>
            <w:vMerge w:val="restart"/>
            <w:noWrap w:val="0"/>
            <w:vAlign w:val="center"/>
          </w:tcPr>
          <w:p w14:paraId="44F7534E">
            <w:pPr>
              <w:keepNext w:val="0"/>
              <w:keepLines w:val="0"/>
              <w:pageBreakBefore w:val="0"/>
              <w:widowControl w:val="0"/>
              <w:spacing w:line="400" w:lineRule="exact"/>
              <w:jc w:val="center"/>
              <w:rPr>
                <w:rFonts w:hint="eastAsia" w:ascii="宋体" w:hAnsi="宋体" w:eastAsia="宋体" w:cs="宋体"/>
                <w:bCs/>
                <w:sz w:val="24"/>
                <w:szCs w:val="24"/>
                <w:highlight w:val="none"/>
                <w:lang w:val="en-US" w:eastAsia="zh-CN"/>
              </w:rPr>
            </w:pPr>
            <w:bookmarkStart w:id="5" w:name="OLE_LINK84"/>
            <w:r>
              <w:rPr>
                <w:rFonts w:hint="eastAsia" w:ascii="宋体" w:hAnsi="宋体" w:cs="宋体"/>
                <w:bCs/>
                <w:sz w:val="24"/>
                <w:szCs w:val="24"/>
                <w:highlight w:val="none"/>
                <w:lang w:val="en-US" w:eastAsia="zh-CN"/>
              </w:rPr>
              <w:t>8</w:t>
            </w:r>
          </w:p>
        </w:tc>
        <w:tc>
          <w:tcPr>
            <w:tcW w:w="966" w:type="dxa"/>
            <w:vMerge w:val="restart"/>
            <w:noWrap w:val="0"/>
            <w:vAlign w:val="center"/>
          </w:tcPr>
          <w:p w14:paraId="3AA2BB5B">
            <w:pPr>
              <w:keepNext w:val="0"/>
              <w:keepLines w:val="0"/>
              <w:pageBreakBefore w:val="0"/>
              <w:widowControl w:val="0"/>
              <w:spacing w:line="400" w:lineRule="exact"/>
              <w:jc w:val="center"/>
              <w:rPr>
                <w:rFonts w:hint="eastAsia" w:ascii="宋体" w:hAnsi="宋体" w:eastAsia="宋体" w:cs="Times New Roman"/>
                <w:b/>
                <w:sz w:val="24"/>
                <w:szCs w:val="24"/>
                <w:highlight w:val="none"/>
                <w:u w:val="none"/>
                <w:lang w:val="en-US" w:eastAsia="zh-CN" w:bidi="ar-SA"/>
              </w:rPr>
            </w:pPr>
            <w:r>
              <w:rPr>
                <w:rFonts w:hint="eastAsia" w:ascii="宋体" w:hAnsi="宋体" w:eastAsia="宋体" w:cs="Times New Roman"/>
                <w:b/>
                <w:sz w:val="24"/>
                <w:szCs w:val="24"/>
                <w:highlight w:val="none"/>
                <w:u w:val="none"/>
                <w:lang w:val="en-US" w:eastAsia="zh-CN" w:bidi="ar-SA"/>
              </w:rPr>
              <w:t>联系</w:t>
            </w:r>
          </w:p>
          <w:p w14:paraId="3555DCC3">
            <w:pPr>
              <w:keepNext w:val="0"/>
              <w:keepLines w:val="0"/>
              <w:pageBreakBefore w:val="0"/>
              <w:widowControl w:val="0"/>
              <w:spacing w:line="400" w:lineRule="exact"/>
              <w:jc w:val="center"/>
              <w:rPr>
                <w:rFonts w:hint="eastAsia" w:ascii="宋体" w:hAnsi="宋体" w:eastAsia="宋体" w:cs="宋体"/>
                <w:bCs/>
                <w:sz w:val="24"/>
                <w:szCs w:val="24"/>
                <w:highlight w:val="none"/>
                <w:lang w:val="en-US" w:eastAsia="zh-CN"/>
              </w:rPr>
            </w:pPr>
            <w:r>
              <w:rPr>
                <w:rFonts w:hint="eastAsia" w:ascii="宋体" w:hAnsi="宋体" w:eastAsia="宋体" w:cs="Times New Roman"/>
                <w:b/>
                <w:sz w:val="24"/>
                <w:szCs w:val="24"/>
                <w:highlight w:val="none"/>
                <w:u w:val="none"/>
                <w:lang w:val="en-US" w:eastAsia="zh-CN" w:bidi="ar-SA"/>
              </w:rPr>
              <w:t>方式</w:t>
            </w:r>
          </w:p>
        </w:tc>
        <w:tc>
          <w:tcPr>
            <w:tcW w:w="1464" w:type="dxa"/>
            <w:vMerge w:val="restart"/>
            <w:noWrap w:val="0"/>
            <w:vAlign w:val="center"/>
          </w:tcPr>
          <w:p w14:paraId="7A5634CA">
            <w:pPr>
              <w:keepNext w:val="0"/>
              <w:keepLines w:val="0"/>
              <w:pageBreakBefore w:val="0"/>
              <w:widowControl w:val="0"/>
              <w:spacing w:line="400" w:lineRule="exact"/>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采购人</w:t>
            </w:r>
          </w:p>
        </w:tc>
        <w:tc>
          <w:tcPr>
            <w:tcW w:w="6677" w:type="dxa"/>
            <w:noWrap w:val="0"/>
            <w:vAlign w:val="center"/>
          </w:tcPr>
          <w:p w14:paraId="0BFEAC26">
            <w:pPr>
              <w:keepNext w:val="0"/>
              <w:keepLines w:val="0"/>
              <w:pageBreakBefore w:val="0"/>
              <w:widowControl w:val="0"/>
              <w:spacing w:line="400" w:lineRule="exact"/>
              <w:jc w:val="lef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项目负责人</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蒋先生</w:t>
            </w:r>
          </w:p>
          <w:p w14:paraId="19A6AC28">
            <w:pPr>
              <w:keepNext w:val="0"/>
              <w:keepLines w:val="0"/>
              <w:pageBreakBefore w:val="0"/>
              <w:widowControl w:val="0"/>
              <w:spacing w:line="400" w:lineRule="exact"/>
              <w:jc w:val="lef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质疑受理人</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蒋先生</w:t>
            </w:r>
          </w:p>
          <w:p w14:paraId="2D8952E8">
            <w:pPr>
              <w:keepNext w:val="0"/>
              <w:keepLines w:val="0"/>
              <w:pageBreakBefore w:val="0"/>
              <w:widowControl w:val="0"/>
              <w:spacing w:line="400" w:lineRule="exact"/>
              <w:jc w:val="lef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联系电话：</w:t>
            </w:r>
            <w:r>
              <w:rPr>
                <w:rFonts w:hint="eastAsia" w:ascii="宋体" w:hAnsi="宋体"/>
                <w:bCs/>
                <w:color w:val="000000"/>
                <w:sz w:val="24"/>
                <w:szCs w:val="24"/>
                <w:highlight w:val="none"/>
                <w:lang w:val="en-US" w:eastAsia="zh-CN"/>
              </w:rPr>
              <w:t>13921379620</w:t>
            </w:r>
          </w:p>
        </w:tc>
      </w:tr>
      <w:tr w14:paraId="1FE9D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733" w:type="dxa"/>
            <w:vMerge w:val="continue"/>
            <w:noWrap w:val="0"/>
            <w:vAlign w:val="center"/>
          </w:tcPr>
          <w:p w14:paraId="5ED134C2">
            <w:pPr>
              <w:keepNext w:val="0"/>
              <w:keepLines w:val="0"/>
              <w:pageBreakBefore w:val="0"/>
              <w:widowControl w:val="0"/>
              <w:spacing w:line="400" w:lineRule="exact"/>
              <w:jc w:val="center"/>
              <w:rPr>
                <w:rFonts w:hint="eastAsia" w:ascii="宋体" w:hAnsi="宋体" w:cs="宋体"/>
                <w:bCs/>
                <w:sz w:val="24"/>
                <w:szCs w:val="24"/>
                <w:highlight w:val="none"/>
              </w:rPr>
            </w:pPr>
          </w:p>
        </w:tc>
        <w:tc>
          <w:tcPr>
            <w:tcW w:w="966" w:type="dxa"/>
            <w:vMerge w:val="continue"/>
            <w:noWrap w:val="0"/>
            <w:vAlign w:val="top"/>
          </w:tcPr>
          <w:p w14:paraId="0FBC36ED">
            <w:pPr>
              <w:keepNext w:val="0"/>
              <w:keepLines w:val="0"/>
              <w:pageBreakBefore w:val="0"/>
              <w:widowControl w:val="0"/>
              <w:spacing w:line="400" w:lineRule="exact"/>
              <w:jc w:val="left"/>
              <w:rPr>
                <w:rFonts w:hint="eastAsia" w:ascii="宋体" w:hAnsi="宋体" w:cs="宋体"/>
                <w:bCs/>
                <w:sz w:val="24"/>
                <w:szCs w:val="24"/>
                <w:highlight w:val="none"/>
              </w:rPr>
            </w:pPr>
          </w:p>
        </w:tc>
        <w:tc>
          <w:tcPr>
            <w:tcW w:w="1464" w:type="dxa"/>
            <w:vMerge w:val="continue"/>
            <w:noWrap w:val="0"/>
            <w:vAlign w:val="center"/>
          </w:tcPr>
          <w:p w14:paraId="3FCF1739">
            <w:pPr>
              <w:keepNext w:val="0"/>
              <w:keepLines w:val="0"/>
              <w:pageBreakBefore w:val="0"/>
              <w:widowControl w:val="0"/>
              <w:spacing w:line="400" w:lineRule="exact"/>
              <w:jc w:val="center"/>
              <w:rPr>
                <w:rFonts w:hint="eastAsia" w:ascii="宋体" w:hAnsi="宋体" w:cs="宋体"/>
                <w:bCs/>
                <w:sz w:val="24"/>
                <w:szCs w:val="24"/>
                <w:highlight w:val="none"/>
              </w:rPr>
            </w:pPr>
          </w:p>
        </w:tc>
        <w:tc>
          <w:tcPr>
            <w:tcW w:w="6677" w:type="dxa"/>
            <w:noWrap w:val="0"/>
            <w:vAlign w:val="center"/>
          </w:tcPr>
          <w:p w14:paraId="1673FE29">
            <w:pPr>
              <w:keepNext w:val="0"/>
              <w:keepLines w:val="0"/>
              <w:pageBreakBefore w:val="0"/>
              <w:widowControl w:val="0"/>
              <w:spacing w:line="400" w:lineRule="exact"/>
              <w:jc w:val="lef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联系地址：</w:t>
            </w:r>
            <w:r>
              <w:rPr>
                <w:rFonts w:hint="eastAsia" w:ascii="宋体" w:hAnsi="宋体" w:cs="宋体"/>
                <w:bCs/>
                <w:sz w:val="24"/>
                <w:szCs w:val="24"/>
                <w:highlight w:val="none"/>
                <w:lang w:val="en-US" w:eastAsia="zh-CN"/>
              </w:rPr>
              <w:t>宜兴市周铁镇彭干村余家桥</w:t>
            </w:r>
          </w:p>
          <w:p w14:paraId="24D2CA05">
            <w:pPr>
              <w:keepNext w:val="0"/>
              <w:keepLines w:val="0"/>
              <w:pageBreakBefore w:val="0"/>
              <w:widowControl w:val="0"/>
              <w:tabs>
                <w:tab w:val="left" w:pos="3763"/>
              </w:tabs>
              <w:spacing w:line="400" w:lineRule="exact"/>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邮政编码：214200</w:t>
            </w:r>
            <w:r>
              <w:rPr>
                <w:rFonts w:hint="eastAsia" w:ascii="宋体" w:hAnsi="宋体" w:cs="宋体"/>
                <w:bCs/>
                <w:sz w:val="24"/>
                <w:szCs w:val="24"/>
                <w:highlight w:val="none"/>
                <w:lang w:eastAsia="zh-CN"/>
              </w:rPr>
              <w:tab/>
            </w:r>
          </w:p>
        </w:tc>
      </w:tr>
      <w:tr w14:paraId="4BCFD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jc w:val="center"/>
        </w:trPr>
        <w:tc>
          <w:tcPr>
            <w:tcW w:w="733" w:type="dxa"/>
            <w:vMerge w:val="continue"/>
            <w:noWrap w:val="0"/>
            <w:vAlign w:val="center"/>
          </w:tcPr>
          <w:p w14:paraId="166F3966">
            <w:pPr>
              <w:keepNext w:val="0"/>
              <w:keepLines w:val="0"/>
              <w:pageBreakBefore w:val="0"/>
              <w:widowControl w:val="0"/>
              <w:spacing w:line="400" w:lineRule="exact"/>
              <w:jc w:val="center"/>
              <w:rPr>
                <w:rFonts w:hint="eastAsia" w:ascii="宋体" w:hAnsi="宋体" w:cs="宋体"/>
                <w:bCs/>
                <w:sz w:val="24"/>
                <w:szCs w:val="24"/>
                <w:highlight w:val="none"/>
              </w:rPr>
            </w:pPr>
          </w:p>
        </w:tc>
        <w:tc>
          <w:tcPr>
            <w:tcW w:w="966" w:type="dxa"/>
            <w:vMerge w:val="continue"/>
            <w:noWrap w:val="0"/>
            <w:vAlign w:val="top"/>
          </w:tcPr>
          <w:p w14:paraId="25202DC6">
            <w:pPr>
              <w:keepNext w:val="0"/>
              <w:keepLines w:val="0"/>
              <w:pageBreakBefore w:val="0"/>
              <w:widowControl w:val="0"/>
              <w:spacing w:line="400" w:lineRule="exact"/>
              <w:jc w:val="left"/>
              <w:rPr>
                <w:rFonts w:hint="eastAsia" w:ascii="宋体" w:hAnsi="宋体" w:cs="宋体"/>
                <w:bCs/>
                <w:sz w:val="24"/>
                <w:szCs w:val="24"/>
                <w:highlight w:val="none"/>
              </w:rPr>
            </w:pPr>
          </w:p>
        </w:tc>
        <w:tc>
          <w:tcPr>
            <w:tcW w:w="1464" w:type="dxa"/>
            <w:noWrap w:val="0"/>
            <w:vAlign w:val="center"/>
          </w:tcPr>
          <w:p w14:paraId="325457AA">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cs="宋体"/>
                <w:bCs/>
                <w:sz w:val="24"/>
                <w:szCs w:val="24"/>
                <w:highlight w:val="none"/>
              </w:rPr>
              <w:t>采购代理机构</w:t>
            </w:r>
          </w:p>
        </w:tc>
        <w:tc>
          <w:tcPr>
            <w:tcW w:w="6677" w:type="dxa"/>
            <w:noWrap w:val="0"/>
            <w:vAlign w:val="top"/>
          </w:tcPr>
          <w:p w14:paraId="59B060C1">
            <w:pPr>
              <w:keepNext w:val="0"/>
              <w:keepLines w:val="0"/>
              <w:pageBreakBefore w:val="0"/>
              <w:widowControl w:val="0"/>
              <w:spacing w:line="40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联系人：</w:t>
            </w:r>
            <w:r>
              <w:rPr>
                <w:rFonts w:hint="eastAsia" w:ascii="宋体" w:hAnsi="宋体" w:cs="宋体"/>
                <w:bCs/>
                <w:sz w:val="24"/>
                <w:szCs w:val="24"/>
                <w:highlight w:val="none"/>
                <w:lang w:val="en-US" w:eastAsia="zh-CN"/>
              </w:rPr>
              <w:t>欧女士</w:t>
            </w:r>
          </w:p>
          <w:p w14:paraId="3914882E">
            <w:pPr>
              <w:keepNext w:val="0"/>
              <w:keepLines w:val="0"/>
              <w:pageBreakBefore w:val="0"/>
              <w:widowControl w:val="0"/>
              <w:spacing w:line="400" w:lineRule="exact"/>
              <w:jc w:val="lef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联系号码：</w:t>
            </w:r>
            <w:r>
              <w:rPr>
                <w:rFonts w:hint="eastAsia" w:ascii="宋体" w:hAnsi="宋体" w:cs="宋体"/>
                <w:bCs/>
                <w:sz w:val="24"/>
                <w:szCs w:val="24"/>
                <w:highlight w:val="none"/>
                <w:lang w:val="en-US" w:eastAsia="zh-CN"/>
              </w:rPr>
              <w:t>0510-68660872</w:t>
            </w:r>
          </w:p>
          <w:p w14:paraId="23CF1D2C">
            <w:pPr>
              <w:keepNext w:val="0"/>
              <w:keepLines w:val="0"/>
              <w:pageBreakBefore w:val="0"/>
              <w:widowControl w:val="0"/>
              <w:spacing w:line="400" w:lineRule="exact"/>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联系地址：</w:t>
            </w:r>
            <w:r>
              <w:rPr>
                <w:rFonts w:hint="eastAsia" w:ascii="宋体" w:hAnsi="宋体"/>
                <w:bCs/>
                <w:sz w:val="24"/>
                <w:szCs w:val="24"/>
              </w:rPr>
              <w:t>宜兴市环科园兴业路298号B座</w:t>
            </w:r>
          </w:p>
          <w:p w14:paraId="3B06FAE3">
            <w:pPr>
              <w:keepNext w:val="0"/>
              <w:keepLines w:val="0"/>
              <w:pageBreakBefore w:val="0"/>
              <w:widowControl w:val="0"/>
              <w:spacing w:line="40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邮政编码：214200</w:t>
            </w:r>
          </w:p>
        </w:tc>
      </w:tr>
      <w:tr w14:paraId="0D9DA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jc w:val="center"/>
        </w:trPr>
        <w:tc>
          <w:tcPr>
            <w:tcW w:w="733" w:type="dxa"/>
            <w:vMerge w:val="continue"/>
            <w:noWrap w:val="0"/>
            <w:vAlign w:val="center"/>
          </w:tcPr>
          <w:p w14:paraId="5655BB9A">
            <w:pPr>
              <w:keepNext w:val="0"/>
              <w:keepLines w:val="0"/>
              <w:pageBreakBefore w:val="0"/>
              <w:widowControl w:val="0"/>
              <w:spacing w:line="400" w:lineRule="exact"/>
              <w:jc w:val="center"/>
              <w:rPr>
                <w:rFonts w:hint="eastAsia" w:ascii="宋体" w:hAnsi="宋体" w:cs="宋体"/>
                <w:bCs/>
                <w:sz w:val="24"/>
                <w:szCs w:val="24"/>
                <w:highlight w:val="none"/>
              </w:rPr>
            </w:pPr>
          </w:p>
        </w:tc>
        <w:tc>
          <w:tcPr>
            <w:tcW w:w="966" w:type="dxa"/>
            <w:vMerge w:val="continue"/>
            <w:noWrap w:val="0"/>
            <w:vAlign w:val="top"/>
          </w:tcPr>
          <w:p w14:paraId="7B0CB079">
            <w:pPr>
              <w:keepNext w:val="0"/>
              <w:keepLines w:val="0"/>
              <w:pageBreakBefore w:val="0"/>
              <w:widowControl w:val="0"/>
              <w:spacing w:line="400" w:lineRule="exact"/>
              <w:jc w:val="left"/>
              <w:rPr>
                <w:rFonts w:hint="eastAsia" w:ascii="宋体" w:hAnsi="宋体" w:cs="宋体"/>
                <w:bCs/>
                <w:sz w:val="24"/>
                <w:szCs w:val="24"/>
                <w:highlight w:val="none"/>
              </w:rPr>
            </w:pPr>
          </w:p>
        </w:tc>
        <w:tc>
          <w:tcPr>
            <w:tcW w:w="1464" w:type="dxa"/>
            <w:noWrap w:val="0"/>
            <w:vAlign w:val="center"/>
          </w:tcPr>
          <w:p w14:paraId="15526B6D">
            <w:pPr>
              <w:keepNext w:val="0"/>
              <w:keepLines w:val="0"/>
              <w:pageBreakBefore w:val="0"/>
              <w:widowControl w:val="0"/>
              <w:spacing w:line="400" w:lineRule="exact"/>
              <w:jc w:val="center"/>
              <w:rPr>
                <w:rFonts w:ascii="宋体" w:hAnsi="宋体"/>
                <w:bCs/>
                <w:color w:val="auto"/>
                <w:sz w:val="24"/>
                <w:szCs w:val="24"/>
                <w:highlight w:val="none"/>
              </w:rPr>
            </w:pPr>
            <w:r>
              <w:rPr>
                <w:rFonts w:hint="eastAsia" w:ascii="宋体" w:hAnsi="宋体"/>
                <w:bCs/>
                <w:color w:val="auto"/>
                <w:sz w:val="24"/>
                <w:szCs w:val="24"/>
                <w:highlight w:val="none"/>
              </w:rPr>
              <w:t>“苏采云”</w:t>
            </w:r>
          </w:p>
          <w:p w14:paraId="6F0E7693">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bCs/>
                <w:color w:val="auto"/>
                <w:sz w:val="24"/>
                <w:szCs w:val="24"/>
                <w:highlight w:val="none"/>
              </w:rPr>
              <w:t>客服</w:t>
            </w:r>
          </w:p>
        </w:tc>
        <w:tc>
          <w:tcPr>
            <w:tcW w:w="6677" w:type="dxa"/>
            <w:noWrap w:val="0"/>
            <w:vAlign w:val="center"/>
          </w:tcPr>
          <w:p w14:paraId="3353F5AA">
            <w:pPr>
              <w:keepNext w:val="0"/>
              <w:keepLines w:val="0"/>
              <w:pageBreakBefore w:val="0"/>
              <w:widowControl w:val="0"/>
              <w:spacing w:line="400" w:lineRule="exact"/>
              <w:jc w:val="left"/>
              <w:rPr>
                <w:rFonts w:ascii="宋体" w:hAnsi="宋体"/>
                <w:bCs/>
                <w:color w:val="auto"/>
                <w:sz w:val="24"/>
                <w:szCs w:val="24"/>
                <w:highlight w:val="none"/>
              </w:rPr>
            </w:pPr>
            <w:r>
              <w:rPr>
                <w:rFonts w:hint="eastAsia" w:ascii="宋体" w:hAnsi="宋体"/>
                <w:bCs/>
                <w:color w:val="auto"/>
                <w:sz w:val="24"/>
                <w:szCs w:val="24"/>
                <w:highlight w:val="none"/>
                <w:lang w:val="zh-CN"/>
              </w:rPr>
              <w:t>投标人(</w:t>
            </w:r>
            <w:r>
              <w:rPr>
                <w:rFonts w:ascii="宋体" w:hAnsi="宋体"/>
                <w:bCs/>
                <w:color w:val="auto"/>
                <w:sz w:val="24"/>
                <w:szCs w:val="24"/>
                <w:highlight w:val="none"/>
              </w:rPr>
              <w:t>供应商</w:t>
            </w:r>
            <w:r>
              <w:rPr>
                <w:rFonts w:hint="eastAsia" w:ascii="宋体" w:hAnsi="宋体"/>
                <w:bCs/>
                <w:color w:val="auto"/>
                <w:sz w:val="24"/>
                <w:szCs w:val="24"/>
                <w:highlight w:val="none"/>
              </w:rPr>
              <w:t>)</w:t>
            </w:r>
            <w:r>
              <w:rPr>
                <w:rFonts w:ascii="宋体" w:hAnsi="宋体"/>
                <w:bCs/>
                <w:color w:val="auto"/>
                <w:sz w:val="24"/>
                <w:szCs w:val="24"/>
                <w:highlight w:val="none"/>
              </w:rPr>
              <w:t xml:space="preserve"> 在</w:t>
            </w:r>
            <w:r>
              <w:rPr>
                <w:rFonts w:hint="eastAsia" w:ascii="宋体" w:hAnsi="宋体"/>
                <w:bCs/>
                <w:color w:val="auto"/>
                <w:sz w:val="24"/>
                <w:szCs w:val="24"/>
                <w:highlight w:val="none"/>
              </w:rPr>
              <w:t>“苏采云”</w:t>
            </w:r>
            <w:r>
              <w:rPr>
                <w:rFonts w:ascii="宋体" w:hAnsi="宋体"/>
                <w:bCs/>
                <w:color w:val="auto"/>
                <w:sz w:val="24"/>
                <w:szCs w:val="24"/>
                <w:highlight w:val="none"/>
              </w:rPr>
              <w:t>系统操作过程中如遇问题</w:t>
            </w:r>
            <w:r>
              <w:rPr>
                <w:rFonts w:hint="eastAsia" w:ascii="宋体" w:hAnsi="宋体"/>
                <w:bCs/>
                <w:color w:val="auto"/>
                <w:sz w:val="24"/>
                <w:szCs w:val="24"/>
                <w:highlight w:val="none"/>
              </w:rPr>
              <w:t>，</w:t>
            </w:r>
            <w:r>
              <w:rPr>
                <w:rFonts w:ascii="宋体" w:hAnsi="宋体"/>
                <w:bCs/>
                <w:color w:val="auto"/>
                <w:sz w:val="24"/>
                <w:szCs w:val="24"/>
                <w:highlight w:val="none"/>
              </w:rPr>
              <w:t>请致电</w:t>
            </w:r>
            <w:r>
              <w:rPr>
                <w:rFonts w:hint="eastAsia" w:ascii="宋体" w:hAnsi="宋体"/>
                <w:bCs/>
                <w:color w:val="auto"/>
                <w:sz w:val="24"/>
                <w:szCs w:val="24"/>
                <w:highlight w:val="none"/>
              </w:rPr>
              <w:t>“苏采云”客服</w:t>
            </w:r>
          </w:p>
          <w:p w14:paraId="6D45CD26">
            <w:pPr>
              <w:keepNext w:val="0"/>
              <w:keepLines w:val="0"/>
              <w:pageBreakBefore w:val="0"/>
              <w:widowControl w:val="0"/>
              <w:spacing w:line="400" w:lineRule="exact"/>
              <w:jc w:val="left"/>
              <w:rPr>
                <w:rFonts w:hint="eastAsia" w:ascii="宋体" w:hAnsi="宋体" w:eastAsia="宋体" w:cs="宋体"/>
                <w:bCs/>
                <w:sz w:val="24"/>
                <w:szCs w:val="24"/>
                <w:highlight w:val="none"/>
              </w:rPr>
            </w:pPr>
            <w:r>
              <w:rPr>
                <w:rFonts w:hint="eastAsia" w:ascii="宋体" w:hAnsi="宋体"/>
                <w:bCs/>
                <w:color w:val="auto"/>
                <w:sz w:val="24"/>
                <w:szCs w:val="24"/>
                <w:highlight w:val="none"/>
              </w:rPr>
              <w:t>联系电话：</w:t>
            </w:r>
            <w:r>
              <w:rPr>
                <w:rFonts w:ascii="宋体" w:hAnsi="宋体"/>
                <w:bCs/>
                <w:color w:val="auto"/>
                <w:sz w:val="24"/>
                <w:szCs w:val="24"/>
                <w:highlight w:val="none"/>
              </w:rPr>
              <w:t>16651529117</w:t>
            </w:r>
            <w:r>
              <w:rPr>
                <w:rFonts w:hint="eastAsia" w:ascii="宋体" w:hAnsi="宋体"/>
                <w:bCs/>
                <w:color w:val="auto"/>
                <w:sz w:val="24"/>
                <w:szCs w:val="24"/>
                <w:highlight w:val="none"/>
              </w:rPr>
              <w:t>、025-83633744、025-83633743</w:t>
            </w:r>
          </w:p>
        </w:tc>
      </w:tr>
      <w:tr w14:paraId="3DA84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jc w:val="center"/>
        </w:trPr>
        <w:tc>
          <w:tcPr>
            <w:tcW w:w="733" w:type="dxa"/>
            <w:vMerge w:val="continue"/>
            <w:noWrap w:val="0"/>
            <w:vAlign w:val="center"/>
          </w:tcPr>
          <w:p w14:paraId="2A50550A">
            <w:pPr>
              <w:keepNext w:val="0"/>
              <w:keepLines w:val="0"/>
              <w:pageBreakBefore w:val="0"/>
              <w:widowControl w:val="0"/>
              <w:spacing w:line="400" w:lineRule="exact"/>
              <w:jc w:val="center"/>
              <w:rPr>
                <w:rFonts w:hint="eastAsia" w:ascii="宋体" w:hAnsi="宋体" w:cs="宋体"/>
                <w:bCs/>
                <w:sz w:val="24"/>
                <w:szCs w:val="24"/>
                <w:highlight w:val="none"/>
              </w:rPr>
            </w:pPr>
          </w:p>
        </w:tc>
        <w:tc>
          <w:tcPr>
            <w:tcW w:w="966" w:type="dxa"/>
            <w:vMerge w:val="continue"/>
            <w:noWrap w:val="0"/>
            <w:vAlign w:val="top"/>
          </w:tcPr>
          <w:p w14:paraId="0008E2C6">
            <w:pPr>
              <w:keepNext w:val="0"/>
              <w:keepLines w:val="0"/>
              <w:pageBreakBefore w:val="0"/>
              <w:widowControl w:val="0"/>
              <w:spacing w:line="400" w:lineRule="exact"/>
              <w:jc w:val="left"/>
              <w:rPr>
                <w:rFonts w:hint="eastAsia" w:ascii="宋体" w:hAnsi="宋体" w:cs="宋体"/>
                <w:bCs/>
                <w:sz w:val="24"/>
                <w:szCs w:val="24"/>
                <w:highlight w:val="none"/>
              </w:rPr>
            </w:pPr>
          </w:p>
        </w:tc>
        <w:tc>
          <w:tcPr>
            <w:tcW w:w="1464" w:type="dxa"/>
            <w:noWrap w:val="0"/>
            <w:vAlign w:val="center"/>
          </w:tcPr>
          <w:p w14:paraId="10D2356F">
            <w:pPr>
              <w:keepNext w:val="0"/>
              <w:keepLines w:val="0"/>
              <w:pageBreakBefore w:val="0"/>
              <w:widowControl w:val="0"/>
              <w:spacing w:line="400" w:lineRule="exact"/>
              <w:jc w:val="center"/>
              <w:rPr>
                <w:rFonts w:hint="eastAsia" w:ascii="宋体" w:hAnsi="宋体" w:cs="宋体"/>
                <w:bCs/>
                <w:sz w:val="24"/>
                <w:szCs w:val="24"/>
                <w:highlight w:val="none"/>
              </w:rPr>
            </w:pPr>
            <w:r>
              <w:rPr>
                <w:rFonts w:hint="eastAsia" w:ascii="宋体" w:hAnsi="宋体" w:cs="宋体"/>
                <w:bCs/>
                <w:sz w:val="24"/>
                <w:szCs w:val="24"/>
                <w:highlight w:val="none"/>
              </w:rPr>
              <w:t>财政监管部门</w:t>
            </w:r>
          </w:p>
        </w:tc>
        <w:tc>
          <w:tcPr>
            <w:tcW w:w="6677" w:type="dxa"/>
            <w:noWrap w:val="0"/>
            <w:vAlign w:val="top"/>
          </w:tcPr>
          <w:p w14:paraId="1C752607">
            <w:pPr>
              <w:keepNext w:val="0"/>
              <w:keepLines w:val="0"/>
              <w:pageBreakBefore w:val="0"/>
              <w:widowControl w:val="0"/>
              <w:spacing w:line="400" w:lineRule="exact"/>
              <w:jc w:val="left"/>
              <w:rPr>
                <w:rFonts w:hint="eastAsia"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 宜兴市财政局                   </w:t>
            </w:r>
          </w:p>
          <w:p w14:paraId="705C0025">
            <w:pPr>
              <w:keepNext w:val="0"/>
              <w:keepLines w:val="0"/>
              <w:pageBreakBefore w:val="0"/>
              <w:widowControl w:val="0"/>
              <w:spacing w:line="400" w:lineRule="exact"/>
              <w:jc w:val="left"/>
              <w:rPr>
                <w:rFonts w:hint="eastAsia" w:ascii="宋体" w:hAnsi="宋体" w:cs="宋体"/>
                <w:bCs/>
                <w:sz w:val="24"/>
                <w:szCs w:val="24"/>
                <w:highlight w:val="none"/>
              </w:rPr>
            </w:pPr>
            <w:r>
              <w:rPr>
                <w:rFonts w:hint="eastAsia" w:ascii="宋体" w:hAnsi="宋体" w:cs="宋体"/>
                <w:bCs/>
                <w:sz w:val="24"/>
                <w:szCs w:val="24"/>
                <w:highlight w:val="none"/>
              </w:rPr>
              <w:t>联系地址：宜兴市荆溪中路35号五局大院内</w:t>
            </w:r>
            <w:bookmarkEnd w:id="1"/>
            <w:bookmarkEnd w:id="5"/>
          </w:p>
        </w:tc>
      </w:tr>
    </w:tbl>
    <w:p w14:paraId="0B723A7A">
      <w:pPr>
        <w:pStyle w:val="187"/>
        <w:rPr>
          <w:rFonts w:hint="eastAsia"/>
          <w:highlight w:val="none"/>
        </w:rPr>
        <w:sectPr>
          <w:footerReference r:id="rId4" w:type="default"/>
          <w:pgSz w:w="11906" w:h="16838"/>
          <w:pgMar w:top="1440" w:right="1588" w:bottom="1440" w:left="1588" w:header="851" w:footer="992" w:gutter="0"/>
          <w:pgNumType w:start="1"/>
          <w:cols w:space="1701" w:num="1"/>
          <w:docGrid w:linePitch="360" w:charSpace="0"/>
        </w:sectPr>
      </w:pPr>
    </w:p>
    <w:p w14:paraId="73E999F3">
      <w:pPr>
        <w:pStyle w:val="187"/>
        <w:spacing w:line="360" w:lineRule="auto"/>
        <w:rPr>
          <w:rFonts w:hint="eastAsia"/>
          <w:highlight w:val="none"/>
        </w:rPr>
      </w:pPr>
      <w:bookmarkStart w:id="6" w:name="_Toc29279"/>
      <w:r>
        <w:rPr>
          <w:rFonts w:hint="eastAsia"/>
          <w:highlight w:val="none"/>
        </w:rPr>
        <w:t>第二章 投标人须知</w:t>
      </w:r>
      <w:bookmarkEnd w:id="6"/>
    </w:p>
    <w:p w14:paraId="6C9E16AE">
      <w:pPr>
        <w:spacing w:line="360" w:lineRule="auto"/>
        <w:ind w:firstLine="482"/>
        <w:rPr>
          <w:rFonts w:hint="eastAsia" w:ascii="宋体" w:hAnsi="宋体"/>
          <w:b/>
          <w:color w:val="000000"/>
          <w:sz w:val="24"/>
          <w:szCs w:val="24"/>
          <w:highlight w:val="none"/>
          <w:lang w:val="zh-CN"/>
        </w:rPr>
      </w:pPr>
      <w:bookmarkStart w:id="7" w:name="_Toc19590"/>
      <w:r>
        <w:rPr>
          <w:rFonts w:hint="eastAsia" w:ascii="宋体" w:hAnsi="宋体"/>
          <w:b/>
          <w:color w:val="000000"/>
          <w:sz w:val="24"/>
          <w:szCs w:val="24"/>
          <w:highlight w:val="none"/>
          <w:lang w:val="zh-CN"/>
        </w:rPr>
        <w:t>一、总   则</w:t>
      </w:r>
    </w:p>
    <w:p w14:paraId="5FC918C9">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1、适用法律</w:t>
      </w:r>
    </w:p>
    <w:p w14:paraId="59ACB180">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1.1 《中华人民共和国政府采购法》、《中华人民共和国政府采购法实施条例》、《政府采购货物和服务招标投标管理办法》等有关法律、法规、规章和规定等。</w:t>
      </w:r>
    </w:p>
    <w:p w14:paraId="22E93665">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2、定义</w:t>
      </w:r>
    </w:p>
    <w:p w14:paraId="2C86E10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2.1 “投标人”</w:t>
      </w:r>
      <w:r>
        <w:rPr>
          <w:rFonts w:hint="eastAsia" w:ascii="宋体" w:hAnsi="宋体"/>
          <w:bCs/>
          <w:color w:val="000000"/>
          <w:sz w:val="24"/>
          <w:szCs w:val="24"/>
          <w:highlight w:val="none"/>
        </w:rPr>
        <w:t>是指参加投标竞争，并符合招标文件规定资格条件的法人、其他组织或者自然人</w:t>
      </w:r>
      <w:bookmarkStart w:id="8" w:name="_Hlk151625213"/>
      <w:r>
        <w:rPr>
          <w:rFonts w:hint="eastAsia" w:ascii="宋体" w:hAnsi="宋体"/>
          <w:bCs/>
          <w:color w:val="000000"/>
          <w:sz w:val="24"/>
          <w:szCs w:val="24"/>
          <w:highlight w:val="none"/>
        </w:rPr>
        <w:t>，即</w:t>
      </w:r>
      <w:r>
        <w:rPr>
          <w:rFonts w:hint="eastAsia" w:ascii="宋体" w:hAnsi="宋体"/>
          <w:bCs/>
          <w:color w:val="000000"/>
          <w:sz w:val="24"/>
          <w:szCs w:val="24"/>
          <w:highlight w:val="none"/>
          <w:lang w:val="zh-CN"/>
        </w:rPr>
        <w:t>参与投标的供应商</w:t>
      </w:r>
      <w:bookmarkEnd w:id="8"/>
      <w:r>
        <w:rPr>
          <w:rFonts w:hint="eastAsia" w:ascii="宋体" w:hAnsi="宋体"/>
          <w:bCs/>
          <w:color w:val="000000"/>
          <w:sz w:val="24"/>
          <w:szCs w:val="24"/>
          <w:highlight w:val="none"/>
        </w:rPr>
        <w:t>；</w:t>
      </w:r>
      <w:bookmarkStart w:id="9" w:name="_Hlk164149790"/>
      <w:r>
        <w:rPr>
          <w:rFonts w:hint="eastAsia" w:ascii="宋体" w:hAnsi="宋体"/>
          <w:bCs/>
          <w:color w:val="000000"/>
          <w:sz w:val="24"/>
          <w:szCs w:val="24"/>
          <w:highlight w:val="none"/>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项</w:t>
      </w:r>
      <w:r>
        <w:rPr>
          <w:rFonts w:hint="eastAsia" w:ascii="宋体" w:hAnsi="宋体"/>
          <w:bCs/>
          <w:color w:val="000000"/>
          <w:sz w:val="24"/>
          <w:szCs w:val="24"/>
          <w:highlight w:val="none"/>
        </w:rPr>
        <w:t>下的政府采购活动。</w:t>
      </w:r>
      <w:bookmarkEnd w:id="9"/>
    </w:p>
    <w:p w14:paraId="0A86394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招标文件中的“</w:t>
      </w:r>
      <w:bookmarkStart w:id="10" w:name="_Hlk164149389"/>
      <w:r>
        <w:rPr>
          <w:rFonts w:hint="eastAsia" w:ascii="宋体" w:hAnsi="宋体"/>
          <w:bCs/>
          <w:color w:val="000000"/>
          <w:sz w:val="24"/>
          <w:szCs w:val="24"/>
          <w:highlight w:val="none"/>
          <w:lang w:val="zh-CN"/>
        </w:rPr>
        <w:t>法定代表人”是指投标人的营业执照</w:t>
      </w:r>
      <w:r>
        <w:rPr>
          <w:rFonts w:hint="eastAsia" w:ascii="宋体" w:hAnsi="宋体"/>
          <w:color w:val="000000"/>
          <w:sz w:val="24"/>
          <w:highlight w:val="none"/>
        </w:rPr>
        <w:t>或相关部门的有效登记证明文件</w:t>
      </w:r>
      <w:r>
        <w:rPr>
          <w:rFonts w:hint="eastAsia" w:ascii="宋体" w:hAnsi="宋体"/>
          <w:bCs/>
          <w:color w:val="000000"/>
          <w:sz w:val="24"/>
          <w:szCs w:val="24"/>
          <w:highlight w:val="none"/>
          <w:lang w:val="zh-CN"/>
        </w:rPr>
        <w:t>中的“法定代表人”、“执行事务合伙人”、“经营者”、“</w:t>
      </w:r>
      <w:r>
        <w:rPr>
          <w:rFonts w:hint="eastAsia" w:ascii="宋体" w:hAnsi="宋体"/>
          <w:bCs/>
          <w:color w:val="000000"/>
          <w:sz w:val="24"/>
          <w:szCs w:val="24"/>
          <w:highlight w:val="none"/>
        </w:rPr>
        <w:t>负责人</w:t>
      </w:r>
      <w:r>
        <w:rPr>
          <w:rFonts w:hint="eastAsia" w:ascii="宋体" w:hAnsi="宋体"/>
          <w:bCs/>
          <w:color w:val="000000"/>
          <w:sz w:val="24"/>
          <w:szCs w:val="24"/>
          <w:highlight w:val="none"/>
          <w:lang w:val="zh-CN"/>
        </w:rPr>
        <w:t>”，若为自然人的指自然人本人。</w:t>
      </w:r>
      <w:bookmarkEnd w:id="10"/>
    </w:p>
    <w:p w14:paraId="06346C9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2.3 “投标人（电子签章）”是指投标人的电子公章，自然人投标即指自然人私章。</w:t>
      </w:r>
    </w:p>
    <w:p w14:paraId="35346FB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2.4 “产品”“货物”为同一意思，指招标文件中所述产品（含配件）及相关服务。</w:t>
      </w:r>
    </w:p>
    <w:p w14:paraId="56C397A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“响应”指提交投标文件并对招标文件提出的条件和要求进行实质性回应。</w:t>
      </w:r>
    </w:p>
    <w:p w14:paraId="27319282">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“证明材料”指招标文件中要求提供的相关材料。</w:t>
      </w:r>
    </w:p>
    <w:p w14:paraId="14224C5B">
      <w:pPr>
        <w:spacing w:line="360" w:lineRule="auto"/>
        <w:ind w:firstLine="480"/>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w:t>
      </w:r>
      <w:r>
        <w:rPr>
          <w:rFonts w:ascii="宋体" w:hAnsi="宋体"/>
          <w:bCs/>
          <w:color w:val="000000"/>
          <w:sz w:val="24"/>
          <w:szCs w:val="24"/>
          <w:highlight w:val="none"/>
        </w:rPr>
        <w:t>电子交易平台</w:t>
      </w:r>
      <w:r>
        <w:rPr>
          <w:rFonts w:hint="eastAsia" w:ascii="宋体" w:hAnsi="宋体"/>
          <w:bCs/>
          <w:color w:val="000000"/>
          <w:sz w:val="24"/>
          <w:szCs w:val="24"/>
          <w:highlight w:val="none"/>
          <w:lang w:val="zh-CN"/>
        </w:rPr>
        <w:t>”指本项目政府采购活动所依托的江苏政府采购网(</w:t>
      </w:r>
      <w:r>
        <w:rPr>
          <w:rFonts w:ascii="宋体" w:hAnsi="宋体"/>
          <w:bCs/>
          <w:color w:val="000000"/>
          <w:sz w:val="24"/>
          <w:szCs w:val="24"/>
          <w:highlight w:val="none"/>
          <w:lang w:val="zh-CN"/>
        </w:rPr>
        <w:t>www.ccgp-jiangsu.gov.cn)</w:t>
      </w:r>
      <w:r>
        <w:rPr>
          <w:rFonts w:hint="eastAsia" w:ascii="宋体" w:hAnsi="宋体"/>
          <w:bCs/>
          <w:color w:val="000000"/>
          <w:sz w:val="24"/>
          <w:szCs w:val="24"/>
          <w:highlight w:val="none"/>
          <w:lang w:val="zh-CN"/>
        </w:rPr>
        <w:t xml:space="preserve"> “苏采云”平台（系统）。</w:t>
      </w:r>
    </w:p>
    <w:p w14:paraId="30A29F1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中小企业声明”指符合政府采购政策的投标人提供的《中小企业声明函》或《残疾人福利性单位声明函》或监狱企业的证明文件。</w:t>
      </w:r>
    </w:p>
    <w:p w14:paraId="3E0C7A9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.9 </w:t>
      </w:r>
      <w:r>
        <w:rPr>
          <w:rFonts w:hint="eastAsia" w:ascii="宋体" w:hAnsi="宋体"/>
          <w:bCs/>
          <w:color w:val="000000"/>
          <w:sz w:val="24"/>
          <w:szCs w:val="24"/>
          <w:highlight w:val="none"/>
        </w:rPr>
        <w:t>“评审因素”是指评标方法和标准中包括的价格因素、技术因素、商务因素等方面。</w:t>
      </w:r>
    </w:p>
    <w:p w14:paraId="0364B6F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2.10 “正偏离”指投标人提供的货物（服务）响应情况优于招标文件要求；“负偏离”指投标人提供的货物（服务）响应情况劣于招标文件要求。</w:t>
      </w:r>
    </w:p>
    <w:p w14:paraId="0DE34AE9">
      <w:pPr>
        <w:spacing w:line="360" w:lineRule="auto"/>
        <w:ind w:firstLine="480"/>
        <w:jc w:val="left"/>
        <w:rPr>
          <w:rFonts w:ascii="宋体" w:hAnsi="宋体"/>
          <w:b/>
          <w:bCs w:val="0"/>
          <w:color w:val="000000"/>
          <w:sz w:val="24"/>
          <w:szCs w:val="24"/>
          <w:highlight w:val="none"/>
          <w:lang w:val="zh-CN"/>
        </w:rPr>
      </w:pPr>
      <w:bookmarkStart w:id="11" w:name="_Hlk151624258"/>
      <w:bookmarkStart w:id="12" w:name="_Hlk151624234"/>
      <w:r>
        <w:rPr>
          <w:rFonts w:hint="eastAsia" w:ascii="宋体" w:hAnsi="宋体"/>
          <w:b/>
          <w:bCs w:val="0"/>
          <w:color w:val="000000"/>
          <w:sz w:val="24"/>
          <w:szCs w:val="24"/>
          <w:highlight w:val="none"/>
          <w:lang w:val="zh-CN"/>
        </w:rPr>
        <w:t>3、政府采购政策</w:t>
      </w:r>
    </w:p>
    <w:p w14:paraId="2FC1ECD2">
      <w:pPr>
        <w:spacing w:line="360" w:lineRule="auto"/>
        <w:ind w:firstLine="480"/>
        <w:jc w:val="left"/>
        <w:rPr>
          <w:rFonts w:ascii="宋体" w:hAnsi="宋体"/>
          <w:bCs/>
          <w:color w:val="000000"/>
          <w:sz w:val="24"/>
          <w:szCs w:val="24"/>
          <w:highlight w:val="none"/>
        </w:rPr>
      </w:pPr>
      <w:bookmarkStart w:id="13" w:name="_Hlk151625314"/>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政府采购原则上采购本国生产的</w:t>
      </w:r>
      <w:r>
        <w:rPr>
          <w:rFonts w:hint="eastAsia" w:ascii="宋体" w:hAnsi="宋体"/>
          <w:bCs/>
          <w:color w:val="000000"/>
          <w:sz w:val="24"/>
          <w:szCs w:val="24"/>
          <w:highlight w:val="none"/>
          <w:lang w:val="zh-CN"/>
        </w:rPr>
        <w:t>产品</w:t>
      </w:r>
      <w:r>
        <w:rPr>
          <w:rFonts w:hint="eastAsia" w:ascii="宋体" w:hAnsi="宋体" w:cs="宋体"/>
          <w:bCs/>
          <w:color w:val="000000"/>
          <w:sz w:val="24"/>
          <w:highlight w:val="none"/>
        </w:rPr>
        <w:t>，不允许采购进口产品。除非采购人采购进口产品，已经在采购活动开始前向财政部门提出申请并获得财政部门审核同意，且在采购需求中明确规定可以采购进口产品。</w:t>
      </w:r>
    </w:p>
    <w:p w14:paraId="4A13139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.2</w:t>
      </w:r>
      <w:r>
        <w:rPr>
          <w:rFonts w:hint="eastAsia" w:ascii="宋体" w:hAnsi="宋体"/>
          <w:bCs/>
          <w:color w:val="000000"/>
          <w:sz w:val="24"/>
          <w:szCs w:val="24"/>
          <w:highlight w:val="none"/>
        </w:rPr>
        <w:t>政府采购支持中小企业发展</w:t>
      </w:r>
    </w:p>
    <w:p w14:paraId="435B0B7C">
      <w:pPr>
        <w:spacing w:line="360" w:lineRule="auto"/>
        <w:ind w:firstLine="480"/>
        <w:jc w:val="left"/>
        <w:rPr>
          <w:rFonts w:ascii="宋体" w:hAnsi="宋体" w:cs="宋体"/>
          <w:bCs/>
          <w:color w:val="000000"/>
          <w:sz w:val="24"/>
          <w:highlight w:val="none"/>
        </w:rPr>
      </w:pPr>
      <w:r>
        <w:rPr>
          <w:rFonts w:ascii="宋体" w:hAnsi="宋体"/>
          <w:bCs/>
          <w:color w:val="000000"/>
          <w:sz w:val="24"/>
          <w:szCs w:val="24"/>
          <w:highlight w:val="none"/>
        </w:rPr>
        <w:t>3.2.1</w:t>
      </w:r>
      <w:r>
        <w:rPr>
          <w:rFonts w:hint="eastAsia" w:ascii="宋体" w:hAnsi="宋体"/>
          <w:bCs/>
          <w:color w:val="000000"/>
          <w:sz w:val="24"/>
          <w:szCs w:val="24"/>
          <w:highlight w:val="none"/>
        </w:rPr>
        <w:t>“</w:t>
      </w:r>
      <w:r>
        <w:rPr>
          <w:rFonts w:hint="eastAsia" w:ascii="宋体" w:hAnsi="宋体" w:cs="宋体"/>
          <w:bCs/>
          <w:color w:val="000000"/>
          <w:sz w:val="24"/>
          <w:highlight w:val="none"/>
        </w:rPr>
        <w:t>中小企业”是指在中华人民共和国境内依法设立，依据</w:t>
      </w:r>
      <w:r>
        <w:rPr>
          <w:rFonts w:hint="eastAsia" w:ascii="宋体" w:hAnsi="宋体"/>
          <w:bCs/>
          <w:color w:val="000000"/>
          <w:sz w:val="24"/>
          <w:szCs w:val="24"/>
          <w:highlight w:val="none"/>
        </w:rPr>
        <w:t>《关于印发中小企业划型标准规定的通知》（工信部联企业〔2011〕300号）</w:t>
      </w:r>
      <w:r>
        <w:rPr>
          <w:rFonts w:hint="eastAsia" w:ascii="宋体" w:hAnsi="宋体" w:cs="宋体"/>
          <w:bCs/>
          <w:color w:val="000000"/>
          <w:sz w:val="24"/>
          <w:highlight w:val="none"/>
        </w:rPr>
        <w:t>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小微企业</w:t>
      </w:r>
      <w:r>
        <w:rPr>
          <w:rFonts w:ascii="宋体" w:hAnsi="宋体"/>
          <w:bCs/>
          <w:color w:val="000000"/>
          <w:sz w:val="24"/>
          <w:szCs w:val="24"/>
          <w:highlight w:val="none"/>
        </w:rPr>
        <w:t>”</w:t>
      </w:r>
      <w:r>
        <w:rPr>
          <w:rFonts w:hint="eastAsia" w:ascii="宋体" w:hAnsi="宋体"/>
          <w:bCs/>
          <w:color w:val="000000"/>
          <w:sz w:val="24"/>
          <w:szCs w:val="24"/>
          <w:highlight w:val="none"/>
        </w:rPr>
        <w:t>是指小型、微型企业。</w:t>
      </w:r>
      <w:r>
        <w:rPr>
          <w:rFonts w:hint="eastAsia" w:ascii="宋体" w:hAnsi="宋体" w:cs="宋体"/>
          <w:bCs/>
          <w:color w:val="000000"/>
          <w:sz w:val="24"/>
          <w:highlight w:val="none"/>
        </w:rPr>
        <w:t>符合中小企业划分标准的个体工商户，在政府采购活动中视同中小企业。</w:t>
      </w:r>
    </w:p>
    <w:p w14:paraId="7D1B7B3C">
      <w:pPr>
        <w:widowControl/>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3</w:t>
      </w:r>
      <w:r>
        <w:rPr>
          <w:rFonts w:ascii="宋体" w:hAnsi="宋体" w:cs="宋体"/>
          <w:bCs/>
          <w:color w:val="000000"/>
          <w:sz w:val="24"/>
          <w:highlight w:val="none"/>
        </w:rPr>
        <w:t>.2.2</w:t>
      </w:r>
      <w:r>
        <w:rPr>
          <w:rFonts w:hint="eastAsia" w:ascii="宋体" w:hAnsi="宋体" w:cs="宋体"/>
          <w:bCs/>
          <w:color w:val="00000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4" w:name="_Hlk161824916"/>
      <w:r>
        <w:rPr>
          <w:rFonts w:hint="eastAsia" w:ascii="宋体" w:hAnsi="宋体" w:cs="宋体"/>
          <w:bCs/>
          <w:color w:val="000000"/>
          <w:sz w:val="24"/>
          <w:highlight w:val="none"/>
        </w:rPr>
        <w:t>根据采购项目类型，若为货物类项目，只对货物的制造商是否为中小企业进行认定，不再对投标人提供的配套服务作出要求。</w:t>
      </w:r>
      <w:bookmarkEnd w:id="14"/>
    </w:p>
    <w:p w14:paraId="32498E42">
      <w:pPr>
        <w:widowControl/>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以联合体形式参加政府采购活动，联合体各方均为中小企业的，联合体视同中小企业。其中，联合体各方均为小微企业的，联合体视同小微企业。</w:t>
      </w:r>
    </w:p>
    <w:p w14:paraId="2D038D5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2</w:t>
      </w:r>
      <w:r>
        <w:rPr>
          <w:rFonts w:hint="eastAsia" w:ascii="宋体" w:hAnsi="宋体"/>
          <w:bCs/>
          <w:color w:val="000000"/>
          <w:sz w:val="24"/>
          <w:szCs w:val="24"/>
          <w:highlight w:val="none"/>
        </w:rPr>
        <w:t>.</w:t>
      </w:r>
      <w:r>
        <w:rPr>
          <w:rFonts w:ascii="宋体" w:hAnsi="宋体"/>
          <w:bCs/>
          <w:color w:val="000000"/>
          <w:sz w:val="24"/>
          <w:szCs w:val="24"/>
          <w:highlight w:val="none"/>
        </w:rPr>
        <w:t>3</w:t>
      </w:r>
      <w:r>
        <w:rPr>
          <w:rFonts w:hint="eastAsia" w:ascii="宋体" w:hAnsi="宋体"/>
          <w:bCs/>
          <w:color w:val="000000"/>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highlight w:val="none"/>
        </w:rPr>
        <w:t>接受大中型企业与小微企业组成联合体或者允许大中型企业向一家或者多家小微企业分包的政府采购货物项目，对于</w:t>
      </w:r>
      <w:bookmarkStart w:id="15" w:name="_Hlk101132181"/>
      <w:r>
        <w:rPr>
          <w:rFonts w:hint="eastAsia" w:ascii="宋体" w:hAnsi="宋体" w:cs="宋体"/>
          <w:bCs/>
          <w:color w:val="000000"/>
          <w:sz w:val="24"/>
          <w:highlight w:val="none"/>
        </w:rPr>
        <w:t>联合协议或者分包意向协议约定小微企业的合同份额占到合同总金额30%及以上的</w:t>
      </w:r>
      <w:bookmarkEnd w:id="15"/>
      <w:r>
        <w:rPr>
          <w:rFonts w:hint="eastAsia" w:ascii="宋体" w:hAnsi="宋体" w:cs="宋体"/>
          <w:bCs/>
          <w:color w:val="000000"/>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061663E3">
      <w:pPr>
        <w:spacing w:line="360" w:lineRule="auto"/>
        <w:ind w:firstLine="480"/>
        <w:jc w:val="left"/>
        <w:rPr>
          <w:rFonts w:ascii="宋体" w:hAnsi="宋体" w:cs="宋体"/>
          <w:bCs/>
          <w:color w:val="000000"/>
          <w:sz w:val="24"/>
          <w:highlight w:val="none"/>
        </w:rPr>
      </w:pPr>
      <w:r>
        <w:rPr>
          <w:rFonts w:hint="eastAsia" w:ascii="宋体" w:hAnsi="宋体"/>
          <w:bCs/>
          <w:color w:val="000000"/>
          <w:sz w:val="24"/>
          <w:szCs w:val="24"/>
          <w:highlight w:val="none"/>
          <w:u w:val="none"/>
        </w:rPr>
        <w:t>3.</w:t>
      </w:r>
      <w:r>
        <w:rPr>
          <w:rFonts w:ascii="宋体" w:hAnsi="宋体"/>
          <w:bCs/>
          <w:color w:val="000000"/>
          <w:sz w:val="24"/>
          <w:szCs w:val="24"/>
          <w:highlight w:val="none"/>
          <w:u w:val="none"/>
        </w:rPr>
        <w:t>2</w:t>
      </w:r>
      <w:r>
        <w:rPr>
          <w:rFonts w:hint="eastAsia" w:ascii="宋体" w:hAnsi="宋体"/>
          <w:bCs/>
          <w:color w:val="000000"/>
          <w:sz w:val="24"/>
          <w:szCs w:val="24"/>
          <w:highlight w:val="none"/>
          <w:u w:val="none"/>
        </w:rPr>
        <w:t>.</w:t>
      </w:r>
      <w:r>
        <w:rPr>
          <w:rFonts w:ascii="宋体" w:hAnsi="宋体"/>
          <w:bCs/>
          <w:color w:val="000000"/>
          <w:sz w:val="24"/>
          <w:szCs w:val="24"/>
          <w:highlight w:val="none"/>
          <w:u w:val="none"/>
        </w:rPr>
        <w:t>4</w:t>
      </w:r>
      <w:r>
        <w:rPr>
          <w:rFonts w:hint="eastAsia" w:ascii="宋体" w:hAnsi="宋体"/>
          <w:bCs/>
          <w:color w:val="000000"/>
          <w:sz w:val="24"/>
          <w:szCs w:val="24"/>
          <w:highlight w:val="none"/>
          <w:u w:val="none"/>
        </w:rPr>
        <w:t xml:space="preserve"> </w:t>
      </w:r>
      <w:r>
        <w:rPr>
          <w:rFonts w:hint="eastAsia" w:ascii="宋体" w:hAnsi="宋体" w:cs="宋体"/>
          <w:bCs/>
          <w:color w:val="000000"/>
          <w:sz w:val="24"/>
          <w:highlight w:val="none"/>
          <w:u w:val="none"/>
        </w:rPr>
        <w:t>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highlight w:val="none"/>
          <w:u w:val="none"/>
        </w:rPr>
        <w:t>投标人</w:t>
      </w:r>
      <w:r>
        <w:rPr>
          <w:rFonts w:hint="eastAsia" w:ascii="宋体" w:hAnsi="宋体"/>
          <w:bCs/>
          <w:color w:val="000000"/>
          <w:sz w:val="24"/>
          <w:szCs w:val="24"/>
          <w:highlight w:val="none"/>
          <w:u w:val="none"/>
        </w:rPr>
        <w:t>应按照中小企业声明格式准确完整填写相关内容，其中《中小企业声明函》</w:t>
      </w:r>
      <w:bookmarkStart w:id="16" w:name="_Hlk160697267"/>
      <w:r>
        <w:rPr>
          <w:rFonts w:hint="eastAsia" w:ascii="宋体" w:hAnsi="宋体"/>
          <w:bCs/>
          <w:color w:val="000000"/>
          <w:sz w:val="24"/>
          <w:szCs w:val="24"/>
          <w:highlight w:val="none"/>
          <w:u w:val="none"/>
        </w:rPr>
        <w:t>须按“项目技术要求和有关说明”中</w:t>
      </w:r>
      <w:bookmarkStart w:id="17" w:name="_Hlk164238594"/>
      <w:r>
        <w:rPr>
          <w:rFonts w:hint="eastAsia" w:ascii="宋体" w:hAnsi="宋体"/>
          <w:bCs/>
          <w:color w:val="000000"/>
          <w:sz w:val="24"/>
          <w:szCs w:val="24"/>
          <w:highlight w:val="none"/>
          <w:u w:val="none"/>
        </w:rPr>
        <w:t>采购标的明细及所属行业等内容逐一进行填报</w:t>
      </w:r>
      <w:bookmarkEnd w:id="17"/>
      <w:r>
        <w:rPr>
          <w:rFonts w:hint="eastAsia" w:ascii="宋体" w:hAnsi="宋体"/>
          <w:bCs/>
          <w:color w:val="000000"/>
          <w:sz w:val="24"/>
          <w:szCs w:val="24"/>
          <w:highlight w:val="none"/>
          <w:u w:val="none"/>
        </w:rPr>
        <w:t>，并明确相关企业类型（中型、小型或微型），否则中小企业声明函无效。</w:t>
      </w:r>
      <w:bookmarkEnd w:id="16"/>
      <w:r>
        <w:rPr>
          <w:rFonts w:hint="eastAsia" w:ascii="宋体" w:hAnsi="宋体"/>
          <w:bCs/>
          <w:color w:val="000000"/>
          <w:sz w:val="24"/>
          <w:szCs w:val="24"/>
          <w:highlight w:val="none"/>
          <w:u w:val="none"/>
        </w:rPr>
        <w:t>新成立企业时间认定以相关部门颁发证书的发证、登记</w:t>
      </w:r>
      <w:r>
        <w:rPr>
          <w:rFonts w:hint="eastAsia" w:ascii="宋体" w:hAnsi="宋体"/>
          <w:bCs/>
          <w:color w:val="000000"/>
          <w:sz w:val="24"/>
          <w:szCs w:val="24"/>
          <w:highlight w:val="none"/>
        </w:rPr>
        <w:t>日期为准，应提供相关证书，否则不予认可。</w:t>
      </w:r>
      <w:r>
        <w:rPr>
          <w:rFonts w:hint="eastAsia" w:ascii="宋体" w:hAnsi="宋体" w:cs="宋体"/>
          <w:bCs/>
          <w:color w:val="000000"/>
          <w:sz w:val="24"/>
          <w:highlight w:val="none"/>
        </w:rPr>
        <w:t>声明内容不实的，属于提供虚假材料谋取中标、成交的，应依法承担法律责任。</w:t>
      </w:r>
    </w:p>
    <w:p w14:paraId="0EC4F35F">
      <w:pPr>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3.</w:t>
      </w:r>
      <w:r>
        <w:rPr>
          <w:rFonts w:ascii="宋体" w:hAnsi="宋体" w:cs="宋体"/>
          <w:bCs/>
          <w:color w:val="000000"/>
          <w:sz w:val="24"/>
          <w:highlight w:val="none"/>
        </w:rPr>
        <w:t>2</w:t>
      </w:r>
      <w:r>
        <w:rPr>
          <w:rFonts w:hint="eastAsia" w:ascii="宋体" w:hAnsi="宋体" w:cs="宋体"/>
          <w:bCs/>
          <w:color w:val="000000"/>
          <w:sz w:val="24"/>
          <w:highlight w:val="none"/>
        </w:rPr>
        <w:t>.</w:t>
      </w:r>
      <w:r>
        <w:rPr>
          <w:rFonts w:ascii="宋体" w:hAnsi="宋体" w:cs="宋体"/>
          <w:bCs/>
          <w:color w:val="000000"/>
          <w:sz w:val="24"/>
          <w:highlight w:val="none"/>
        </w:rPr>
        <w:t>5</w:t>
      </w:r>
      <w:r>
        <w:rPr>
          <w:rFonts w:hint="eastAsia" w:ascii="宋体" w:hAnsi="宋体" w:cs="宋体"/>
          <w:bCs/>
          <w:color w:val="000000"/>
          <w:sz w:val="24"/>
          <w:highlight w:val="none"/>
        </w:rPr>
        <w:t>符合《关于促进残疾人就业政府采购政策的通知》（财库〔2017〕141号）规定的条件并提供《残疾人福利性单位声明函》的残疾人福利性单位视同小型、微型企业；</w:t>
      </w:r>
    </w:p>
    <w:p w14:paraId="6D6899A0">
      <w:pPr>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3.</w:t>
      </w:r>
      <w:r>
        <w:rPr>
          <w:rFonts w:ascii="宋体" w:hAnsi="宋体" w:cs="宋体"/>
          <w:bCs/>
          <w:color w:val="000000"/>
          <w:sz w:val="24"/>
          <w:highlight w:val="none"/>
        </w:rPr>
        <w:t>2</w:t>
      </w:r>
      <w:r>
        <w:rPr>
          <w:rFonts w:hint="eastAsia" w:ascii="宋体" w:hAnsi="宋体" w:cs="宋体"/>
          <w:bCs/>
          <w:color w:val="000000"/>
          <w:sz w:val="24"/>
          <w:highlight w:val="none"/>
        </w:rPr>
        <w:t>.</w:t>
      </w:r>
      <w:r>
        <w:rPr>
          <w:rFonts w:ascii="宋体" w:hAnsi="宋体" w:cs="宋体"/>
          <w:bCs/>
          <w:color w:val="000000"/>
          <w:sz w:val="24"/>
          <w:highlight w:val="none"/>
        </w:rPr>
        <w:t>6</w:t>
      </w:r>
      <w:r>
        <w:rPr>
          <w:rFonts w:hint="eastAsia" w:ascii="宋体" w:hAnsi="宋体" w:cs="宋体"/>
          <w:bCs/>
          <w:color w:val="000000"/>
          <w:sz w:val="24"/>
          <w:highlight w:val="none"/>
        </w:rPr>
        <w:t>符合《关于政府采购支持监狱企业发展有关问题的通知》（财库〔201</w:t>
      </w:r>
      <w:r>
        <w:rPr>
          <w:rFonts w:ascii="宋体" w:hAnsi="宋体" w:cs="宋体"/>
          <w:bCs/>
          <w:color w:val="000000"/>
          <w:sz w:val="24"/>
          <w:highlight w:val="none"/>
        </w:rPr>
        <w:t>4</w:t>
      </w:r>
      <w:r>
        <w:rPr>
          <w:rFonts w:hint="eastAsia" w:ascii="宋体" w:hAnsi="宋体" w:cs="宋体"/>
          <w:bCs/>
          <w:color w:val="000000"/>
          <w:sz w:val="24"/>
          <w:highlight w:val="none"/>
        </w:rPr>
        <w:t>〕68号）规定的监狱企业并提供由省级以上监狱管理局、戒毒管理局（含新疆生产建设兵团）出具的属于监狱企业证明文件的，视同为小型、微型企业。</w:t>
      </w:r>
    </w:p>
    <w:p w14:paraId="7F6E84A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.2.7</w:t>
      </w:r>
      <w:r>
        <w:rPr>
          <w:rFonts w:hint="eastAsia" w:ascii="宋体" w:hAnsi="宋体"/>
          <w:bCs/>
          <w:color w:val="000000"/>
          <w:sz w:val="24"/>
          <w:szCs w:val="24"/>
          <w:highlight w:val="none"/>
        </w:rPr>
        <w:t>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8" w:name="_Hlk159419640"/>
      <w:r>
        <w:rPr>
          <w:rFonts w:hint="eastAsia" w:ascii="宋体" w:hAnsi="宋体"/>
          <w:bCs/>
          <w:color w:val="000000"/>
          <w:sz w:val="24"/>
          <w:szCs w:val="24"/>
          <w:highlight w:val="none"/>
        </w:rPr>
        <w:t>若投标人提供的货物</w:t>
      </w:r>
      <w:bookmarkEnd w:id="18"/>
      <w:r>
        <w:rPr>
          <w:rFonts w:hint="eastAsia" w:ascii="宋体" w:hAnsi="宋体"/>
          <w:bCs/>
          <w:color w:val="000000"/>
          <w:sz w:val="24"/>
          <w:szCs w:val="24"/>
          <w:highlight w:val="none"/>
        </w:rPr>
        <w:t>同时为小微企业产品、残疾人福利性单位产品（或监狱企业产品），只享受一次针对小微企业产品的价格优惠。</w:t>
      </w:r>
    </w:p>
    <w:p w14:paraId="1EFED74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2</w:t>
      </w:r>
      <w:r>
        <w:rPr>
          <w:rFonts w:hint="eastAsia" w:ascii="宋体" w:hAnsi="宋体"/>
          <w:bCs/>
          <w:color w:val="000000"/>
          <w:sz w:val="24"/>
          <w:szCs w:val="24"/>
          <w:highlight w:val="none"/>
        </w:rPr>
        <w:t>.</w:t>
      </w:r>
      <w:r>
        <w:rPr>
          <w:rFonts w:ascii="宋体" w:hAnsi="宋体"/>
          <w:bCs/>
          <w:color w:val="000000"/>
          <w:sz w:val="24"/>
          <w:szCs w:val="24"/>
          <w:highlight w:val="none"/>
        </w:rPr>
        <w:t>8</w:t>
      </w:r>
      <w:r>
        <w:rPr>
          <w:rFonts w:hint="eastAsia" w:ascii="宋体" w:hAnsi="宋体"/>
          <w:bCs/>
          <w:color w:val="000000"/>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204FE606">
      <w:pPr>
        <w:spacing w:line="360" w:lineRule="auto"/>
        <w:ind w:firstLine="480"/>
        <w:jc w:val="left"/>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3.</w:t>
      </w:r>
      <w:r>
        <w:rPr>
          <w:rFonts w:ascii="宋体" w:hAnsi="宋体"/>
          <w:bCs/>
          <w:color w:val="000000"/>
          <w:sz w:val="24"/>
          <w:szCs w:val="24"/>
          <w:highlight w:val="none"/>
          <w:lang w:val="zh-CN"/>
        </w:rPr>
        <w:t>3</w:t>
      </w:r>
      <w:r>
        <w:rPr>
          <w:rFonts w:hint="eastAsia" w:ascii="宋体" w:hAnsi="宋体"/>
          <w:bCs/>
          <w:color w:val="000000"/>
          <w:sz w:val="24"/>
          <w:szCs w:val="24"/>
          <w:highlight w:val="none"/>
          <w:lang w:val="zh-CN"/>
        </w:rPr>
        <w:t>强制采购节能产品、信息安全产品。强制采购节能产品是指列入</w:t>
      </w:r>
      <w:r>
        <w:rPr>
          <w:rFonts w:hint="eastAsia" w:ascii="宋体" w:hAnsi="宋体"/>
          <w:bCs/>
          <w:color w:val="000000"/>
          <w:sz w:val="24"/>
          <w:szCs w:val="24"/>
          <w:highlight w:val="none"/>
        </w:rPr>
        <w:t>财政部、发展改革委联合</w:t>
      </w:r>
      <w:r>
        <w:rPr>
          <w:rFonts w:hint="eastAsia" w:ascii="宋体" w:hAnsi="宋体"/>
          <w:bCs/>
          <w:color w:val="000000"/>
          <w:sz w:val="24"/>
          <w:szCs w:val="24"/>
          <w:highlight w:val="none"/>
          <w:lang w:val="zh-CN"/>
        </w:rPr>
        <w:t>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涉及到强制采购产品的，投标人须按照上述要求提供相关产品的证明材料，否则投标无效。</w:t>
      </w:r>
    </w:p>
    <w:p w14:paraId="34FCF0B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优先采购节能产品、环境标志产品。优先采购节能产品是指列入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公布的最新《节能产品政府采购品目清单》（具体品目未以“★”标注），且获得由</w:t>
      </w:r>
      <w:r>
        <w:rPr>
          <w:rFonts w:hint="eastAsia" w:ascii="宋体" w:hAnsi="宋体"/>
          <w:bCs/>
          <w:color w:val="auto"/>
          <w:sz w:val="24"/>
          <w:szCs w:val="24"/>
          <w:highlight w:val="none"/>
        </w:rPr>
        <w:t>国家确定的认证机构出具的、处于有效期之内的节能产品认证证书</w:t>
      </w:r>
      <w:r>
        <w:rPr>
          <w:rFonts w:hint="eastAsia" w:ascii="宋体" w:hAnsi="宋体"/>
          <w:bCs/>
          <w:color w:val="auto"/>
          <w:sz w:val="24"/>
          <w:szCs w:val="24"/>
          <w:highlight w:val="none"/>
          <w:lang w:val="zh-CN"/>
        </w:rPr>
        <w:t>的节能产品；优先采购环境标志产品是指列入</w:t>
      </w:r>
      <w:r>
        <w:rPr>
          <w:rFonts w:hint="eastAsia" w:ascii="宋体" w:hAnsi="宋体"/>
          <w:bCs/>
          <w:color w:val="auto"/>
          <w:sz w:val="24"/>
          <w:szCs w:val="24"/>
          <w:highlight w:val="none"/>
        </w:rPr>
        <w:t>财政部、生态环境部联合</w:t>
      </w:r>
      <w:r>
        <w:rPr>
          <w:rFonts w:hint="eastAsia" w:ascii="宋体" w:hAnsi="宋体"/>
          <w:bCs/>
          <w:color w:val="auto"/>
          <w:sz w:val="24"/>
          <w:szCs w:val="24"/>
          <w:highlight w:val="none"/>
          <w:lang w:val="zh-CN"/>
        </w:rPr>
        <w:t>公布的最新《环境标志产品政府采购品目清单》，且获得由</w:t>
      </w:r>
      <w:r>
        <w:rPr>
          <w:rFonts w:hint="eastAsia" w:ascii="宋体" w:hAnsi="宋体"/>
          <w:bCs/>
          <w:color w:val="auto"/>
          <w:sz w:val="24"/>
          <w:szCs w:val="24"/>
          <w:highlight w:val="none"/>
        </w:rPr>
        <w:t>国家确定的认证机构出具的、处于有效期之内的环境标志产品认证证书</w:t>
      </w:r>
      <w:r>
        <w:rPr>
          <w:rFonts w:hint="eastAsia" w:ascii="宋体" w:hAnsi="宋体"/>
          <w:bCs/>
          <w:color w:val="auto"/>
          <w:sz w:val="24"/>
          <w:szCs w:val="24"/>
          <w:highlight w:val="none"/>
          <w:lang w:val="zh-CN"/>
        </w:rPr>
        <w:t>的环境标志产品。</w:t>
      </w:r>
    </w:p>
    <w:p w14:paraId="2870D00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.5</w:t>
      </w:r>
      <w:r>
        <w:rPr>
          <w:rFonts w:hint="eastAsia" w:ascii="宋体" w:hAnsi="宋体"/>
          <w:bCs/>
          <w:color w:val="000000"/>
          <w:sz w:val="24"/>
          <w:szCs w:val="24"/>
          <w:highlight w:val="none"/>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398FFD0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.6</w:t>
      </w:r>
      <w:r>
        <w:rPr>
          <w:rFonts w:hint="eastAsia" w:ascii="宋体" w:hAnsi="宋体"/>
          <w:bCs/>
          <w:color w:val="000000"/>
          <w:sz w:val="24"/>
          <w:szCs w:val="24"/>
          <w:highlight w:val="none"/>
        </w:rPr>
        <w:t>鼓励供应商在参加政府采购过程中开展绿色设计、选择绿色材料、打造绿色制造工艺、开展绿色运输、做好废弃产品回收处理，实现产品全周期的绿色环保。</w:t>
      </w:r>
    </w:p>
    <w:p w14:paraId="6D6D27A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.7</w:t>
      </w:r>
      <w:r>
        <w:rPr>
          <w:rFonts w:hint="eastAsia" w:ascii="宋体" w:hAnsi="宋体"/>
          <w:bCs/>
          <w:color w:val="000000"/>
          <w:sz w:val="24"/>
          <w:szCs w:val="24"/>
          <w:highlight w:val="none"/>
        </w:rPr>
        <w:t>落实挥发性有机化合物（VOCs）治理要求，涉及涂料、胶黏剂、油墨、清洗剂等挥发性有机物产品的，属于强制性标准的，供应商应当执行国家和我省VOCs含量限制标准。</w:t>
      </w:r>
    </w:p>
    <w:p w14:paraId="23248B1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.8</w:t>
      </w:r>
      <w:r>
        <w:rPr>
          <w:rFonts w:hint="eastAsia" w:ascii="宋体" w:hAnsi="宋体"/>
          <w:bCs/>
          <w:color w:val="000000"/>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1"/>
    </w:p>
    <w:p w14:paraId="164DAE3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注：支持中小企业发展、强制采购、</w:t>
      </w:r>
      <w:r>
        <w:rPr>
          <w:rFonts w:hint="eastAsia" w:ascii="宋体" w:hAnsi="宋体"/>
          <w:bCs/>
          <w:color w:val="000000"/>
          <w:sz w:val="24"/>
          <w:szCs w:val="24"/>
          <w:highlight w:val="none"/>
          <w:lang w:val="zh-CN"/>
        </w:rPr>
        <w:t>优先采购及其他政府采购政策按相关文件规定执行。</w:t>
      </w:r>
      <w:bookmarkEnd w:id="12"/>
      <w:bookmarkEnd w:id="13"/>
    </w:p>
    <w:p w14:paraId="7C14F9B5">
      <w:pPr>
        <w:numPr>
          <w:ilvl w:val="0"/>
          <w:numId w:val="2"/>
        </w:num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投标费用</w:t>
      </w:r>
    </w:p>
    <w:p w14:paraId="52B341C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w:t>
      </w:r>
      <w:r>
        <w:rPr>
          <w:rFonts w:hint="eastAsia" w:ascii="宋体" w:hAnsi="宋体" w:eastAsia="宋体" w:cs="宋体"/>
          <w:bCs/>
          <w:sz w:val="24"/>
          <w:szCs w:val="24"/>
          <w:highlight w:val="none"/>
          <w:lang w:val="en-US" w:eastAsia="zh-CN"/>
        </w:rPr>
        <w:t>招标</w:t>
      </w:r>
      <w:r>
        <w:rPr>
          <w:rFonts w:hint="eastAsia" w:ascii="宋体" w:hAnsi="宋体" w:eastAsia="宋体" w:cs="宋体"/>
          <w:bCs/>
          <w:sz w:val="24"/>
          <w:szCs w:val="24"/>
          <w:highlight w:val="none"/>
        </w:rPr>
        <w:t>文件中的货币单位均为人民币元。</w:t>
      </w:r>
    </w:p>
    <w:p w14:paraId="1DADB869">
      <w:pPr>
        <w:spacing w:line="360" w:lineRule="auto"/>
        <w:ind w:firstLine="480"/>
        <w:rPr>
          <w:rFonts w:hint="eastAsia" w:ascii="宋体" w:hAnsi="宋体" w:eastAsia="宋体" w:cs="宋体"/>
          <w:bCs/>
          <w:sz w:val="24"/>
          <w:szCs w:val="24"/>
          <w:highlight w:val="none"/>
        </w:rPr>
      </w:pPr>
      <w:bookmarkStart w:id="19" w:name="OLE_LINK88"/>
      <w:r>
        <w:rPr>
          <w:rFonts w:hint="eastAsia" w:ascii="宋体" w:hAnsi="宋体" w:eastAsia="宋体" w:cs="宋体"/>
          <w:bCs/>
          <w:color w:val="000000"/>
          <w:sz w:val="24"/>
          <w:szCs w:val="24"/>
          <w:highlight w:val="none"/>
        </w:rPr>
        <w:t xml:space="preserve">4.2 </w:t>
      </w:r>
      <w:bookmarkEnd w:id="19"/>
      <w:r>
        <w:rPr>
          <w:rFonts w:hint="eastAsia" w:ascii="宋体" w:hAnsi="宋体" w:eastAsia="宋体" w:cs="宋体"/>
          <w:bCs/>
          <w:color w:val="000000"/>
          <w:sz w:val="24"/>
          <w:szCs w:val="24"/>
          <w:highlight w:val="none"/>
        </w:rPr>
        <w:t>供应商应自行承担所有与准备和参加报价有关的一切费用</w:t>
      </w:r>
      <w:r>
        <w:rPr>
          <w:rFonts w:hint="eastAsia" w:ascii="宋体" w:hAnsi="宋体" w:eastAsia="宋体" w:cs="宋体"/>
          <w:bCs/>
          <w:sz w:val="24"/>
          <w:szCs w:val="24"/>
          <w:highlight w:val="none"/>
        </w:rPr>
        <w:t>。</w:t>
      </w:r>
    </w:p>
    <w:p w14:paraId="2F561CCA">
      <w:pPr>
        <w:spacing w:line="360" w:lineRule="auto"/>
        <w:ind w:firstLine="480"/>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4.3 </w:t>
      </w:r>
      <w:r>
        <w:rPr>
          <w:rFonts w:hint="eastAsia" w:ascii="宋体" w:hAnsi="宋体" w:cs="宋体"/>
          <w:bCs/>
          <w:color w:val="auto"/>
          <w:sz w:val="24"/>
          <w:szCs w:val="24"/>
          <w:highlight w:val="none"/>
          <w:lang w:val="en-US" w:eastAsia="zh-CN"/>
        </w:rPr>
        <w:t>招标代理费</w:t>
      </w:r>
      <w:r>
        <w:rPr>
          <w:rFonts w:hint="eastAsia" w:ascii="宋体" w:hAnsi="宋体" w:eastAsia="宋体" w:cs="宋体"/>
          <w:bCs/>
          <w:color w:val="auto"/>
          <w:sz w:val="24"/>
          <w:szCs w:val="24"/>
          <w:highlight w:val="none"/>
          <w:lang w:val="en-US"/>
        </w:rPr>
        <w:t>收费标准:</w:t>
      </w:r>
      <w:r>
        <w:rPr>
          <w:rFonts w:hint="eastAsia" w:ascii="宋体" w:hAnsi="宋体" w:eastAsia="宋体" w:cs="Times New Roman"/>
          <w:bCs/>
          <w:color w:val="auto"/>
          <w:sz w:val="24"/>
          <w:szCs w:val="24"/>
          <w:highlight w:val="none"/>
          <w:lang w:val="en-US" w:eastAsia="zh-CN"/>
        </w:rPr>
        <w:t>招标代理服务费等费用由</w:t>
      </w:r>
      <w:r>
        <w:rPr>
          <w:rFonts w:hint="eastAsia" w:ascii="宋体" w:hAnsi="宋体" w:cs="Times New Roman"/>
          <w:bCs/>
          <w:color w:val="auto"/>
          <w:sz w:val="24"/>
          <w:szCs w:val="24"/>
          <w:highlight w:val="none"/>
          <w:lang w:val="en-US" w:eastAsia="zh-CN"/>
        </w:rPr>
        <w:t>中标供应商</w:t>
      </w:r>
      <w:r>
        <w:rPr>
          <w:rFonts w:hint="eastAsia" w:ascii="宋体" w:hAnsi="宋体" w:eastAsia="宋体" w:cs="Times New Roman"/>
          <w:bCs/>
          <w:color w:val="auto"/>
          <w:sz w:val="24"/>
          <w:szCs w:val="24"/>
          <w:highlight w:val="none"/>
          <w:lang w:val="en-US" w:eastAsia="zh-CN"/>
        </w:rPr>
        <w:t>支付，</w:t>
      </w:r>
      <w:r>
        <w:rPr>
          <w:rFonts w:hint="default" w:ascii="宋体" w:hAnsi="宋体" w:cs="Times New Roman"/>
          <w:bCs/>
          <w:color w:val="auto"/>
          <w:sz w:val="24"/>
          <w:szCs w:val="24"/>
          <w:highlight w:val="none"/>
          <w:lang w:val="en-US" w:eastAsia="zh-CN"/>
        </w:rPr>
        <w:t>按中标价，100万元(含)以下的部分*1.5%计算，100万元(不含)-500万元(含)的部分*0.8%计算。按以上标准和差额定率累进法进行计算*</w:t>
      </w:r>
      <w:r>
        <w:rPr>
          <w:rFonts w:hint="eastAsia" w:ascii="宋体" w:hAnsi="宋体" w:cs="Times New Roman"/>
          <w:bCs/>
          <w:color w:val="auto"/>
          <w:sz w:val="24"/>
          <w:szCs w:val="24"/>
          <w:highlight w:val="none"/>
          <w:lang w:val="en-US" w:eastAsia="zh-CN"/>
        </w:rPr>
        <w:t>70</w:t>
      </w:r>
      <w:r>
        <w:rPr>
          <w:rFonts w:hint="default" w:ascii="宋体" w:hAnsi="宋体" w:cs="Times New Roman"/>
          <w:bCs/>
          <w:color w:val="auto"/>
          <w:sz w:val="24"/>
          <w:szCs w:val="24"/>
          <w:highlight w:val="none"/>
          <w:lang w:val="en-US" w:eastAsia="zh-CN"/>
        </w:rPr>
        <w:t>%收取</w:t>
      </w:r>
      <w:r>
        <w:rPr>
          <w:rFonts w:hint="eastAsia" w:ascii="宋体" w:hAnsi="宋体" w:eastAsia="宋体" w:cs="Times New Roman"/>
          <w:bCs/>
          <w:color w:val="auto"/>
          <w:sz w:val="24"/>
          <w:szCs w:val="24"/>
          <w:highlight w:val="none"/>
          <w:lang w:val="en-US" w:eastAsia="zh-CN"/>
        </w:rPr>
        <w:t>，由</w:t>
      </w:r>
      <w:r>
        <w:rPr>
          <w:rFonts w:hint="eastAsia" w:ascii="宋体" w:hAnsi="宋体" w:cs="Times New Roman"/>
          <w:bCs/>
          <w:color w:val="auto"/>
          <w:sz w:val="24"/>
          <w:szCs w:val="24"/>
          <w:highlight w:val="none"/>
          <w:lang w:val="en-US" w:eastAsia="zh-CN"/>
        </w:rPr>
        <w:t>中标</w:t>
      </w:r>
      <w:r>
        <w:rPr>
          <w:rFonts w:hint="eastAsia" w:ascii="宋体" w:hAnsi="宋体" w:eastAsia="宋体" w:cs="Times New Roman"/>
          <w:bCs/>
          <w:color w:val="auto"/>
          <w:sz w:val="24"/>
          <w:szCs w:val="24"/>
          <w:highlight w:val="none"/>
          <w:lang w:val="en-US" w:eastAsia="zh-CN"/>
        </w:rPr>
        <w:t>供应商在领取</w:t>
      </w:r>
      <w:r>
        <w:rPr>
          <w:rFonts w:hint="eastAsia" w:ascii="宋体" w:hAnsi="宋体" w:cs="Times New Roman"/>
          <w:bCs/>
          <w:color w:val="auto"/>
          <w:sz w:val="24"/>
          <w:szCs w:val="24"/>
          <w:highlight w:val="none"/>
          <w:lang w:val="en-US" w:eastAsia="zh-CN"/>
        </w:rPr>
        <w:t>中标</w:t>
      </w:r>
      <w:r>
        <w:rPr>
          <w:rFonts w:hint="eastAsia" w:ascii="宋体" w:hAnsi="宋体" w:eastAsia="宋体" w:cs="Times New Roman"/>
          <w:bCs/>
          <w:color w:val="auto"/>
          <w:sz w:val="24"/>
          <w:szCs w:val="24"/>
          <w:highlight w:val="none"/>
          <w:lang w:val="en-US" w:eastAsia="zh-CN"/>
        </w:rPr>
        <w:t>通知书</w:t>
      </w:r>
      <w:r>
        <w:rPr>
          <w:rFonts w:hint="eastAsia" w:ascii="宋体" w:hAnsi="宋体" w:cs="Times New Roman"/>
          <w:bCs/>
          <w:color w:val="auto"/>
          <w:sz w:val="24"/>
          <w:szCs w:val="24"/>
          <w:highlight w:val="none"/>
          <w:lang w:val="en-US" w:eastAsia="zh-CN"/>
        </w:rPr>
        <w:t>后</w:t>
      </w:r>
      <w:r>
        <w:rPr>
          <w:rFonts w:hint="eastAsia" w:ascii="宋体" w:hAnsi="宋体" w:eastAsia="宋体" w:cs="Times New Roman"/>
          <w:bCs/>
          <w:color w:val="auto"/>
          <w:sz w:val="24"/>
          <w:szCs w:val="24"/>
          <w:highlight w:val="none"/>
          <w:lang w:val="en-US" w:eastAsia="zh-CN"/>
        </w:rPr>
        <w:t>一次性付清。</w:t>
      </w:r>
    </w:p>
    <w:p w14:paraId="5DFC8E24">
      <w:pPr>
        <w:numPr>
          <w:ilvl w:val="0"/>
          <w:numId w:val="2"/>
        </w:num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保密要求</w:t>
      </w:r>
    </w:p>
    <w:p w14:paraId="55E27FDD">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5.1 采购各方当事人，对采购活动过程中获悉的国家秘密、商业秘密，应当依法予以保密。</w:t>
      </w:r>
    </w:p>
    <w:p w14:paraId="79CFB314">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二、招标文件</w:t>
      </w:r>
    </w:p>
    <w:p w14:paraId="12EAE9C1">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6、</w:t>
      </w:r>
      <w:r>
        <w:rPr>
          <w:rFonts w:hint="eastAsia" w:ascii="宋体" w:hAnsi="宋体"/>
          <w:b/>
          <w:color w:val="000000"/>
          <w:sz w:val="24"/>
          <w:szCs w:val="24"/>
          <w:highlight w:val="none"/>
          <w:lang w:val="zh-CN"/>
        </w:rPr>
        <w:t>招标文件的组成</w:t>
      </w:r>
    </w:p>
    <w:p w14:paraId="1D677170">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6.1 投标人</w:t>
      </w:r>
      <w:bookmarkStart w:id="20" w:name="_Hlk127867521"/>
      <w:r>
        <w:rPr>
          <w:rFonts w:hint="eastAsia" w:ascii="宋体" w:hAnsi="宋体"/>
          <w:bCs/>
          <w:color w:val="000000"/>
          <w:sz w:val="24"/>
          <w:szCs w:val="24"/>
          <w:highlight w:val="none"/>
        </w:rPr>
        <w:t>应</w:t>
      </w:r>
      <w:r>
        <w:rPr>
          <w:rFonts w:ascii="宋体" w:hAnsi="宋体"/>
          <w:bCs/>
          <w:color w:val="000000"/>
          <w:sz w:val="24"/>
          <w:szCs w:val="24"/>
          <w:highlight w:val="none"/>
        </w:rPr>
        <w:t>登录“苏采云”</w:t>
      </w:r>
      <w:bookmarkEnd w:id="20"/>
      <w:r>
        <w:rPr>
          <w:rFonts w:ascii="宋体" w:hAnsi="宋体"/>
          <w:bCs/>
          <w:color w:val="000000"/>
          <w:sz w:val="24"/>
          <w:szCs w:val="24"/>
          <w:highlight w:val="none"/>
        </w:rPr>
        <w:t xml:space="preserve"> 系统</w:t>
      </w:r>
      <w:r>
        <w:rPr>
          <w:rFonts w:hint="eastAsia" w:ascii="宋体" w:hAnsi="宋体"/>
          <w:bCs/>
          <w:color w:val="000000"/>
          <w:sz w:val="24"/>
          <w:szCs w:val="24"/>
          <w:highlight w:val="none"/>
        </w:rPr>
        <w:t>下载</w:t>
      </w:r>
      <w:r>
        <w:rPr>
          <w:rFonts w:hint="eastAsia" w:ascii="宋体" w:hAnsi="宋体"/>
          <w:bCs/>
          <w:color w:val="000000"/>
          <w:sz w:val="24"/>
          <w:szCs w:val="24"/>
          <w:highlight w:val="none"/>
          <w:lang w:val="zh-CN"/>
        </w:rPr>
        <w:t>招标文件</w:t>
      </w:r>
      <w:r>
        <w:rPr>
          <w:rFonts w:hint="eastAsia" w:ascii="宋体" w:hAnsi="宋体" w:cs="宋体"/>
          <w:bCs/>
          <w:color w:val="000000"/>
          <w:sz w:val="24"/>
          <w:szCs w:val="21"/>
          <w:highlight w:val="none"/>
        </w:rPr>
        <w:t>(后缀名为“.kedt”)</w:t>
      </w:r>
      <w:r>
        <w:rPr>
          <w:rFonts w:hint="eastAsia" w:ascii="宋体" w:hAnsi="宋体"/>
          <w:bCs/>
          <w:color w:val="000000"/>
          <w:sz w:val="24"/>
          <w:szCs w:val="24"/>
          <w:highlight w:val="none"/>
        </w:rPr>
        <w:t>。投标人须按招标文件要求提交资料并对招标文件相关内容作出实质性响应，否则投标无效。</w:t>
      </w:r>
    </w:p>
    <w:p w14:paraId="65AAB7F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6.2 招标文件包括招标公告和本文件目录所列全部内容及其附件，如有缺漏，请立即与</w:t>
      </w:r>
      <w:bookmarkStart w:id="21" w:name="OLE_LINK253"/>
      <w:r>
        <w:rPr>
          <w:rFonts w:hint="eastAsia" w:ascii="宋体" w:hAnsi="宋体"/>
          <w:bCs/>
          <w:color w:val="000000"/>
          <w:sz w:val="24"/>
          <w:szCs w:val="24"/>
          <w:highlight w:val="none"/>
        </w:rPr>
        <w:t>采购人或者</w:t>
      </w:r>
      <w:bookmarkEnd w:id="21"/>
      <w:r>
        <w:rPr>
          <w:rFonts w:hint="eastAsia" w:ascii="宋体" w:hAnsi="宋体"/>
          <w:bCs/>
          <w:color w:val="000000"/>
          <w:sz w:val="24"/>
          <w:szCs w:val="24"/>
          <w:highlight w:val="none"/>
          <w:lang w:val="en-US" w:eastAsia="zh-CN"/>
        </w:rPr>
        <w:t>代理机构</w:t>
      </w:r>
      <w:r>
        <w:rPr>
          <w:rFonts w:hint="eastAsia" w:ascii="宋体" w:hAnsi="宋体"/>
          <w:bCs/>
          <w:color w:val="000000"/>
          <w:sz w:val="24"/>
          <w:szCs w:val="24"/>
          <w:highlight w:val="none"/>
        </w:rPr>
        <w:t>联系解决。</w:t>
      </w:r>
    </w:p>
    <w:p w14:paraId="6E8F793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6.3 招标文件如与招标公告有不一致的地方，以招标文件为准；电子投标文件制作</w:t>
      </w:r>
      <w:r>
        <w:rPr>
          <w:rFonts w:hint="eastAsia" w:ascii="宋体" w:hAnsi="宋体" w:cs="宋体"/>
          <w:bCs/>
          <w:color w:val="000000"/>
          <w:sz w:val="24"/>
          <w:szCs w:val="21"/>
          <w:highlight w:val="none"/>
        </w:rPr>
        <w:t>客户端工具中</w:t>
      </w:r>
      <w:r>
        <w:rPr>
          <w:rFonts w:hint="eastAsia" w:ascii="宋体" w:hAnsi="宋体"/>
          <w:bCs/>
          <w:color w:val="000000"/>
          <w:sz w:val="24"/>
          <w:szCs w:val="24"/>
          <w:highlight w:val="none"/>
        </w:rPr>
        <w:t>电子投标文件格式、说明与招标文件格式、说明不一致的，以招标文件格式、说明为准。</w:t>
      </w:r>
    </w:p>
    <w:p w14:paraId="410C520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w:t>
      </w:r>
      <w:r>
        <w:rPr>
          <w:rFonts w:ascii="宋体" w:hAnsi="宋体"/>
          <w:bCs/>
          <w:color w:val="000000"/>
          <w:sz w:val="24"/>
          <w:szCs w:val="24"/>
          <w:highlight w:val="none"/>
        </w:rPr>
        <w:t>.4</w:t>
      </w:r>
      <w:r>
        <w:rPr>
          <w:rFonts w:hint="eastAsia" w:ascii="宋体" w:hAnsi="宋体"/>
          <w:bCs/>
          <w:color w:val="000000"/>
          <w:sz w:val="24"/>
          <w:szCs w:val="24"/>
          <w:highlight w:val="none"/>
        </w:rPr>
        <w:t>相关网站公告、公示信息如有不一致的，以“江苏政府采购网”发布的信息为准。</w:t>
      </w:r>
    </w:p>
    <w:p w14:paraId="436918AF">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7、</w:t>
      </w:r>
      <w:r>
        <w:rPr>
          <w:rFonts w:hint="eastAsia" w:ascii="宋体" w:hAnsi="宋体"/>
          <w:b/>
          <w:color w:val="000000"/>
          <w:sz w:val="24"/>
          <w:szCs w:val="24"/>
          <w:highlight w:val="none"/>
          <w:lang w:val="zh-CN"/>
        </w:rPr>
        <w:t>招标文件的解释</w:t>
      </w:r>
    </w:p>
    <w:p w14:paraId="5503D3B3">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7.1 本文件和“第三章 项目技术要求和有关说明”和“</w:t>
      </w:r>
      <w:bookmarkStart w:id="22" w:name="OLE_LINK21"/>
      <w:r>
        <w:rPr>
          <w:rFonts w:hint="eastAsia" w:ascii="宋体" w:hAnsi="宋体"/>
          <w:bCs/>
          <w:color w:val="000000"/>
          <w:sz w:val="24"/>
          <w:szCs w:val="24"/>
          <w:highlight w:val="none"/>
        </w:rPr>
        <w:t>第四章 评标方法和标准</w:t>
      </w:r>
      <w:bookmarkEnd w:id="22"/>
      <w:r>
        <w:rPr>
          <w:rFonts w:hint="eastAsia" w:ascii="宋体" w:hAnsi="宋体"/>
          <w:bCs/>
          <w:color w:val="000000"/>
          <w:sz w:val="24"/>
          <w:szCs w:val="24"/>
          <w:highlight w:val="none"/>
        </w:rPr>
        <w:t>”由</w:t>
      </w:r>
      <w:bookmarkStart w:id="23" w:name="OLE_LINK13"/>
      <w:r>
        <w:rPr>
          <w:rFonts w:hint="eastAsia" w:ascii="宋体" w:hAnsi="宋体"/>
          <w:bCs/>
          <w:color w:val="000000"/>
          <w:sz w:val="24"/>
          <w:szCs w:val="24"/>
          <w:highlight w:val="none"/>
        </w:rPr>
        <w:t>采购人负责解释</w:t>
      </w:r>
      <w:bookmarkEnd w:id="23"/>
      <w:r>
        <w:rPr>
          <w:rFonts w:hint="eastAsia" w:ascii="宋体" w:hAnsi="宋体"/>
          <w:bCs/>
          <w:color w:val="000000"/>
          <w:sz w:val="24"/>
          <w:szCs w:val="24"/>
          <w:highlight w:val="none"/>
        </w:rPr>
        <w:t>，其他部分由采购人和</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机构负责解释。</w:t>
      </w:r>
    </w:p>
    <w:p w14:paraId="6EACA098">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rPr>
        <w:t>8、</w:t>
      </w:r>
      <w:r>
        <w:rPr>
          <w:rFonts w:hint="eastAsia" w:ascii="宋体" w:hAnsi="宋体"/>
          <w:b/>
          <w:color w:val="000000"/>
          <w:sz w:val="24"/>
          <w:szCs w:val="24"/>
          <w:highlight w:val="none"/>
          <w:lang w:val="zh-CN"/>
        </w:rPr>
        <w:t>招标文件的澄清、修改</w:t>
      </w:r>
    </w:p>
    <w:p w14:paraId="5318B26B">
      <w:pPr>
        <w:spacing w:line="360" w:lineRule="auto"/>
        <w:ind w:firstLine="480"/>
        <w:rPr>
          <w:rFonts w:hint="eastAsia" w:ascii="宋体"/>
          <w:color w:val="000000"/>
          <w:sz w:val="24"/>
          <w:szCs w:val="21"/>
          <w:highlight w:val="none"/>
          <w:lang w:val="zh-CN"/>
        </w:rPr>
      </w:pPr>
      <w:r>
        <w:rPr>
          <w:rFonts w:hint="eastAsia" w:ascii="宋体" w:hAnsi="宋体"/>
          <w:bCs/>
          <w:color w:val="000000"/>
          <w:sz w:val="24"/>
          <w:szCs w:val="24"/>
          <w:highlight w:val="none"/>
        </w:rPr>
        <w:t>8.1 采购人或者</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w:t>
      </w:r>
      <w:r>
        <w:rPr>
          <w:rFonts w:hint="eastAsia" w:ascii="宋体" w:hAnsi="宋体"/>
          <w:bCs/>
          <w:color w:val="000000"/>
          <w:sz w:val="24"/>
          <w:szCs w:val="24"/>
          <w:highlight w:val="none"/>
          <w:lang w:val="zh-CN"/>
        </w:rPr>
        <w:t>对已发出的招标文件进行必要澄清或者修改的，将在投标截止时间</w:t>
      </w:r>
      <w:r>
        <w:rPr>
          <w:rFonts w:hint="eastAsia" w:ascii="宋体" w:hAnsi="宋体"/>
          <w:bCs/>
          <w:color w:val="000000"/>
          <w:sz w:val="24"/>
          <w:szCs w:val="24"/>
          <w:highlight w:val="none"/>
        </w:rPr>
        <w:t>15</w:t>
      </w:r>
      <w:r>
        <w:rPr>
          <w:rFonts w:hint="eastAsia" w:ascii="宋体" w:hAnsi="宋体"/>
          <w:bCs/>
          <w:color w:val="000000"/>
          <w:sz w:val="24"/>
          <w:szCs w:val="24"/>
          <w:highlight w:val="none"/>
          <w:lang w:val="zh-CN"/>
        </w:rPr>
        <w:t>日前</w:t>
      </w:r>
      <w:r>
        <w:rPr>
          <w:rFonts w:hint="eastAsia" w:ascii="宋体" w:hAnsi="宋体"/>
          <w:bCs/>
          <w:color w:val="000000"/>
          <w:sz w:val="24"/>
          <w:szCs w:val="24"/>
          <w:highlight w:val="none"/>
        </w:rPr>
        <w:t>，</w:t>
      </w:r>
      <w:r>
        <w:rPr>
          <w:rFonts w:hint="eastAsia" w:ascii="宋体" w:hAnsi="宋体"/>
          <w:bCs/>
          <w:color w:val="000000"/>
          <w:sz w:val="24"/>
          <w:szCs w:val="24"/>
          <w:highlight w:val="none"/>
          <w:lang w:val="zh-CN"/>
        </w:rPr>
        <w:t>在原招标公告媒体发布更正公告，</w:t>
      </w:r>
      <w:r>
        <w:rPr>
          <w:rFonts w:hint="eastAsia" w:ascii="宋体"/>
          <w:color w:val="000000"/>
          <w:sz w:val="24"/>
          <w:szCs w:val="21"/>
          <w:highlight w:val="none"/>
          <w:lang w:val="zh-CN"/>
        </w:rPr>
        <w:t>并</w:t>
      </w:r>
      <w:r>
        <w:rPr>
          <w:rFonts w:ascii="宋体" w:hAnsi="宋体"/>
          <w:color w:val="000000"/>
          <w:sz w:val="24"/>
          <w:szCs w:val="21"/>
          <w:highlight w:val="none"/>
          <w:lang w:val="zh-CN"/>
        </w:rPr>
        <w:t>在系统中以书面形式通知所有已获取招标文件的潜在</w:t>
      </w:r>
      <w:r>
        <w:rPr>
          <w:rFonts w:hint="eastAsia" w:ascii="宋体" w:hAnsi="宋体"/>
          <w:color w:val="000000"/>
          <w:sz w:val="24"/>
          <w:szCs w:val="21"/>
          <w:highlight w:val="none"/>
          <w:lang w:val="zh-CN"/>
        </w:rPr>
        <w:t>投标人</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投标人</w:t>
      </w:r>
      <w:r>
        <w:rPr>
          <w:rFonts w:ascii="宋体" w:hAnsi="宋体"/>
          <w:color w:val="000000"/>
          <w:sz w:val="24"/>
          <w:szCs w:val="21"/>
          <w:highlight w:val="none"/>
          <w:lang w:val="zh-CN"/>
        </w:rPr>
        <w:t>请登录系统查看相应内容</w:t>
      </w:r>
      <w:r>
        <w:rPr>
          <w:rFonts w:hint="eastAsia" w:ascii="宋体"/>
          <w:color w:val="000000"/>
          <w:sz w:val="24"/>
          <w:szCs w:val="21"/>
          <w:highlight w:val="none"/>
          <w:lang w:val="zh-CN"/>
        </w:rPr>
        <w:t>。</w:t>
      </w:r>
      <w:r>
        <w:rPr>
          <w:rFonts w:hint="eastAsia" w:ascii="宋体" w:hAnsi="宋体"/>
          <w:bCs/>
          <w:color w:val="000000"/>
          <w:sz w:val="24"/>
          <w:szCs w:val="24"/>
          <w:highlight w:val="none"/>
          <w:lang w:val="zh-CN"/>
        </w:rPr>
        <w:t>不足</w:t>
      </w:r>
      <w:r>
        <w:rPr>
          <w:rFonts w:hint="eastAsia" w:ascii="宋体" w:hAnsi="宋体"/>
          <w:bCs/>
          <w:color w:val="000000"/>
          <w:sz w:val="24"/>
          <w:szCs w:val="24"/>
          <w:highlight w:val="none"/>
        </w:rPr>
        <w:t>15日的，采购人或者</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机构有权决定是否顺延投标截止时间和开标时间，</w:t>
      </w:r>
      <w:r>
        <w:rPr>
          <w:rFonts w:hint="eastAsia" w:ascii="宋体" w:hAnsi="宋体"/>
          <w:bCs/>
          <w:color w:val="000000"/>
          <w:sz w:val="24"/>
          <w:szCs w:val="24"/>
          <w:highlight w:val="none"/>
          <w:lang w:val="zh-CN"/>
        </w:rPr>
        <w:t>该澄清或者修改的内容为招标文件的组成部分。</w:t>
      </w:r>
    </w:p>
    <w:p w14:paraId="052B0716">
      <w:pPr>
        <w:spacing w:line="360" w:lineRule="auto"/>
        <w:ind w:firstLine="480"/>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8.2 </w:t>
      </w:r>
      <w:r>
        <w:rPr>
          <w:rFonts w:ascii="宋体" w:hAnsi="宋体"/>
          <w:color w:val="000000"/>
          <w:sz w:val="24"/>
          <w:szCs w:val="21"/>
          <w:highlight w:val="none"/>
          <w:lang w:val="zh-CN"/>
        </w:rPr>
        <w:t>如澄清或修改公告有重新发布电子招标文件的，</w:t>
      </w:r>
      <w:r>
        <w:rPr>
          <w:rFonts w:hint="eastAsia" w:ascii="宋体" w:hAnsi="宋体"/>
          <w:color w:val="000000"/>
          <w:sz w:val="24"/>
          <w:szCs w:val="21"/>
          <w:highlight w:val="none"/>
          <w:lang w:val="zh-CN"/>
        </w:rPr>
        <w:t>投标人</w:t>
      </w:r>
      <w:r>
        <w:rPr>
          <w:rFonts w:ascii="宋体" w:hAnsi="宋体"/>
          <w:color w:val="000000"/>
          <w:sz w:val="24"/>
          <w:szCs w:val="21"/>
          <w:highlight w:val="none"/>
          <w:lang w:val="zh-CN"/>
        </w:rPr>
        <w:t>应下载最新发布的电子招标文件制作</w:t>
      </w:r>
      <w:r>
        <w:rPr>
          <w:rFonts w:hint="eastAsia" w:ascii="宋体" w:hAnsi="宋体"/>
          <w:color w:val="000000"/>
          <w:sz w:val="24"/>
          <w:szCs w:val="21"/>
          <w:highlight w:val="none"/>
          <w:lang w:val="zh-CN"/>
        </w:rPr>
        <w:t>投标</w:t>
      </w:r>
      <w:r>
        <w:rPr>
          <w:rFonts w:ascii="宋体" w:hAnsi="宋体"/>
          <w:color w:val="000000"/>
          <w:sz w:val="24"/>
          <w:szCs w:val="21"/>
          <w:highlight w:val="none"/>
          <w:lang w:val="zh-CN"/>
        </w:rPr>
        <w:t>文件。因</w:t>
      </w:r>
      <w:r>
        <w:rPr>
          <w:rFonts w:hint="eastAsia" w:ascii="宋体" w:hAnsi="宋体"/>
          <w:color w:val="000000"/>
          <w:sz w:val="24"/>
          <w:szCs w:val="21"/>
          <w:highlight w:val="none"/>
          <w:lang w:val="zh-CN"/>
        </w:rPr>
        <w:t>投标人</w:t>
      </w:r>
      <w:r>
        <w:rPr>
          <w:rFonts w:ascii="宋体" w:hAnsi="宋体"/>
          <w:color w:val="000000"/>
          <w:sz w:val="24"/>
          <w:szCs w:val="21"/>
          <w:highlight w:val="none"/>
          <w:lang w:val="zh-CN"/>
        </w:rPr>
        <w:t>自身原因未能及时获取的，一切后果由供应商自行承担。</w:t>
      </w:r>
    </w:p>
    <w:p w14:paraId="7FD14FED">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三、投标文件</w:t>
      </w:r>
    </w:p>
    <w:p w14:paraId="4C365C8B">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9、投标文件的组成：对应第六章投标文件（格式）。</w:t>
      </w:r>
    </w:p>
    <w:p w14:paraId="419E6673">
      <w:pPr>
        <w:numPr>
          <w:ilvl w:val="0"/>
          <w:numId w:val="3"/>
        </w:numPr>
        <w:tabs>
          <w:tab w:val="left" w:pos="0"/>
          <w:tab w:val="left" w:pos="255"/>
        </w:tabs>
        <w:spacing w:line="360" w:lineRule="auto"/>
        <w:rPr>
          <w:rFonts w:hint="eastAsia" w:ascii="宋体" w:hAnsi="宋体"/>
          <w:b/>
          <w:bCs/>
          <w:color w:val="000000"/>
          <w:sz w:val="24"/>
          <w:szCs w:val="24"/>
          <w:highlight w:val="none"/>
          <w:lang w:val="zh-CN"/>
        </w:rPr>
      </w:pPr>
      <w:bookmarkStart w:id="24" w:name="OLE_LINK51"/>
      <w:r>
        <w:rPr>
          <w:rFonts w:hint="eastAsia" w:ascii="宋体" w:hAnsi="宋体"/>
          <w:b/>
          <w:bCs/>
          <w:color w:val="000000"/>
          <w:sz w:val="24"/>
          <w:szCs w:val="24"/>
          <w:highlight w:val="none"/>
          <w:lang w:val="zh-CN"/>
        </w:rPr>
        <w:t>开标一览表</w:t>
      </w:r>
    </w:p>
    <w:p w14:paraId="7DD08F1A">
      <w:pPr>
        <w:numPr>
          <w:ilvl w:val="0"/>
          <w:numId w:val="3"/>
        </w:numPr>
        <w:tabs>
          <w:tab w:val="left" w:pos="0"/>
          <w:tab w:val="left" w:pos="255"/>
        </w:tabs>
        <w:spacing w:line="360" w:lineRule="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资格条件</w:t>
      </w:r>
    </w:p>
    <w:p w14:paraId="03E0191A">
      <w:pPr>
        <w:tabs>
          <w:tab w:val="left" w:pos="0"/>
          <w:tab w:val="left" w:pos="255"/>
        </w:tabs>
        <w:spacing w:line="360" w:lineRule="auto"/>
        <w:ind w:firstLine="480"/>
        <w:jc w:val="left"/>
        <w:rPr>
          <w:rFonts w:ascii="宋体" w:hAnsi="宋体"/>
          <w:bCs/>
          <w:color w:val="000000"/>
          <w:sz w:val="24"/>
          <w:szCs w:val="24"/>
          <w:highlight w:val="none"/>
          <w:lang w:val="zh-CN"/>
        </w:rPr>
      </w:pPr>
      <w:bookmarkStart w:id="25" w:name="OLE_LINK114"/>
      <w:r>
        <w:rPr>
          <w:rFonts w:hint="eastAsia" w:ascii="宋体" w:hAnsi="宋体"/>
          <w:bCs/>
          <w:color w:val="000000"/>
          <w:sz w:val="24"/>
          <w:szCs w:val="24"/>
          <w:highlight w:val="none"/>
          <w:lang w:val="zh-CN"/>
        </w:rPr>
        <w:t>①</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资格声明函</w:t>
      </w:r>
      <w:r>
        <w:rPr>
          <w:rFonts w:hint="eastAsia" w:ascii="宋体" w:hAnsi="宋体"/>
          <w:bCs/>
          <w:color w:val="000000"/>
          <w:sz w:val="24"/>
          <w:szCs w:val="24"/>
          <w:highlight w:val="none"/>
          <w:lang w:val="zh-CN"/>
        </w:rPr>
        <w:t>：</w:t>
      </w:r>
      <w:bookmarkStart w:id="26" w:name="_Hlk151448601"/>
      <w:r>
        <w:rPr>
          <w:rFonts w:hint="eastAsia" w:ascii="宋体" w:hAnsi="宋体"/>
          <w:bCs/>
          <w:color w:val="000000"/>
          <w:sz w:val="24"/>
          <w:szCs w:val="24"/>
          <w:highlight w:val="none"/>
          <w:lang w:val="zh-CN"/>
        </w:rPr>
        <w:t>提供《关于资格的声明函》；</w:t>
      </w:r>
      <w:bookmarkEnd w:id="26"/>
    </w:p>
    <w:p w14:paraId="19E7BD4C">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②</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被授权代表身份证明1</w:t>
      </w:r>
      <w:bookmarkStart w:id="27" w:name="_Hlk163378222"/>
      <w:r>
        <w:rPr>
          <w:rFonts w:hint="eastAsia" w:ascii="宋体" w:hAnsi="宋体"/>
          <w:b/>
          <w:bCs w:val="0"/>
          <w:color w:val="000000"/>
          <w:sz w:val="24"/>
          <w:szCs w:val="24"/>
          <w:highlight w:val="none"/>
          <w:lang w:val="zh-CN"/>
        </w:rPr>
        <w:t>（授权委托书）</w:t>
      </w:r>
      <w:bookmarkEnd w:id="27"/>
      <w:r>
        <w:rPr>
          <w:rFonts w:hint="eastAsia" w:ascii="宋体" w:hAnsi="宋体"/>
          <w:bCs/>
          <w:color w:val="000000"/>
          <w:sz w:val="24"/>
          <w:szCs w:val="24"/>
          <w:highlight w:val="none"/>
          <w:lang w:val="zh-CN"/>
        </w:rPr>
        <w:t>：提供投标人法定代表人授权委托书（法定代表人亲自参加的无需提供）；</w:t>
      </w:r>
    </w:p>
    <w:p w14:paraId="1F8517A3">
      <w:pPr>
        <w:tabs>
          <w:tab w:val="left" w:pos="0"/>
          <w:tab w:val="left" w:pos="255"/>
        </w:tabs>
        <w:spacing w:line="360" w:lineRule="auto"/>
        <w:ind w:firstLine="480"/>
        <w:jc w:val="left"/>
        <w:rPr>
          <w:rFonts w:ascii="宋体" w:hAnsi="宋体"/>
          <w:bCs/>
          <w:color w:val="auto"/>
          <w:sz w:val="24"/>
          <w:szCs w:val="24"/>
          <w:highlight w:val="none"/>
          <w:lang w:val="zh-CN"/>
        </w:rPr>
      </w:pPr>
      <w:r>
        <w:rPr>
          <w:rFonts w:hint="eastAsia" w:ascii="宋体" w:hAnsi="宋体"/>
          <w:bCs/>
          <w:color w:val="000000"/>
          <w:sz w:val="24"/>
          <w:szCs w:val="24"/>
          <w:highlight w:val="none"/>
          <w:lang w:val="zh-CN"/>
        </w:rPr>
        <w:t>③</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被授权代表身份证明2（社保）</w:t>
      </w:r>
      <w:r>
        <w:rPr>
          <w:rFonts w:hint="eastAsia" w:ascii="宋体" w:hAnsi="宋体"/>
          <w:bCs/>
          <w:color w:val="000000"/>
          <w:sz w:val="24"/>
          <w:szCs w:val="24"/>
          <w:highlight w:val="none"/>
          <w:lang w:val="zh-CN"/>
        </w:rPr>
        <w:t>：</w:t>
      </w:r>
      <w:bookmarkStart w:id="28" w:name="_Hlk155260749"/>
      <w:r>
        <w:rPr>
          <w:rFonts w:hint="eastAsia" w:ascii="宋体" w:hAnsi="宋体"/>
          <w:bCs/>
          <w:color w:val="auto"/>
          <w:sz w:val="24"/>
          <w:szCs w:val="24"/>
          <w:highlight w:val="none"/>
          <w:lang w:val="zh-CN"/>
        </w:rPr>
        <w:t>提供投标人为本项目被授权代表缴纳的近六个月内任意一个月份的社保证明</w:t>
      </w:r>
      <w:bookmarkEnd w:id="28"/>
      <w:r>
        <w:rPr>
          <w:rFonts w:hint="eastAsia" w:ascii="宋体" w:hAnsi="宋体"/>
          <w:bCs/>
          <w:color w:val="auto"/>
          <w:sz w:val="24"/>
          <w:szCs w:val="24"/>
          <w:highlight w:val="none"/>
          <w:lang w:val="zh-CN"/>
        </w:rPr>
        <w:t>（提供相关主管部门证明或银行代扣证明，法定代表人亲自参加的无需提供）；</w:t>
      </w:r>
    </w:p>
    <w:p w14:paraId="0233BE1B">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④</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具有独立承担民事责任的能力：</w:t>
      </w:r>
      <w:r>
        <w:rPr>
          <w:rFonts w:hint="eastAsia" w:ascii="宋体" w:hAnsi="宋体"/>
          <w:bCs/>
          <w:color w:val="000000"/>
          <w:sz w:val="24"/>
          <w:szCs w:val="24"/>
          <w:highlight w:val="none"/>
          <w:lang w:val="zh-CN"/>
        </w:rPr>
        <w:t>提供投标人营业执照或法人（登记）证书，投标人为自然人的提供自然人身份证；</w:t>
      </w:r>
    </w:p>
    <w:p w14:paraId="5A633935">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⑤</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具有良好的商业信誉和健全的财务会计制度：</w:t>
      </w:r>
      <w:r>
        <w:rPr>
          <w:rFonts w:hint="eastAsia" w:ascii="宋体" w:hAnsi="宋体"/>
          <w:bCs/>
          <w:color w:val="000000"/>
          <w:sz w:val="24"/>
          <w:szCs w:val="24"/>
          <w:highlight w:val="none"/>
          <w:lang w:val="zh-CN"/>
        </w:rPr>
        <w:t>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37E1FBC2">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⑥</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有依法缴纳税收的良好记录：</w:t>
      </w:r>
      <w:r>
        <w:rPr>
          <w:rFonts w:hint="eastAsia" w:ascii="宋体" w:hAnsi="宋体"/>
          <w:bCs/>
          <w:color w:val="000000"/>
          <w:sz w:val="24"/>
          <w:szCs w:val="24"/>
          <w:highlight w:val="none"/>
          <w:lang w:val="zh-CN"/>
        </w:rPr>
        <w:t>提供投标人依法缴纳近十二个月中任意一个月份税收的相关材料（提供相关主管部门证明或银行代扣证明）；</w:t>
      </w:r>
    </w:p>
    <w:p w14:paraId="501A6066">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⑦</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有依法缴纳社会保障资金的良好记录：</w:t>
      </w:r>
      <w:r>
        <w:rPr>
          <w:rFonts w:hint="eastAsia" w:ascii="宋体" w:hAnsi="宋体"/>
          <w:bCs/>
          <w:color w:val="000000"/>
          <w:sz w:val="24"/>
          <w:szCs w:val="24"/>
          <w:highlight w:val="none"/>
          <w:lang w:val="zh-CN"/>
        </w:rPr>
        <w:t>提供投标人依法缴纳近十二个月中任意一个月份社会保障资金的相关材料（提供相关主管部门证明或银行代扣证明）；</w:t>
      </w:r>
    </w:p>
    <w:p w14:paraId="45F9E104">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⑧</w:t>
      </w:r>
      <w:r>
        <w:rPr>
          <w:rFonts w:hint="eastAsia" w:ascii="宋体" w:hAnsi="宋体"/>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无不良信用记录：</w:t>
      </w:r>
      <w:r>
        <w:rPr>
          <w:rFonts w:hint="eastAsia" w:ascii="宋体" w:hAnsi="宋体" w:cs="宋体"/>
          <w:bCs/>
          <w:color w:val="000000"/>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若投标人企业信息已录入以上网站的，</w:t>
      </w:r>
      <w:r>
        <w:rPr>
          <w:rFonts w:hint="eastAsia" w:ascii="宋体" w:hAnsi="宋体"/>
          <w:bCs/>
          <w:color w:val="000000"/>
          <w:sz w:val="24"/>
          <w:szCs w:val="24"/>
          <w:highlight w:val="none"/>
          <w:lang w:val="zh-CN"/>
        </w:rPr>
        <w:t>无需提供相关证明材料</w:t>
      </w:r>
      <w:r>
        <w:rPr>
          <w:rFonts w:ascii="宋体" w:hAnsi="宋体"/>
          <w:bCs/>
          <w:color w:val="000000"/>
          <w:sz w:val="24"/>
          <w:szCs w:val="24"/>
          <w:highlight w:val="none"/>
          <w:lang w:val="zh-CN"/>
        </w:rPr>
        <w:t>；</w:t>
      </w:r>
      <w:r>
        <w:rPr>
          <w:rFonts w:hint="eastAsia" w:ascii="宋体" w:hAnsi="宋体"/>
          <w:bCs/>
          <w:color w:val="000000"/>
          <w:sz w:val="24"/>
          <w:szCs w:val="24"/>
          <w:highlight w:val="none"/>
          <w:lang w:val="zh-CN"/>
        </w:rPr>
        <w:t>若投标人企业信息</w:t>
      </w:r>
      <w:r>
        <w:rPr>
          <w:rFonts w:ascii="宋体" w:hAnsi="宋体"/>
          <w:bCs/>
          <w:color w:val="000000"/>
          <w:sz w:val="24"/>
          <w:szCs w:val="24"/>
          <w:highlight w:val="none"/>
          <w:lang w:val="zh-CN"/>
        </w:rPr>
        <w:t>未</w:t>
      </w:r>
      <w:r>
        <w:rPr>
          <w:rFonts w:hint="eastAsia" w:ascii="宋体" w:hAnsi="宋体"/>
          <w:bCs/>
          <w:color w:val="000000"/>
          <w:sz w:val="24"/>
          <w:szCs w:val="24"/>
          <w:highlight w:val="none"/>
          <w:lang w:val="zh-CN"/>
        </w:rPr>
        <w:t>录入以上网站的，以投标</w:t>
      </w:r>
      <w:bookmarkStart w:id="29" w:name="_Hlk139976635"/>
      <w:r>
        <w:rPr>
          <w:rFonts w:hint="eastAsia" w:ascii="宋体" w:hAnsi="宋体"/>
          <w:bCs/>
          <w:color w:val="000000"/>
          <w:sz w:val="24"/>
          <w:szCs w:val="24"/>
          <w:highlight w:val="none"/>
          <w:lang w:val="zh-CN"/>
        </w:rPr>
        <w:t>人提供的资格声明函中作出的无不良信用记录承诺为准</w:t>
      </w:r>
      <w:bookmarkEnd w:id="29"/>
      <w:r>
        <w:rPr>
          <w:rFonts w:hint="eastAsia" w:ascii="宋体" w:hAnsi="宋体"/>
          <w:bCs/>
          <w:color w:val="000000"/>
          <w:sz w:val="24"/>
          <w:szCs w:val="24"/>
          <w:highlight w:val="none"/>
          <w:lang w:val="zh-CN"/>
        </w:rPr>
        <w:t>）；</w:t>
      </w:r>
    </w:p>
    <w:p w14:paraId="03625673">
      <w:pPr>
        <w:tabs>
          <w:tab w:val="left" w:pos="0"/>
          <w:tab w:val="left" w:pos="255"/>
        </w:tabs>
        <w:spacing w:line="360" w:lineRule="auto"/>
        <w:ind w:firstLine="480"/>
        <w:jc w:val="left"/>
        <w:rPr>
          <w:rFonts w:hint="eastAsia" w:ascii="宋体" w:hAnsi="宋体"/>
          <w:bCs/>
          <w:color w:val="000000"/>
          <w:sz w:val="24"/>
          <w:szCs w:val="24"/>
          <w:highlight w:val="none"/>
          <w:lang w:val="zh-CN"/>
        </w:rPr>
      </w:pPr>
      <w:bookmarkStart w:id="30" w:name="_Hlk151448642"/>
      <w:r>
        <w:rPr>
          <w:rFonts w:hint="eastAsia" w:ascii="宋体" w:hAnsi="宋体" w:eastAsia="宋体" w:cs="宋体"/>
          <w:bCs/>
          <w:color w:val="000000"/>
          <w:sz w:val="24"/>
          <w:szCs w:val="24"/>
          <w:highlight w:val="none"/>
          <w:lang w:val="zh-CN"/>
        </w:rPr>
        <w:t>⑨</w:t>
      </w:r>
      <w:r>
        <w:rPr>
          <w:rFonts w:hint="eastAsia" w:ascii="Cambria Math" w:hAnsi="Cambria Math" w:cs="Cambria Math"/>
          <w:bCs/>
          <w:color w:val="000000"/>
          <w:sz w:val="24"/>
          <w:szCs w:val="24"/>
          <w:highlight w:val="none"/>
          <w:lang w:val="en-US" w:eastAsia="zh-CN"/>
        </w:rPr>
        <w:t xml:space="preserve"> </w:t>
      </w:r>
      <w:r>
        <w:rPr>
          <w:rFonts w:hint="eastAsia" w:ascii="宋体" w:hAnsi="宋体"/>
          <w:b/>
          <w:bCs w:val="0"/>
          <w:color w:val="000000"/>
          <w:sz w:val="24"/>
          <w:szCs w:val="24"/>
          <w:highlight w:val="none"/>
          <w:lang w:val="zh-CN"/>
        </w:rPr>
        <w:t>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p>
    <w:p w14:paraId="04E5BCE9">
      <w:pPr>
        <w:tabs>
          <w:tab w:val="left" w:pos="0"/>
          <w:tab w:val="left" w:pos="255"/>
        </w:tabs>
        <w:spacing w:line="360" w:lineRule="auto"/>
        <w:ind w:firstLine="480"/>
        <w:jc w:val="left"/>
        <w:rPr>
          <w:rFonts w:hint="eastAsia" w:ascii="宋体" w:hAnsi="宋体"/>
          <w:bCs/>
          <w:color w:val="000000"/>
          <w:sz w:val="24"/>
          <w:szCs w:val="24"/>
          <w:highlight w:val="none"/>
          <w:lang w:val="zh-CN"/>
        </w:rPr>
      </w:pPr>
      <w:r>
        <w:rPr>
          <w:rFonts w:hint="eastAsia" w:ascii="宋体" w:hAnsi="宋体" w:eastAsia="宋体" w:cs="宋体"/>
          <w:bCs/>
          <w:color w:val="000000"/>
          <w:sz w:val="24"/>
          <w:szCs w:val="24"/>
          <w:highlight w:val="none"/>
          <w:lang w:val="zh-CN"/>
        </w:rPr>
        <w:t>⑩</w:t>
      </w:r>
      <w:r>
        <w:rPr>
          <w:rFonts w:hint="eastAsia" w:ascii="宋体" w:hAnsi="宋体" w:cs="宋体"/>
          <w:b/>
          <w:bCs w:val="0"/>
          <w:color w:val="000000"/>
          <w:sz w:val="24"/>
          <w:szCs w:val="24"/>
          <w:highlight w:val="none"/>
        </w:rPr>
        <w:t>特定资格要求</w:t>
      </w:r>
      <w:r>
        <w:rPr>
          <w:rFonts w:hint="eastAsia" w:ascii="宋体" w:hAnsi="宋体"/>
          <w:b/>
          <w:bCs w:val="0"/>
          <w:color w:val="000000"/>
          <w:sz w:val="24"/>
          <w:szCs w:val="24"/>
          <w:highlight w:val="none"/>
          <w:lang w:val="zh-CN"/>
        </w:rPr>
        <w:t>：</w:t>
      </w:r>
      <w:r>
        <w:rPr>
          <w:rFonts w:hint="eastAsia" w:ascii="宋体" w:hAnsi="宋体"/>
          <w:bCs/>
          <w:color w:val="000000"/>
          <w:sz w:val="24"/>
          <w:szCs w:val="24"/>
          <w:highlight w:val="none"/>
          <w:lang w:val="zh-CN"/>
        </w:rPr>
        <w:t>无。</w:t>
      </w:r>
      <w:bookmarkEnd w:id="30"/>
    </w:p>
    <w:p w14:paraId="04198DF6">
      <w:pPr>
        <w:tabs>
          <w:tab w:val="left" w:pos="0"/>
          <w:tab w:val="left" w:pos="255"/>
        </w:tabs>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注：投标人具备履行合同所必需的设备和专业技术能力在资格声明函中作出承诺；</w:t>
      </w:r>
      <w:bookmarkStart w:id="31" w:name="_Hlk160698807"/>
      <w:r>
        <w:rPr>
          <w:rFonts w:hint="eastAsia" w:ascii="宋体" w:hAnsi="宋体"/>
          <w:bCs/>
          <w:color w:val="000000"/>
          <w:sz w:val="24"/>
          <w:szCs w:val="24"/>
          <w:highlight w:val="none"/>
          <w:lang w:val="zh-CN"/>
        </w:rPr>
        <w:t>资格声明函中的较大数额罚款的认定按相关文件规定执行</w:t>
      </w:r>
      <w:r>
        <w:rPr>
          <w:rFonts w:hint="eastAsia" w:ascii="宋体" w:hAnsi="宋体"/>
          <w:bCs/>
          <w:color w:val="000000"/>
          <w:sz w:val="24"/>
          <w:szCs w:val="24"/>
          <w:highlight w:val="none"/>
        </w:rPr>
        <w:t>，</w:t>
      </w:r>
      <w:bookmarkEnd w:id="31"/>
      <w:r>
        <w:rPr>
          <w:rFonts w:hint="eastAsia" w:ascii="宋体" w:hAnsi="宋体"/>
          <w:bCs/>
          <w:color w:val="000000"/>
          <w:sz w:val="24"/>
          <w:szCs w:val="24"/>
          <w:highlight w:val="none"/>
        </w:rPr>
        <w:t>前三年是从提交投标文件截止日（含）向前推算，一年按3</w:t>
      </w:r>
      <w:r>
        <w:rPr>
          <w:rFonts w:ascii="宋体" w:hAnsi="宋体"/>
          <w:bCs/>
          <w:color w:val="000000"/>
          <w:sz w:val="24"/>
          <w:szCs w:val="24"/>
          <w:highlight w:val="none"/>
        </w:rPr>
        <w:t>65</w:t>
      </w:r>
      <w:r>
        <w:rPr>
          <w:rFonts w:hint="eastAsia" w:ascii="宋体" w:hAnsi="宋体"/>
          <w:bCs/>
          <w:color w:val="000000"/>
          <w:sz w:val="24"/>
          <w:szCs w:val="24"/>
          <w:highlight w:val="none"/>
        </w:rPr>
        <w:t>天计；</w:t>
      </w:r>
      <w:r>
        <w:rPr>
          <w:rFonts w:hint="eastAsia" w:ascii="宋体" w:hAnsi="宋体"/>
          <w:color w:val="000000"/>
          <w:sz w:val="24"/>
          <w:szCs w:val="24"/>
          <w:highlight w:val="none"/>
        </w:rPr>
        <w:t>以上近六个月、近十二个月是从提交投标文件截止日向前推算（不含投标文件提交截止当月）</w:t>
      </w:r>
      <w:r>
        <w:rPr>
          <w:rFonts w:hint="eastAsia" w:ascii="宋体" w:hAnsi="宋体"/>
          <w:bCs/>
          <w:color w:val="000000"/>
          <w:sz w:val="24"/>
          <w:szCs w:val="24"/>
          <w:highlight w:val="none"/>
        </w:rPr>
        <w:t>。</w:t>
      </w:r>
    </w:p>
    <w:p w14:paraId="5430B5CB">
      <w:pPr>
        <w:numPr>
          <w:ilvl w:val="0"/>
          <w:numId w:val="0"/>
        </w:numPr>
        <w:tabs>
          <w:tab w:val="left" w:pos="0"/>
          <w:tab w:val="left" w:pos="255"/>
        </w:tabs>
        <w:spacing w:line="360" w:lineRule="auto"/>
        <w:ind w:left="420"/>
        <w:jc w:val="left"/>
        <w:rPr>
          <w:rFonts w:ascii="宋体" w:hAnsi="宋体"/>
          <w:b/>
          <w:bCs w:val="0"/>
          <w:color w:val="000000"/>
          <w:sz w:val="24"/>
          <w:szCs w:val="24"/>
          <w:highlight w:val="none"/>
        </w:rPr>
      </w:pPr>
      <w:bookmarkStart w:id="32" w:name="_Hlk151555369"/>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lang w:val="en-US" w:eastAsia="zh-CN"/>
        </w:rPr>
        <w:t>3</w:t>
      </w:r>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rPr>
        <w:t>符合条件</w:t>
      </w:r>
      <w:bookmarkEnd w:id="32"/>
    </w:p>
    <w:p w14:paraId="12B71ED2">
      <w:pPr>
        <w:tabs>
          <w:tab w:val="left" w:pos="0"/>
          <w:tab w:val="left" w:pos="255"/>
        </w:tabs>
        <w:spacing w:line="360" w:lineRule="auto"/>
        <w:ind w:left="400"/>
        <w:jc w:val="left"/>
        <w:rPr>
          <w:rFonts w:ascii="宋体" w:hAnsi="宋体"/>
          <w:bCs/>
          <w:color w:val="000000"/>
          <w:sz w:val="24"/>
          <w:szCs w:val="24"/>
          <w:highlight w:val="none"/>
        </w:rPr>
      </w:pPr>
      <w:bookmarkStart w:id="33" w:name="_Hlk131926018"/>
      <w:r>
        <w:rPr>
          <w:rFonts w:hint="eastAsia" w:ascii="宋体" w:hAnsi="宋体"/>
          <w:bCs/>
          <w:color w:val="000000"/>
          <w:sz w:val="24"/>
          <w:szCs w:val="24"/>
          <w:highlight w:val="none"/>
          <w:lang w:val="zh-CN"/>
        </w:rPr>
        <w:t>①</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投标函</w:t>
      </w:r>
      <w:bookmarkEnd w:id="33"/>
    </w:p>
    <w:p w14:paraId="3E01E9C9">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②</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明细报价表</w:t>
      </w:r>
    </w:p>
    <w:p w14:paraId="26059DF0">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③</w:t>
      </w:r>
      <w:r>
        <w:rPr>
          <w:rFonts w:hint="eastAsia" w:ascii="宋体" w:hAnsi="宋体"/>
          <w:bCs/>
          <w:color w:val="000000"/>
          <w:sz w:val="24"/>
          <w:szCs w:val="24"/>
          <w:highlight w:val="none"/>
          <w:lang w:val="en-US" w:eastAsia="zh-CN"/>
        </w:rPr>
        <w:t xml:space="preserve"> </w:t>
      </w:r>
      <w:r>
        <w:rPr>
          <w:rFonts w:ascii="宋体" w:hAnsi="宋体"/>
          <w:bCs/>
          <w:color w:val="000000"/>
          <w:sz w:val="24"/>
          <w:szCs w:val="24"/>
          <w:highlight w:val="none"/>
        </w:rPr>
        <w:t>项目技术要求偏离表</w:t>
      </w:r>
    </w:p>
    <w:p w14:paraId="434D677A">
      <w:pPr>
        <w:numPr>
          <w:ilvl w:val="0"/>
          <w:numId w:val="0"/>
        </w:numPr>
        <w:tabs>
          <w:tab w:val="left" w:pos="0"/>
          <w:tab w:val="left" w:pos="255"/>
        </w:tabs>
        <w:spacing w:line="360" w:lineRule="auto"/>
        <w:ind w:left="420"/>
        <w:jc w:val="left"/>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lang w:val="en-US" w:eastAsia="zh-CN"/>
        </w:rPr>
        <w:t>4</w:t>
      </w:r>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rPr>
        <w:t>价格折扣文件</w:t>
      </w:r>
    </w:p>
    <w:p w14:paraId="2C92FD70">
      <w:pPr>
        <w:numPr>
          <w:ilvl w:val="0"/>
          <w:numId w:val="0"/>
        </w:numPr>
        <w:tabs>
          <w:tab w:val="left" w:pos="0"/>
          <w:tab w:val="left" w:pos="255"/>
        </w:tabs>
        <w:spacing w:line="360" w:lineRule="auto"/>
        <w:ind w:left="420"/>
        <w:jc w:val="left"/>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lang w:val="en-US" w:eastAsia="zh-CN"/>
        </w:rPr>
        <w:t>5</w:t>
      </w:r>
      <w:r>
        <w:rPr>
          <w:rFonts w:hint="eastAsia" w:ascii="宋体" w:hAnsi="宋体"/>
          <w:b/>
          <w:bCs w:val="0"/>
          <w:color w:val="000000"/>
          <w:sz w:val="24"/>
          <w:szCs w:val="24"/>
          <w:highlight w:val="none"/>
          <w:lang w:eastAsia="zh-CN"/>
        </w:rPr>
        <w:t>）</w:t>
      </w:r>
      <w:r>
        <w:rPr>
          <w:rFonts w:hint="eastAsia" w:ascii="宋体" w:hAnsi="宋体"/>
          <w:b/>
          <w:bCs w:val="0"/>
          <w:color w:val="000000"/>
          <w:sz w:val="24"/>
          <w:szCs w:val="24"/>
          <w:highlight w:val="none"/>
        </w:rPr>
        <w:t>其他相关材料</w:t>
      </w:r>
    </w:p>
    <w:p w14:paraId="6366E17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被授权代表授权委托书及社保证明的，视为投标人法定代表人亲自参加。</w:t>
      </w:r>
      <w:r>
        <w:rPr>
          <w:rFonts w:hint="eastAsia" w:ascii="宋体" w:hAnsi="宋体"/>
          <w:bCs/>
          <w:color w:val="000000"/>
          <w:sz w:val="24"/>
          <w:szCs w:val="24"/>
          <w:highlight w:val="none"/>
        </w:rPr>
        <w:t>如上述证明文件遇年检、换证，则必须提供法定年检、换证单位出具的有效证明。如上述“（2）资格条件”第③、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4"/>
      <w:bookmarkEnd w:id="25"/>
    </w:p>
    <w:p w14:paraId="278D91E2">
      <w:pPr>
        <w:spacing w:line="360" w:lineRule="auto"/>
        <w:ind w:firstLine="482"/>
        <w:rPr>
          <w:rFonts w:hint="eastAsia" w:ascii="宋体" w:hAnsi="宋体"/>
          <w:b/>
          <w:color w:val="000000"/>
          <w:sz w:val="24"/>
          <w:szCs w:val="24"/>
          <w:highlight w:val="none"/>
        </w:rPr>
      </w:pPr>
      <w:bookmarkStart w:id="34" w:name="OLE_LINK219"/>
      <w:r>
        <w:rPr>
          <w:rFonts w:hint="eastAsia" w:ascii="宋体" w:hAnsi="宋体"/>
          <w:b/>
          <w:color w:val="000000"/>
          <w:sz w:val="24"/>
          <w:szCs w:val="24"/>
          <w:highlight w:val="none"/>
        </w:rPr>
        <w:t>10、</w:t>
      </w:r>
      <w:bookmarkStart w:id="35" w:name="_Toc515647770"/>
      <w:bookmarkStart w:id="36" w:name="_Toc2248"/>
      <w:bookmarkStart w:id="37" w:name="_Toc520356155"/>
      <w:bookmarkStart w:id="38" w:name="_Toc19624"/>
      <w:bookmarkStart w:id="39" w:name="_Toc23231"/>
      <w:r>
        <w:rPr>
          <w:rFonts w:hint="eastAsia" w:ascii="宋体" w:hAnsi="宋体"/>
          <w:b/>
          <w:color w:val="000000"/>
          <w:sz w:val="24"/>
          <w:szCs w:val="24"/>
          <w:highlight w:val="none"/>
        </w:rPr>
        <w:t>投标报价</w:t>
      </w:r>
      <w:bookmarkEnd w:id="34"/>
      <w:bookmarkEnd w:id="35"/>
      <w:bookmarkEnd w:id="36"/>
      <w:bookmarkEnd w:id="37"/>
      <w:bookmarkEnd w:id="38"/>
      <w:bookmarkEnd w:id="39"/>
    </w:p>
    <w:p w14:paraId="5ECCCFD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所有投标均以人民币报价</w:t>
      </w:r>
      <w:bookmarkStart w:id="40" w:name="OLE_LINK204"/>
      <w:r>
        <w:rPr>
          <w:rFonts w:hint="eastAsia" w:ascii="宋体" w:hAnsi="宋体"/>
          <w:bCs/>
          <w:color w:val="000000"/>
          <w:sz w:val="24"/>
          <w:szCs w:val="24"/>
          <w:highlight w:val="none"/>
          <w:lang w:val="zh-CN"/>
        </w:rPr>
        <w:t>。</w:t>
      </w:r>
      <w:bookmarkEnd w:id="40"/>
      <w:r>
        <w:rPr>
          <w:rFonts w:hint="eastAsia" w:ascii="宋体" w:hAnsi="宋体"/>
          <w:bCs/>
          <w:color w:val="000000"/>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71FD024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 xml:space="preserve"> </w:t>
      </w:r>
      <w:bookmarkStart w:id="41" w:name="OLE_LINK262"/>
      <w:r>
        <w:rPr>
          <w:rFonts w:hint="eastAsia" w:ascii="宋体" w:hAnsi="宋体"/>
          <w:bCs/>
          <w:color w:val="000000"/>
          <w:sz w:val="24"/>
          <w:szCs w:val="24"/>
          <w:highlight w:val="none"/>
          <w:lang w:val="zh-CN"/>
        </w:rPr>
        <w:t>投标报价应包含</w:t>
      </w:r>
      <w:bookmarkStart w:id="42" w:name="OLE_LINK250"/>
      <w:r>
        <w:rPr>
          <w:rFonts w:hint="eastAsia" w:ascii="宋体" w:hAnsi="宋体"/>
          <w:bCs/>
          <w:color w:val="000000"/>
          <w:sz w:val="24"/>
          <w:szCs w:val="24"/>
          <w:highlight w:val="none"/>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，以及投标人认为需要的其他费用等</w:t>
      </w:r>
      <w:bookmarkEnd w:id="41"/>
      <w:bookmarkEnd w:id="42"/>
      <w:r>
        <w:rPr>
          <w:rFonts w:hint="eastAsia" w:ascii="宋体" w:hAnsi="宋体"/>
          <w:bCs/>
          <w:color w:val="000000"/>
          <w:sz w:val="24"/>
          <w:szCs w:val="24"/>
          <w:highlight w:val="none"/>
          <w:lang w:val="zh-CN"/>
        </w:rPr>
        <w:t>。</w:t>
      </w:r>
    </w:p>
    <w:p w14:paraId="6D9E6675">
      <w:pPr>
        <w:spacing w:line="360" w:lineRule="auto"/>
        <w:ind w:firstLine="480"/>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投标人所报的各分项投标单价在合同履行过程中是固定不变的，不得以任何理由予以变更。任何包含价格调整要求的投标，其投标将被认定为投标无效。</w:t>
      </w:r>
    </w:p>
    <w:p w14:paraId="097A783F">
      <w:pPr>
        <w:spacing w:line="360" w:lineRule="auto"/>
        <w:ind w:firstLine="480"/>
        <w:jc w:val="left"/>
        <w:rPr>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每种货物只能有一个投标报价。采购人不接受具有附加条件的报价。</w:t>
      </w:r>
    </w:p>
    <w:p w14:paraId="61639F42">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11、投标文件的制作</w:t>
      </w:r>
    </w:p>
    <w:p w14:paraId="4D52ED86">
      <w:pPr>
        <w:spacing w:line="360" w:lineRule="auto"/>
        <w:ind w:firstLine="480"/>
        <w:jc w:val="left"/>
        <w:rPr>
          <w:rFonts w:ascii="宋体" w:hAnsi="宋体"/>
          <w:bCs/>
          <w:color w:val="000000"/>
          <w:sz w:val="24"/>
          <w:szCs w:val="24"/>
          <w:highlight w:val="none"/>
          <w:lang w:val="zh-CN"/>
        </w:rPr>
      </w:pPr>
      <w:bookmarkStart w:id="43" w:name="_Hlk131926068"/>
      <w:r>
        <w:rPr>
          <w:rFonts w:hint="eastAsia" w:ascii="宋体" w:hAnsi="宋体"/>
          <w:bCs/>
          <w:color w:val="000000"/>
          <w:sz w:val="24"/>
          <w:szCs w:val="24"/>
          <w:highlight w:val="none"/>
        </w:rPr>
        <w:t>11.</w:t>
      </w:r>
      <w:r>
        <w:rPr>
          <w:rFonts w:ascii="宋体" w:hAnsi="宋体"/>
          <w:bCs/>
          <w:color w:val="000000"/>
          <w:sz w:val="24"/>
          <w:szCs w:val="24"/>
          <w:highlight w:val="none"/>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所有文件、往来函件均应使用简体中文（规格、型号辅助符号例外）。</w:t>
      </w:r>
    </w:p>
    <w:p w14:paraId="2CF5C78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投标人所使用的计量单位应为国家法定计量单位。</w:t>
      </w:r>
    </w:p>
    <w:p w14:paraId="5F8AFAB4">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投标人承诺实质性响应招标文件的要求。</w:t>
      </w:r>
    </w:p>
    <w:p w14:paraId="3170C04C">
      <w:pPr>
        <w:spacing w:line="360" w:lineRule="auto"/>
        <w:ind w:firstLine="480"/>
        <w:jc w:val="left"/>
        <w:rPr>
          <w:rFonts w:ascii="宋体" w:hAnsi="宋体"/>
          <w:bCs/>
          <w:color w:val="000000"/>
          <w:sz w:val="24"/>
          <w:szCs w:val="24"/>
          <w:highlight w:val="none"/>
          <w:lang w:val="zh-CN"/>
        </w:rPr>
      </w:pPr>
      <w:bookmarkStart w:id="44" w:name="_Hlk141255734"/>
      <w:r>
        <w:rPr>
          <w:rFonts w:hint="eastAsia" w:ascii="宋体" w:hAnsi="宋体"/>
          <w:bCs/>
          <w:color w:val="000000"/>
          <w:sz w:val="24"/>
          <w:szCs w:val="24"/>
          <w:highlight w:val="none"/>
        </w:rPr>
        <w:t>11.</w:t>
      </w:r>
      <w:r>
        <w:rPr>
          <w:rFonts w:ascii="宋体" w:hAnsi="宋体"/>
          <w:bCs/>
          <w:color w:val="000000"/>
          <w:sz w:val="24"/>
          <w:szCs w:val="24"/>
          <w:highlight w:val="none"/>
        </w:rPr>
        <w:t>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不因投标文件的</w:t>
      </w:r>
      <w:r>
        <w:rPr>
          <w:rFonts w:ascii="宋体" w:hAnsi="宋体"/>
          <w:bCs/>
          <w:color w:val="000000"/>
          <w:sz w:val="24"/>
          <w:szCs w:val="24"/>
          <w:highlight w:val="none"/>
          <w:lang w:val="zh-CN"/>
        </w:rPr>
        <w:t>装订、纸张、文件排序等非实质性的格式、形式</w:t>
      </w:r>
      <w:r>
        <w:rPr>
          <w:rFonts w:hint="eastAsia" w:ascii="宋体" w:hAnsi="宋体"/>
          <w:bCs/>
          <w:color w:val="000000"/>
          <w:sz w:val="24"/>
          <w:szCs w:val="24"/>
          <w:highlight w:val="none"/>
          <w:lang w:val="zh-CN"/>
        </w:rPr>
        <w:t>而否决投标。本招标</w:t>
      </w:r>
      <w:r>
        <w:rPr>
          <w:rFonts w:ascii="宋体" w:hAnsi="宋体"/>
          <w:bCs/>
          <w:color w:val="000000"/>
          <w:sz w:val="24"/>
          <w:szCs w:val="24"/>
          <w:highlight w:val="none"/>
          <w:lang w:val="zh-CN"/>
        </w:rPr>
        <w:t>文件</w:t>
      </w:r>
      <w:r>
        <w:rPr>
          <w:rFonts w:hint="eastAsia" w:ascii="宋体" w:hAnsi="宋体"/>
          <w:bCs/>
          <w:color w:val="000000"/>
          <w:sz w:val="24"/>
          <w:szCs w:val="24"/>
          <w:highlight w:val="none"/>
          <w:lang w:val="zh-CN"/>
        </w:rPr>
        <w:t>中</w:t>
      </w:r>
      <w:r>
        <w:rPr>
          <w:rFonts w:ascii="宋体" w:hAnsi="宋体"/>
          <w:bCs/>
          <w:color w:val="000000"/>
          <w:sz w:val="24"/>
          <w:szCs w:val="24"/>
          <w:highlight w:val="none"/>
          <w:lang w:val="zh-CN"/>
        </w:rPr>
        <w:t>要求提供相关证明材料的，</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应当在</w:t>
      </w:r>
      <w:r>
        <w:rPr>
          <w:rFonts w:hint="eastAsia" w:ascii="宋体" w:hAnsi="宋体"/>
          <w:bCs/>
          <w:color w:val="000000"/>
          <w:sz w:val="24"/>
          <w:szCs w:val="24"/>
          <w:highlight w:val="none"/>
          <w:lang w:val="zh-CN"/>
        </w:rPr>
        <w:t>投标文件</w:t>
      </w:r>
      <w:r>
        <w:rPr>
          <w:rFonts w:ascii="宋体" w:hAnsi="宋体"/>
          <w:bCs/>
          <w:color w:val="000000"/>
          <w:sz w:val="24"/>
          <w:szCs w:val="24"/>
          <w:highlight w:val="none"/>
          <w:lang w:val="zh-CN"/>
        </w:rPr>
        <w:t>中提交相关证明材料原件扫描件</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自负。</w:t>
      </w:r>
      <w:r>
        <w:rPr>
          <w:rFonts w:hint="eastAsia" w:ascii="宋体" w:hAnsi="宋体"/>
          <w:bCs/>
          <w:color w:val="000000"/>
          <w:sz w:val="24"/>
          <w:szCs w:val="24"/>
          <w:highlight w:val="none"/>
          <w:lang w:val="zh-CN"/>
        </w:rPr>
        <w:t>若投标人提交的投标文件格式与招标文件中的不一致，但必要的评审所需信息不影响评标判断的，视为符合要求，否则投标无效。</w:t>
      </w:r>
    </w:p>
    <w:p w14:paraId="230795AD">
      <w:pPr>
        <w:spacing w:line="360" w:lineRule="auto"/>
        <w:ind w:firstLine="480"/>
        <w:jc w:val="left"/>
        <w:rPr>
          <w:bCs/>
          <w:color w:val="000000"/>
          <w:highlight w:val="none"/>
        </w:rPr>
      </w:pPr>
      <w:bookmarkStart w:id="45" w:name="_Hlk144474413"/>
      <w:r>
        <w:rPr>
          <w:rFonts w:hint="eastAsia" w:ascii="宋体" w:hAnsi="宋体"/>
          <w:bCs/>
          <w:color w:val="000000"/>
          <w:sz w:val="24"/>
          <w:szCs w:val="24"/>
          <w:highlight w:val="none"/>
          <w:lang w:val="zh-CN"/>
        </w:rPr>
        <w:t>1</w:t>
      </w:r>
      <w:r>
        <w:rPr>
          <w:rFonts w:ascii="宋体" w:hAnsi="宋体"/>
          <w:bCs/>
          <w:color w:val="000000"/>
          <w:sz w:val="24"/>
          <w:szCs w:val="24"/>
          <w:highlight w:val="none"/>
          <w:lang w:val="zh-CN"/>
        </w:rPr>
        <w:t>1.5</w:t>
      </w:r>
      <w:r>
        <w:rPr>
          <w:rFonts w:hint="eastAsia" w:ascii="宋体" w:hAnsi="宋体"/>
          <w:bCs/>
          <w:color w:val="000000"/>
          <w:sz w:val="24"/>
          <w:szCs w:val="24"/>
          <w:highlight w:val="none"/>
          <w:lang w:val="zh-CN"/>
        </w:rPr>
        <w:t>投标人提交的投标文件中加盖的公章，均视为经投标人法定代表人同意或授权。</w:t>
      </w:r>
      <w:bookmarkEnd w:id="44"/>
      <w:bookmarkEnd w:id="45"/>
    </w:p>
    <w:p w14:paraId="65676A49">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1</w:t>
      </w:r>
      <w:r>
        <w:rPr>
          <w:rFonts w:ascii="宋体" w:hAnsi="宋体"/>
          <w:b/>
          <w:color w:val="000000"/>
          <w:sz w:val="24"/>
          <w:szCs w:val="24"/>
          <w:highlight w:val="none"/>
        </w:rPr>
        <w:t>2</w:t>
      </w:r>
      <w:r>
        <w:rPr>
          <w:rFonts w:hint="eastAsia" w:ascii="宋体" w:hAnsi="宋体"/>
          <w:b/>
          <w:color w:val="000000"/>
          <w:sz w:val="24"/>
          <w:szCs w:val="24"/>
          <w:highlight w:val="none"/>
        </w:rPr>
        <w:t>、</w:t>
      </w:r>
      <w:bookmarkStart w:id="46" w:name="_Hlk131926146"/>
      <w:r>
        <w:rPr>
          <w:rFonts w:ascii="宋体" w:hAnsi="宋体"/>
          <w:b/>
          <w:color w:val="000000"/>
          <w:sz w:val="24"/>
          <w:szCs w:val="24"/>
          <w:highlight w:val="none"/>
        </w:rPr>
        <w:t>电子投标文件</w:t>
      </w:r>
    </w:p>
    <w:p w14:paraId="4E36FA76">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投标人应通过投标文件制作软件使用数字认证证书对投标文件进行合成、电子签章及加密打包，并</w:t>
      </w:r>
      <w:r>
        <w:rPr>
          <w:rFonts w:ascii="宋体" w:hAnsi="宋体"/>
          <w:bCs/>
          <w:color w:val="000000"/>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电子投标文件将作为本项目采购活动的电子档案保存，电子档案与纸档案具有同等效力。</w:t>
      </w:r>
      <w:bookmarkStart w:id="47" w:name="_Hlk131934421"/>
      <w:r>
        <w:rPr>
          <w:rFonts w:hint="eastAsia" w:ascii="宋体" w:hAnsi="宋体"/>
          <w:bCs/>
          <w:color w:val="000000"/>
          <w:sz w:val="24"/>
          <w:szCs w:val="24"/>
          <w:highlight w:val="none"/>
        </w:rPr>
        <w:t>具体流程如下：</w:t>
      </w:r>
      <w:r>
        <w:rPr>
          <w:rFonts w:hint="eastAsia" w:ascii="宋体" w:hAnsi="宋体"/>
          <w:bCs/>
          <w:color w:val="000000"/>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bookmarkEnd w:id="47"/>
    </w:p>
    <w:p w14:paraId="008398E8">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截止时间以后传输的投标文件，“苏采云”平台将拒绝接收。供应商应充分考虑网络环境、网络带宽等风险因素。 </w:t>
      </w:r>
    </w:p>
    <w:p w14:paraId="756251BD">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highlight w:val="none"/>
        </w:rPr>
        <w:t>（友情提示：若投标人已领取副锁（含多把副锁）请注意正副锁的使用差别）</w:t>
      </w:r>
      <w:r>
        <w:rPr>
          <w:rFonts w:ascii="宋体" w:hAnsi="宋体"/>
          <w:bCs/>
          <w:color w:val="000000"/>
          <w:sz w:val="24"/>
          <w:szCs w:val="24"/>
          <w:highlight w:val="none"/>
        </w:rPr>
        <w:t xml:space="preserve">。 </w:t>
      </w:r>
    </w:p>
    <w:p w14:paraId="7E17C1A7">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12.4 因不可抗力事件造成的响应文件的损坏、丢失的，</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w:t>
      </w:r>
      <w:r>
        <w:rPr>
          <w:rFonts w:ascii="宋体" w:hAnsi="宋体"/>
          <w:bCs/>
          <w:color w:val="000000"/>
          <w:sz w:val="24"/>
          <w:szCs w:val="24"/>
          <w:highlight w:val="none"/>
        </w:rPr>
        <w:t xml:space="preserve">不承担责任。 </w:t>
      </w:r>
    </w:p>
    <w:p w14:paraId="6F8E809F">
      <w:pPr>
        <w:spacing w:line="360" w:lineRule="auto"/>
        <w:ind w:firstLine="482"/>
        <w:rPr>
          <w:rFonts w:ascii="宋体" w:hAnsi="宋体"/>
          <w:b/>
          <w:color w:val="000000"/>
          <w:sz w:val="24"/>
          <w:szCs w:val="24"/>
          <w:highlight w:val="none"/>
        </w:rPr>
      </w:pPr>
      <w:bookmarkStart w:id="48" w:name="OLE_LINK124"/>
      <w:r>
        <w:rPr>
          <w:rFonts w:hint="eastAsia" w:ascii="宋体" w:hAnsi="宋体"/>
          <w:b/>
          <w:color w:val="000000"/>
          <w:sz w:val="24"/>
          <w:szCs w:val="24"/>
          <w:highlight w:val="none"/>
        </w:rPr>
        <w:t>1</w:t>
      </w:r>
      <w:r>
        <w:rPr>
          <w:rFonts w:ascii="宋体" w:hAnsi="宋体"/>
          <w:b/>
          <w:color w:val="000000"/>
          <w:sz w:val="24"/>
          <w:szCs w:val="24"/>
          <w:highlight w:val="none"/>
        </w:rPr>
        <w:t>3</w:t>
      </w:r>
      <w:r>
        <w:rPr>
          <w:rFonts w:hint="eastAsia" w:ascii="宋体" w:hAnsi="宋体"/>
          <w:b/>
          <w:color w:val="000000"/>
          <w:sz w:val="24"/>
          <w:szCs w:val="24"/>
          <w:highlight w:val="none"/>
        </w:rPr>
        <w:t>、投标文件的拒收：</w:t>
      </w:r>
      <w:r>
        <w:rPr>
          <w:rFonts w:hint="eastAsia" w:ascii="宋体" w:hAnsi="宋体"/>
          <w:b/>
          <w:bCs w:val="0"/>
          <w:color w:val="000000"/>
          <w:sz w:val="24"/>
          <w:szCs w:val="24"/>
          <w:highlight w:val="none"/>
        </w:rPr>
        <w:t>在招标文件要求的投标截止时间之后提交的投标文件将被拒收</w:t>
      </w:r>
      <w:bookmarkEnd w:id="46"/>
      <w:r>
        <w:rPr>
          <w:rFonts w:hint="eastAsia" w:ascii="宋体" w:hAnsi="宋体"/>
          <w:bCs/>
          <w:color w:val="000000"/>
          <w:sz w:val="24"/>
          <w:szCs w:val="24"/>
          <w:highlight w:val="none"/>
        </w:rPr>
        <w:t>。</w:t>
      </w:r>
      <w:bookmarkEnd w:id="43"/>
      <w:bookmarkEnd w:id="48"/>
    </w:p>
    <w:p w14:paraId="0C91D5A8">
      <w:pPr>
        <w:spacing w:line="360" w:lineRule="auto"/>
        <w:ind w:firstLine="482"/>
        <w:rPr>
          <w:rFonts w:hint="eastAsia" w:ascii="宋体" w:hAnsi="宋体"/>
          <w:b/>
          <w:color w:val="000000"/>
          <w:sz w:val="24"/>
          <w:szCs w:val="24"/>
          <w:highlight w:val="none"/>
        </w:rPr>
      </w:pPr>
      <w:bookmarkStart w:id="49" w:name="OLE_LINK94"/>
      <w:r>
        <w:rPr>
          <w:rFonts w:hint="eastAsia" w:ascii="宋体" w:hAnsi="宋体"/>
          <w:b/>
          <w:color w:val="000000"/>
          <w:sz w:val="24"/>
          <w:szCs w:val="24"/>
          <w:highlight w:val="none"/>
        </w:rPr>
        <w:t>1</w:t>
      </w:r>
      <w:r>
        <w:rPr>
          <w:rFonts w:ascii="宋体" w:hAnsi="宋体"/>
          <w:b/>
          <w:color w:val="000000"/>
          <w:sz w:val="24"/>
          <w:szCs w:val="24"/>
          <w:highlight w:val="none"/>
        </w:rPr>
        <w:t>4</w:t>
      </w:r>
      <w:r>
        <w:rPr>
          <w:rFonts w:hint="eastAsia" w:ascii="宋体" w:hAnsi="宋体"/>
          <w:b/>
          <w:color w:val="000000"/>
          <w:sz w:val="24"/>
          <w:szCs w:val="24"/>
          <w:highlight w:val="none"/>
        </w:rPr>
        <w:t>、投标文件的真实性</w:t>
      </w:r>
    </w:p>
    <w:p w14:paraId="501D99D3">
      <w:pPr>
        <w:spacing w:line="360" w:lineRule="auto"/>
        <w:ind w:firstLine="480"/>
        <w:rPr>
          <w:rFonts w:hint="eastAsia" w:ascii="宋体" w:hAnsi="宋体"/>
          <w:color w:val="000000"/>
          <w:sz w:val="24"/>
          <w:szCs w:val="28"/>
          <w:highlight w:val="none"/>
        </w:rPr>
      </w:pPr>
      <w:r>
        <w:rPr>
          <w:rFonts w:hint="eastAsia" w:ascii="宋体" w:hAnsi="宋体"/>
          <w:color w:val="000000"/>
          <w:sz w:val="24"/>
          <w:szCs w:val="28"/>
          <w:highlight w:val="none"/>
        </w:rPr>
        <w:t>1</w:t>
      </w:r>
      <w:r>
        <w:rPr>
          <w:rFonts w:ascii="宋体" w:hAnsi="宋体"/>
          <w:color w:val="000000"/>
          <w:sz w:val="24"/>
          <w:szCs w:val="28"/>
          <w:highlight w:val="none"/>
        </w:rPr>
        <w:t>4</w:t>
      </w:r>
      <w:r>
        <w:rPr>
          <w:rFonts w:hint="eastAsia" w:ascii="宋体" w:hAnsi="宋体"/>
          <w:color w:val="000000"/>
          <w:sz w:val="24"/>
          <w:szCs w:val="28"/>
          <w:highlight w:val="none"/>
        </w:rPr>
        <w:t>.1 投标人（含中标供应商）应对其投标文件中提供的所有材料的真实性负责。</w:t>
      </w:r>
    </w:p>
    <w:p w14:paraId="339B6016">
      <w:pPr>
        <w:spacing w:line="360" w:lineRule="auto"/>
        <w:ind w:firstLine="480"/>
        <w:rPr>
          <w:rFonts w:hint="eastAsia" w:ascii="宋体" w:hAnsi="宋体"/>
          <w:b/>
          <w:color w:val="000000"/>
          <w:sz w:val="24"/>
          <w:szCs w:val="24"/>
          <w:highlight w:val="none"/>
        </w:rPr>
      </w:pPr>
      <w:r>
        <w:rPr>
          <w:rFonts w:hint="eastAsia" w:ascii="宋体" w:hAnsi="宋体"/>
          <w:color w:val="000000"/>
          <w:sz w:val="24"/>
          <w:szCs w:val="28"/>
          <w:highlight w:val="none"/>
        </w:rPr>
        <w:t>1</w:t>
      </w:r>
      <w:r>
        <w:rPr>
          <w:rFonts w:ascii="宋体" w:hAnsi="宋体"/>
          <w:color w:val="000000"/>
          <w:sz w:val="24"/>
          <w:szCs w:val="28"/>
          <w:highlight w:val="none"/>
        </w:rPr>
        <w:t>4</w:t>
      </w:r>
      <w:r>
        <w:rPr>
          <w:rFonts w:hint="eastAsia" w:ascii="宋体" w:hAnsi="宋体"/>
          <w:color w:val="000000"/>
          <w:sz w:val="24"/>
          <w:szCs w:val="28"/>
          <w:highlight w:val="none"/>
        </w:rPr>
        <w:t xml:space="preserve">.2 </w:t>
      </w:r>
      <w:bookmarkStart w:id="50" w:name="OLE_LINK227"/>
      <w:r>
        <w:rPr>
          <w:rFonts w:hint="eastAsia" w:ascii="宋体" w:hAnsi="宋体"/>
          <w:color w:val="000000"/>
          <w:sz w:val="24"/>
          <w:szCs w:val="28"/>
          <w:highlight w:val="none"/>
        </w:rPr>
        <w:t>如</w:t>
      </w:r>
      <w:bookmarkStart w:id="51" w:name="OLE_LINK45"/>
      <w:r>
        <w:rPr>
          <w:rFonts w:hint="eastAsia" w:ascii="宋体" w:hAnsi="宋体"/>
          <w:color w:val="000000"/>
          <w:sz w:val="24"/>
          <w:szCs w:val="28"/>
          <w:highlight w:val="none"/>
        </w:rPr>
        <w:t>采购人、</w:t>
      </w:r>
      <w:bookmarkEnd w:id="51"/>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机构、评标委员会</w:t>
      </w:r>
      <w:r>
        <w:rPr>
          <w:rFonts w:hint="eastAsia" w:ascii="宋体" w:hAnsi="宋体"/>
          <w:color w:val="000000"/>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9"/>
      <w:bookmarkEnd w:id="50"/>
    </w:p>
    <w:p w14:paraId="0AE7CD9B">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15、投标文件的有效期</w:t>
      </w:r>
    </w:p>
    <w:p w14:paraId="5A7E6DFE">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15.1 投标文件的有效期为投标截止之日起的60天（含提交当日）。在特殊情况下，采购人、</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机构可与投标人协商延长投标文件的有效期。</w:t>
      </w:r>
    </w:p>
    <w:p w14:paraId="11D16899">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16、投标文件的退还</w:t>
      </w:r>
    </w:p>
    <w:p w14:paraId="2D4CE693">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16.1 投标截止时间后，采购人和</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机构对所有投标人的投标文件一律不予退还。</w:t>
      </w:r>
    </w:p>
    <w:p w14:paraId="0B0DA89C">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17、投标文件的</w:t>
      </w:r>
      <w:bookmarkStart w:id="52" w:name="OLE_LINK260"/>
      <w:r>
        <w:rPr>
          <w:rFonts w:hint="eastAsia" w:ascii="宋体" w:hAnsi="宋体"/>
          <w:b/>
          <w:color w:val="000000"/>
          <w:sz w:val="24"/>
          <w:szCs w:val="24"/>
          <w:highlight w:val="none"/>
        </w:rPr>
        <w:t>补充、修改或者撤回</w:t>
      </w:r>
      <w:bookmarkEnd w:id="52"/>
    </w:p>
    <w:p w14:paraId="2A222839">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p>
    <w:p w14:paraId="36EA05E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53" w:name="OLE_LINK228"/>
      <w:r>
        <w:rPr>
          <w:rFonts w:hint="eastAsia" w:ascii="宋体" w:hAnsi="宋体"/>
          <w:bCs/>
          <w:color w:val="000000"/>
          <w:sz w:val="24"/>
          <w:szCs w:val="24"/>
          <w:highlight w:val="none"/>
        </w:rPr>
        <w:t>在投标截止时间之后，</w:t>
      </w:r>
      <w:bookmarkStart w:id="54" w:name="_Hlk128404679"/>
      <w:r>
        <w:rPr>
          <w:rFonts w:hint="eastAsia" w:ascii="宋体" w:hAnsi="宋体"/>
          <w:bCs/>
          <w:color w:val="000000"/>
          <w:sz w:val="24"/>
          <w:szCs w:val="24"/>
          <w:highlight w:val="none"/>
        </w:rPr>
        <w:t>采购人、</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机构、评标委员会不接受</w:t>
      </w:r>
      <w:bookmarkEnd w:id="54"/>
      <w:r>
        <w:rPr>
          <w:rFonts w:hint="eastAsia" w:ascii="宋体" w:hAnsi="宋体"/>
          <w:bCs/>
          <w:color w:val="000000"/>
          <w:sz w:val="24"/>
          <w:szCs w:val="24"/>
          <w:highlight w:val="none"/>
        </w:rPr>
        <w:t>投标人主动对其投标文件做任何</w:t>
      </w:r>
      <w:bookmarkStart w:id="55" w:name="OLE_LINK54"/>
      <w:r>
        <w:rPr>
          <w:rFonts w:hint="eastAsia" w:ascii="宋体" w:hAnsi="宋体"/>
          <w:bCs/>
          <w:color w:val="000000"/>
          <w:sz w:val="24"/>
          <w:szCs w:val="24"/>
          <w:highlight w:val="none"/>
        </w:rPr>
        <w:t>补充、</w:t>
      </w:r>
      <w:bookmarkEnd w:id="55"/>
      <w:r>
        <w:rPr>
          <w:rFonts w:hint="eastAsia" w:ascii="宋体" w:hAnsi="宋体"/>
          <w:bCs/>
          <w:color w:val="000000"/>
          <w:sz w:val="24"/>
          <w:szCs w:val="24"/>
          <w:highlight w:val="none"/>
        </w:rPr>
        <w:t>修改</w:t>
      </w:r>
      <w:bookmarkEnd w:id="53"/>
      <w:r>
        <w:rPr>
          <w:rFonts w:hint="eastAsia" w:ascii="宋体" w:hAnsi="宋体"/>
          <w:bCs/>
          <w:color w:val="000000"/>
          <w:sz w:val="24"/>
          <w:szCs w:val="24"/>
          <w:highlight w:val="none"/>
        </w:rPr>
        <w:t>。</w:t>
      </w:r>
    </w:p>
    <w:p w14:paraId="21AE23C8">
      <w:pPr>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    18、</w:t>
      </w:r>
      <w:r>
        <w:rPr>
          <w:rFonts w:hint="eastAsia" w:ascii="宋体" w:hAnsi="宋体"/>
          <w:b/>
          <w:color w:val="000000"/>
          <w:sz w:val="24"/>
          <w:szCs w:val="24"/>
          <w:highlight w:val="none"/>
          <w:lang w:val="zh-CN"/>
        </w:rPr>
        <w:t>无效投标的确认</w:t>
      </w:r>
    </w:p>
    <w:p w14:paraId="621B48B8">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投标人有下列情况之一者，其投标无效：</w:t>
      </w:r>
    </w:p>
    <w:p w14:paraId="54C62441">
      <w:pPr>
        <w:numPr>
          <w:ilvl w:val="0"/>
          <w:numId w:val="4"/>
        </w:numPr>
        <w:tabs>
          <w:tab w:val="left" w:pos="425"/>
        </w:tabs>
        <w:spacing w:line="360" w:lineRule="auto"/>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投标文件未按招标文件</w:t>
      </w:r>
      <w:r>
        <w:rPr>
          <w:rFonts w:hint="eastAsia" w:ascii="宋体" w:hAnsi="宋体"/>
          <w:bCs/>
          <w:color w:val="000000"/>
          <w:sz w:val="24"/>
          <w:szCs w:val="24"/>
          <w:highlight w:val="none"/>
        </w:rPr>
        <w:t>给定格式如实填写（编写）的或未按</w:t>
      </w:r>
      <w:r>
        <w:rPr>
          <w:rFonts w:hint="eastAsia" w:ascii="宋体" w:hAnsi="宋体" w:cs="宋体"/>
          <w:color w:val="000000"/>
          <w:sz w:val="24"/>
          <w:szCs w:val="24"/>
          <w:highlight w:val="none"/>
        </w:rPr>
        <w:t>要求签署、盖章的；</w:t>
      </w:r>
    </w:p>
    <w:p w14:paraId="2ABDC8D7">
      <w:pPr>
        <w:numPr>
          <w:ilvl w:val="0"/>
          <w:numId w:val="4"/>
        </w:numPr>
        <w:tabs>
          <w:tab w:val="left" w:pos="425"/>
        </w:tabs>
        <w:spacing w:line="360" w:lineRule="auto"/>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不具备招标文件投标邀请函中“投标人参加本次政府采购活动</w:t>
      </w:r>
      <w:r>
        <w:rPr>
          <w:rFonts w:hint="eastAsia" w:ascii="宋体" w:hAnsi="宋体" w:cs="宋体"/>
          <w:color w:val="000000"/>
          <w:sz w:val="24"/>
          <w:szCs w:val="24"/>
          <w:highlight w:val="none"/>
          <w:lang w:val="zh-CN"/>
        </w:rPr>
        <w:t>应具备的资格条件</w:t>
      </w:r>
      <w:r>
        <w:rPr>
          <w:rFonts w:hint="eastAsia" w:ascii="宋体" w:hAnsi="宋体" w:cs="宋体"/>
          <w:color w:val="000000"/>
          <w:sz w:val="24"/>
          <w:szCs w:val="24"/>
          <w:highlight w:val="none"/>
        </w:rPr>
        <w:t>”</w:t>
      </w:r>
      <w:r>
        <w:rPr>
          <w:rFonts w:hint="eastAsia" w:ascii="宋体" w:hAnsi="宋体"/>
          <w:bCs/>
          <w:color w:val="000000"/>
          <w:sz w:val="24"/>
          <w:szCs w:val="24"/>
          <w:highlight w:val="none"/>
          <w:lang w:val="zh-CN"/>
        </w:rPr>
        <w:t>或未按招标文件规定的要求提供资格证明文件的；</w:t>
      </w:r>
    </w:p>
    <w:p w14:paraId="37D156AD">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投标文件中有招标文件未允许提供的选择性内容的；</w:t>
      </w:r>
    </w:p>
    <w:p w14:paraId="0616C8B4">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投标文件含有采购人不能接受的附加条件的；</w:t>
      </w:r>
    </w:p>
    <w:p w14:paraId="5BFFA87A">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报价</w:t>
      </w:r>
      <w:r>
        <w:rPr>
          <w:rFonts w:hint="eastAsia" w:ascii="宋体" w:hAnsi="宋体" w:cs="宋体"/>
          <w:color w:val="000000"/>
          <w:sz w:val="24"/>
          <w:szCs w:val="24"/>
          <w:highlight w:val="none"/>
        </w:rPr>
        <w:t>超过招标文件中规定的预算金额或者最高限价的</w:t>
      </w:r>
      <w:r>
        <w:rPr>
          <w:rFonts w:hint="eastAsia" w:ascii="宋体" w:hAnsi="宋体" w:cs="宋体"/>
          <w:color w:val="000000"/>
          <w:sz w:val="24"/>
          <w:szCs w:val="24"/>
          <w:highlight w:val="none"/>
          <w:lang w:val="zh-CN"/>
        </w:rPr>
        <w:t>；</w:t>
      </w:r>
    </w:p>
    <w:p w14:paraId="04E450D6">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投标文件报价</w:t>
      </w:r>
      <w:r>
        <w:rPr>
          <w:rFonts w:hint="eastAsia" w:ascii="宋体" w:hAnsi="宋体" w:cs="宋体"/>
          <w:color w:val="000000"/>
          <w:sz w:val="24"/>
          <w:szCs w:val="24"/>
          <w:highlight w:val="none"/>
        </w:rPr>
        <w:t>出现前后不一致，且投标人拒绝修正的；</w:t>
      </w:r>
    </w:p>
    <w:p w14:paraId="6B19F945">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评标委员会认为投标人的报价明显低于其他通过符合性审查投标人的报价，有可能影响产品质量或者不能诚信履约，且投标人不能证明其报价合理性的；</w:t>
      </w:r>
    </w:p>
    <w:p w14:paraId="1BCA219D">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属于投标邀请函“拒绝参加本次采购活动供应商”的；</w:t>
      </w:r>
    </w:p>
    <w:p w14:paraId="7FCA6FD1">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与其他投标人串通投标的，包括但不限于以下几种情况：</w:t>
      </w:r>
    </w:p>
    <w:p w14:paraId="0FD3F390">
      <w:pPr>
        <w:numPr>
          <w:ilvl w:val="0"/>
          <w:numId w:val="0"/>
        </w:numPr>
        <w:tabs>
          <w:tab w:val="left" w:pos="425"/>
        </w:tabs>
        <w:spacing w:line="360" w:lineRule="auto"/>
        <w:ind w:left="0" w:firstLine="840"/>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①　</w:t>
      </w:r>
      <w:r>
        <w:rPr>
          <w:rFonts w:hint="eastAsia" w:ascii="宋体" w:hAnsi="宋体" w:cs="宋体"/>
          <w:color w:val="000000"/>
          <w:sz w:val="24"/>
          <w:szCs w:val="24"/>
          <w:highlight w:val="none"/>
        </w:rPr>
        <w:t>不同投标人的投标文件由同一单位或者个人编制</w:t>
      </w:r>
      <w:r>
        <w:rPr>
          <w:rFonts w:hint="eastAsia" w:ascii="宋体" w:hAnsi="宋体"/>
          <w:bCs/>
          <w:color w:val="000000"/>
          <w:sz w:val="24"/>
          <w:szCs w:val="24"/>
          <w:highlight w:val="none"/>
          <w:lang w:val="zh-CN"/>
        </w:rPr>
        <w:t>；</w:t>
      </w:r>
    </w:p>
    <w:p w14:paraId="7ACD58C2">
      <w:pPr>
        <w:numPr>
          <w:ilvl w:val="0"/>
          <w:numId w:val="0"/>
        </w:numPr>
        <w:tabs>
          <w:tab w:val="left" w:pos="425"/>
        </w:tabs>
        <w:spacing w:line="360" w:lineRule="auto"/>
        <w:ind w:left="0" w:firstLine="840"/>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②　</w:t>
      </w:r>
      <w:r>
        <w:rPr>
          <w:rFonts w:hint="eastAsia" w:ascii="宋体" w:hAnsi="宋体" w:cs="宋体"/>
          <w:color w:val="000000"/>
          <w:sz w:val="24"/>
          <w:szCs w:val="24"/>
          <w:highlight w:val="none"/>
        </w:rPr>
        <w:t>不同投标人委托同一单位或者个人办理报价事宜</w:t>
      </w:r>
      <w:r>
        <w:rPr>
          <w:rFonts w:hint="eastAsia" w:ascii="宋体" w:hAnsi="宋体"/>
          <w:bCs/>
          <w:color w:val="000000"/>
          <w:sz w:val="24"/>
          <w:szCs w:val="24"/>
          <w:highlight w:val="none"/>
          <w:lang w:val="zh-CN"/>
        </w:rPr>
        <w:t>；</w:t>
      </w:r>
    </w:p>
    <w:p w14:paraId="5DC177AB">
      <w:pPr>
        <w:numPr>
          <w:ilvl w:val="0"/>
          <w:numId w:val="0"/>
        </w:numPr>
        <w:tabs>
          <w:tab w:val="left" w:pos="425"/>
        </w:tabs>
        <w:spacing w:line="360" w:lineRule="auto"/>
        <w:ind w:left="0" w:firstLine="840"/>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③　</w:t>
      </w:r>
      <w:r>
        <w:rPr>
          <w:rFonts w:hint="eastAsia" w:ascii="宋体" w:hAnsi="宋体" w:cs="宋体"/>
          <w:color w:val="000000"/>
          <w:sz w:val="24"/>
          <w:szCs w:val="24"/>
          <w:highlight w:val="none"/>
        </w:rPr>
        <w:t>不同投标人的投标文件载明的项目管理成员或者联系人员为同一人</w:t>
      </w:r>
      <w:r>
        <w:rPr>
          <w:rFonts w:hint="eastAsia" w:ascii="宋体" w:hAnsi="宋体"/>
          <w:bCs/>
          <w:color w:val="000000"/>
          <w:sz w:val="24"/>
          <w:szCs w:val="24"/>
          <w:highlight w:val="none"/>
          <w:lang w:val="zh-CN"/>
        </w:rPr>
        <w:t>；</w:t>
      </w:r>
    </w:p>
    <w:p w14:paraId="55DF308E">
      <w:pPr>
        <w:numPr>
          <w:ilvl w:val="0"/>
          <w:numId w:val="0"/>
        </w:numPr>
        <w:tabs>
          <w:tab w:val="left" w:pos="425"/>
        </w:tabs>
        <w:spacing w:line="360" w:lineRule="auto"/>
        <w:ind w:left="0" w:firstLine="840"/>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④　</w:t>
      </w:r>
      <w:r>
        <w:rPr>
          <w:rFonts w:hint="eastAsia" w:ascii="宋体" w:hAnsi="宋体" w:cs="宋体"/>
          <w:color w:val="000000"/>
          <w:sz w:val="24"/>
          <w:szCs w:val="24"/>
          <w:highlight w:val="none"/>
        </w:rPr>
        <w:t>不同投标人的投标文件异常一致或者报价呈规律性差异</w:t>
      </w:r>
      <w:r>
        <w:rPr>
          <w:rFonts w:hint="eastAsia" w:ascii="宋体" w:hAnsi="宋体"/>
          <w:bCs/>
          <w:color w:val="000000"/>
          <w:sz w:val="24"/>
          <w:szCs w:val="24"/>
          <w:highlight w:val="none"/>
          <w:lang w:val="zh-CN"/>
        </w:rPr>
        <w:t>；</w:t>
      </w:r>
    </w:p>
    <w:p w14:paraId="7B779ECF">
      <w:pPr>
        <w:numPr>
          <w:ilvl w:val="0"/>
          <w:numId w:val="0"/>
        </w:numPr>
        <w:tabs>
          <w:tab w:val="left" w:pos="425"/>
        </w:tabs>
        <w:spacing w:line="360" w:lineRule="auto"/>
        <w:ind w:left="0" w:firstLine="840"/>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⑤　</w:t>
      </w:r>
      <w:r>
        <w:rPr>
          <w:rFonts w:hint="eastAsia" w:ascii="宋体" w:hAnsi="宋体" w:cs="宋体"/>
          <w:color w:val="000000"/>
          <w:sz w:val="24"/>
          <w:szCs w:val="24"/>
          <w:highlight w:val="none"/>
        </w:rPr>
        <w:t>不同投标人的投标文件相互混装</w:t>
      </w:r>
      <w:r>
        <w:rPr>
          <w:rFonts w:hint="eastAsia" w:ascii="宋体" w:hAnsi="宋体"/>
          <w:bCs/>
          <w:color w:val="000000"/>
          <w:sz w:val="24"/>
          <w:szCs w:val="24"/>
          <w:highlight w:val="none"/>
          <w:lang w:val="zh-CN"/>
        </w:rPr>
        <w:t>。</w:t>
      </w:r>
    </w:p>
    <w:p w14:paraId="51117163">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提供虚假材料</w:t>
      </w:r>
      <w:bookmarkStart w:id="56" w:name="OLE_LINK137"/>
      <w:r>
        <w:rPr>
          <w:rFonts w:hint="eastAsia" w:ascii="宋体" w:hAnsi="宋体" w:cs="宋体"/>
          <w:color w:val="000000"/>
          <w:sz w:val="24"/>
          <w:szCs w:val="24"/>
          <w:highlight w:val="none"/>
          <w:lang w:val="zh-CN"/>
        </w:rPr>
        <w:t>（含虚假承诺）</w:t>
      </w:r>
      <w:bookmarkEnd w:id="56"/>
      <w:r>
        <w:rPr>
          <w:rFonts w:hint="eastAsia" w:ascii="宋体" w:hAnsi="宋体" w:cs="宋体"/>
          <w:color w:val="000000"/>
          <w:sz w:val="24"/>
          <w:szCs w:val="24"/>
          <w:highlight w:val="none"/>
          <w:lang w:val="zh-CN"/>
        </w:rPr>
        <w:t>的；</w:t>
      </w:r>
    </w:p>
    <w:p w14:paraId="21483916">
      <w:pPr>
        <w:numPr>
          <w:ilvl w:val="0"/>
          <w:numId w:val="4"/>
        </w:numPr>
        <w:tabs>
          <w:tab w:val="left" w:pos="425"/>
        </w:tabs>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投标文件内容不全、自相矛盾或不符合法律法规和招标文件中规定的其它实质性要求的；</w:t>
      </w:r>
    </w:p>
    <w:p w14:paraId="4115CFDB">
      <w:pPr>
        <w:numPr>
          <w:ilvl w:val="0"/>
          <w:numId w:val="4"/>
        </w:numPr>
        <w:tabs>
          <w:tab w:val="left" w:pos="425"/>
        </w:tabs>
        <w:spacing w:line="360" w:lineRule="auto"/>
        <w:ind w:left="0" w:firstLine="40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评标委员会认定投标人的报价明显低于其他通过符合性审查投标人的报价，有可能影响产品质量或者不能诚信履约的，应当按照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7EF05B30">
      <w:pPr>
        <w:numPr>
          <w:ilvl w:val="-1"/>
          <w:numId w:val="0"/>
        </w:numPr>
        <w:tabs>
          <w:tab w:val="left" w:pos="0"/>
          <w:tab w:val="left" w:pos="425"/>
        </w:tabs>
        <w:spacing w:line="360" w:lineRule="auto"/>
        <w:ind w:left="400" w:firstLine="0"/>
        <w:rPr>
          <w:rFonts w:hint="eastAsia" w:ascii="宋体" w:hAnsi="宋体"/>
          <w:bCs/>
          <w:color w:val="000000"/>
          <w:sz w:val="24"/>
          <w:szCs w:val="24"/>
          <w:highlight w:val="none"/>
          <w:lang w:val="zh-CN"/>
        </w:rPr>
      </w:pPr>
      <w:r>
        <w:rPr>
          <w:rFonts w:hint="eastAsia" w:ascii="宋体" w:hAnsi="宋体" w:eastAsia="宋体" w:cs="Times New Roman"/>
          <w:bCs/>
          <w:i w:val="0"/>
          <w:iCs w:val="0"/>
          <w:caps w:val="0"/>
          <w:color w:val="000000"/>
          <w:spacing w:val="0"/>
          <w:sz w:val="24"/>
          <w:szCs w:val="24"/>
          <w:highlight w:val="none"/>
          <w:lang w:val="zh-CN"/>
        </w:rPr>
        <w:t>评标委员会启动异常低价投标（响应）审查的情形和具体要求，包括：</w:t>
      </w:r>
    </w:p>
    <w:p w14:paraId="33266353">
      <w:pPr>
        <w:pStyle w:val="30"/>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1、评审过程中出现下列情形之一的，评标委员会应当启动异常低价投标（响应）审查程序：</w:t>
      </w:r>
    </w:p>
    <w:p w14:paraId="740A6E92">
      <w:pPr>
        <w:pStyle w:val="30"/>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① 投标（响应）报价低于全部通过符合性审查供应商投标（响应）报价平均值50%的，即投标（响应）报价&lt;全部通过符合性审查供应商投标（响应）报价平均值×50%；</w:t>
      </w:r>
    </w:p>
    <w:p w14:paraId="7492454F">
      <w:pPr>
        <w:pStyle w:val="30"/>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② 投标（响应）报价低于通过符合性审查的次低报价供应商投标（响应）报价50%的，即投标（响应）报价&lt;通过符合性审查的次低报价供应商投标（响应）报价×50%；</w:t>
      </w:r>
    </w:p>
    <w:p w14:paraId="08DA2D1E">
      <w:pPr>
        <w:pStyle w:val="30"/>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③ 投标（响应）报价低于采购项目最高限价45%的，即投标（响应）报价&lt;采购项目最高限价×45%；</w:t>
      </w:r>
    </w:p>
    <w:p w14:paraId="669FBD94">
      <w:pPr>
        <w:pStyle w:val="30"/>
        <w:keepNext w:val="0"/>
        <w:keepLines w:val="0"/>
        <w:widowControl/>
        <w:suppressLineNumbers w:val="0"/>
        <w:ind w:left="0" w:firstLine="0"/>
        <w:rPr>
          <w:rFonts w:hint="eastAsia" w:ascii="宋体" w:hAnsi="宋体" w:eastAsia="宋体" w:cs="Times New Roman"/>
          <w:bCs/>
          <w:i w:val="0"/>
          <w:iCs w:val="0"/>
          <w:caps w:val="0"/>
          <w:color w:val="000000"/>
          <w:spacing w:val="0"/>
          <w:sz w:val="24"/>
          <w:szCs w:val="24"/>
          <w:highlight w:val="none"/>
          <w:lang w:val="zh-CN" w:bidi="ar-SA"/>
        </w:rPr>
      </w:pPr>
      <w:r>
        <w:rPr>
          <w:rFonts w:hint="eastAsia" w:ascii="宋体" w:hAnsi="宋体" w:eastAsia="宋体" w:cs="Times New Roman"/>
          <w:bCs/>
          <w:i w:val="0"/>
          <w:iCs w:val="0"/>
          <w:caps w:val="0"/>
          <w:color w:val="000000"/>
          <w:spacing w:val="0"/>
          <w:sz w:val="24"/>
          <w:szCs w:val="24"/>
          <w:highlight w:val="none"/>
          <w:lang w:val="zh-CN" w:bidi="ar-SA"/>
        </w:rPr>
        <w:t>④ 评审委员会基于专业判断，认为供应商报价过低，有可能影响产品质量或者不能诚信履约的其他情形。</w:t>
      </w:r>
    </w:p>
    <w:p w14:paraId="0D885EC9">
      <w:pPr>
        <w:numPr>
          <w:ilvl w:val="0"/>
          <w:numId w:val="0"/>
        </w:numPr>
        <w:tabs>
          <w:tab w:val="left" w:pos="0"/>
          <w:tab w:val="left" w:pos="425"/>
        </w:tabs>
        <w:spacing w:line="360" w:lineRule="auto"/>
        <w:ind w:left="400" w:firstLine="480"/>
        <w:rPr>
          <w:rFonts w:hint="eastAsia" w:ascii="宋体" w:hAnsi="宋体"/>
          <w:bCs/>
          <w:color w:val="000000"/>
          <w:sz w:val="24"/>
          <w:szCs w:val="24"/>
          <w:highlight w:val="none"/>
          <w:lang w:val="zh-CN"/>
        </w:rPr>
      </w:pPr>
      <w:r>
        <w:rPr>
          <w:rFonts w:hint="eastAsia" w:ascii="宋体" w:hAnsi="宋体" w:eastAsia="宋体" w:cs="Times New Roman"/>
          <w:bCs/>
          <w:i w:val="0"/>
          <w:iCs w:val="0"/>
          <w:caps w:val="0"/>
          <w:color w:val="000000"/>
          <w:spacing w:val="0"/>
          <w:sz w:val="24"/>
          <w:szCs w:val="24"/>
          <w:highlight w:val="none"/>
          <w:lang w:val="zh-CN" w:bidi="ar-SA"/>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10B618BB">
      <w:pPr>
        <w:numPr>
          <w:ilvl w:val="0"/>
          <w:numId w:val="4"/>
        </w:numPr>
        <w:tabs>
          <w:tab w:val="left" w:pos="425"/>
        </w:tabs>
        <w:spacing w:line="360" w:lineRule="auto"/>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法律、法规和招标文件规定的其他无效情形。</w:t>
      </w:r>
    </w:p>
    <w:p w14:paraId="2BD67218">
      <w:pPr>
        <w:numPr>
          <w:ilvl w:val="0"/>
          <w:numId w:val="5"/>
        </w:num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联合体投标、</w:t>
      </w:r>
      <w:r>
        <w:rPr>
          <w:rFonts w:hint="eastAsia" w:ascii="宋体" w:hAnsi="宋体" w:cs="宋体"/>
          <w:b/>
          <w:color w:val="000000"/>
          <w:sz w:val="24"/>
          <w:szCs w:val="24"/>
          <w:highlight w:val="none"/>
        </w:rPr>
        <w:t>中标后分包</w:t>
      </w:r>
    </w:p>
    <w:p w14:paraId="5629760F">
      <w:pPr>
        <w:spacing w:line="360" w:lineRule="auto"/>
        <w:ind w:firstLine="480"/>
        <w:jc w:val="left"/>
        <w:rPr>
          <w:rFonts w:ascii="宋体" w:hAnsi="宋体"/>
          <w:bCs/>
          <w:color w:val="000000"/>
          <w:sz w:val="24"/>
          <w:szCs w:val="24"/>
          <w:highlight w:val="none"/>
        </w:rPr>
      </w:pPr>
      <w:bookmarkStart w:id="57" w:name="_Hlk151449361"/>
      <w:bookmarkStart w:id="58" w:name="OLE_LINK96"/>
      <w:r>
        <w:rPr>
          <w:rFonts w:hint="eastAsia" w:ascii="宋体" w:hAnsi="宋体"/>
          <w:bCs/>
          <w:color w:val="000000"/>
          <w:sz w:val="24"/>
          <w:szCs w:val="24"/>
          <w:highlight w:val="none"/>
        </w:rPr>
        <w:t>19、</w:t>
      </w:r>
      <w:bookmarkStart w:id="59" w:name="_Hlk151562826"/>
      <w:r>
        <w:rPr>
          <w:rFonts w:hint="eastAsia" w:ascii="宋体" w:hAnsi="宋体"/>
          <w:bCs/>
          <w:color w:val="000000"/>
          <w:sz w:val="24"/>
          <w:szCs w:val="24"/>
          <w:highlight w:val="none"/>
        </w:rPr>
        <w:t>联合体、中标后分包（如有）</w:t>
      </w:r>
      <w:bookmarkEnd w:id="57"/>
      <w:bookmarkEnd w:id="59"/>
    </w:p>
    <w:p w14:paraId="504A5F3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19.1、联合体</w:t>
      </w:r>
      <w:bookmarkEnd w:id="58"/>
    </w:p>
    <w:p w14:paraId="3858849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两个以上的自然人、法人或者其他组织组成一个联合体，以一个投标人的身份共同参加政府采购。</w:t>
      </w:r>
    </w:p>
    <w:p w14:paraId="01A939B3">
      <w:pPr>
        <w:spacing w:line="360" w:lineRule="auto"/>
        <w:ind w:firstLine="480"/>
        <w:jc w:val="left"/>
        <w:rPr>
          <w:rFonts w:ascii="宋体" w:hAnsi="宋体"/>
          <w:bCs/>
          <w:color w:val="000000"/>
          <w:sz w:val="24"/>
          <w:szCs w:val="24"/>
          <w:highlight w:val="none"/>
          <w:lang w:val="zh-CN"/>
        </w:rPr>
      </w:pPr>
      <w:bookmarkStart w:id="60" w:name="OLE_LINK165"/>
      <w:r>
        <w:rPr>
          <w:rFonts w:hint="eastAsia" w:ascii="宋体" w:hAnsi="宋体"/>
          <w:bCs/>
          <w:color w:val="000000"/>
          <w:sz w:val="24"/>
          <w:szCs w:val="24"/>
          <w:highlight w:val="none"/>
          <w:lang w:val="zh-CN"/>
        </w:rPr>
        <w:t>投标人如为联合体的，联合体各方应按招标文件提供的格式签</w:t>
      </w:r>
      <w:bookmarkStart w:id="61" w:name="OLE_LINK199"/>
      <w:r>
        <w:rPr>
          <w:rFonts w:hint="eastAsia" w:ascii="宋体" w:hAnsi="宋体"/>
          <w:bCs/>
          <w:color w:val="000000"/>
          <w:sz w:val="24"/>
          <w:szCs w:val="24"/>
          <w:highlight w:val="none"/>
          <w:lang w:val="zh-CN"/>
        </w:rPr>
        <w:t>订联合体协议书</w:t>
      </w:r>
      <w:bookmarkEnd w:id="61"/>
      <w:r>
        <w:rPr>
          <w:rFonts w:hint="eastAsia" w:ascii="宋体" w:hAnsi="宋体"/>
          <w:bCs/>
          <w:color w:val="000000"/>
          <w:sz w:val="24"/>
          <w:szCs w:val="24"/>
          <w:highlight w:val="none"/>
          <w:lang w:val="zh-CN"/>
        </w:rPr>
        <w:t>，明确联合体主体单位（即牵头人）和各方的权利义务</w:t>
      </w:r>
      <w:bookmarkEnd w:id="60"/>
      <w:bookmarkStart w:id="62" w:name="OLE_LINK127"/>
      <w:bookmarkStart w:id="63" w:name="OLE_LINK63"/>
      <w:bookmarkStart w:id="64" w:name="OLE_LINK166"/>
      <w:r>
        <w:rPr>
          <w:rFonts w:hint="eastAsia" w:ascii="宋体" w:hAnsi="宋体"/>
          <w:bCs/>
          <w:color w:val="000000"/>
          <w:sz w:val="24"/>
          <w:szCs w:val="24"/>
          <w:highlight w:val="none"/>
          <w:lang w:val="zh-CN"/>
        </w:rPr>
        <w:t>，以及其中享受政府采购优惠政策的</w:t>
      </w:r>
      <w:r>
        <w:rPr>
          <w:rFonts w:ascii="宋体" w:hAnsi="宋体"/>
          <w:bCs/>
          <w:color w:val="000000"/>
          <w:sz w:val="24"/>
          <w:szCs w:val="24"/>
          <w:highlight w:val="none"/>
          <w:lang w:val="zh-CN"/>
        </w:rPr>
        <w:t>小微企业</w:t>
      </w:r>
      <w:r>
        <w:rPr>
          <w:rFonts w:hint="eastAsia" w:ascii="宋体" w:hAnsi="宋体"/>
          <w:bCs/>
          <w:color w:val="000000"/>
          <w:sz w:val="24"/>
          <w:szCs w:val="24"/>
          <w:highlight w:val="none"/>
          <w:lang w:val="zh-CN"/>
        </w:rPr>
        <w:t>（如有）</w:t>
      </w:r>
      <w:r>
        <w:rPr>
          <w:rFonts w:ascii="宋体" w:hAnsi="宋体"/>
          <w:bCs/>
          <w:color w:val="000000"/>
          <w:sz w:val="24"/>
          <w:szCs w:val="24"/>
          <w:highlight w:val="none"/>
          <w:lang w:val="zh-CN"/>
        </w:rPr>
        <w:t>合同份额</w:t>
      </w:r>
      <w:r>
        <w:rPr>
          <w:rFonts w:hint="eastAsia" w:ascii="宋体" w:hAnsi="宋体"/>
          <w:bCs/>
          <w:color w:val="000000"/>
          <w:sz w:val="24"/>
          <w:szCs w:val="24"/>
          <w:highlight w:val="none"/>
          <w:lang w:val="zh-CN"/>
        </w:rPr>
        <w:t>占合同总金额的比例。除联合体协议书外，投标文件其他地方需要投标人签名或盖章的，只需主体单位进行签名或盖章。</w:t>
      </w:r>
      <w:bookmarkEnd w:id="62"/>
    </w:p>
    <w:p w14:paraId="17987FA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以联合体形式参加投标的</w:t>
      </w:r>
      <w:bookmarkEnd w:id="63"/>
      <w:r>
        <w:rPr>
          <w:rFonts w:hint="eastAsia" w:ascii="宋体" w:hAnsi="宋体"/>
          <w:bCs/>
          <w:color w:val="000000"/>
          <w:sz w:val="24"/>
          <w:szCs w:val="24"/>
          <w:highlight w:val="none"/>
          <w:lang w:val="zh-CN"/>
        </w:rPr>
        <w:t>，联合体各方均应当具备《中华人民共和国政府采购法》第二十二条规定的条件，联合体各方均</w:t>
      </w:r>
      <w:r>
        <w:rPr>
          <w:rFonts w:hint="eastAsia" w:ascii="宋体" w:hAnsi="宋体" w:cs="宋体"/>
          <w:bCs/>
          <w:color w:val="000000"/>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；联合体中有同类资质的投标人按照联合体分工承担相同工作的，按照资质等级较低的投标人确定资质等级；</w:t>
      </w:r>
      <w:bookmarkStart w:id="65" w:name="OLE_LINK128"/>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联合体成员存在不良信用记录的，视同联合体存在不良信用记录。</w:t>
      </w:r>
      <w:bookmarkEnd w:id="64"/>
      <w:bookmarkEnd w:id="65"/>
    </w:p>
    <w:p w14:paraId="0424E6D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均</w:t>
      </w:r>
      <w:r>
        <w:rPr>
          <w:rFonts w:hint="eastAsia" w:ascii="宋体" w:hAnsi="宋体"/>
          <w:bCs/>
          <w:color w:val="000000"/>
          <w:sz w:val="24"/>
          <w:szCs w:val="24"/>
          <w:highlight w:val="none"/>
          <w:lang w:val="zh-CN"/>
        </w:rPr>
        <w:t>将被认定为无效投标。</w:t>
      </w:r>
    </w:p>
    <w:p w14:paraId="2512D194">
      <w:pPr>
        <w:spacing w:line="360" w:lineRule="auto"/>
        <w:ind w:firstLine="480"/>
        <w:jc w:val="left"/>
        <w:rPr>
          <w:bCs/>
          <w:color w:val="000000"/>
          <w:highlight w:val="none"/>
        </w:rPr>
      </w:pPr>
      <w:r>
        <w:rPr>
          <w:rFonts w:ascii="宋体" w:hAnsi="宋体"/>
          <w:bCs/>
          <w:color w:val="000000"/>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由联合体主体单位出具中小企业声明。</w:t>
      </w:r>
    </w:p>
    <w:p w14:paraId="6D540CD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19.2 中标后分包</w:t>
      </w:r>
    </w:p>
    <w:p w14:paraId="1C6449E9">
      <w:pPr>
        <w:spacing w:line="360" w:lineRule="auto"/>
        <w:ind w:firstLine="480"/>
        <w:jc w:val="left"/>
        <w:rPr>
          <w:rFonts w:ascii="宋体" w:hAnsi="宋体"/>
          <w:bCs/>
          <w:color w:val="000000"/>
          <w:sz w:val="24"/>
          <w:szCs w:val="24"/>
          <w:highlight w:val="none"/>
        </w:rPr>
      </w:pPr>
      <w:r>
        <w:rPr>
          <w:rFonts w:hint="eastAsia" w:ascii="宋体" w:hAnsi="宋体" w:cs="宋体"/>
          <w:bCs/>
          <w:color w:val="000000"/>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70CB4CBF">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rPr>
        <w:t>五、</w:t>
      </w:r>
      <w:r>
        <w:rPr>
          <w:rFonts w:hint="eastAsia" w:ascii="宋体" w:hAnsi="宋体"/>
          <w:b/>
          <w:color w:val="000000"/>
          <w:sz w:val="24"/>
          <w:szCs w:val="24"/>
          <w:highlight w:val="none"/>
          <w:lang w:val="zh-CN"/>
        </w:rPr>
        <w:t>开标、资审、评标、定标、废标</w:t>
      </w:r>
    </w:p>
    <w:p w14:paraId="00EC553B">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20、开标</w:t>
      </w:r>
    </w:p>
    <w:p w14:paraId="2230D005">
      <w:pPr>
        <w:spacing w:line="360" w:lineRule="auto"/>
        <w:ind w:firstLine="480"/>
        <w:rPr>
          <w:rFonts w:hint="eastAsia" w:ascii="宋体" w:hAnsi="宋体"/>
          <w:bCs/>
          <w:color w:val="000000"/>
          <w:sz w:val="24"/>
          <w:szCs w:val="24"/>
          <w:highlight w:val="none"/>
          <w:lang w:val="zh-CN"/>
        </w:rPr>
      </w:pPr>
      <w:bookmarkStart w:id="66" w:name="OLE_LINK224"/>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 xml:space="preserve">.1 </w:t>
      </w:r>
      <w:bookmarkStart w:id="67" w:name="OLE_LINK276"/>
      <w:r>
        <w:rPr>
          <w:rFonts w:hint="eastAsia" w:ascii="宋体" w:hAnsi="宋体"/>
          <w:bCs/>
          <w:color w:val="000000"/>
          <w:sz w:val="24"/>
          <w:szCs w:val="24"/>
          <w:highlight w:val="none"/>
          <w:lang w:val="zh-CN"/>
        </w:rPr>
        <w:t>采购人按招标文件规定的时间在“苏采云开标大厅”召开开标大会，邀请所有投标人代表参加。</w:t>
      </w:r>
      <w:r>
        <w:rPr>
          <w:rFonts w:ascii="宋体" w:hAnsi="宋体"/>
          <w:bCs/>
          <w:color w:val="000000"/>
          <w:sz w:val="24"/>
          <w:szCs w:val="24"/>
          <w:highlight w:val="none"/>
          <w:lang w:val="zh-CN"/>
        </w:rPr>
        <w:t>投标人应当在开标前做好充分准备，携带 CA 数字证书准时参加线上投标。</w:t>
      </w:r>
      <w:bookmarkEnd w:id="67"/>
    </w:p>
    <w:p w14:paraId="295F875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27239912">
      <w:pPr>
        <w:spacing w:line="360" w:lineRule="auto"/>
        <w:ind w:firstLine="480"/>
        <w:rPr>
          <w:rFonts w:ascii="宋体" w:hAnsi="宋体"/>
          <w:bCs/>
          <w:color w:val="000000"/>
          <w:sz w:val="24"/>
          <w:szCs w:val="24"/>
          <w:highlight w:val="none"/>
          <w:lang w:val="zh-CN"/>
        </w:rPr>
      </w:pPr>
      <w:r>
        <w:rPr>
          <w:rFonts w:ascii="宋体" w:hAnsi="宋体"/>
          <w:bCs/>
          <w:color w:val="000000"/>
          <w:sz w:val="24"/>
          <w:szCs w:val="24"/>
          <w:highlight w:val="none"/>
          <w:lang w:val="zh-CN"/>
        </w:rPr>
        <w:t>20.2投标文件递交截止时间后，采购人将在系统内公布投标人名单然后通过开标会议区发出投标文件解密的指令，</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在各自地点按规定时间自行实施远程解密，</w:t>
      </w:r>
      <w:r>
        <w:rPr>
          <w:rFonts w:hint="eastAsia" w:ascii="宋体" w:hAnsi="宋体" w:cs="宋体"/>
          <w:b/>
          <w:color w:val="000000"/>
          <w:sz w:val="24"/>
          <w:szCs w:val="21"/>
          <w:highlight w:val="none"/>
        </w:rPr>
        <w:t>投标人解密限定在</w:t>
      </w:r>
      <w:r>
        <w:rPr>
          <w:rFonts w:hint="eastAsia" w:ascii="宋体" w:hAnsi="宋体" w:cs="宋体"/>
          <w:b/>
          <w:bCs/>
          <w:color w:val="000000"/>
          <w:sz w:val="24"/>
          <w:szCs w:val="21"/>
          <w:highlight w:val="none"/>
        </w:rPr>
        <w:t>解密时间开始</w:t>
      </w:r>
      <w:r>
        <w:rPr>
          <w:rFonts w:hint="eastAsia" w:ascii="宋体" w:hAnsi="宋体" w:cs="宋体"/>
          <w:b/>
          <w:color w:val="000000"/>
          <w:sz w:val="24"/>
          <w:szCs w:val="21"/>
          <w:highlight w:val="none"/>
        </w:rPr>
        <w:t>30分钟内完成</w:t>
      </w:r>
      <w:r>
        <w:rPr>
          <w:rFonts w:hint="eastAsia" w:ascii="宋体" w:hAnsi="宋体" w:cs="宋体"/>
          <w:bCs/>
          <w:color w:val="000000"/>
          <w:sz w:val="24"/>
          <w:szCs w:val="21"/>
          <w:highlight w:val="none"/>
        </w:rPr>
        <w:t>。</w:t>
      </w:r>
      <w:r>
        <w:rPr>
          <w:rFonts w:ascii="宋体" w:hAnsi="宋体"/>
          <w:bCs/>
          <w:color w:val="000000"/>
          <w:sz w:val="24"/>
          <w:szCs w:val="24"/>
          <w:highlight w:val="none"/>
          <w:lang w:val="zh-CN"/>
        </w:rPr>
        <w:t>因</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解密成功，即视为网上平台运行无故障。</w:t>
      </w:r>
    </w:p>
    <w:p w14:paraId="6866F992">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3</w:t>
      </w:r>
      <w:r>
        <w:rPr>
          <w:rFonts w:hint="eastAsia" w:ascii="宋体" w:hAnsi="宋体"/>
          <w:bCs/>
          <w:color w:val="000000"/>
          <w:sz w:val="24"/>
          <w:szCs w:val="24"/>
          <w:highlight w:val="none"/>
          <w:lang w:val="zh-CN"/>
        </w:rPr>
        <w:t>开标</w:t>
      </w:r>
      <w:bookmarkStart w:id="68" w:name="OLE_LINK130"/>
      <w:r>
        <w:rPr>
          <w:rFonts w:hint="eastAsia" w:ascii="宋体" w:hAnsi="宋体"/>
          <w:bCs/>
          <w:color w:val="000000"/>
          <w:sz w:val="24"/>
          <w:szCs w:val="24"/>
          <w:highlight w:val="none"/>
          <w:lang w:val="zh-CN"/>
        </w:rPr>
        <w:t>过程由采购人或者</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w:t>
      </w:r>
      <w:r>
        <w:rPr>
          <w:rFonts w:hint="eastAsia" w:ascii="宋体" w:hAnsi="宋体"/>
          <w:bCs/>
          <w:color w:val="000000"/>
          <w:sz w:val="24"/>
          <w:szCs w:val="24"/>
          <w:highlight w:val="none"/>
          <w:lang w:val="zh-CN"/>
        </w:rPr>
        <w:t>负责记录，并由相关工作人员签字确认后随采购文件一并存档。</w:t>
      </w:r>
      <w:bookmarkEnd w:id="68"/>
      <w:r>
        <w:rPr>
          <w:rFonts w:hint="eastAsia" w:ascii="宋体" w:hAnsi="宋体"/>
          <w:bCs/>
          <w:color w:val="000000"/>
          <w:sz w:val="24"/>
          <w:szCs w:val="24"/>
          <w:highlight w:val="none"/>
          <w:lang w:val="zh-CN"/>
        </w:rPr>
        <w:t>投标人未参加开标的，视同认可开标结果。</w:t>
      </w:r>
    </w:p>
    <w:p w14:paraId="1E40B2AC">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69" w:name="OLE_LINK131"/>
      <w:bookmarkStart w:id="70" w:name="OLE_LINK179"/>
      <w:r>
        <w:rPr>
          <w:rFonts w:hint="eastAsia" w:ascii="宋体" w:hAnsi="宋体"/>
          <w:bCs/>
          <w:color w:val="000000"/>
          <w:sz w:val="24"/>
          <w:szCs w:val="24"/>
          <w:highlight w:val="none"/>
        </w:rPr>
        <w:t>投标人对开标过程和开标记录有疑义，以及认为采购人、</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机构相关工作人员有需要回避的情形的，应当场提出询问或者回避申请。</w:t>
      </w:r>
      <w:bookmarkEnd w:id="69"/>
      <w:bookmarkStart w:id="71" w:name="OLE_LINK176"/>
      <w:r>
        <w:rPr>
          <w:rFonts w:hint="eastAsia" w:ascii="宋体" w:hAnsi="宋体"/>
          <w:bCs/>
          <w:color w:val="000000"/>
          <w:sz w:val="24"/>
          <w:szCs w:val="24"/>
          <w:highlight w:val="none"/>
        </w:rPr>
        <w:t>对投标文件报价前后不一致的修正，待进入评标环节以后，由</w:t>
      </w:r>
      <w:r>
        <w:rPr>
          <w:rFonts w:hint="eastAsia" w:ascii="宋体" w:hAnsi="宋体"/>
          <w:bCs/>
          <w:color w:val="000000"/>
          <w:sz w:val="24"/>
          <w:szCs w:val="24"/>
          <w:highlight w:val="none"/>
          <w:lang w:val="zh-CN"/>
        </w:rPr>
        <w:t>评标委员会做出认定</w:t>
      </w:r>
      <w:bookmarkEnd w:id="70"/>
      <w:bookmarkEnd w:id="71"/>
      <w:r>
        <w:rPr>
          <w:rFonts w:hint="eastAsia" w:ascii="宋体" w:hAnsi="宋体"/>
          <w:bCs/>
          <w:color w:val="000000"/>
          <w:sz w:val="24"/>
          <w:szCs w:val="24"/>
          <w:highlight w:val="none"/>
          <w:lang w:val="zh-CN"/>
        </w:rPr>
        <w:t>。</w:t>
      </w:r>
      <w:bookmarkEnd w:id="66"/>
    </w:p>
    <w:p w14:paraId="1CFD308E">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21、资格审查</w:t>
      </w:r>
    </w:p>
    <w:p w14:paraId="397622D8">
      <w:pPr>
        <w:spacing w:line="360" w:lineRule="auto"/>
        <w:ind w:firstLine="480"/>
        <w:rPr>
          <w:rFonts w:hint="eastAsia" w:ascii="宋体" w:hAnsi="宋体" w:cs="宋体"/>
          <w:color w:val="000000"/>
          <w:sz w:val="24"/>
          <w:szCs w:val="24"/>
          <w:highlight w:val="none"/>
        </w:rPr>
      </w:pPr>
      <w:r>
        <w:rPr>
          <w:rFonts w:hint="eastAsia" w:ascii="宋体" w:hAnsi="宋体"/>
          <w:bCs/>
          <w:color w:val="000000"/>
          <w:sz w:val="24"/>
          <w:szCs w:val="24"/>
          <w:highlight w:val="none"/>
        </w:rPr>
        <w:t>21.1 开标结束后，</w:t>
      </w:r>
      <w:r>
        <w:rPr>
          <w:rFonts w:hint="eastAsia" w:ascii="宋体" w:hAnsi="宋体" w:cs="宋体"/>
          <w:color w:val="000000"/>
          <w:sz w:val="24"/>
          <w:szCs w:val="24"/>
          <w:highlight w:val="none"/>
        </w:rPr>
        <w:t>采购人依法对投标人的资格进行审查。</w:t>
      </w:r>
    </w:p>
    <w:p w14:paraId="10CE9954">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合格投标人不足3家的，不得评标。</w:t>
      </w:r>
    </w:p>
    <w:p w14:paraId="34E0B0ED">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21.2 资格审查包括两部分内容：</w:t>
      </w:r>
    </w:p>
    <w:p w14:paraId="77AE2FDD">
      <w:pPr>
        <w:spacing w:line="360" w:lineRule="auto"/>
        <w:ind w:firstLine="480"/>
        <w:rPr>
          <w:rFonts w:hint="eastAsia" w:ascii="宋体" w:hAnsi="宋体" w:cs="宋体"/>
          <w:color w:val="000000"/>
          <w:sz w:val="24"/>
          <w:szCs w:val="24"/>
          <w:highlight w:val="none"/>
        </w:rPr>
      </w:pPr>
      <w:bookmarkStart w:id="72" w:name="OLE_LINK257"/>
      <w:bookmarkStart w:id="73" w:name="OLE_LINK261"/>
      <w:r>
        <w:rPr>
          <w:rFonts w:hint="eastAsia" w:ascii="宋体" w:hAnsi="宋体" w:cs="宋体"/>
          <w:color w:val="000000"/>
          <w:sz w:val="24"/>
          <w:szCs w:val="24"/>
          <w:highlight w:val="none"/>
        </w:rPr>
        <w:t xml:space="preserve">21.2.1 </w:t>
      </w:r>
      <w:bookmarkEnd w:id="72"/>
      <w:r>
        <w:rPr>
          <w:rFonts w:hint="eastAsia" w:ascii="宋体" w:hAnsi="宋体" w:cs="宋体"/>
          <w:color w:val="000000"/>
          <w:sz w:val="24"/>
          <w:szCs w:val="24"/>
          <w:highlight w:val="none"/>
        </w:rPr>
        <w:t>按照本须知“9、投标文件的组成”中“资格</w:t>
      </w:r>
      <w:r>
        <w:rPr>
          <w:rFonts w:hint="eastAsia" w:ascii="宋体" w:hAnsi="宋体" w:cs="宋体"/>
          <w:color w:val="000000"/>
          <w:sz w:val="24"/>
          <w:szCs w:val="24"/>
          <w:highlight w:val="none"/>
          <w:lang w:val="en-US" w:eastAsia="zh-CN"/>
        </w:rPr>
        <w:t>条件</w:t>
      </w:r>
      <w:r>
        <w:rPr>
          <w:rFonts w:hint="eastAsia" w:ascii="宋体" w:hAnsi="宋体" w:cs="宋体"/>
          <w:color w:val="000000"/>
          <w:sz w:val="24"/>
          <w:szCs w:val="24"/>
          <w:highlight w:val="none"/>
        </w:rPr>
        <w:t>”的要求依法对投标人的资格进行审查。</w:t>
      </w:r>
    </w:p>
    <w:p w14:paraId="1510727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21.2.2 信用查询。</w:t>
      </w:r>
    </w:p>
    <w:p w14:paraId="537EA842">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① 查询时间：采购人将在资审环节查询投标人的信用记录，投标人存在不良信用记录的，其投标将被认定为投标无效。</w:t>
      </w:r>
    </w:p>
    <w:p w14:paraId="63B8C166">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② 不良信用记录指：按照</w:t>
      </w:r>
      <w:r>
        <w:rPr>
          <w:rFonts w:ascii="宋体" w:hAnsi="宋体" w:cs="宋体"/>
          <w:color w:val="000000"/>
          <w:sz w:val="24"/>
          <w:szCs w:val="24"/>
          <w:highlight w:val="none"/>
          <w:lang w:bidi="ar"/>
        </w:rPr>
        <w:t>《财政部关于在政府采购活动中查询及使用信用记录有关问题的通知》</w:t>
      </w:r>
      <w:r>
        <w:rPr>
          <w:rFonts w:hint="eastAsia" w:ascii="宋体" w:hAnsi="宋体" w:cs="宋体"/>
          <w:color w:val="000000"/>
          <w:sz w:val="24"/>
          <w:szCs w:val="24"/>
          <w:highlight w:val="none"/>
          <w:lang w:bidi="ar"/>
        </w:rPr>
        <w:t>（</w:t>
      </w:r>
      <w:r>
        <w:rPr>
          <w:rFonts w:ascii="宋体" w:hAnsi="宋体" w:cs="宋体"/>
          <w:color w:val="000000"/>
          <w:sz w:val="24"/>
          <w:szCs w:val="24"/>
          <w:highlight w:val="none"/>
          <w:lang w:bidi="ar"/>
        </w:rPr>
        <w:t>财库〔2016〕125号</w:t>
      </w:r>
      <w:r>
        <w:rPr>
          <w:rFonts w:hint="eastAsia" w:ascii="宋体" w:hAnsi="宋体" w:cs="宋体"/>
          <w:color w:val="000000"/>
          <w:sz w:val="24"/>
          <w:szCs w:val="24"/>
          <w:highlight w:val="none"/>
          <w:lang w:bidi="ar"/>
        </w:rPr>
        <w:t>）要求，</w:t>
      </w:r>
      <w:r>
        <w:rPr>
          <w:rFonts w:hint="eastAsia" w:ascii="宋体" w:hAnsi="宋体" w:cs="宋体"/>
          <w:color w:val="000000"/>
          <w:sz w:val="24"/>
          <w:szCs w:val="24"/>
          <w:highlight w:val="none"/>
        </w:rPr>
        <w:t>在“信用中国”网站（www.creditchina.gov.cn）被列入失信执行人、重大税收违法案件当事人名单、政府采购严重违法失信名单，或在“中国政府采购网”网站（www.ccgp.gov.cn）被列入政府采购严重违法失信行为记录名单。</w:t>
      </w:r>
    </w:p>
    <w:p w14:paraId="1F0145FC">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③ 查询及记录方式：采购人将</w:t>
      </w:r>
      <w:r>
        <w:rPr>
          <w:rFonts w:hint="eastAsia" w:ascii="宋体" w:hAnsi="宋体" w:cs="宋体"/>
          <w:bCs/>
          <w:color w:val="auto"/>
          <w:sz w:val="24"/>
          <w:szCs w:val="24"/>
          <w:highlight w:val="none"/>
        </w:rPr>
        <w:t>在以上网站</w:t>
      </w:r>
      <w:r>
        <w:rPr>
          <w:rFonts w:hint="eastAsia" w:ascii="宋体" w:hAnsi="宋体" w:cs="宋体"/>
          <w:color w:val="000000"/>
          <w:sz w:val="24"/>
          <w:szCs w:val="24"/>
          <w:highlight w:val="none"/>
        </w:rPr>
        <w:t>查询网页</w:t>
      </w:r>
      <w:r>
        <w:rPr>
          <w:rFonts w:hint="eastAsia" w:ascii="宋体" w:hAnsi="宋体" w:cs="宋体"/>
          <w:color w:val="000000"/>
          <w:sz w:val="24"/>
          <w:szCs w:val="24"/>
          <w:highlight w:val="none"/>
          <w:lang w:val="en-US" w:eastAsia="zh-CN"/>
        </w:rPr>
        <w:t>并</w:t>
      </w:r>
      <w:r>
        <w:rPr>
          <w:rFonts w:hint="eastAsia" w:ascii="宋体" w:hAnsi="宋体" w:cs="宋体"/>
          <w:color w:val="000000"/>
          <w:sz w:val="24"/>
          <w:szCs w:val="24"/>
          <w:highlight w:val="none"/>
        </w:rPr>
        <w:t>打印</w:t>
      </w:r>
      <w:r>
        <w:rPr>
          <w:rFonts w:hint="eastAsia" w:ascii="宋体" w:hAnsi="宋体" w:cs="宋体"/>
          <w:bCs/>
          <w:color w:val="auto"/>
          <w:sz w:val="24"/>
          <w:szCs w:val="24"/>
          <w:highlight w:val="none"/>
        </w:rPr>
        <w:t>查询结果、</w:t>
      </w:r>
      <w:r>
        <w:rPr>
          <w:rFonts w:hint="eastAsia" w:ascii="宋体" w:hAnsi="宋体" w:cs="宋体"/>
          <w:color w:val="000000"/>
          <w:sz w:val="24"/>
          <w:szCs w:val="24"/>
          <w:highlight w:val="none"/>
        </w:rPr>
        <w:t>签字并存档备查。</w:t>
      </w:r>
      <w:bookmarkEnd w:id="73"/>
      <w:r>
        <w:rPr>
          <w:rFonts w:hint="eastAsia" w:ascii="宋体" w:hAnsi="宋体" w:cs="宋体"/>
          <w:color w:val="000000"/>
          <w:sz w:val="24"/>
          <w:szCs w:val="24"/>
          <w:highlight w:val="none"/>
        </w:rPr>
        <w:t>投标人不良信用记录以</w:t>
      </w:r>
      <w:r>
        <w:rPr>
          <w:rFonts w:hint="eastAsia" w:ascii="宋体" w:hAnsi="宋体"/>
          <w:bCs/>
          <w:color w:val="000000"/>
          <w:sz w:val="24"/>
          <w:szCs w:val="24"/>
          <w:highlight w:val="none"/>
        </w:rPr>
        <w:t>采购人</w:t>
      </w:r>
      <w:r>
        <w:rPr>
          <w:rFonts w:hint="eastAsia" w:ascii="宋体" w:hAnsi="宋体"/>
          <w:bCs/>
          <w:color w:val="auto"/>
          <w:sz w:val="24"/>
          <w:szCs w:val="24"/>
          <w:highlight w:val="none"/>
        </w:rPr>
        <w:t>代表在评审</w:t>
      </w:r>
      <w:r>
        <w:rPr>
          <w:rFonts w:hint="eastAsia" w:ascii="宋体" w:hAnsi="宋体" w:cs="宋体"/>
          <w:bCs/>
          <w:color w:val="auto"/>
          <w:sz w:val="24"/>
          <w:szCs w:val="24"/>
          <w:highlight w:val="none"/>
        </w:rPr>
        <w:t>现场实时查询结果为准</w:t>
      </w:r>
      <w:r>
        <w:rPr>
          <w:rFonts w:hint="eastAsia" w:ascii="宋体" w:hAnsi="宋体" w:cs="宋体"/>
          <w:color w:val="000000"/>
          <w:sz w:val="24"/>
          <w:szCs w:val="24"/>
          <w:highlight w:val="none"/>
        </w:rPr>
        <w:t>，投标人自行提供的与网站信息不一致的其他证明材料不作为资格审查依据；若在以上两个网站查询不到投标人企业信息的，以投标人提供的</w:t>
      </w:r>
      <w:r>
        <w:rPr>
          <w:rFonts w:hint="eastAsia" w:ascii="宋体" w:hAnsi="宋体" w:cs="宋体"/>
          <w:bCs/>
          <w:color w:val="auto"/>
          <w:sz w:val="24"/>
          <w:szCs w:val="24"/>
          <w:highlight w:val="none"/>
        </w:rPr>
        <w:t>资格</w:t>
      </w:r>
      <w:r>
        <w:rPr>
          <w:rFonts w:hint="eastAsia" w:ascii="宋体" w:hAnsi="宋体" w:cs="宋体"/>
          <w:color w:val="000000"/>
          <w:sz w:val="24"/>
          <w:szCs w:val="24"/>
          <w:highlight w:val="none"/>
        </w:rPr>
        <w:t>声明函为准。</w:t>
      </w:r>
    </w:p>
    <w:p w14:paraId="094C8844">
      <w:pPr>
        <w:spacing w:line="360" w:lineRule="auto"/>
        <w:ind w:firstLine="482"/>
        <w:rPr>
          <w:rFonts w:hint="eastAsia" w:ascii="宋体" w:hAnsi="宋体"/>
          <w:b/>
          <w:color w:val="000000"/>
          <w:sz w:val="24"/>
          <w:szCs w:val="24"/>
          <w:highlight w:val="none"/>
        </w:rPr>
      </w:pPr>
      <w:bookmarkStart w:id="74" w:name="OLE_LINK18"/>
      <w:r>
        <w:rPr>
          <w:rFonts w:hint="eastAsia" w:ascii="宋体" w:hAnsi="宋体"/>
          <w:b/>
          <w:color w:val="000000"/>
          <w:sz w:val="24"/>
          <w:szCs w:val="24"/>
          <w:highlight w:val="none"/>
        </w:rPr>
        <w:t>22、评标</w:t>
      </w:r>
      <w:bookmarkEnd w:id="74"/>
    </w:p>
    <w:p w14:paraId="64D17554">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22.1 具体评标事务由采购人依法组建的评标委员会负责。</w:t>
      </w:r>
    </w:p>
    <w:p w14:paraId="558BF38A">
      <w:pPr>
        <w:spacing w:line="360" w:lineRule="auto"/>
        <w:ind w:firstLine="480"/>
        <w:rPr>
          <w:rFonts w:hint="eastAsia" w:ascii="宋体" w:hAnsi="宋体"/>
          <w:b/>
          <w:color w:val="000000"/>
          <w:sz w:val="24"/>
          <w:szCs w:val="24"/>
          <w:highlight w:val="none"/>
          <w:lang w:val="zh-CN"/>
        </w:rPr>
      </w:pPr>
      <w:r>
        <w:rPr>
          <w:rFonts w:hint="eastAsia" w:ascii="宋体" w:hAnsi="宋体"/>
          <w:bCs/>
          <w:color w:val="000000"/>
          <w:sz w:val="24"/>
          <w:szCs w:val="24"/>
          <w:highlight w:val="none"/>
        </w:rPr>
        <w:t>22.2 评标委员会对通过资格性审查的投标人的投标文件进行符合性审查，以确定其是否满足招标文件的实质性要求。</w:t>
      </w:r>
      <w:r>
        <w:rPr>
          <w:rFonts w:hint="eastAsia" w:ascii="宋体" w:hAnsi="宋体"/>
          <w:b/>
          <w:color w:val="000000"/>
          <w:sz w:val="24"/>
          <w:szCs w:val="24"/>
          <w:highlight w:val="none"/>
          <w:lang w:val="zh-CN"/>
        </w:rPr>
        <w:t>实质性要求是指本招标文件中</w:t>
      </w:r>
      <w:r>
        <w:rPr>
          <w:rFonts w:hint="eastAsia" w:ascii="宋体" w:hAnsi="宋体"/>
          <w:b/>
          <w:color w:val="000000"/>
          <w:sz w:val="24"/>
          <w:szCs w:val="24"/>
          <w:highlight w:val="none"/>
        </w:rPr>
        <w:t>“第三章 项目技术要求和有关说明”部分及其他“须（必须）”或“应（应当）”等文字说明的相关要求。</w:t>
      </w:r>
    </w:p>
    <w:p w14:paraId="7BECBECD">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22.3</w:t>
      </w:r>
      <w:r>
        <w:rPr>
          <w:rFonts w:hint="eastAsia" w:ascii="宋体" w:hAnsi="宋体"/>
          <w:b/>
          <w:color w:val="000000"/>
          <w:sz w:val="24"/>
          <w:szCs w:val="24"/>
          <w:highlight w:val="none"/>
        </w:rPr>
        <w:t xml:space="preserve"> 澄清有关问题。</w:t>
      </w:r>
      <w:bookmarkStart w:id="75" w:name="_Hlk131934774"/>
      <w:bookmarkStart w:id="76" w:name="OLE_LINK129"/>
      <w:r>
        <w:rPr>
          <w:rFonts w:hint="eastAsia" w:ascii="宋体" w:hAnsi="宋体"/>
          <w:bCs/>
          <w:color w:val="000000"/>
          <w:sz w:val="24"/>
          <w:highlight w:val="none"/>
        </w:rPr>
        <w:t>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highlight w:val="none"/>
        </w:rPr>
        <w:t>若</w:t>
      </w:r>
      <w:r>
        <w:rPr>
          <w:rFonts w:hint="eastAsia" w:ascii="宋体" w:hAnsi="宋体"/>
          <w:bCs/>
          <w:color w:val="000000"/>
          <w:sz w:val="24"/>
          <w:szCs w:val="24"/>
          <w:highlight w:val="none"/>
        </w:rPr>
        <w:t>对不同文字文本投标文件的解释发生异议的，以中文文本为准。</w:t>
      </w:r>
      <w:bookmarkEnd w:id="75"/>
      <w:bookmarkEnd w:id="76"/>
    </w:p>
    <w:p w14:paraId="22272CA7">
      <w:pPr>
        <w:spacing w:line="360" w:lineRule="auto"/>
        <w:ind w:firstLine="480"/>
        <w:rPr>
          <w:rFonts w:hint="eastAsia" w:ascii="宋体" w:hAnsi="宋体"/>
          <w:bCs/>
          <w:color w:val="000000"/>
          <w:sz w:val="24"/>
          <w:highlight w:val="none"/>
        </w:rPr>
      </w:pPr>
      <w:r>
        <w:rPr>
          <w:rFonts w:hint="eastAsia" w:ascii="宋体" w:hAnsi="宋体"/>
          <w:bCs/>
          <w:color w:val="000000"/>
          <w:sz w:val="24"/>
          <w:szCs w:val="24"/>
          <w:highlight w:val="none"/>
        </w:rPr>
        <w:t xml:space="preserve">22.4 </w:t>
      </w:r>
      <w:r>
        <w:rPr>
          <w:rFonts w:hint="eastAsia" w:ascii="宋体" w:hAnsi="宋体"/>
          <w:b/>
          <w:color w:val="000000"/>
          <w:sz w:val="24"/>
          <w:szCs w:val="24"/>
          <w:highlight w:val="none"/>
        </w:rPr>
        <w:t>比</w:t>
      </w:r>
      <w:r>
        <w:rPr>
          <w:rFonts w:hint="eastAsia" w:ascii="宋体" w:hAnsi="宋体"/>
          <w:b/>
          <w:color w:val="000000"/>
          <w:sz w:val="24"/>
          <w:highlight w:val="none"/>
        </w:rPr>
        <w:t>较与评价</w:t>
      </w:r>
      <w:r>
        <w:rPr>
          <w:rFonts w:hint="eastAsia" w:ascii="宋体" w:hAnsi="宋体"/>
          <w:bCs/>
          <w:color w:val="000000"/>
          <w:sz w:val="24"/>
          <w:highlight w:val="none"/>
        </w:rPr>
        <w:t>。</w:t>
      </w:r>
      <w:r>
        <w:rPr>
          <w:rFonts w:hint="eastAsia" w:ascii="宋体" w:hAnsi="宋体" w:cs="宋体"/>
          <w:color w:val="000000"/>
          <w:sz w:val="24"/>
          <w:szCs w:val="24"/>
          <w:highlight w:val="none"/>
        </w:rPr>
        <w:t>评标委员会应当按照招标文件中规定的评标方法和标准，对符合性审查合格的投标文件进行商务和技术评估，综合比较与评价。</w:t>
      </w:r>
    </w:p>
    <w:p w14:paraId="6D5BF73A">
      <w:pPr>
        <w:tabs>
          <w:tab w:val="left" w:pos="945"/>
        </w:tabs>
        <w:spacing w:line="360" w:lineRule="auto"/>
        <w:ind w:firstLine="523"/>
        <w:rPr>
          <w:rFonts w:hint="eastAsia" w:ascii="宋体" w:hAnsi="宋体"/>
          <w:bCs/>
          <w:color w:val="000000"/>
          <w:sz w:val="24"/>
          <w:highlight w:val="none"/>
        </w:rPr>
      </w:pPr>
      <w:bookmarkStart w:id="77" w:name="OLE_LINK12"/>
      <w:r>
        <w:rPr>
          <w:rFonts w:hint="eastAsia" w:ascii="宋体" w:hAnsi="宋体"/>
          <w:bCs/>
          <w:color w:val="000000"/>
          <w:sz w:val="24"/>
          <w:highlight w:val="none"/>
        </w:rPr>
        <w:t>22.</w:t>
      </w:r>
      <w:r>
        <w:rPr>
          <w:rFonts w:hint="eastAsia" w:ascii="宋体"/>
          <w:bCs/>
          <w:color w:val="000000"/>
          <w:sz w:val="24"/>
          <w:szCs w:val="24"/>
          <w:highlight w:val="none"/>
        </w:rPr>
        <w:t xml:space="preserve">5 </w:t>
      </w:r>
      <w:bookmarkEnd w:id="77"/>
      <w:r>
        <w:rPr>
          <w:rFonts w:hint="eastAsia" w:ascii="宋体" w:hAnsi="宋体"/>
          <w:b/>
          <w:color w:val="000000"/>
          <w:sz w:val="24"/>
          <w:highlight w:val="none"/>
        </w:rPr>
        <w:t>评标方法和标准</w:t>
      </w:r>
      <w:r>
        <w:rPr>
          <w:rFonts w:hint="eastAsia" w:ascii="宋体" w:hAnsi="宋体"/>
          <w:bCs/>
          <w:color w:val="000000"/>
          <w:sz w:val="24"/>
          <w:highlight w:val="none"/>
        </w:rPr>
        <w:t>。</w:t>
      </w:r>
    </w:p>
    <w:p w14:paraId="7AA2BCAC">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22.</w:t>
      </w:r>
      <w:r>
        <w:rPr>
          <w:rFonts w:hint="eastAsia" w:ascii="宋体"/>
          <w:bCs/>
          <w:color w:val="000000"/>
          <w:sz w:val="24"/>
          <w:szCs w:val="24"/>
          <w:highlight w:val="none"/>
        </w:rPr>
        <w:t xml:space="preserve">5.1 </w:t>
      </w:r>
      <w:bookmarkStart w:id="78" w:name="_Hlk139978336"/>
      <w:r>
        <w:rPr>
          <w:rFonts w:hint="eastAsia" w:ascii="宋体" w:hAnsi="宋体"/>
          <w:bCs/>
          <w:color w:val="000000"/>
          <w:sz w:val="24"/>
          <w:highlight w:val="none"/>
        </w:rPr>
        <w:t>本次招标采用综合评分法，即投标文件满足招标文件全部实质性要求，且按照评审因素的量化指标评审得分最高的投标人为第一中标候选人。评标委员会</w:t>
      </w:r>
      <w:bookmarkStart w:id="79" w:name="OLE_LINK17"/>
      <w:r>
        <w:rPr>
          <w:rFonts w:hint="eastAsia" w:ascii="宋体" w:hAnsi="宋体"/>
          <w:bCs/>
          <w:color w:val="000000"/>
          <w:sz w:val="24"/>
          <w:highlight w:val="none"/>
        </w:rPr>
        <w:t>在</w:t>
      </w:r>
      <w:r>
        <w:rPr>
          <w:rFonts w:hint="eastAsia" w:ascii="宋体" w:hAnsi="宋体" w:cs="宋体"/>
          <w:color w:val="000000"/>
          <w:sz w:val="24"/>
          <w:szCs w:val="24"/>
          <w:highlight w:val="none"/>
        </w:rPr>
        <w:t>投标文件满足招标文件全部实质性要求</w:t>
      </w:r>
      <w:r>
        <w:rPr>
          <w:rFonts w:hint="eastAsia" w:ascii="宋体" w:hAnsi="宋体"/>
          <w:bCs/>
          <w:color w:val="000000"/>
          <w:sz w:val="24"/>
          <w:highlight w:val="none"/>
        </w:rPr>
        <w:t>的前提下</w:t>
      </w:r>
      <w:bookmarkEnd w:id="79"/>
      <w:r>
        <w:rPr>
          <w:rFonts w:hint="eastAsia" w:ascii="宋体" w:hAnsi="宋体"/>
          <w:bCs/>
          <w:color w:val="000000"/>
          <w:sz w:val="24"/>
          <w:szCs w:val="24"/>
          <w:highlight w:val="none"/>
          <w:lang w:val="zh-CN"/>
        </w:rPr>
        <w:t>，按照招标文件规定的</w:t>
      </w:r>
      <w:r>
        <w:rPr>
          <w:rFonts w:hint="eastAsia" w:ascii="宋体" w:hAnsi="宋体"/>
          <w:bCs/>
          <w:color w:val="000000"/>
          <w:sz w:val="24"/>
          <w:highlight w:val="none"/>
        </w:rPr>
        <w:t>评审因素的量化指标</w:t>
      </w:r>
      <w:r>
        <w:rPr>
          <w:rFonts w:hint="eastAsia" w:ascii="宋体" w:hAnsi="宋体"/>
          <w:bCs/>
          <w:color w:val="000000"/>
          <w:sz w:val="24"/>
          <w:szCs w:val="24"/>
          <w:highlight w:val="none"/>
          <w:lang w:val="zh-CN"/>
        </w:rPr>
        <w:t>分别评定各投标人的得分。</w:t>
      </w:r>
      <w:r>
        <w:rPr>
          <w:rFonts w:hint="eastAsia" w:ascii="宋体" w:hAnsi="宋体"/>
          <w:bCs/>
          <w:color w:val="000000"/>
          <w:sz w:val="24"/>
          <w:highlight w:val="none"/>
        </w:rPr>
        <w:t>各投</w:t>
      </w:r>
      <w:r>
        <w:rPr>
          <w:rFonts w:hint="eastAsia" w:ascii="宋体" w:hAnsi="宋体"/>
          <w:bCs/>
          <w:color w:val="000000"/>
          <w:sz w:val="24"/>
          <w:szCs w:val="24"/>
          <w:highlight w:val="none"/>
          <w:lang w:val="zh-CN"/>
        </w:rPr>
        <w:t>标人的最终得分为各评</w:t>
      </w:r>
      <w:r>
        <w:rPr>
          <w:rFonts w:hint="eastAsia" w:ascii="宋体" w:hAnsi="宋体"/>
          <w:bCs/>
          <w:color w:val="000000"/>
          <w:sz w:val="24"/>
          <w:highlight w:val="none"/>
        </w:rPr>
        <w:t>委评审后得分的平均值（四舍五入保留两位小数）</w:t>
      </w:r>
      <w:r>
        <w:rPr>
          <w:rFonts w:hint="eastAsia" w:ascii="宋体" w:hAnsi="宋体"/>
          <w:bCs/>
          <w:color w:val="000000"/>
          <w:sz w:val="24"/>
          <w:szCs w:val="24"/>
          <w:highlight w:val="none"/>
          <w:lang w:val="zh-CN"/>
        </w:rPr>
        <w:t>，按最终得分由高到低顺序排列，</w:t>
      </w:r>
      <w:bookmarkStart w:id="80" w:name="_Hlk128408333"/>
      <w:r>
        <w:rPr>
          <w:rFonts w:hint="eastAsia" w:ascii="宋体" w:hAnsi="宋体"/>
          <w:bCs/>
          <w:color w:val="000000"/>
          <w:sz w:val="24"/>
          <w:szCs w:val="24"/>
          <w:highlight w:val="none"/>
          <w:lang w:val="zh-CN"/>
        </w:rPr>
        <w:t>并作为中标候选人排序，</w:t>
      </w:r>
      <w:r>
        <w:rPr>
          <w:rFonts w:hint="eastAsia" w:ascii="宋体" w:hAnsi="宋体"/>
          <w:bCs/>
          <w:color w:val="auto"/>
          <w:sz w:val="24"/>
          <w:szCs w:val="24"/>
          <w:highlight w:val="none"/>
          <w:lang w:val="zh-CN"/>
        </w:rPr>
        <w:t>推荐三名中标候选人，</w:t>
      </w:r>
      <w:r>
        <w:rPr>
          <w:rFonts w:ascii="宋体" w:hAnsi="宋体"/>
          <w:bCs/>
          <w:color w:val="000000"/>
          <w:sz w:val="24"/>
          <w:szCs w:val="24"/>
          <w:highlight w:val="none"/>
          <w:lang w:val="zh-CN"/>
        </w:rPr>
        <w:t>编写评审报告</w:t>
      </w:r>
      <w:r>
        <w:rPr>
          <w:rFonts w:hint="eastAsia" w:ascii="宋体" w:hAnsi="宋体"/>
          <w:bCs/>
          <w:color w:val="000000"/>
          <w:sz w:val="24"/>
          <w:highlight w:val="none"/>
        </w:rPr>
        <w:t>。</w:t>
      </w:r>
      <w:r>
        <w:rPr>
          <w:rFonts w:hint="eastAsia" w:ascii="宋体" w:hAnsi="宋体"/>
          <w:bCs/>
          <w:color w:val="000000"/>
          <w:sz w:val="24"/>
          <w:szCs w:val="24"/>
          <w:highlight w:val="none"/>
          <w:lang w:val="zh-CN"/>
        </w:rPr>
        <w:t>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相同，按</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报价由低到高顺序排列；若最终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且</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报价均相同的，</w:t>
      </w:r>
      <w:bookmarkEnd w:id="80"/>
      <w:r>
        <w:rPr>
          <w:rFonts w:hint="eastAsia" w:ascii="宋体" w:hAnsi="宋体"/>
          <w:bCs/>
          <w:color w:val="000000"/>
          <w:sz w:val="24"/>
          <w:highlight w:val="none"/>
        </w:rPr>
        <w:t>由采购人代表抽签确定排序。</w:t>
      </w:r>
      <w:bookmarkEnd w:id="78"/>
    </w:p>
    <w:p w14:paraId="1B091880">
      <w:pPr>
        <w:spacing w:line="360" w:lineRule="auto"/>
        <w:ind w:firstLine="4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注：除了算术修正</w:t>
      </w:r>
      <w:bookmarkStart w:id="81" w:name="OLE_LINK201"/>
      <w:r>
        <w:rPr>
          <w:rFonts w:hint="eastAsia" w:ascii="宋体" w:hAnsi="宋体" w:cs="宋体"/>
          <w:color w:val="000000"/>
          <w:sz w:val="24"/>
          <w:szCs w:val="24"/>
          <w:highlight w:val="none"/>
        </w:rPr>
        <w:t>（</w:t>
      </w:r>
      <w:bookmarkStart w:id="82" w:name="OLE_LINK202"/>
      <w:r>
        <w:rPr>
          <w:rFonts w:hint="eastAsia" w:ascii="宋体" w:hAnsi="宋体" w:cs="宋体"/>
          <w:color w:val="000000"/>
          <w:sz w:val="24"/>
          <w:szCs w:val="24"/>
          <w:highlight w:val="none"/>
        </w:rPr>
        <w:t>22.5.2</w:t>
      </w:r>
      <w:bookmarkEnd w:id="82"/>
      <w:r>
        <w:rPr>
          <w:rFonts w:hint="eastAsia" w:ascii="宋体" w:hAnsi="宋体" w:cs="宋体"/>
          <w:color w:val="000000"/>
          <w:sz w:val="24"/>
          <w:szCs w:val="24"/>
          <w:highlight w:val="none"/>
        </w:rPr>
        <w:t>）</w:t>
      </w:r>
      <w:bookmarkEnd w:id="81"/>
      <w:r>
        <w:rPr>
          <w:rFonts w:hint="eastAsia" w:ascii="宋体" w:hAnsi="宋体" w:cs="宋体"/>
          <w:color w:val="000000"/>
          <w:sz w:val="24"/>
          <w:szCs w:val="24"/>
          <w:highlight w:val="none"/>
        </w:rPr>
        <w:t>和落实政府采购政策需进行的价格扣除外，不对投标人的投标价格进行任何调整。</w:t>
      </w:r>
    </w:p>
    <w:p w14:paraId="0016A8BD">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 xml:space="preserve">22.5.2 </w:t>
      </w:r>
      <w:bookmarkStart w:id="83" w:name="OLE_LINK245"/>
      <w:r>
        <w:rPr>
          <w:rFonts w:hint="eastAsia" w:ascii="宋体" w:hAnsi="宋体"/>
          <w:bCs/>
          <w:color w:val="000000"/>
          <w:sz w:val="24"/>
          <w:highlight w:val="none"/>
        </w:rPr>
        <w:t>投标文件报价出现前后不一致的，除招标文件另有规定外，按照下列规定修正：</w:t>
      </w:r>
    </w:p>
    <w:p w14:paraId="060813CC">
      <w:pPr>
        <w:numPr>
          <w:ilvl w:val="0"/>
          <w:numId w:val="0"/>
        </w:numPr>
        <w:tabs>
          <w:tab w:val="left" w:pos="945"/>
        </w:tabs>
        <w:spacing w:line="360" w:lineRule="auto"/>
        <w:ind w:left="0" w:firstLine="638"/>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①</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投标文件中开标一览表内容与投标文件中相应内容不一致的，以开标一览表为准；</w:t>
      </w:r>
    </w:p>
    <w:p w14:paraId="28D0B030">
      <w:pPr>
        <w:numPr>
          <w:ilvl w:val="0"/>
          <w:numId w:val="0"/>
        </w:numPr>
        <w:tabs>
          <w:tab w:val="left" w:pos="945"/>
        </w:tabs>
        <w:spacing w:line="360" w:lineRule="auto"/>
        <w:ind w:left="0" w:firstLine="638"/>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②</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大写金额和小写金额不一致的，以大写金额为准；</w:t>
      </w:r>
    </w:p>
    <w:p w14:paraId="2328EB13">
      <w:pPr>
        <w:numPr>
          <w:ilvl w:val="0"/>
          <w:numId w:val="0"/>
        </w:numPr>
        <w:tabs>
          <w:tab w:val="left" w:pos="945"/>
        </w:tabs>
        <w:spacing w:line="360" w:lineRule="auto"/>
        <w:ind w:left="0" w:firstLine="638"/>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③</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单价金额小数点或者百分比有明显错位的，以开标一览表的总价为准，并修改单价；</w:t>
      </w:r>
    </w:p>
    <w:p w14:paraId="22F4CBC4">
      <w:pPr>
        <w:numPr>
          <w:ilvl w:val="0"/>
          <w:numId w:val="0"/>
        </w:numPr>
        <w:tabs>
          <w:tab w:val="left" w:pos="945"/>
        </w:tabs>
        <w:spacing w:line="360" w:lineRule="auto"/>
        <w:ind w:left="0" w:firstLine="638"/>
        <w:rPr>
          <w:rFonts w:hint="eastAsia" w:ascii="宋体" w:hAnsi="宋体"/>
          <w:bCs/>
          <w:color w:val="000000"/>
          <w:sz w:val="24"/>
          <w:highlight w:val="none"/>
        </w:rPr>
      </w:pPr>
      <w:r>
        <w:rPr>
          <w:rFonts w:hint="eastAsia" w:ascii="宋体" w:hAnsi="宋体" w:eastAsia="宋体" w:cs="Times New Roman"/>
          <w:bCs/>
          <w:color w:val="000000"/>
          <w:sz w:val="24"/>
          <w:highlight w:val="none"/>
          <w:lang w:val="en-US" w:eastAsia="zh-CN" w:bidi="ar-SA"/>
        </w:rPr>
        <w:t>④</w:t>
      </w:r>
      <w:r>
        <w:rPr>
          <w:rFonts w:hint="eastAsia" w:ascii="宋体" w:hAnsi="宋体" w:cs="Times New Roman"/>
          <w:bCs/>
          <w:color w:val="000000"/>
          <w:sz w:val="24"/>
          <w:highlight w:val="none"/>
          <w:lang w:val="en-US" w:eastAsia="zh-CN" w:bidi="ar-SA"/>
        </w:rPr>
        <w:t xml:space="preserve"> </w:t>
      </w:r>
      <w:r>
        <w:rPr>
          <w:rFonts w:hint="eastAsia" w:ascii="宋体" w:hAnsi="宋体"/>
          <w:bCs/>
          <w:color w:val="000000"/>
          <w:sz w:val="24"/>
          <w:highlight w:val="none"/>
        </w:rPr>
        <w:t>总价金额与按单价汇总金额不一致的，以单价金额计算结果为准。</w:t>
      </w:r>
    </w:p>
    <w:p w14:paraId="1C9E58EE">
      <w:pPr>
        <w:tabs>
          <w:tab w:val="left" w:pos="945"/>
        </w:tabs>
        <w:spacing w:line="360" w:lineRule="auto"/>
        <w:ind w:firstLine="420"/>
        <w:rPr>
          <w:rFonts w:ascii="宋体" w:hAnsi="宋体"/>
          <w:bCs/>
          <w:color w:val="000000"/>
          <w:sz w:val="24"/>
          <w:highlight w:val="none"/>
        </w:rPr>
      </w:pPr>
      <w:r>
        <w:rPr>
          <w:rFonts w:hint="eastAsia" w:ascii="宋体" w:hAnsi="宋体"/>
          <w:bCs/>
          <w:color w:val="000000"/>
          <w:sz w:val="24"/>
          <w:highlight w:val="none"/>
        </w:rPr>
        <w:t>注：同时出现两种以上不一致的，按照前款规定的顺序修正。修正后的报价须</w:t>
      </w:r>
      <w:r>
        <w:rPr>
          <w:rFonts w:hint="eastAsia" w:ascii="宋体" w:hAnsi="宋体" w:cs="宋体"/>
          <w:color w:val="000000"/>
          <w:sz w:val="24"/>
          <w:szCs w:val="24"/>
          <w:highlight w:val="none"/>
        </w:rPr>
        <w:t>加盖投标人公章，或由法定代表人或其授权的代表签字。</w:t>
      </w:r>
      <w:r>
        <w:rPr>
          <w:rFonts w:hint="eastAsia" w:ascii="宋体" w:hAnsi="宋体"/>
          <w:bCs/>
          <w:color w:val="000000"/>
          <w:sz w:val="24"/>
          <w:highlight w:val="none"/>
        </w:rPr>
        <w:t>投标人不确认的，其投标无效。</w:t>
      </w:r>
      <w:bookmarkEnd w:id="83"/>
      <w:bookmarkStart w:id="84" w:name="OLE_LINK135"/>
      <w:bookmarkEnd w:id="84"/>
    </w:p>
    <w:p w14:paraId="1AA1E514">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评标委员会根据全体评标成员签字的原始评标记录和评标结果编写评标报告。</w:t>
      </w:r>
    </w:p>
    <w:p w14:paraId="1F6FAEAC">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highlight w:val="none"/>
        </w:rPr>
        <w:t>22.7 采购人或</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w:t>
      </w:r>
      <w:r>
        <w:rPr>
          <w:rFonts w:hint="eastAsia" w:ascii="宋体" w:hAnsi="宋体"/>
          <w:bCs/>
          <w:color w:val="000000"/>
          <w:sz w:val="24"/>
          <w:highlight w:val="none"/>
        </w:rPr>
        <w:t>宣读</w:t>
      </w:r>
      <w:r>
        <w:rPr>
          <w:rFonts w:hint="eastAsia" w:ascii="宋体" w:hAnsi="宋体"/>
          <w:bCs/>
          <w:color w:val="000000"/>
          <w:sz w:val="24"/>
          <w:szCs w:val="24"/>
          <w:highlight w:val="none"/>
          <w:lang w:val="zh-CN"/>
        </w:rPr>
        <w:t>评标委员会初步评审意见。</w:t>
      </w:r>
    </w:p>
    <w:p w14:paraId="79541D7C">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23、定标</w:t>
      </w:r>
    </w:p>
    <w:p w14:paraId="18FE6CA4">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评审结束后，采购人依照法律规定在收到评审报告后5个工作日内，在评审报告推荐的中标候选人中按顺序确定中标供应商。</w:t>
      </w:r>
    </w:p>
    <w:p w14:paraId="392B9057">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23.2 </w:t>
      </w:r>
      <w:bookmarkStart w:id="85" w:name="_Hlk131935024"/>
      <w:r>
        <w:rPr>
          <w:rFonts w:hint="eastAsia" w:ascii="宋体" w:hAnsi="宋体"/>
          <w:bCs/>
          <w:color w:val="000000"/>
          <w:sz w:val="24"/>
          <w:szCs w:val="24"/>
          <w:highlight w:val="none"/>
          <w:lang w:val="zh-CN"/>
        </w:rPr>
        <w:t>中标结果确认后，</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w:t>
      </w:r>
      <w:r>
        <w:rPr>
          <w:rFonts w:hint="eastAsia" w:ascii="宋体" w:hAnsi="宋体" w:cs="宋体"/>
          <w:color w:val="000000"/>
          <w:sz w:val="24"/>
          <w:szCs w:val="24"/>
          <w:highlight w:val="none"/>
        </w:rPr>
        <w:t>将向中标供应商发出中标通知书，请中标供应商登录“苏采云” 系统及时下载中标通知书。因系统存储空间有限，自中标结果公告发布之日起30日后，“苏采云” 系统不再保证提供下载中标通知书服务。</w:t>
      </w:r>
      <w:bookmarkEnd w:id="85"/>
      <w:r>
        <w:rPr>
          <w:rFonts w:hint="eastAsia" w:ascii="宋体" w:hAnsi="宋体" w:cs="宋体"/>
          <w:color w:val="000000"/>
          <w:sz w:val="24"/>
          <w:szCs w:val="24"/>
          <w:highlight w:val="none"/>
        </w:rPr>
        <w:t>因未及时下载而造成的一切后果由中标供应商自行承担</w:t>
      </w:r>
      <w:r>
        <w:rPr>
          <w:rFonts w:hint="eastAsia" w:ascii="宋体" w:hAnsi="宋体"/>
          <w:bCs/>
          <w:color w:val="000000"/>
          <w:sz w:val="24"/>
          <w:szCs w:val="24"/>
          <w:highlight w:val="none"/>
          <w:lang w:val="zh-CN"/>
        </w:rPr>
        <w:t>。</w:t>
      </w:r>
    </w:p>
    <w:p w14:paraId="1FB41D5D">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24、投标截止后投标人不足3家或者通过资格审查或符合性审查的投标人不足3家的，除采购任务取消情形外，按照以下方式处理：</w:t>
      </w:r>
    </w:p>
    <w:p w14:paraId="3C50AD75">
      <w:pPr>
        <w:numPr>
          <w:ilvl w:val="0"/>
          <w:numId w:val="6"/>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招标文件存在不合理条款或者招标程序不符合规定的，采购人、</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机构改正后依法重新招标；</w:t>
      </w:r>
    </w:p>
    <w:p w14:paraId="58691B24">
      <w:pPr>
        <w:numPr>
          <w:ilvl w:val="0"/>
          <w:numId w:val="6"/>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招标文件没有不合理条款、招标程序符合规定，采购人依法报财政部门批准后可以采用其他采购方式采购。</w:t>
      </w:r>
    </w:p>
    <w:p w14:paraId="1673E1DA">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25、废标的确认</w:t>
      </w:r>
    </w:p>
    <w:p w14:paraId="045021DD">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25.1 有下列情形之一的予以废标，同时由</w:t>
      </w:r>
      <w:r>
        <w:rPr>
          <w:rFonts w:hint="eastAsia" w:ascii="宋体" w:hAnsi="宋体"/>
          <w:bCs/>
          <w:color w:val="000000"/>
          <w:sz w:val="24"/>
          <w:highlight w:val="none"/>
        </w:rPr>
        <w:t>采购人或</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机构将废标理由通知所有投标人：</w:t>
      </w:r>
    </w:p>
    <w:p w14:paraId="3235C066">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符合专业条件的投标人或者对招标文件作出实质性响应的投标人不足</w:t>
      </w:r>
      <w:r>
        <w:rPr>
          <w:rFonts w:hint="eastAsia" w:ascii="宋体" w:hAnsi="宋体"/>
          <w:bCs/>
          <w:color w:val="000000"/>
          <w:sz w:val="24"/>
          <w:szCs w:val="24"/>
          <w:highlight w:val="none"/>
        </w:rPr>
        <w:t>3</w:t>
      </w:r>
      <w:r>
        <w:rPr>
          <w:rFonts w:hint="eastAsia" w:ascii="宋体" w:hAnsi="宋体"/>
          <w:bCs/>
          <w:color w:val="000000"/>
          <w:sz w:val="24"/>
          <w:szCs w:val="24"/>
          <w:highlight w:val="none"/>
          <w:lang w:val="zh-CN"/>
        </w:rPr>
        <w:t>家，且未采用其他采购方式的；</w:t>
      </w:r>
    </w:p>
    <w:p w14:paraId="0BF8A103">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出现影响采购公正的违法、违规行为；</w:t>
      </w:r>
    </w:p>
    <w:p w14:paraId="62A49B58">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投标人的报价均超过采购预算，采购人不能支付；</w:t>
      </w:r>
    </w:p>
    <w:p w14:paraId="396A0B87">
      <w:pPr>
        <w:numPr>
          <w:ilvl w:val="0"/>
          <w:numId w:val="7"/>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因重大变故，采购任务取消。</w:t>
      </w:r>
    </w:p>
    <w:p w14:paraId="64E4DF01">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六、投标保证金</w:t>
      </w:r>
    </w:p>
    <w:p w14:paraId="4FB0D693">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26、投标保证金：本项目免收投标保证金。</w:t>
      </w:r>
    </w:p>
    <w:p w14:paraId="3B218E87">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七、签订合同</w:t>
      </w:r>
    </w:p>
    <w:p w14:paraId="446AF2E1">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27、签订合同</w:t>
      </w:r>
    </w:p>
    <w:p w14:paraId="66845323">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77F562BF">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2个工作日内对合同进行公告，并于7个工作日内将合同副本报同级财政监管部门备案</w:t>
      </w:r>
      <w:r>
        <w:rPr>
          <w:rFonts w:hint="eastAsia" w:ascii="宋体" w:hAnsi="宋体"/>
          <w:bCs/>
          <w:color w:val="000000"/>
          <w:sz w:val="24"/>
          <w:szCs w:val="24"/>
          <w:highlight w:val="none"/>
          <w:lang w:val="zh-CN"/>
        </w:rPr>
        <w:t>。</w:t>
      </w:r>
    </w:p>
    <w:p w14:paraId="5ADF8450">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中标供应商如逾期不办理相关手续、签订合同，财政部门将依据有关规定进行处理。</w:t>
      </w:r>
    </w:p>
    <w:p w14:paraId="27D67466">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如遇特殊情况，采购人及财政部门可延期签订合同。</w:t>
      </w:r>
    </w:p>
    <w:p w14:paraId="6DFED6B7">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签订合同书及合同条款应以招标文件和中标供应商的投标文件为依据。</w:t>
      </w:r>
    </w:p>
    <w:p w14:paraId="0798A7C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27.4</w:t>
      </w:r>
      <w:r>
        <w:rPr>
          <w:rFonts w:hint="eastAsia" w:ascii="宋体" w:hAnsi="宋体"/>
          <w:bCs/>
          <w:color w:val="000000"/>
          <w:sz w:val="24"/>
          <w:szCs w:val="24"/>
          <w:highlight w:val="none"/>
          <w:lang w:val="en-US" w:eastAsia="zh-CN"/>
        </w:rPr>
        <w:t xml:space="preserve"> </w:t>
      </w:r>
      <w:r>
        <w:rPr>
          <w:rFonts w:hint="eastAsia" w:ascii="宋体" w:hAnsi="宋体"/>
          <w:bCs/>
          <w:color w:val="auto"/>
          <w:sz w:val="24"/>
          <w:szCs w:val="24"/>
          <w:highlight w:val="none"/>
        </w:rPr>
        <w:t>本项目不收取</w:t>
      </w:r>
      <w:r>
        <w:rPr>
          <w:rFonts w:hint="eastAsia" w:ascii="宋体" w:hAnsi="宋体"/>
          <w:bCs/>
          <w:color w:val="auto"/>
          <w:sz w:val="24"/>
          <w:szCs w:val="24"/>
          <w:highlight w:val="none"/>
          <w:lang w:val="zh-CN"/>
        </w:rPr>
        <w:t>履约保证金。</w:t>
      </w:r>
    </w:p>
    <w:p w14:paraId="275F2DE4">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86" w:name="OLE_LINK5"/>
      <w:r>
        <w:rPr>
          <w:rFonts w:hint="eastAsia" w:ascii="宋体" w:hAnsi="宋体"/>
          <w:bCs/>
          <w:color w:val="000000"/>
          <w:sz w:val="24"/>
          <w:szCs w:val="24"/>
          <w:highlight w:val="none"/>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采购金额千分之五以上千分之十以下的罚款，列入不良行为记录名单，在一至三年内禁止参加政府采购活动</w:t>
      </w:r>
      <w:bookmarkStart w:id="87" w:name="OLE_LINK2"/>
      <w:r>
        <w:rPr>
          <w:rFonts w:hint="eastAsia" w:ascii="宋体" w:hAnsi="宋体"/>
          <w:bCs/>
          <w:color w:val="000000"/>
          <w:sz w:val="24"/>
          <w:szCs w:val="24"/>
          <w:highlight w:val="none"/>
          <w:lang w:val="zh-CN"/>
        </w:rPr>
        <w:t>。</w:t>
      </w:r>
      <w:bookmarkEnd w:id="86"/>
      <w:bookmarkEnd w:id="87"/>
      <w:r>
        <w:rPr>
          <w:rFonts w:ascii="宋体" w:hAnsi="宋体"/>
          <w:bCs/>
          <w:color w:val="000000"/>
          <w:sz w:val="24"/>
          <w:szCs w:val="24"/>
          <w:highlight w:val="none"/>
          <w:lang w:val="zh-CN"/>
        </w:rPr>
        <w:t>拒绝签订政府采购合同的</w:t>
      </w:r>
      <w:r>
        <w:rPr>
          <w:rFonts w:hint="eastAsia" w:ascii="宋体" w:hAnsi="宋体"/>
          <w:bCs/>
          <w:color w:val="000000"/>
          <w:sz w:val="24"/>
          <w:szCs w:val="24"/>
          <w:highlight w:val="none"/>
          <w:lang w:val="zh-CN"/>
        </w:rPr>
        <w:t>中标供应商不得参加对该项目重新开展的采购活动。</w:t>
      </w:r>
    </w:p>
    <w:p w14:paraId="041F4699">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中标候选人放弃中标资格的，参照前款进行处理。</w:t>
      </w:r>
    </w:p>
    <w:p w14:paraId="4AF0DE2A">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26255584">
      <w:pPr>
        <w:spacing w:line="360" w:lineRule="auto"/>
        <w:ind w:firstLine="482"/>
        <w:rPr>
          <w:rFonts w:ascii="宋体" w:hAnsi="宋体"/>
          <w:b/>
          <w:color w:val="000000"/>
          <w:sz w:val="24"/>
          <w:szCs w:val="24"/>
          <w:highlight w:val="none"/>
        </w:rPr>
      </w:pPr>
      <w:r>
        <w:rPr>
          <w:rFonts w:hint="eastAsia" w:ascii="宋体" w:hAnsi="宋体"/>
          <w:b/>
          <w:color w:val="000000"/>
          <w:sz w:val="24"/>
          <w:szCs w:val="24"/>
          <w:highlight w:val="none"/>
        </w:rPr>
        <w:t>2</w:t>
      </w:r>
      <w:r>
        <w:rPr>
          <w:rFonts w:ascii="宋体" w:hAnsi="宋体"/>
          <w:b/>
          <w:color w:val="000000"/>
          <w:sz w:val="24"/>
          <w:szCs w:val="24"/>
          <w:highlight w:val="none"/>
        </w:rPr>
        <w:t>8</w:t>
      </w:r>
      <w:r>
        <w:rPr>
          <w:rFonts w:hint="eastAsia" w:ascii="宋体" w:hAnsi="宋体"/>
          <w:b/>
          <w:color w:val="000000"/>
          <w:sz w:val="24"/>
          <w:szCs w:val="24"/>
          <w:highlight w:val="none"/>
        </w:rPr>
        <w:t>、</w:t>
      </w:r>
      <w:bookmarkStart w:id="88" w:name="_Hlk128408877"/>
      <w:r>
        <w:rPr>
          <w:rFonts w:hint="eastAsia" w:ascii="宋体" w:hAnsi="宋体"/>
          <w:b/>
          <w:color w:val="000000"/>
          <w:sz w:val="24"/>
          <w:szCs w:val="24"/>
          <w:highlight w:val="none"/>
        </w:rPr>
        <w:t>政府采购合同融资</w:t>
      </w:r>
    </w:p>
    <w:p w14:paraId="6817D17A">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政府</w:t>
      </w:r>
      <w:r>
        <w:rPr>
          <w:rFonts w:hint="eastAsia" w:ascii="宋体" w:hAnsi="宋体"/>
          <w:bCs/>
          <w:color w:val="000000"/>
          <w:sz w:val="24"/>
          <w:szCs w:val="24"/>
          <w:highlight w:val="none"/>
          <w:lang w:val="zh-CN"/>
        </w:rPr>
        <w:t>采购</w:t>
      </w:r>
      <w:r>
        <w:rPr>
          <w:rFonts w:hint="eastAsia" w:ascii="宋体" w:hAnsi="宋体"/>
          <w:bCs/>
          <w:color w:val="000000"/>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2</w:t>
      </w:r>
      <w:r>
        <w:rPr>
          <w:rFonts w:hint="eastAsia" w:ascii="宋体" w:hAnsi="宋体"/>
          <w:bCs/>
          <w:color w:val="000000"/>
          <w:sz w:val="24"/>
          <w:szCs w:val="24"/>
          <w:highlight w:val="none"/>
        </w:rPr>
        <w:t>〕1</w:t>
      </w:r>
      <w:r>
        <w:rPr>
          <w:rFonts w:ascii="宋体" w:hAnsi="宋体"/>
          <w:bCs/>
          <w:color w:val="000000"/>
          <w:sz w:val="24"/>
          <w:szCs w:val="24"/>
          <w:highlight w:val="none"/>
        </w:rPr>
        <w:t>1</w:t>
      </w:r>
      <w:r>
        <w:rPr>
          <w:rFonts w:hint="eastAsia" w:ascii="宋体" w:hAnsi="宋体"/>
          <w:bCs/>
          <w:color w:val="000000"/>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9A18BBB">
      <w:pPr>
        <w:spacing w:line="360" w:lineRule="auto"/>
        <w:ind w:firstLine="480"/>
        <w:rPr>
          <w:rFonts w:hint="eastAsia"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8.2 </w:t>
      </w:r>
      <w:r>
        <w:rPr>
          <w:rFonts w:hint="eastAsia" w:ascii="宋体" w:hAnsi="宋体"/>
          <w:bCs/>
          <w:color w:val="000000"/>
          <w:sz w:val="24"/>
          <w:szCs w:val="24"/>
          <w:highlight w:val="none"/>
        </w:rPr>
        <w:t>中标、成交供应商可根据自身情况，自行决定是否选择采用合同融资形式，在江苏政府采购网——政采贷专栏提供的银行名录内自主选择合作银行。</w:t>
      </w:r>
      <w:bookmarkEnd w:id="88"/>
    </w:p>
    <w:p w14:paraId="034231B2">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八、投标行为及投标产品</w:t>
      </w:r>
    </w:p>
    <w:p w14:paraId="6ED6AF17">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29、投标行为及投标产品：</w:t>
      </w:r>
    </w:p>
    <w:p w14:paraId="3F21E333">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投标人的投标行为必须遵守各项法律、法规、规章及相关制度的规定。</w:t>
      </w:r>
    </w:p>
    <w:p w14:paraId="050A41A2">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投标产品、产品安装（施工）及服务质量等应符合国家、行业等相关标准及要求。</w:t>
      </w:r>
    </w:p>
    <w:p w14:paraId="5AAA4963">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如投标产品为进口产品的，则投标产品必须为通过中国海关报关验放进入中国境内且产自关境外的产品。</w:t>
      </w:r>
    </w:p>
    <w:p w14:paraId="6DDE4E6D">
      <w:pPr>
        <w:numPr>
          <w:ilvl w:val="0"/>
          <w:numId w:val="8"/>
        </w:numPr>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70002CA0">
      <w:pPr>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招标文件中要求投标人出具的证书等相关材料，均应在有效期限内，即有效期限应覆盖投标文件评审当日。</w:t>
      </w:r>
    </w:p>
    <w:p w14:paraId="6FA04F85">
      <w:pPr>
        <w:spacing w:line="360" w:lineRule="auto"/>
        <w:ind w:firstLine="482"/>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九、验收</w:t>
      </w:r>
    </w:p>
    <w:p w14:paraId="51F15E5E">
      <w:pPr>
        <w:spacing w:line="360" w:lineRule="auto"/>
        <w:ind w:firstLine="480"/>
        <w:rPr>
          <w:rFonts w:hint="eastAsia" w:ascii="宋体" w:hAnsi="宋体"/>
          <w:b/>
          <w:color w:val="000000"/>
          <w:sz w:val="24"/>
          <w:szCs w:val="24"/>
          <w:highlight w:val="none"/>
        </w:rPr>
      </w:pPr>
      <w:r>
        <w:rPr>
          <w:rFonts w:hint="eastAsia" w:ascii="宋体" w:hAnsi="宋体"/>
          <w:bCs/>
          <w:color w:val="000000"/>
          <w:sz w:val="24"/>
          <w:szCs w:val="24"/>
          <w:highlight w:val="none"/>
        </w:rPr>
        <w:t>30、</w:t>
      </w:r>
      <w:r>
        <w:rPr>
          <w:rFonts w:ascii="宋体" w:hAnsi="宋体"/>
          <w:bCs/>
          <w:color w:val="000000"/>
          <w:sz w:val="24"/>
          <w:szCs w:val="24"/>
          <w:highlight w:val="none"/>
          <w:lang w:val="zh-CN"/>
        </w:rPr>
        <w:t>采购人</w:t>
      </w:r>
      <w:r>
        <w:rPr>
          <w:rFonts w:hint="eastAsia" w:ascii="宋体" w:hAnsi="宋体"/>
          <w:bCs/>
          <w:color w:val="000000"/>
          <w:sz w:val="24"/>
          <w:szCs w:val="24"/>
          <w:highlight w:val="none"/>
          <w:lang w:val="zh-CN"/>
        </w:rPr>
        <w:t>将按照</w:t>
      </w:r>
      <w:r>
        <w:rPr>
          <w:rFonts w:ascii="宋体" w:hAnsi="宋体"/>
          <w:bCs/>
          <w:color w:val="000000"/>
          <w:sz w:val="24"/>
          <w:szCs w:val="24"/>
          <w:highlight w:val="none"/>
          <w:lang w:val="zh-CN"/>
        </w:rPr>
        <w:t>政府采购合同</w:t>
      </w:r>
      <w:r>
        <w:rPr>
          <w:rFonts w:hint="eastAsia" w:ascii="宋体" w:hAnsi="宋体"/>
          <w:bCs/>
          <w:color w:val="000000"/>
          <w:sz w:val="24"/>
          <w:szCs w:val="24"/>
          <w:highlight w:val="none"/>
          <w:lang w:val="zh-CN"/>
        </w:rPr>
        <w:t>和招标文件的</w:t>
      </w:r>
      <w:r>
        <w:rPr>
          <w:rFonts w:ascii="宋体" w:hAnsi="宋体"/>
          <w:bCs/>
          <w:color w:val="000000"/>
          <w:sz w:val="24"/>
          <w:szCs w:val="24"/>
          <w:highlight w:val="none"/>
          <w:lang w:val="zh-CN"/>
        </w:rPr>
        <w:t>规定</w:t>
      </w:r>
      <w:r>
        <w:rPr>
          <w:rFonts w:hint="eastAsia" w:ascii="宋体" w:hAnsi="宋体"/>
          <w:bCs/>
          <w:color w:val="000000"/>
          <w:sz w:val="24"/>
          <w:szCs w:val="24"/>
          <w:highlight w:val="none"/>
          <w:lang w:val="zh-CN"/>
        </w:rPr>
        <w:t>以及投标人提供的</w:t>
      </w:r>
      <w:r>
        <w:rPr>
          <w:rFonts w:ascii="宋体" w:hAnsi="宋体"/>
          <w:bCs/>
          <w:color w:val="000000"/>
          <w:sz w:val="24"/>
          <w:szCs w:val="24"/>
          <w:highlight w:val="none"/>
          <w:lang w:val="zh-CN"/>
        </w:rPr>
        <w:t>技术、服务、安全标准</w:t>
      </w:r>
      <w:r>
        <w:rPr>
          <w:rFonts w:hint="eastAsia" w:ascii="宋体" w:hAnsi="宋体"/>
          <w:bCs/>
          <w:color w:val="000000"/>
          <w:sz w:val="24"/>
          <w:szCs w:val="24"/>
          <w:highlight w:val="none"/>
          <w:lang w:val="zh-CN"/>
        </w:rPr>
        <w:t>等相关承诺，</w:t>
      </w:r>
      <w:r>
        <w:rPr>
          <w:rFonts w:ascii="宋体" w:hAnsi="宋体"/>
          <w:bCs/>
          <w:color w:val="000000"/>
          <w:sz w:val="24"/>
          <w:szCs w:val="24"/>
          <w:highlight w:val="none"/>
          <w:lang w:val="zh-CN"/>
        </w:rPr>
        <w:t>对</w:t>
      </w:r>
      <w:r>
        <w:rPr>
          <w:rFonts w:hint="eastAsia" w:ascii="宋体" w:hAnsi="宋体"/>
          <w:bCs/>
          <w:color w:val="000000"/>
          <w:sz w:val="24"/>
          <w:szCs w:val="24"/>
          <w:highlight w:val="none"/>
          <w:lang w:val="zh-CN"/>
        </w:rPr>
        <w:t>投标人的</w:t>
      </w:r>
      <w:r>
        <w:rPr>
          <w:rFonts w:ascii="宋体" w:hAnsi="宋体"/>
          <w:bCs/>
          <w:color w:val="000000"/>
          <w:sz w:val="24"/>
          <w:szCs w:val="24"/>
          <w:highlight w:val="none"/>
          <w:lang w:val="zh-CN"/>
        </w:rPr>
        <w:t>履约情况进行验收</w:t>
      </w:r>
      <w:r>
        <w:rPr>
          <w:rFonts w:hint="eastAsia" w:ascii="宋体" w:hAnsi="宋体"/>
          <w:bCs/>
          <w:color w:val="000000"/>
          <w:sz w:val="24"/>
          <w:szCs w:val="24"/>
          <w:highlight w:val="none"/>
          <w:lang w:val="zh-CN"/>
        </w:rPr>
        <w:t>并</w:t>
      </w:r>
      <w:r>
        <w:rPr>
          <w:rFonts w:ascii="宋体" w:hAnsi="宋体"/>
          <w:bCs/>
          <w:color w:val="000000"/>
          <w:sz w:val="24"/>
          <w:szCs w:val="24"/>
          <w:highlight w:val="none"/>
          <w:lang w:val="zh-CN"/>
        </w:rPr>
        <w:t>出具</w:t>
      </w:r>
      <w:r>
        <w:rPr>
          <w:rFonts w:hint="eastAsia" w:ascii="宋体" w:hAnsi="宋体"/>
          <w:bCs/>
          <w:color w:val="000000"/>
          <w:sz w:val="24"/>
          <w:szCs w:val="24"/>
          <w:highlight w:val="none"/>
          <w:lang w:val="zh-CN"/>
        </w:rPr>
        <w:t>政府采购项目验收单。由采购人对中标供应商进行履约管理，并及时向中标供应商支付采购资金。</w:t>
      </w:r>
    </w:p>
    <w:p w14:paraId="20F1F6AF">
      <w:pPr>
        <w:spacing w:line="360" w:lineRule="auto"/>
        <w:ind w:firstLine="482"/>
        <w:rPr>
          <w:rFonts w:hint="eastAsia" w:ascii="宋体" w:hAnsi="宋体"/>
          <w:b/>
          <w:color w:val="000000"/>
          <w:sz w:val="24"/>
          <w:szCs w:val="24"/>
          <w:highlight w:val="none"/>
        </w:rPr>
      </w:pPr>
      <w:r>
        <w:rPr>
          <w:rFonts w:hint="eastAsia" w:ascii="宋体" w:hAnsi="宋体"/>
          <w:b/>
          <w:color w:val="000000"/>
          <w:sz w:val="24"/>
          <w:szCs w:val="24"/>
          <w:highlight w:val="none"/>
        </w:rPr>
        <w:t>十、质疑处理</w:t>
      </w:r>
    </w:p>
    <w:p w14:paraId="0111989A">
      <w:pPr>
        <w:spacing w:line="360" w:lineRule="auto"/>
        <w:ind w:firstLine="480"/>
        <w:jc w:val="left"/>
        <w:rPr>
          <w:rFonts w:ascii="宋体" w:hAnsi="宋体"/>
          <w:bCs/>
          <w:color w:val="000000"/>
          <w:sz w:val="24"/>
          <w:szCs w:val="24"/>
          <w:highlight w:val="none"/>
        </w:rPr>
      </w:pPr>
      <w:bookmarkStart w:id="89" w:name="OLE_LINK100"/>
      <w:r>
        <w:rPr>
          <w:rFonts w:hint="eastAsia" w:ascii="宋体" w:hAnsi="宋体"/>
          <w:bCs/>
          <w:color w:val="000000"/>
          <w:sz w:val="24"/>
          <w:szCs w:val="24"/>
          <w:highlight w:val="none"/>
        </w:rPr>
        <w:t>31、询问</w:t>
      </w:r>
    </w:p>
    <w:p w14:paraId="14161BE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投标人对采购活动事项有疑问的，可以向采购人提出询问，采购人将在</w:t>
      </w:r>
      <w:r>
        <w:rPr>
          <w:rFonts w:hint="eastAsia" w:ascii="宋体" w:hAnsi="宋体"/>
          <w:bCs/>
          <w:color w:val="000000"/>
          <w:sz w:val="24"/>
          <w:szCs w:val="24"/>
          <w:highlight w:val="none"/>
        </w:rPr>
        <w:t>三</w:t>
      </w:r>
      <w:r>
        <w:rPr>
          <w:rFonts w:hint="eastAsia" w:ascii="宋体" w:hAnsi="宋体"/>
          <w:bCs/>
          <w:color w:val="000000"/>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3A327D5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31.2</w:t>
      </w:r>
      <w:r>
        <w:rPr>
          <w:rFonts w:hint="eastAsia" w:ascii="宋体" w:hAnsi="宋体"/>
          <w:bCs/>
          <w:color w:val="000000"/>
          <w:sz w:val="24"/>
          <w:szCs w:val="24"/>
          <w:highlight w:val="none"/>
          <w:lang w:val="en-US" w:eastAsia="zh-CN"/>
        </w:rPr>
        <w:t>招标代理</w:t>
      </w:r>
      <w:r>
        <w:rPr>
          <w:rFonts w:hint="eastAsia" w:ascii="宋体" w:hAnsi="宋体"/>
          <w:bCs/>
          <w:color w:val="000000"/>
          <w:sz w:val="24"/>
          <w:szCs w:val="24"/>
          <w:highlight w:val="none"/>
          <w:lang w:val="zh-CN"/>
        </w:rPr>
        <w:t>机构不负责向任何投标人解释评审情况。</w:t>
      </w:r>
    </w:p>
    <w:p w14:paraId="2C20537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32、质疑</w:t>
      </w:r>
    </w:p>
    <w:p w14:paraId="79BF3EC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32.1</w:t>
      </w:r>
      <w:bookmarkStart w:id="90"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w:t>
      </w:r>
      <w:bookmarkEnd w:id="90"/>
      <w:r>
        <w:rPr>
          <w:rFonts w:hint="eastAsia" w:ascii="宋体" w:hAnsi="宋体"/>
          <w:bCs/>
          <w:color w:val="000000"/>
          <w:sz w:val="24"/>
          <w:szCs w:val="24"/>
          <w:highlight w:val="none"/>
          <w:lang w:val="zh-CN"/>
        </w:rPr>
        <w:t>同一项目下的不同采购包，投标人只能对其参与的采购包提出质疑。</w:t>
      </w:r>
    </w:p>
    <w:p w14:paraId="127552F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91" w:name="OLE_LINK44"/>
      <w:r>
        <w:rPr>
          <w:rFonts w:hint="eastAsia" w:ascii="宋体" w:hAnsi="宋体"/>
          <w:bCs/>
          <w:color w:val="000000"/>
          <w:sz w:val="24"/>
          <w:szCs w:val="24"/>
          <w:highlight w:val="none"/>
          <w:lang w:val="zh-CN"/>
        </w:rPr>
        <w:t>质疑答复责任主体：</w:t>
      </w:r>
    </w:p>
    <w:p w14:paraId="42BD511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根据《中华人民共和国政府采购法》</w:t>
      </w:r>
      <w:r>
        <w:rPr>
          <w:rFonts w:hint="eastAsia" w:ascii="宋体" w:hAnsi="宋体"/>
          <w:bCs/>
          <w:color w:val="000000"/>
          <w:sz w:val="24"/>
          <w:szCs w:val="24"/>
          <w:highlight w:val="none"/>
        </w:rPr>
        <w:t>五十一条、五十二条、五十三条规定，</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认为采购文件、采购过程和</w:t>
      </w:r>
      <w:r>
        <w:rPr>
          <w:rFonts w:hint="eastAsia" w:ascii="宋体" w:hAnsi="宋体"/>
          <w:bCs/>
          <w:color w:val="000000"/>
          <w:sz w:val="24"/>
          <w:szCs w:val="24"/>
          <w:highlight w:val="none"/>
          <w:lang w:val="zh-CN"/>
        </w:rPr>
        <w:t>中标</w:t>
      </w:r>
      <w:r>
        <w:rPr>
          <w:rFonts w:ascii="宋体" w:hAnsi="宋体"/>
          <w:bCs/>
          <w:color w:val="000000"/>
          <w:sz w:val="24"/>
          <w:szCs w:val="24"/>
          <w:highlight w:val="none"/>
          <w:lang w:val="zh-CN"/>
        </w:rPr>
        <w:t>结果使自己的权益受到损害的，</w:t>
      </w:r>
      <w:r>
        <w:rPr>
          <w:rFonts w:hint="eastAsia" w:ascii="宋体" w:hAnsi="宋体"/>
          <w:bCs/>
          <w:color w:val="000000"/>
          <w:sz w:val="24"/>
          <w:szCs w:val="24"/>
          <w:highlight w:val="none"/>
          <w:lang w:val="zh-CN"/>
        </w:rPr>
        <w:t>可以在知道或者应当知道其权益受到损害之日起七个工作日内，</w:t>
      </w:r>
      <w:r>
        <w:rPr>
          <w:rFonts w:ascii="宋体" w:hAnsi="宋体"/>
          <w:bCs/>
          <w:color w:val="000000"/>
          <w:sz w:val="24"/>
          <w:szCs w:val="24"/>
          <w:highlight w:val="none"/>
          <w:lang w:val="zh-CN"/>
        </w:rPr>
        <w:t>以书面形式向采购人提出质疑。</w:t>
      </w:r>
    </w:p>
    <w:p w14:paraId="61097A0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91"/>
      <w:r>
        <w:rPr>
          <w:rFonts w:ascii="宋体" w:hAnsi="宋体"/>
          <w:bCs/>
          <w:color w:val="000000"/>
          <w:sz w:val="24"/>
          <w:szCs w:val="24"/>
          <w:highlight w:val="none"/>
          <w:lang w:val="zh-CN"/>
        </w:rPr>
        <w:t xml:space="preserve"> </w:t>
      </w:r>
    </w:p>
    <w:p w14:paraId="5B0857A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92" w:name="OLE_LINK141"/>
      <w:r>
        <w:rPr>
          <w:rFonts w:hint="eastAsia" w:ascii="宋体" w:hAnsi="宋体"/>
          <w:bCs/>
          <w:color w:val="000000"/>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2"/>
    </w:p>
    <w:p w14:paraId="6939F7A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93" w:name="OLE_LINK142"/>
    </w:p>
    <w:p w14:paraId="1D0DB5C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33、投诉</w:t>
      </w:r>
    </w:p>
    <w:p w14:paraId="6B303EAA">
      <w:pPr>
        <w:spacing w:line="360" w:lineRule="auto"/>
        <w:ind w:firstLine="480"/>
        <w:rPr>
          <w:rFonts w:hint="eastAsia"/>
          <w:color w:val="000000"/>
          <w:highlight w:val="none"/>
        </w:rPr>
      </w:pPr>
      <w:r>
        <w:rPr>
          <w:rFonts w:hint="eastAsia" w:ascii="宋体" w:hAnsi="宋体"/>
          <w:bCs/>
          <w:color w:val="000000"/>
          <w:sz w:val="24"/>
          <w:szCs w:val="24"/>
          <w:highlight w:val="none"/>
        </w:rPr>
        <w:t>33.1</w:t>
      </w:r>
      <w:r>
        <w:rPr>
          <w:rFonts w:ascii="宋体" w:hAnsi="宋体"/>
          <w:bCs/>
          <w:color w:val="000000"/>
          <w:sz w:val="24"/>
          <w:szCs w:val="24"/>
          <w:highlight w:val="none"/>
          <w:lang w:val="zh-CN"/>
        </w:rPr>
        <w:t>质疑</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对采购人的答复不满意或者采购人未在规定的时间内作出答复的，</w:t>
      </w:r>
      <w:bookmarkEnd w:id="89"/>
      <w:bookmarkEnd w:id="93"/>
      <w:r>
        <w:rPr>
          <w:rFonts w:ascii="宋体" w:hAnsi="宋体"/>
          <w:bCs/>
          <w:color w:val="000000"/>
          <w:sz w:val="24"/>
          <w:szCs w:val="24"/>
          <w:highlight w:val="none"/>
          <w:lang w:val="zh-CN"/>
        </w:rPr>
        <w:t>可以在答复期满后十五个工作日内</w:t>
      </w:r>
      <w:r>
        <w:rPr>
          <w:rFonts w:hint="eastAsia" w:ascii="宋体" w:hAnsi="宋体"/>
          <w:bCs/>
          <w:color w:val="000000"/>
          <w:sz w:val="24"/>
          <w:szCs w:val="24"/>
          <w:highlight w:val="none"/>
          <w:lang w:val="zh-CN"/>
        </w:rPr>
        <w:t>向投标邀请函中的</w:t>
      </w:r>
      <w:r>
        <w:rPr>
          <w:rFonts w:hint="eastAsia" w:ascii="宋体" w:hAnsi="宋体"/>
          <w:bCs/>
          <w:color w:val="000000"/>
          <w:sz w:val="24"/>
          <w:szCs w:val="24"/>
          <w:highlight w:val="none"/>
        </w:rPr>
        <w:t>财政监管部门</w:t>
      </w:r>
      <w:r>
        <w:rPr>
          <w:rFonts w:hint="eastAsia" w:ascii="宋体" w:hAnsi="宋体"/>
          <w:bCs/>
          <w:color w:val="000000"/>
          <w:sz w:val="24"/>
          <w:szCs w:val="24"/>
          <w:highlight w:val="none"/>
          <w:lang w:val="zh-CN"/>
        </w:rPr>
        <w:t>提出投诉。</w:t>
      </w:r>
    </w:p>
    <w:p w14:paraId="5479A3FE">
      <w:pPr>
        <w:spacing w:line="360" w:lineRule="auto"/>
        <w:ind w:firstLine="480"/>
        <w:rPr>
          <w:rFonts w:ascii="宋体" w:hAnsi="宋体" w:cs="宋体"/>
          <w:color w:val="auto"/>
          <w:sz w:val="24"/>
          <w:szCs w:val="24"/>
          <w:highlight w:val="none"/>
          <w:lang w:val="zh-CN"/>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.2</w:t>
      </w:r>
      <w:r>
        <w:rPr>
          <w:rFonts w:ascii="宋体" w:hAnsi="宋体" w:cs="宋体"/>
          <w:color w:val="auto"/>
          <w:sz w:val="24"/>
          <w:szCs w:val="24"/>
          <w:highlight w:val="none"/>
        </w:rPr>
        <w:t>若按相关规定提出的质疑、投诉成立或因其他情况，取消第一中标候选人的中标资格，则本项目须重新组织采购活动。</w:t>
      </w:r>
    </w:p>
    <w:p w14:paraId="46CC95EF">
      <w:pPr>
        <w:pStyle w:val="207"/>
        <w:rPr>
          <w:rFonts w:hint="eastAsia"/>
          <w:highlight w:val="none"/>
        </w:rPr>
        <w:sectPr>
          <w:headerReference r:id="rId5" w:type="default"/>
          <w:footerReference r:id="rId6" w:type="default"/>
          <w:pgSz w:w="11906" w:h="16838"/>
          <w:pgMar w:top="1134" w:right="1134" w:bottom="1134" w:left="1134" w:header="851" w:footer="992" w:gutter="0"/>
          <w:cols w:space="1701" w:num="1"/>
          <w:docGrid w:linePitch="360" w:charSpace="0"/>
        </w:sectPr>
      </w:pPr>
    </w:p>
    <w:p w14:paraId="5652845E">
      <w:pPr>
        <w:pStyle w:val="187"/>
        <w:spacing w:line="360" w:lineRule="auto"/>
        <w:rPr>
          <w:rFonts w:hint="eastAsia" w:ascii="Times New Roman" w:hAnsi="Times New Roman" w:eastAsia="宋体" w:cs="Times New Roman"/>
          <w:highlight w:val="none"/>
        </w:rPr>
      </w:pPr>
      <w:bookmarkStart w:id="94" w:name="_Toc17942"/>
      <w:r>
        <w:rPr>
          <w:rFonts w:hint="eastAsia" w:ascii="Times New Roman" w:hAnsi="Times New Roman" w:eastAsia="宋体" w:cs="Times New Roman"/>
          <w:highlight w:val="none"/>
        </w:rPr>
        <w:t>第</w:t>
      </w:r>
      <w:r>
        <w:rPr>
          <w:rFonts w:hint="eastAsia" w:ascii="Times New Roman" w:hAnsi="Times New Roman" w:eastAsia="宋体" w:cs="Times New Roman"/>
          <w:highlight w:val="none"/>
          <w:lang w:val="en-US" w:eastAsia="zh-CN"/>
        </w:rPr>
        <w:t>三</w:t>
      </w:r>
      <w:r>
        <w:rPr>
          <w:rFonts w:hint="eastAsia" w:ascii="Times New Roman" w:hAnsi="Times New Roman" w:eastAsia="宋体" w:cs="Times New Roman"/>
          <w:highlight w:val="none"/>
        </w:rPr>
        <w:t>章 项目技术要求和有关说明</w:t>
      </w:r>
      <w:bookmarkEnd w:id="7"/>
      <w:bookmarkEnd w:id="94"/>
    </w:p>
    <w:p w14:paraId="4FD22A5B">
      <w:pPr>
        <w:pStyle w:val="19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5" w:afterAutospacing="0" w:line="0" w:lineRule="atLeast"/>
        <w:ind w:left="0" w:right="0" w:firstLine="482"/>
        <w:jc w:val="both"/>
        <w:rPr>
          <w:rFonts w:hint="eastAsia" w:ascii="宋体" w:hAnsi="宋体" w:eastAsia="宋体" w:cs="宋体"/>
          <w:b/>
          <w:bCs/>
          <w:color w:val="000000"/>
          <w:sz w:val="24"/>
          <w:szCs w:val="24"/>
          <w:highlight w:val="none"/>
          <w:lang w:val="en-US" w:eastAsia="zh-CN"/>
        </w:rPr>
      </w:pPr>
      <w:bookmarkStart w:id="95" w:name="_Toc19794"/>
      <w:r>
        <w:rPr>
          <w:rFonts w:hint="eastAsia" w:ascii="宋体" w:hAnsi="宋体" w:eastAsia="宋体" w:cs="宋体"/>
          <w:b/>
          <w:bCs/>
          <w:color w:val="000000"/>
          <w:sz w:val="24"/>
          <w:szCs w:val="24"/>
          <w:highlight w:val="none"/>
          <w:lang w:val="en-US" w:eastAsia="zh-CN"/>
        </w:rPr>
        <w:t>一、项目概况</w:t>
      </w:r>
    </w:p>
    <w:p w14:paraId="29996923">
      <w:pPr>
        <w:spacing w:line="360" w:lineRule="auto"/>
        <w:ind w:firstLine="480"/>
        <w:rPr>
          <w:rFonts w:hint="default" w:ascii="宋体" w:hAnsi="宋体"/>
          <w:color w:val="auto"/>
          <w:sz w:val="24"/>
          <w:szCs w:val="24"/>
          <w:highlight w:val="none"/>
          <w:lang w:val="en-US" w:eastAsia="zh-CN"/>
        </w:rPr>
      </w:pPr>
      <w:r>
        <w:rPr>
          <w:rFonts w:hint="eastAsia" w:ascii="宋体" w:hAnsi="宋体"/>
          <w:color w:val="auto"/>
          <w:sz w:val="24"/>
          <w:szCs w:val="24"/>
          <w:highlight w:val="none"/>
        </w:rPr>
        <w:t>本项目为苏省宜兴第一中学周铁分校理化生实验室设备采购(第二批)</w:t>
      </w:r>
      <w:r>
        <w:rPr>
          <w:rFonts w:hint="eastAsia" w:ascii="宋体" w:hAnsi="宋体"/>
          <w:color w:val="auto"/>
          <w:sz w:val="24"/>
          <w:szCs w:val="24"/>
          <w:highlight w:val="none"/>
          <w:lang w:eastAsia="zh-CN"/>
        </w:rPr>
        <w:t>采购项目，</w:t>
      </w:r>
      <w:r>
        <w:rPr>
          <w:rFonts w:hint="eastAsia" w:ascii="宋体" w:hAnsi="宋体"/>
          <w:color w:val="auto"/>
          <w:sz w:val="24"/>
          <w:szCs w:val="24"/>
          <w:highlight w:val="none"/>
        </w:rPr>
        <w:t>具体要求如下</w:t>
      </w:r>
      <w:r>
        <w:rPr>
          <w:rFonts w:hint="eastAsia" w:ascii="宋体" w:hAnsi="宋体"/>
          <w:color w:val="auto"/>
          <w:sz w:val="24"/>
          <w:szCs w:val="24"/>
          <w:highlight w:val="none"/>
          <w:lang w:eastAsia="zh-CN"/>
        </w:rPr>
        <w:t>：</w:t>
      </w:r>
    </w:p>
    <w:p w14:paraId="7257E279">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需求清单</w:t>
      </w:r>
    </w:p>
    <w:tbl>
      <w:tblPr>
        <w:tblStyle w:val="33"/>
        <w:tblpPr w:leftFromText="180" w:rightFromText="180" w:vertAnchor="text" w:horzAnchor="page" w:tblpX="1054" w:tblpY="285"/>
        <w:tblW w:w="527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8"/>
        <w:gridCol w:w="1038"/>
        <w:gridCol w:w="5223"/>
        <w:gridCol w:w="611"/>
        <w:gridCol w:w="462"/>
        <w:gridCol w:w="866"/>
        <w:gridCol w:w="1494"/>
      </w:tblGrid>
      <w:tr w14:paraId="15F7F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5707">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序号</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281B">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设备名称</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63B68">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规格参数</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461F6">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单位</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29732">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数量</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A3445">
            <w:pPr>
              <w:keepNext w:val="0"/>
              <w:keepLines w:val="0"/>
              <w:widowControl/>
              <w:suppressLineNumbers w:val="0"/>
              <w:jc w:val="center"/>
              <w:rPr>
                <w:rFonts w:hint="default" w:ascii="宋体" w:hAnsi="宋体" w:cs="宋体"/>
                <w:b/>
                <w:bCs/>
                <w:i w:val="0"/>
                <w:iCs w:val="0"/>
                <w:color w:val="000000"/>
                <w:sz w:val="22"/>
                <w:szCs w:val="22"/>
                <w:u w:val="none"/>
                <w:lang w:val="en-US" w:eastAsia="zh-CN" w:bidi="ar"/>
              </w:rPr>
            </w:pPr>
            <w:r>
              <w:rPr>
                <w:rFonts w:hint="eastAsia" w:ascii="宋体" w:hAnsi="宋体" w:cs="宋体"/>
                <w:b/>
                <w:bCs/>
                <w:i w:val="0"/>
                <w:iCs w:val="0"/>
                <w:color w:val="000000"/>
                <w:sz w:val="22"/>
                <w:szCs w:val="22"/>
                <w:u w:val="none"/>
                <w:lang w:val="en-US" w:eastAsia="zh-CN" w:bidi="ar"/>
              </w:rPr>
              <w:t>单项限价</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9692E">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r>
              <w:rPr>
                <w:rFonts w:hint="eastAsia" w:ascii="宋体" w:hAnsi="宋体" w:cs="宋体"/>
                <w:b/>
                <w:bCs/>
                <w:i w:val="0"/>
                <w:iCs w:val="0"/>
                <w:color w:val="000000"/>
                <w:sz w:val="22"/>
                <w:szCs w:val="22"/>
                <w:u w:val="none"/>
                <w:lang w:val="en-US" w:eastAsia="zh-CN" w:bidi="ar"/>
              </w:rPr>
              <w:t>参考图片</w:t>
            </w:r>
          </w:p>
        </w:tc>
      </w:tr>
      <w:tr w14:paraId="452BD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865"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E357">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56座物理电学实验室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F0DD">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5E39">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3CAB3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4E87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0A34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钢木</w:t>
            </w:r>
            <w:r>
              <w:rPr>
                <w:rFonts w:hint="eastAsia" w:ascii="宋体" w:hAnsi="宋体" w:eastAsia="宋体" w:cs="宋体"/>
                <w:i w:val="0"/>
                <w:iCs w:val="0"/>
                <w:color w:val="000000"/>
                <w:sz w:val="20"/>
                <w:szCs w:val="20"/>
                <w:u w:val="none"/>
                <w:lang w:val="en-US" w:eastAsia="zh-CN" w:bidi="ar"/>
              </w:rPr>
              <w:t>教师桌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11B2F">
            <w:pPr>
              <w:rPr>
                <w:rFonts w:hint="eastAsia" w:ascii="宋体" w:hAnsi="宋体" w:eastAsia="宋体" w:cs="宋体"/>
                <w:sz w:val="20"/>
                <w:szCs w:val="18"/>
              </w:rPr>
            </w:pPr>
            <w:r>
              <w:rPr>
                <w:rFonts w:hint="eastAsia" w:ascii="宋体" w:hAnsi="宋体" w:eastAsia="宋体" w:cs="宋体"/>
                <w:sz w:val="20"/>
                <w:szCs w:val="18"/>
              </w:rPr>
              <w:t>1</w:t>
            </w:r>
            <w:r>
              <w:rPr>
                <w:rFonts w:hint="eastAsia" w:ascii="宋体" w:hAnsi="宋体" w:cs="宋体"/>
                <w:sz w:val="20"/>
                <w:szCs w:val="18"/>
                <w:lang w:val="en-US" w:eastAsia="zh-CN"/>
              </w:rPr>
              <w:t>.</w:t>
            </w:r>
            <w:r>
              <w:rPr>
                <w:rFonts w:hint="eastAsia" w:ascii="宋体" w:hAnsi="宋体" w:eastAsia="宋体" w:cs="宋体"/>
                <w:sz w:val="20"/>
                <w:szCs w:val="18"/>
              </w:rPr>
              <w:t>规格：2400×700×850mm±10mm；</w:t>
            </w:r>
          </w:p>
          <w:p w14:paraId="702EFD88">
            <w:pPr>
              <w:rPr>
                <w:rFonts w:hint="eastAsia" w:ascii="宋体" w:hAnsi="宋体" w:eastAsia="宋体" w:cs="宋体"/>
                <w:sz w:val="20"/>
                <w:szCs w:val="18"/>
                <w:lang w:eastAsia="zh-CN"/>
              </w:rPr>
            </w:pPr>
            <w:r>
              <w:rPr>
                <w:rFonts w:hint="eastAsia" w:ascii="宋体" w:hAnsi="宋体" w:eastAsia="宋体" w:cs="宋体"/>
                <w:sz w:val="20"/>
                <w:szCs w:val="18"/>
              </w:rPr>
              <w:t>2</w:t>
            </w:r>
            <w:r>
              <w:rPr>
                <w:rFonts w:hint="eastAsia" w:ascii="宋体" w:hAnsi="宋体" w:cs="宋体"/>
                <w:sz w:val="20"/>
                <w:szCs w:val="18"/>
                <w:lang w:val="en-US" w:eastAsia="zh-CN"/>
              </w:rPr>
              <w:t>.</w:t>
            </w:r>
            <w:r>
              <w:rPr>
                <w:rFonts w:hint="eastAsia" w:ascii="宋体" w:hAnsi="宋体" w:eastAsia="宋体" w:cs="宋体"/>
                <w:sz w:val="20"/>
                <w:szCs w:val="18"/>
              </w:rPr>
              <w:t>台面：采用≥12.7mm厚双面膜实芯理化板</w:t>
            </w:r>
            <w:r>
              <w:rPr>
                <w:rFonts w:hint="eastAsia" w:ascii="宋体" w:hAnsi="宋体" w:cs="宋体"/>
                <w:sz w:val="20"/>
                <w:szCs w:val="18"/>
                <w:lang w:eastAsia="zh-CN"/>
              </w:rPr>
              <w:t>，且需符合以下参数：</w:t>
            </w:r>
          </w:p>
          <w:p w14:paraId="452442C3">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04DEA561">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18FEB85D">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4DF31686">
            <w:pPr>
              <w:rPr>
                <w:rFonts w:hint="eastAsia" w:ascii="宋体" w:hAnsi="宋体" w:eastAsia="宋体" w:cs="宋体"/>
                <w:sz w:val="20"/>
                <w:szCs w:val="18"/>
                <w:lang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2453C744">
            <w:pPr>
              <w:rPr>
                <w:rFonts w:hint="eastAsia" w:ascii="宋体" w:hAnsi="宋体" w:eastAsia="宋体" w:cs="宋体"/>
                <w:sz w:val="20"/>
                <w:szCs w:val="18"/>
              </w:rPr>
            </w:pPr>
            <w:r>
              <w:rPr>
                <w:rFonts w:hint="eastAsia" w:ascii="宋体" w:hAnsi="宋体" w:eastAsia="宋体" w:cs="宋体"/>
                <w:sz w:val="20"/>
                <w:szCs w:val="18"/>
              </w:rPr>
              <w:t>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p>
          <w:p w14:paraId="19696A6F">
            <w:pPr>
              <w:rPr>
                <w:rFonts w:hint="eastAsia" w:ascii="宋体" w:hAnsi="宋体" w:eastAsia="宋体" w:cs="宋体"/>
                <w:sz w:val="20"/>
                <w:szCs w:val="18"/>
                <w:lang w:eastAsia="zh-CN"/>
              </w:rPr>
            </w:pPr>
            <w:r>
              <w:rPr>
                <w:rFonts w:hint="eastAsia" w:ascii="宋体" w:hAnsi="宋体" w:eastAsia="宋体" w:cs="宋体"/>
                <w:sz w:val="20"/>
                <w:szCs w:val="18"/>
              </w:rPr>
              <w:t>4.门铰：</w:t>
            </w:r>
            <w:r>
              <w:rPr>
                <w:rFonts w:hint="eastAsia" w:ascii="宋体" w:hAnsi="宋体" w:cs="宋体"/>
                <w:sz w:val="20"/>
                <w:szCs w:val="18"/>
                <w:lang w:eastAsia="zh-CN"/>
              </w:rPr>
              <w:t>采用优质阻尼自闭铰链，开关顺畅，使用寿命长。</w:t>
            </w:r>
          </w:p>
          <w:p w14:paraId="7256B5D9">
            <w:pPr>
              <w:rPr>
                <w:rFonts w:hint="eastAsia" w:ascii="宋体" w:hAnsi="宋体" w:eastAsia="宋体" w:cs="宋体"/>
                <w:sz w:val="20"/>
                <w:szCs w:val="18"/>
              </w:rPr>
            </w:pPr>
            <w:r>
              <w:rPr>
                <w:rFonts w:hint="eastAsia" w:ascii="宋体" w:hAnsi="宋体" w:eastAsia="宋体" w:cs="宋体"/>
                <w:sz w:val="20"/>
                <w:szCs w:val="18"/>
              </w:rPr>
              <w:t>5.滑轨：采用阻尼三节滑轨。</w:t>
            </w:r>
          </w:p>
          <w:p w14:paraId="7F00BCE8">
            <w:pPr>
              <w:rPr>
                <w:rFonts w:hint="eastAsia" w:ascii="宋体" w:hAnsi="宋体" w:eastAsia="宋体" w:cs="宋体"/>
                <w:sz w:val="20"/>
                <w:szCs w:val="18"/>
              </w:rPr>
            </w:pPr>
            <w:r>
              <w:rPr>
                <w:rFonts w:hint="eastAsia" w:ascii="宋体" w:hAnsi="宋体" w:eastAsia="宋体" w:cs="宋体"/>
                <w:sz w:val="20"/>
                <w:szCs w:val="18"/>
              </w:rPr>
              <w:t>6.手抽:一字型，表面有光滑防腐涂层。</w:t>
            </w:r>
          </w:p>
          <w:p w14:paraId="644E35D2">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7.固定脚：采用ABS工程塑料模具成型制作而成，具有高度可调、耐磨、防潮、耐腐蚀等特点。</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B1F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A60A8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F2E73">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6500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816C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2030" cy="416560"/>
                  <wp:effectExtent l="0" t="0" r="7620"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2"/>
                          <a:stretch>
                            <a:fillRect/>
                          </a:stretch>
                        </pic:blipFill>
                        <pic:spPr>
                          <a:xfrm>
                            <a:off x="0" y="0"/>
                            <a:ext cx="1002030" cy="416560"/>
                          </a:xfrm>
                          <a:prstGeom prst="rect">
                            <a:avLst/>
                          </a:prstGeom>
                          <a:noFill/>
                          <a:ln>
                            <a:noFill/>
                          </a:ln>
                        </pic:spPr>
                      </pic:pic>
                    </a:graphicData>
                  </a:graphic>
                </wp:inline>
              </w:drawing>
            </w:r>
          </w:p>
        </w:tc>
      </w:tr>
      <w:tr w14:paraId="3006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95C1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2A10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实验桌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CD8D1">
            <w:pPr>
              <w:numPr>
                <w:ilvl w:val="0"/>
                <w:numId w:val="0"/>
              </w:numPr>
              <w:spacing w:after="0" w:line="240" w:lineRule="auto"/>
              <w:contextualSpacing/>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1</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规格：1200*600*780mm±10mm</w:t>
            </w:r>
            <w:r>
              <w:rPr>
                <w:rFonts w:hint="eastAsia" w:ascii="宋体" w:hAnsi="宋体" w:cs="宋体"/>
                <w:color w:val="auto"/>
                <w:sz w:val="20"/>
                <w:szCs w:val="20"/>
                <w:lang w:val="en-US" w:eastAsia="zh-CN"/>
              </w:rPr>
              <w:t>；</w:t>
            </w:r>
          </w:p>
          <w:p w14:paraId="11804517">
            <w:pPr>
              <w:rPr>
                <w:rFonts w:hint="eastAsia" w:ascii="宋体" w:hAnsi="宋体" w:eastAsia="宋体" w:cs="宋体"/>
                <w:sz w:val="20"/>
                <w:szCs w:val="18"/>
                <w:lang w:eastAsia="zh-CN"/>
              </w:rPr>
            </w:pPr>
            <w:r>
              <w:rPr>
                <w:rFonts w:hint="eastAsia" w:ascii="宋体" w:hAnsi="宋体" w:eastAsia="宋体" w:cs="宋体"/>
                <w:color w:val="auto"/>
                <w:sz w:val="20"/>
                <w:szCs w:val="20"/>
                <w:lang w:val="en-US" w:eastAsia="zh-CN"/>
              </w:rPr>
              <w:t>2</w:t>
            </w:r>
            <w:r>
              <w:rPr>
                <w:rFonts w:hint="eastAsia" w:ascii="宋体" w:hAnsi="宋体" w:cs="宋体"/>
                <w:color w:val="auto"/>
                <w:sz w:val="20"/>
                <w:szCs w:val="20"/>
                <w:lang w:val="en-US" w:eastAsia="zh-CN"/>
              </w:rPr>
              <w:t>.</w:t>
            </w:r>
            <w:r>
              <w:rPr>
                <w:rFonts w:hint="eastAsia" w:ascii="宋体" w:hAnsi="宋体" w:eastAsia="宋体" w:cs="宋体"/>
                <w:sz w:val="20"/>
                <w:szCs w:val="18"/>
              </w:rPr>
              <w:t>台面：采用≥12.7mm厚双面膜实芯理化板</w:t>
            </w:r>
            <w:r>
              <w:rPr>
                <w:rFonts w:hint="eastAsia" w:ascii="宋体" w:hAnsi="宋体" w:cs="宋体"/>
                <w:sz w:val="20"/>
                <w:szCs w:val="18"/>
                <w:lang w:eastAsia="zh-CN"/>
              </w:rPr>
              <w:t>，且需符合以下参数：</w:t>
            </w:r>
          </w:p>
          <w:p w14:paraId="78C212A7">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1418CEBD">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19707339">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47446036">
            <w:pPr>
              <w:rPr>
                <w:rFonts w:hint="eastAsia" w:ascii="宋体" w:hAnsi="宋体" w:eastAsia="宋体" w:cs="宋体"/>
                <w:color w:val="auto"/>
                <w:sz w:val="20"/>
                <w:szCs w:val="20"/>
                <w:lang w:val="en-US"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72F5012D">
            <w:pPr>
              <w:numPr>
                <w:ilvl w:val="0"/>
                <w:numId w:val="0"/>
              </w:numPr>
              <w:spacing w:after="0" w:line="240" w:lineRule="auto"/>
              <w:contextualSpacing/>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结构：新型塑铝结构,学生位镂空式，主框架字型结构：桌身：由桌腿、立柱、前横梁、中横梁、后横梁组成</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br w:type="textWrapping"/>
            </w:r>
            <w:r>
              <w:rPr>
                <w:rFonts w:hint="eastAsia" w:ascii="宋体" w:hAnsi="宋体" w:eastAsia="宋体" w:cs="宋体"/>
                <w:color w:val="auto"/>
                <w:sz w:val="20"/>
                <w:szCs w:val="20"/>
                <w:lang w:val="en-US" w:eastAsia="zh-CN"/>
              </w:rPr>
              <w:t>4</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主框架字型结构材质：采用铝镁合金材料，</w:t>
            </w:r>
            <w:r>
              <w:rPr>
                <w:rFonts w:hint="eastAsia" w:ascii="宋体" w:hAnsi="宋体" w:cs="宋体"/>
                <w:color w:val="auto"/>
                <w:sz w:val="20"/>
                <w:szCs w:val="20"/>
                <w:lang w:val="en-US" w:eastAsia="zh-CN"/>
              </w:rPr>
              <w:t>桌腿</w:t>
            </w:r>
            <w:r>
              <w:rPr>
                <w:rFonts w:hint="eastAsia" w:ascii="宋体" w:hAnsi="宋体" w:eastAsia="宋体" w:cs="宋体"/>
                <w:color w:val="auto"/>
                <w:sz w:val="20"/>
                <w:szCs w:val="20"/>
                <w:lang w:val="en-US" w:eastAsia="zh-CN"/>
              </w:rPr>
              <w:t>壁厚≥3mm，材料表面经高压静电喷涂环氧树脂防护层，耐酸碱，耐腐蚀处理。</w:t>
            </w:r>
          </w:p>
          <w:p w14:paraId="3CBFEDE8">
            <w:pPr>
              <w:numPr>
                <w:ilvl w:val="0"/>
                <w:numId w:val="0"/>
              </w:numPr>
              <w:spacing w:after="0" w:line="240" w:lineRule="auto"/>
              <w:contextualSpacing/>
              <w:rPr>
                <w:rFonts w:hint="eastAsia" w:ascii="宋体" w:hAnsi="宋体" w:eastAsia="宋体" w:cs="宋体"/>
                <w:i w:val="0"/>
                <w:iCs w:val="0"/>
                <w:color w:val="auto"/>
                <w:sz w:val="20"/>
                <w:szCs w:val="20"/>
                <w:u w:val="none"/>
              </w:rPr>
            </w:pPr>
            <w:r>
              <w:rPr>
                <w:rFonts w:hint="eastAsia" w:ascii="宋体" w:hAnsi="宋体" w:eastAsia="宋体" w:cs="宋体"/>
                <w:color w:val="auto"/>
                <w:sz w:val="20"/>
                <w:szCs w:val="20"/>
                <w:lang w:val="en-US" w:eastAsia="zh-CN"/>
              </w:rPr>
              <w:t>5</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书包斗：采用PP材料，需配套实验桌，模具一次性注塑成型,上面设计有可悬挂凳子的圆形孔</w:t>
            </w:r>
            <w:r>
              <w:rPr>
                <w:rFonts w:hint="eastAsia" w:ascii="宋体" w:hAnsi="宋体" w:cs="宋体"/>
                <w:color w:val="auto"/>
                <w:sz w:val="20"/>
                <w:szCs w:val="20"/>
                <w:lang w:val="en-US" w:eastAsia="zh-CN"/>
              </w:rPr>
              <w:t>。</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F2B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D167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3DA10">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45360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B14D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719455"/>
                  <wp:effectExtent l="0" t="0" r="5080" b="4445"/>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icPr>
                        <pic:blipFill>
                          <a:blip r:embed="rId13"/>
                          <a:stretch>
                            <a:fillRect/>
                          </a:stretch>
                        </pic:blipFill>
                        <pic:spPr>
                          <a:xfrm>
                            <a:off x="0" y="0"/>
                            <a:ext cx="1004570" cy="719455"/>
                          </a:xfrm>
                          <a:prstGeom prst="rect">
                            <a:avLst/>
                          </a:prstGeom>
                          <a:noFill/>
                          <a:ln>
                            <a:noFill/>
                          </a:ln>
                        </pic:spPr>
                      </pic:pic>
                    </a:graphicData>
                  </a:graphic>
                </wp:inline>
              </w:drawing>
            </w:r>
          </w:p>
        </w:tc>
      </w:tr>
      <w:tr w14:paraId="387B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B763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512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功能柱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D1BF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规格335mm*195mm*765mm±10mm，选用全钢结构，主体材质为≥1.0mm镀锌钢板，板材均采用≥1.0mm 的镀锌钢板，自动喷涂线喷涂环氧树脂粉末静电吸附等几道工艺制作而成，具备较强抗氧化和防腐蚀、耐酸碱功能，主体颜色与学生桌桌体颜色一致，让产品形象更加立体、突出，电缆线、通风管等管线均布置于箱体内部，避免管线外露，确保使用的安全。留有检修口，方便检修。</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D7F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84BE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5C46">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7980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915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521970" cy="838835"/>
                  <wp:effectExtent l="0" t="0" r="0" b="18415"/>
                  <wp:docPr id="8" name="图片 1" descr="167566733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1675667333369"/>
                          <pic:cNvPicPr>
                            <a:picLocks noChangeAspect="1"/>
                          </pic:cNvPicPr>
                        </pic:nvPicPr>
                        <pic:blipFill>
                          <a:blip r:embed="rId14"/>
                          <a:stretch>
                            <a:fillRect/>
                          </a:stretch>
                        </pic:blipFill>
                        <pic:spPr>
                          <a:xfrm>
                            <a:off x="0" y="0"/>
                            <a:ext cx="521970" cy="838835"/>
                          </a:xfrm>
                          <a:prstGeom prst="rect">
                            <a:avLst/>
                          </a:prstGeom>
                          <a:noFill/>
                          <a:ln w="9525">
                            <a:noFill/>
                          </a:ln>
                        </pic:spPr>
                      </pic:pic>
                    </a:graphicData>
                  </a:graphic>
                </wp:inline>
              </w:drawing>
            </w:r>
          </w:p>
        </w:tc>
      </w:tr>
      <w:tr w14:paraId="55CCB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BECB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468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数控电源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ED3A4">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1.实验台外壳采用美观大方高档的铝镁合金。</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2.交流输出：1.5-24V、2A  连续可调  直流稳压：1.25-24V、2A 无级调压 直流稳压：6V、0.5A；采用防脱式接线柱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3.手动或自动过载保护，独立的学生电源，有电压、电流表和测试表指示，具有220V漏电开关保护和多功能五孔插座（带安全门，可插任何插头）</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77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0D0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58A0">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23800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A928">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26160" cy="370205"/>
                  <wp:effectExtent l="0" t="0" r="2540" b="10795"/>
                  <wp:docPr id="9" name="图片 16" descr="1624416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descr="1624416799(1)"/>
                          <pic:cNvPicPr>
                            <a:picLocks noChangeAspect="1"/>
                          </pic:cNvPicPr>
                        </pic:nvPicPr>
                        <pic:blipFill>
                          <a:blip r:embed="rId15"/>
                          <a:stretch>
                            <a:fillRect/>
                          </a:stretch>
                        </pic:blipFill>
                        <pic:spPr>
                          <a:xfrm>
                            <a:off x="0" y="0"/>
                            <a:ext cx="1026160" cy="370205"/>
                          </a:xfrm>
                          <a:prstGeom prst="rect">
                            <a:avLst/>
                          </a:prstGeom>
                          <a:noFill/>
                          <a:ln w="9525">
                            <a:noFill/>
                          </a:ln>
                        </pic:spPr>
                      </pic:pic>
                    </a:graphicData>
                  </a:graphic>
                </wp:inline>
              </w:drawing>
            </w:r>
          </w:p>
        </w:tc>
      </w:tr>
      <w:tr w14:paraId="52397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8E1C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CD1A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教师总控电源</w:t>
            </w:r>
            <w:r>
              <w:rPr>
                <w:rFonts w:hint="eastAsia" w:ascii="宋体" w:hAnsi="宋体" w:cs="宋体"/>
                <w:i w:val="0"/>
                <w:iCs w:val="0"/>
                <w:color w:val="000000"/>
                <w:sz w:val="20"/>
                <w:szCs w:val="20"/>
                <w:u w:val="none"/>
                <w:lang w:val="en-US" w:eastAsia="zh-CN" w:bidi="ar"/>
              </w:rPr>
              <w:t>（带直流）</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76BC0">
            <w:pPr>
              <w:keepNext w:val="0"/>
              <w:keepLines w:val="0"/>
              <w:widowControl/>
              <w:suppressLineNumbers w:val="0"/>
              <w:jc w:val="left"/>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1.教师演示台配备总漏电保护和分组保护，可分组控制学生的高低压电源，确保学生实验安全方便 ；</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 xml:space="preserve">2.教师电源总控采用采用数字化键盘轻触操作控制，采用高亮数码显示电源电压；  </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3.教师交流电源通过智能控制按键直接选取0V～24V电压，最小调节单元可达1V,额定电流3A，具有过载保护智能检测功能， 按钮手动复位，防止反复冲击负载。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4.教师直流电源也是通过智能控制按键直接选取，调节范围为0～24V，分辨率可达0.1V,额定电流3A，亦具有过载保护智能检测功能，</w:t>
            </w:r>
            <w:r>
              <w:rPr>
                <w:rFonts w:hint="eastAsia" w:ascii="宋体" w:hAnsi="宋体" w:eastAsia="宋体" w:cs="宋体"/>
                <w:i w:val="0"/>
                <w:iCs w:val="0"/>
                <w:color w:val="0000FF"/>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按钮手动复位，防止反复冲击负载。 </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5.低压大电流值为40A，自动关断；</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6.220V交流输出为带安全门的插座，带有过载保护和电源指示。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直流高压240V、300V二挡输出电流100</w:t>
            </w:r>
            <w:r>
              <w:rPr>
                <w:rFonts w:hint="eastAsia" w:ascii="宋体" w:hAnsi="宋体" w:cs="宋体"/>
                <w:i w:val="0"/>
                <w:iCs w:val="0"/>
                <w:color w:val="000000"/>
                <w:sz w:val="20"/>
                <w:szCs w:val="20"/>
                <w:u w:val="none"/>
                <w:lang w:val="en-US" w:eastAsia="zh-CN" w:bidi="ar"/>
              </w:rPr>
              <w:t>mA</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D3B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E478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17CB2">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4500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97DE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681355"/>
                  <wp:effectExtent l="0" t="0" r="3810" b="444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6"/>
                          <a:stretch>
                            <a:fillRect/>
                          </a:stretch>
                        </pic:blipFill>
                        <pic:spPr>
                          <a:xfrm>
                            <a:off x="0" y="0"/>
                            <a:ext cx="1005840" cy="681355"/>
                          </a:xfrm>
                          <a:prstGeom prst="rect">
                            <a:avLst/>
                          </a:prstGeom>
                          <a:noFill/>
                          <a:ln>
                            <a:noFill/>
                          </a:ln>
                        </pic:spPr>
                      </pic:pic>
                    </a:graphicData>
                  </a:graphic>
                </wp:inline>
              </w:drawing>
            </w:r>
          </w:p>
        </w:tc>
      </w:tr>
      <w:tr w14:paraId="6C93B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DD0A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8A13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实验凳</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09465">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规格:315*420-</w:t>
            </w:r>
            <w:r>
              <w:rPr>
                <w:rFonts w:hint="eastAsia" w:ascii="宋体" w:hAnsi="宋体" w:cs="宋体"/>
                <w:i w:val="0"/>
                <w:iCs w:val="0"/>
                <w:color w:val="000000"/>
                <w:sz w:val="20"/>
                <w:szCs w:val="20"/>
                <w:u w:val="none"/>
                <w:lang w:val="en-US" w:eastAsia="zh-CN" w:bidi="ar"/>
              </w:rPr>
              <w:t>480mm±10mm</w:t>
            </w:r>
            <w:r>
              <w:rPr>
                <w:rFonts w:hint="eastAsia" w:ascii="宋体" w:hAnsi="宋体" w:eastAsia="宋体" w:cs="宋体"/>
                <w:i w:val="0"/>
                <w:iCs w:val="0"/>
                <w:color w:val="000000"/>
                <w:sz w:val="20"/>
                <w:szCs w:val="20"/>
                <w:u w:val="none"/>
                <w:lang w:val="en-US" w:eastAsia="zh-CN" w:bidi="ar"/>
              </w:rPr>
              <w:t>；</w:t>
            </w:r>
          </w:p>
          <w:p w14:paraId="355668A5">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2</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凳脚材质:4个凳脚采用20*40*</w:t>
            </w:r>
            <w:r>
              <w:rPr>
                <w:rFonts w:hint="eastAsia" w:ascii="宋体" w:hAnsi="宋体" w:cs="宋体"/>
                <w:i w:val="0"/>
                <w:iCs w:val="0"/>
                <w:color w:val="000000"/>
                <w:sz w:val="20"/>
                <w:szCs w:val="20"/>
                <w:u w:val="none"/>
                <w:lang w:val="en-US" w:eastAsia="zh-CN" w:bidi="ar"/>
              </w:rPr>
              <w:t>1.1mm</w:t>
            </w:r>
            <w:r>
              <w:rPr>
                <w:rFonts w:hint="eastAsia" w:ascii="宋体" w:hAnsi="宋体" w:eastAsia="宋体" w:cs="宋体"/>
                <w:i w:val="0"/>
                <w:iCs w:val="0"/>
                <w:color w:val="000000"/>
                <w:sz w:val="20"/>
                <w:szCs w:val="20"/>
                <w:u w:val="none"/>
                <w:lang w:val="en-US" w:eastAsia="zh-CN" w:bidi="ar"/>
              </w:rPr>
              <w:t>椭圆形无缝钢管模具一次成型,全圆满焊完成,结构牢固,经高温粉体烤漆处理,长时间使用也不会产生表面烤漆剥落现象；</w:t>
            </w:r>
          </w:p>
          <w:p w14:paraId="339174EE">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凳面:凳面直径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315</w:t>
            </w:r>
            <w:r>
              <w:rPr>
                <w:rFonts w:hint="eastAsia" w:ascii="宋体" w:hAnsi="宋体" w:cs="宋体"/>
                <w:i w:val="0"/>
                <w:iCs w:val="0"/>
                <w:color w:val="000000"/>
                <w:sz w:val="20"/>
                <w:szCs w:val="20"/>
                <w:u w:val="none"/>
                <w:lang w:val="en-US" w:eastAsia="zh-CN" w:bidi="ar"/>
              </w:rPr>
              <w:t>mm，</w:t>
            </w:r>
            <w:r>
              <w:rPr>
                <w:rFonts w:hint="eastAsia" w:ascii="宋体" w:hAnsi="宋体" w:eastAsia="宋体" w:cs="宋体"/>
                <w:i w:val="0"/>
                <w:iCs w:val="0"/>
                <w:color w:val="000000"/>
                <w:sz w:val="20"/>
                <w:szCs w:val="20"/>
                <w:u w:val="none"/>
                <w:lang w:val="en-US" w:eastAsia="zh-CN" w:bidi="ar"/>
              </w:rPr>
              <w:t>采用环保型PP改性塑料一次性注塑成型;凳面表面有颗粒状凸起起到按摩作用；</w:t>
            </w:r>
          </w:p>
          <w:p w14:paraId="282A9F58">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托盘:凳面下装有直径大于</w:t>
            </w:r>
            <w:r>
              <w:rPr>
                <w:rFonts w:hint="eastAsia" w:ascii="宋体" w:hAnsi="宋体" w:cs="宋体"/>
                <w:i w:val="0"/>
                <w:iCs w:val="0"/>
                <w:color w:val="000000"/>
                <w:sz w:val="20"/>
                <w:szCs w:val="20"/>
                <w:u w:val="none"/>
                <w:lang w:val="en-US" w:eastAsia="zh-CN" w:bidi="ar"/>
              </w:rPr>
              <w:t>156mm</w:t>
            </w:r>
            <w:r>
              <w:rPr>
                <w:rFonts w:hint="eastAsia" w:ascii="宋体" w:hAnsi="宋体" w:eastAsia="宋体" w:cs="宋体"/>
                <w:i w:val="0"/>
                <w:iCs w:val="0"/>
                <w:color w:val="000000"/>
                <w:sz w:val="20"/>
                <w:szCs w:val="20"/>
                <w:u w:val="none"/>
                <w:lang w:val="en-US" w:eastAsia="zh-CN" w:bidi="ar"/>
              </w:rPr>
              <w:t>的托盘,厚度不小于</w:t>
            </w:r>
            <w:r>
              <w:rPr>
                <w:rFonts w:hint="eastAsia" w:ascii="宋体" w:hAnsi="宋体" w:cs="宋体"/>
                <w:i w:val="0"/>
                <w:iCs w:val="0"/>
                <w:color w:val="000000"/>
                <w:sz w:val="20"/>
                <w:szCs w:val="20"/>
                <w:u w:val="none"/>
                <w:lang w:val="en-US" w:eastAsia="zh-CN" w:bidi="ar"/>
              </w:rPr>
              <w:t>1.4mm</w:t>
            </w:r>
            <w:r>
              <w:rPr>
                <w:rFonts w:hint="eastAsia" w:ascii="宋体" w:hAnsi="宋体" w:eastAsia="宋体" w:cs="宋体"/>
                <w:i w:val="0"/>
                <w:iCs w:val="0"/>
                <w:color w:val="000000"/>
                <w:sz w:val="20"/>
                <w:szCs w:val="20"/>
                <w:u w:val="none"/>
                <w:lang w:val="en-US" w:eastAsia="zh-CN" w:bidi="ar"/>
              </w:rPr>
              <w:t>；</w:t>
            </w:r>
          </w:p>
          <w:p w14:paraId="57306865">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DC0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条</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E011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B708B">
            <w:pPr>
              <w:keepNext w:val="0"/>
              <w:keepLines w:val="0"/>
              <w:widowControl/>
              <w:suppressLineNumbers w:val="0"/>
              <w:jc w:val="center"/>
              <w:rPr>
                <w:rStyle w:val="218"/>
                <w:rFonts w:hint="eastAsia" w:ascii="宋体" w:hAnsi="宋体" w:eastAsia="宋体" w:cs="宋体"/>
                <w:color w:val="auto"/>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10360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51C88">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270000"/>
                  <wp:effectExtent l="0" t="0" r="4445" b="635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7"/>
                          <a:stretch>
                            <a:fillRect/>
                          </a:stretch>
                        </pic:blipFill>
                        <pic:spPr>
                          <a:xfrm>
                            <a:off x="0" y="0"/>
                            <a:ext cx="1005205" cy="1270000"/>
                          </a:xfrm>
                          <a:prstGeom prst="rect">
                            <a:avLst/>
                          </a:prstGeom>
                          <a:noFill/>
                          <a:ln>
                            <a:noFill/>
                          </a:ln>
                        </pic:spPr>
                      </pic:pic>
                    </a:graphicData>
                  </a:graphic>
                </wp:inline>
              </w:drawing>
            </w:r>
          </w:p>
        </w:tc>
      </w:tr>
      <w:tr w14:paraId="501E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0E038">
            <w:pPr>
              <w:jc w:val="center"/>
              <w:rPr>
                <w:rFonts w:hint="eastAsia" w:ascii="宋体" w:hAnsi="宋体" w:eastAsia="宋体" w:cs="宋体"/>
                <w:i w:val="0"/>
                <w:iCs w:val="0"/>
                <w:color w:val="000000"/>
                <w:sz w:val="20"/>
                <w:szCs w:val="20"/>
                <w:u w:val="none"/>
              </w:rPr>
            </w:pPr>
          </w:p>
        </w:tc>
        <w:tc>
          <w:tcPr>
            <w:tcW w:w="352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85E89">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物理准备室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20AB6">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EB20C">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36397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2316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D12C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钢木</w:t>
            </w:r>
            <w:r>
              <w:rPr>
                <w:rFonts w:hint="eastAsia" w:ascii="宋体" w:hAnsi="宋体" w:eastAsia="宋体" w:cs="宋体"/>
                <w:i w:val="0"/>
                <w:iCs w:val="0"/>
                <w:color w:val="000000"/>
                <w:sz w:val="20"/>
                <w:szCs w:val="20"/>
                <w:u w:val="none"/>
                <w:lang w:val="en-US" w:eastAsia="zh-CN" w:bidi="ar"/>
              </w:rPr>
              <w:t>准备桌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EC39E2">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全钢结构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一体化台面，每边4个抽屉、</w:t>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组对开门，基本要求如下：</w:t>
            </w:r>
          </w:p>
          <w:p w14:paraId="08A7BED7">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台面尺寸（度宽高）3000mm×1100mm×800mm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w:t>
            </w:r>
          </w:p>
          <w:p w14:paraId="3C21DB07">
            <w:pPr>
              <w:rPr>
                <w:rFonts w:hint="eastAsia" w:ascii="宋体" w:hAnsi="宋体" w:eastAsia="宋体" w:cs="宋体"/>
                <w:sz w:val="20"/>
                <w:szCs w:val="18"/>
                <w:lang w:eastAsia="zh-CN"/>
              </w:rPr>
            </w:pPr>
            <w:r>
              <w:rPr>
                <w:rFonts w:hint="eastAsia" w:ascii="宋体" w:hAnsi="宋体" w:eastAsia="宋体" w:cs="宋体"/>
                <w:i w:val="0"/>
                <w:iCs w:val="0"/>
                <w:color w:val="000000"/>
                <w:sz w:val="20"/>
                <w:szCs w:val="20"/>
                <w:lang w:val="en-US" w:eastAsia="zh-CN" w:bidi="ar"/>
              </w:rPr>
              <w:t>2</w:t>
            </w:r>
            <w:r>
              <w:rPr>
                <w:rFonts w:hint="eastAsia" w:ascii="宋体" w:hAnsi="宋体" w:cs="宋体"/>
                <w:i w:val="0"/>
                <w:iCs w:val="0"/>
                <w:color w:val="000000"/>
                <w:sz w:val="20"/>
                <w:szCs w:val="20"/>
                <w:lang w:val="en-US" w:eastAsia="zh-CN" w:bidi="ar"/>
              </w:rPr>
              <w:t>.</w:t>
            </w:r>
            <w:r>
              <w:rPr>
                <w:rFonts w:hint="eastAsia" w:ascii="宋体" w:hAnsi="宋体" w:eastAsia="宋体" w:cs="宋体"/>
                <w:sz w:val="20"/>
                <w:szCs w:val="18"/>
              </w:rPr>
              <w:t>台面：采用≥12.7mm厚双面膜实芯理化板</w:t>
            </w:r>
            <w:r>
              <w:rPr>
                <w:rFonts w:hint="eastAsia" w:ascii="宋体" w:hAnsi="宋体" w:cs="宋体"/>
                <w:sz w:val="20"/>
                <w:szCs w:val="18"/>
                <w:lang w:eastAsia="zh-CN"/>
              </w:rPr>
              <w:t>，且需符合以下参数：</w:t>
            </w:r>
          </w:p>
          <w:p w14:paraId="6F1E893B">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129E67D8">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4BC2C894">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22495782">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724B655E">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台身：采用≥1.0mm厚镀锌钢板，钢板表面经环氧树脂静电粉末喷涂。</w:t>
            </w:r>
          </w:p>
          <w:p w14:paraId="6E570E92">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桌脚：采用直径不小于10mm的螺杆与ABS工程塑料一次注塑成型的脚垫，高度可调节。</w:t>
            </w:r>
          </w:p>
          <w:p w14:paraId="62E39BC4">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5</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柜门铰链：采用不锈钢定位铰链，铰链的壁厚不小于1.5mm。</w:t>
            </w:r>
          </w:p>
          <w:p w14:paraId="4D463156">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6</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抽屉滑道：采用消声三节滑轨，壁厚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1.5mm合金钢板一次性成型加工，表面经环氧树脂静电喷涂。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56AF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CA60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A7D7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18"/>
                <w:szCs w:val="18"/>
                <w:u w:val="none"/>
                <w:lang w:val="en-US" w:eastAsia="zh-CN" w:bidi="ar"/>
              </w:rPr>
              <w:t>15850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8FBA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899160"/>
                  <wp:effectExtent l="0" t="0" r="3810" b="1524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8"/>
                          <a:stretch>
                            <a:fillRect/>
                          </a:stretch>
                        </pic:blipFill>
                        <pic:spPr>
                          <a:xfrm>
                            <a:off x="0" y="0"/>
                            <a:ext cx="1005840" cy="899160"/>
                          </a:xfrm>
                          <a:prstGeom prst="rect">
                            <a:avLst/>
                          </a:prstGeom>
                          <a:noFill/>
                          <a:ln>
                            <a:noFill/>
                          </a:ln>
                        </pic:spPr>
                      </pic:pic>
                    </a:graphicData>
                  </a:graphic>
                </wp:inline>
              </w:drawing>
            </w:r>
          </w:p>
        </w:tc>
      </w:tr>
      <w:tr w14:paraId="219D7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DAA2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F959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仪器柜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5EA59">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整体规格：1000mm（L）×500mm（W）×2000mm（H）</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整体采用环保型ABS塑料一次性注塑成型，层板采用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2.5mm厚双面环保型PP改性塑料，耐强酸碱及有机溶剂，内设加强筋。</w:t>
            </w:r>
          </w:p>
          <w:p w14:paraId="5CA18228">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lang w:val="en-US" w:eastAsia="zh-CN" w:bidi="ar"/>
              </w:rPr>
              <w:t>3.</w:t>
            </w:r>
            <w:r>
              <w:rPr>
                <w:rFonts w:hint="eastAsia" w:ascii="宋体" w:hAnsi="宋体" w:eastAsia="宋体" w:cs="宋体"/>
                <w:i w:val="0"/>
                <w:iCs w:val="0"/>
                <w:color w:val="000000"/>
                <w:sz w:val="20"/>
                <w:szCs w:val="20"/>
                <w:u w:val="none"/>
                <w:lang w:val="en-US" w:eastAsia="zh-CN" w:bidi="ar"/>
              </w:rPr>
              <w:t>柜体：榫卯连接结构并合理布局加强筋，安装时不用胶水粘结，不用任何金属螺丝。</w:t>
            </w:r>
          </w:p>
          <w:p w14:paraId="4BBB48AA">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0"/>
                <w:szCs w:val="20"/>
                <w:lang w:val="en-US" w:eastAsia="zh-CN" w:bidi="ar"/>
              </w:rPr>
              <w:t>4.</w:t>
            </w:r>
            <w:r>
              <w:rPr>
                <w:rFonts w:hint="eastAsia" w:ascii="宋体" w:hAnsi="宋体" w:eastAsia="宋体" w:cs="宋体"/>
                <w:i w:val="0"/>
                <w:iCs w:val="0"/>
                <w:color w:val="000000"/>
                <w:sz w:val="20"/>
                <w:szCs w:val="20"/>
                <w:u w:val="none"/>
                <w:lang w:val="en-US" w:eastAsia="zh-CN" w:bidi="ar"/>
              </w:rPr>
              <w:t>上部为ABS工程塑料镶装玻璃对开门,带锁、内嵌式塑料扣手，尼龙塑料铰链，高强度耐磨，防水、永不生锈，内设PP改性活动隔板2块。</w:t>
            </w:r>
          </w:p>
          <w:p w14:paraId="15FF07CA">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1"/>
                <w:szCs w:val="21"/>
                <w:u w:val="none"/>
                <w:lang w:val="en-US" w:eastAsia="zh-CN" w:bidi="ar"/>
              </w:rPr>
              <w:t>5.</w:t>
            </w:r>
            <w:r>
              <w:rPr>
                <w:rFonts w:hint="eastAsia" w:ascii="宋体" w:hAnsi="宋体" w:eastAsia="宋体" w:cs="宋体"/>
                <w:i w:val="0"/>
                <w:iCs w:val="0"/>
                <w:color w:val="000000"/>
                <w:sz w:val="21"/>
                <w:szCs w:val="21"/>
                <w:u w:val="none"/>
                <w:lang w:val="en-US" w:eastAsia="zh-CN" w:bidi="ar"/>
              </w:rPr>
              <w:t>下部为ABS工程塑料对开门，带</w:t>
            </w:r>
            <w:r>
              <w:rPr>
                <w:rFonts w:hint="eastAsia" w:ascii="宋体" w:hAnsi="宋体" w:eastAsia="宋体" w:cs="宋体"/>
                <w:i w:val="0"/>
                <w:iCs w:val="0"/>
                <w:color w:val="000000"/>
                <w:sz w:val="20"/>
                <w:szCs w:val="20"/>
                <w:u w:val="none"/>
                <w:lang w:val="en-US" w:eastAsia="zh-CN" w:bidi="ar"/>
              </w:rPr>
              <w:t>锁、内嵌式塑料扣手，采用尼龙塑料铰链，内设PP改性塑料活动隔板1块。门板与侧板并安装有防盗插销，防止从外部撬开柜门。底座高80mm，上下板30mm，重要部位加厚处理，从而使产品更牢固，结实耐用。</w:t>
            </w:r>
          </w:p>
          <w:p w14:paraId="0A32B23C">
            <w:pPr>
              <w:keepNext w:val="0"/>
              <w:keepLines w:val="0"/>
              <w:widowControl/>
              <w:numPr>
                <w:ilvl w:val="0"/>
                <w:numId w:val="0"/>
              </w:numPr>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仪器</w:t>
            </w:r>
            <w:r>
              <w:rPr>
                <w:rFonts w:hint="eastAsia" w:ascii="宋体" w:hAnsi="宋体" w:cs="宋体"/>
                <w:i w:val="0"/>
                <w:iCs w:val="0"/>
                <w:color w:val="000000"/>
                <w:sz w:val="20"/>
                <w:szCs w:val="20"/>
                <w:highlight w:val="none"/>
                <w:u w:val="none"/>
                <w:lang w:val="en-US" w:eastAsia="zh-CN" w:bidi="ar"/>
              </w:rPr>
              <w:t>塑料件</w:t>
            </w:r>
            <w:r>
              <w:rPr>
                <w:rFonts w:hint="eastAsia" w:ascii="宋体" w:hAnsi="宋体" w:eastAsia="宋体" w:cs="宋体"/>
                <w:i w:val="0"/>
                <w:iCs w:val="0"/>
                <w:color w:val="000000"/>
                <w:sz w:val="20"/>
                <w:szCs w:val="20"/>
                <w:highlight w:val="none"/>
                <w:u w:val="none"/>
                <w:lang w:val="en-US" w:eastAsia="zh-CN" w:bidi="ar"/>
              </w:rPr>
              <w:t>符合：</w:t>
            </w:r>
          </w:p>
          <w:p w14:paraId="6DE0D321">
            <w:pPr>
              <w:keepNext w:val="0"/>
              <w:keepLines w:val="0"/>
              <w:widowControl/>
              <w:numPr>
                <w:ilvl w:val="0"/>
                <w:numId w:val="0"/>
              </w:numPr>
              <w:suppressLineNumbers w:val="0"/>
              <w:jc w:val="left"/>
              <w:rPr>
                <w:rFonts w:hint="default"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（1）塑料材料理化性能：冲击强度≥</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0J/㎡</w:t>
            </w:r>
            <w:r>
              <w:rPr>
                <w:rFonts w:hint="eastAsia" w:ascii="宋体" w:hAnsi="宋体" w:cs="宋体"/>
                <w:i w:val="0"/>
                <w:iCs w:val="0"/>
                <w:color w:val="000000"/>
                <w:sz w:val="20"/>
                <w:szCs w:val="20"/>
                <w:highlight w:val="none"/>
                <w:u w:val="none"/>
                <w:lang w:val="en-US" w:eastAsia="zh-CN" w:bidi="ar"/>
              </w:rPr>
              <w:t>；</w:t>
            </w:r>
          </w:p>
          <w:p w14:paraId="719BD3C4">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rPr>
            </w:pP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2</w:t>
            </w: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塑料件硬度：邵氏D硬度≥HD</w:t>
            </w:r>
            <w:r>
              <w:rPr>
                <w:rFonts w:hint="eastAsia" w:ascii="宋体" w:hAnsi="宋体" w:cs="宋体"/>
                <w:i w:val="0"/>
                <w:iCs w:val="0"/>
                <w:color w:val="000000"/>
                <w:sz w:val="20"/>
                <w:szCs w:val="20"/>
                <w:highlight w:val="none"/>
                <w:u w:val="none"/>
                <w:lang w:val="en-US" w:eastAsia="zh-CN" w:bidi="ar"/>
              </w:rPr>
              <w:t>63。</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ECB3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72AB5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4FB2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18"/>
                <w:szCs w:val="18"/>
                <w:u w:val="none"/>
                <w:lang w:val="en-US" w:eastAsia="zh-CN" w:bidi="ar"/>
              </w:rPr>
              <w:t>22000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A483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799590"/>
                  <wp:effectExtent l="0" t="0" r="4445" b="1016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9"/>
                          <a:stretch>
                            <a:fillRect/>
                          </a:stretch>
                        </pic:blipFill>
                        <pic:spPr>
                          <a:xfrm>
                            <a:off x="0" y="0"/>
                            <a:ext cx="1005205" cy="1799590"/>
                          </a:xfrm>
                          <a:prstGeom prst="rect">
                            <a:avLst/>
                          </a:prstGeom>
                          <a:noFill/>
                          <a:ln>
                            <a:noFill/>
                          </a:ln>
                        </pic:spPr>
                      </pic:pic>
                    </a:graphicData>
                  </a:graphic>
                </wp:inline>
              </w:drawing>
            </w:r>
          </w:p>
        </w:tc>
      </w:tr>
      <w:tr w14:paraId="09444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DE22">
            <w:pPr>
              <w:jc w:val="center"/>
              <w:rPr>
                <w:rFonts w:hint="eastAsia" w:ascii="宋体" w:hAnsi="宋体" w:eastAsia="宋体" w:cs="宋体"/>
                <w:i w:val="0"/>
                <w:iCs w:val="0"/>
                <w:color w:val="000000"/>
                <w:sz w:val="22"/>
                <w:szCs w:val="22"/>
                <w:u w:val="none"/>
              </w:rPr>
            </w:pPr>
          </w:p>
        </w:tc>
        <w:tc>
          <w:tcPr>
            <w:tcW w:w="352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B9F6">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56座生物实验室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93E7">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521D4">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6FEA6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6A80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081A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cs="宋体"/>
                <w:i w:val="0"/>
                <w:iCs w:val="0"/>
                <w:color w:val="auto"/>
                <w:sz w:val="20"/>
                <w:szCs w:val="20"/>
                <w:u w:val="none"/>
                <w:lang w:val="en-US" w:eastAsia="zh-CN" w:bidi="ar"/>
              </w:rPr>
              <w:t>钢木</w:t>
            </w:r>
            <w:r>
              <w:rPr>
                <w:rFonts w:hint="eastAsia" w:ascii="宋体" w:hAnsi="宋体" w:eastAsia="宋体" w:cs="宋体"/>
                <w:i w:val="0"/>
                <w:iCs w:val="0"/>
                <w:color w:val="auto"/>
                <w:sz w:val="20"/>
                <w:szCs w:val="20"/>
                <w:u w:val="none"/>
                <w:lang w:val="en-US" w:eastAsia="zh-CN" w:bidi="ar"/>
              </w:rPr>
              <w:t>教师桌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0E05B">
            <w:pPr>
              <w:rPr>
                <w:rFonts w:hint="eastAsia" w:ascii="宋体" w:hAnsi="宋体" w:eastAsia="宋体" w:cs="宋体"/>
                <w:sz w:val="20"/>
                <w:szCs w:val="18"/>
              </w:rPr>
            </w:pPr>
            <w:r>
              <w:rPr>
                <w:rFonts w:hint="eastAsia" w:ascii="宋体" w:hAnsi="宋体" w:eastAsia="宋体" w:cs="宋体"/>
                <w:sz w:val="20"/>
                <w:szCs w:val="18"/>
              </w:rPr>
              <w:t>1.规格：2400×700×850mm±10mm；</w:t>
            </w:r>
          </w:p>
          <w:p w14:paraId="3D4CC426">
            <w:pPr>
              <w:rPr>
                <w:rFonts w:hint="eastAsia" w:ascii="宋体" w:hAnsi="宋体" w:eastAsia="宋体" w:cs="宋体"/>
                <w:sz w:val="20"/>
                <w:szCs w:val="18"/>
                <w:lang w:eastAsia="zh-CN"/>
              </w:rPr>
            </w:pPr>
            <w:r>
              <w:rPr>
                <w:rFonts w:hint="eastAsia" w:ascii="宋体" w:hAnsi="宋体" w:eastAsia="宋体" w:cs="宋体"/>
                <w:sz w:val="20"/>
                <w:szCs w:val="18"/>
              </w:rPr>
              <w:t>2.台面：采用≥12.7mm厚双面膜实芯理化板</w:t>
            </w:r>
            <w:r>
              <w:rPr>
                <w:rFonts w:hint="eastAsia" w:ascii="宋体" w:hAnsi="宋体" w:cs="宋体"/>
                <w:sz w:val="20"/>
                <w:szCs w:val="18"/>
                <w:lang w:eastAsia="zh-CN"/>
              </w:rPr>
              <w:t>，且需符合以下参数：</w:t>
            </w:r>
          </w:p>
          <w:p w14:paraId="497F7FC3">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3574FC98">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4BFD1D11">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6081F843">
            <w:pPr>
              <w:rPr>
                <w:rFonts w:hint="eastAsia" w:ascii="宋体" w:hAnsi="宋体" w:eastAsia="宋体" w:cs="宋体"/>
                <w:sz w:val="20"/>
                <w:szCs w:val="18"/>
                <w:lang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56AF0BDB">
            <w:pPr>
              <w:rPr>
                <w:rFonts w:hint="eastAsia" w:ascii="宋体" w:hAnsi="宋体" w:eastAsia="宋体" w:cs="宋体"/>
                <w:sz w:val="20"/>
                <w:szCs w:val="18"/>
              </w:rPr>
            </w:pPr>
            <w:r>
              <w:rPr>
                <w:rFonts w:hint="eastAsia" w:ascii="宋体" w:hAnsi="宋体" w:eastAsia="宋体" w:cs="宋体"/>
                <w:sz w:val="20"/>
                <w:szCs w:val="18"/>
              </w:rPr>
              <w:t>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p>
          <w:p w14:paraId="56F1A106">
            <w:pPr>
              <w:rPr>
                <w:rFonts w:hint="eastAsia" w:ascii="宋体" w:hAnsi="宋体" w:eastAsia="宋体" w:cs="宋体"/>
                <w:sz w:val="20"/>
                <w:szCs w:val="18"/>
                <w:lang w:eastAsia="zh-CN"/>
              </w:rPr>
            </w:pPr>
            <w:r>
              <w:rPr>
                <w:rFonts w:hint="eastAsia" w:ascii="宋体" w:hAnsi="宋体" w:eastAsia="宋体" w:cs="宋体"/>
                <w:sz w:val="20"/>
                <w:szCs w:val="18"/>
              </w:rPr>
              <w:t>4.门铰：</w:t>
            </w:r>
            <w:r>
              <w:rPr>
                <w:rFonts w:hint="eastAsia" w:ascii="宋体" w:hAnsi="宋体" w:cs="宋体"/>
                <w:sz w:val="20"/>
                <w:szCs w:val="18"/>
                <w:lang w:eastAsia="zh-CN"/>
              </w:rPr>
              <w:t>采用优质阻尼自闭铰链，开关顺畅，使用寿命长。</w:t>
            </w:r>
          </w:p>
          <w:p w14:paraId="3423D759">
            <w:pPr>
              <w:rPr>
                <w:rFonts w:hint="eastAsia" w:ascii="宋体" w:hAnsi="宋体" w:eastAsia="宋体" w:cs="宋体"/>
                <w:sz w:val="20"/>
                <w:szCs w:val="18"/>
              </w:rPr>
            </w:pPr>
            <w:r>
              <w:rPr>
                <w:rFonts w:hint="eastAsia" w:ascii="宋体" w:hAnsi="宋体" w:eastAsia="宋体" w:cs="宋体"/>
                <w:sz w:val="20"/>
                <w:szCs w:val="18"/>
              </w:rPr>
              <w:t>5.滑轨：采用阻尼三节滑轨。</w:t>
            </w:r>
          </w:p>
          <w:p w14:paraId="0EA9F868">
            <w:pPr>
              <w:rPr>
                <w:rFonts w:hint="eastAsia" w:ascii="宋体" w:hAnsi="宋体" w:eastAsia="宋体" w:cs="宋体"/>
                <w:sz w:val="20"/>
                <w:szCs w:val="18"/>
              </w:rPr>
            </w:pPr>
            <w:r>
              <w:rPr>
                <w:rFonts w:hint="eastAsia" w:ascii="宋体" w:hAnsi="宋体" w:eastAsia="宋体" w:cs="宋体"/>
                <w:sz w:val="20"/>
                <w:szCs w:val="18"/>
              </w:rPr>
              <w:t>6.手抽:一字型，表面有光滑防腐涂层。</w:t>
            </w:r>
          </w:p>
          <w:p w14:paraId="34DBB410">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7.固定脚：采用ABS工程塑料模具成型制作而成，具有高度可调、耐磨、防潮、耐腐蚀等特点。</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191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E2A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464A6">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6500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4179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1395" cy="838200"/>
                  <wp:effectExtent l="0" t="0" r="8255" b="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20"/>
                          <a:stretch>
                            <a:fillRect/>
                          </a:stretch>
                        </pic:blipFill>
                        <pic:spPr>
                          <a:xfrm>
                            <a:off x="0" y="0"/>
                            <a:ext cx="1001395" cy="838200"/>
                          </a:xfrm>
                          <a:prstGeom prst="rect">
                            <a:avLst/>
                          </a:prstGeom>
                          <a:noFill/>
                          <a:ln>
                            <a:noFill/>
                          </a:ln>
                        </pic:spPr>
                      </pic:pic>
                    </a:graphicData>
                  </a:graphic>
                </wp:inline>
              </w:drawing>
            </w:r>
          </w:p>
        </w:tc>
      </w:tr>
      <w:tr w14:paraId="7804B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B017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BA5FD">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实验桌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43CD8">
            <w:pPr>
              <w:numPr>
                <w:ilvl w:val="0"/>
                <w:numId w:val="0"/>
              </w:numPr>
              <w:spacing w:after="0" w:line="240" w:lineRule="auto"/>
              <w:contextualSpacing/>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1.</w:t>
            </w:r>
            <w:r>
              <w:rPr>
                <w:rFonts w:hint="eastAsia" w:ascii="宋体" w:hAnsi="宋体" w:eastAsia="宋体" w:cs="宋体"/>
                <w:color w:val="auto"/>
                <w:sz w:val="20"/>
                <w:szCs w:val="20"/>
                <w:lang w:val="en-US" w:eastAsia="zh-CN"/>
              </w:rPr>
              <w:t>规格：1200*600*780mm±10mm</w:t>
            </w:r>
            <w:r>
              <w:rPr>
                <w:rFonts w:hint="eastAsia" w:ascii="宋体" w:hAnsi="宋体" w:cs="宋体"/>
                <w:color w:val="auto"/>
                <w:sz w:val="20"/>
                <w:szCs w:val="20"/>
                <w:lang w:val="en-US" w:eastAsia="zh-CN"/>
              </w:rPr>
              <w:t>；</w:t>
            </w:r>
          </w:p>
          <w:p w14:paraId="3FCCE6FE">
            <w:pPr>
              <w:rPr>
                <w:rFonts w:hint="eastAsia" w:ascii="宋体" w:hAnsi="宋体" w:eastAsia="宋体" w:cs="宋体"/>
                <w:sz w:val="20"/>
                <w:szCs w:val="18"/>
                <w:lang w:eastAsia="zh-CN"/>
              </w:rPr>
            </w:pPr>
            <w:r>
              <w:rPr>
                <w:rFonts w:hint="eastAsia" w:ascii="宋体" w:hAnsi="宋体" w:cs="宋体"/>
                <w:color w:val="auto"/>
                <w:sz w:val="20"/>
                <w:szCs w:val="20"/>
                <w:lang w:val="en-US" w:eastAsia="zh-CN"/>
              </w:rPr>
              <w:t>2.</w:t>
            </w:r>
            <w:r>
              <w:rPr>
                <w:rFonts w:hint="eastAsia" w:ascii="宋体" w:hAnsi="宋体" w:eastAsia="宋体" w:cs="宋体"/>
                <w:sz w:val="20"/>
                <w:szCs w:val="18"/>
              </w:rPr>
              <w:t>台面：采用≥12.7mm厚双面膜实芯理化板</w:t>
            </w:r>
            <w:r>
              <w:rPr>
                <w:rFonts w:hint="eastAsia" w:ascii="宋体" w:hAnsi="宋体" w:cs="宋体"/>
                <w:sz w:val="20"/>
                <w:szCs w:val="18"/>
                <w:lang w:eastAsia="zh-CN"/>
              </w:rPr>
              <w:t>，且需符合以下参数：</w:t>
            </w:r>
          </w:p>
          <w:p w14:paraId="476D80D3">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560561F4">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2753A985">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3ADEA2D3">
            <w:pPr>
              <w:rPr>
                <w:rFonts w:hint="eastAsia" w:ascii="宋体" w:hAnsi="宋体" w:eastAsia="宋体" w:cs="宋体"/>
                <w:color w:val="auto"/>
                <w:sz w:val="20"/>
                <w:szCs w:val="20"/>
                <w:lang w:val="en-US"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1B7AF76C">
            <w:pPr>
              <w:numPr>
                <w:ilvl w:val="0"/>
                <w:numId w:val="0"/>
              </w:numPr>
              <w:spacing w:after="0" w:line="240" w:lineRule="auto"/>
              <w:contextualSpacing/>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结构：新型塑铝结构,学生位镂空式，主框架字型结构：桌身：由桌腿、立柱、前横梁、中横梁、后横梁组成</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br w:type="textWrapping"/>
            </w:r>
            <w:r>
              <w:rPr>
                <w:rFonts w:hint="eastAsia" w:ascii="宋体" w:hAnsi="宋体" w:eastAsia="宋体" w:cs="宋体"/>
                <w:color w:val="auto"/>
                <w:sz w:val="20"/>
                <w:szCs w:val="20"/>
                <w:lang w:val="en-US" w:eastAsia="zh-CN"/>
              </w:rPr>
              <w:t>4</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主框架字型结构材质：采用铝镁合金材料，</w:t>
            </w:r>
            <w:r>
              <w:rPr>
                <w:rFonts w:hint="eastAsia" w:ascii="宋体" w:hAnsi="宋体" w:cs="宋体"/>
                <w:color w:val="auto"/>
                <w:sz w:val="20"/>
                <w:szCs w:val="20"/>
                <w:lang w:val="en-US" w:eastAsia="zh-CN"/>
              </w:rPr>
              <w:t>桌腿</w:t>
            </w:r>
            <w:r>
              <w:rPr>
                <w:rFonts w:hint="eastAsia" w:ascii="宋体" w:hAnsi="宋体" w:eastAsia="宋体" w:cs="宋体"/>
                <w:color w:val="auto"/>
                <w:sz w:val="20"/>
                <w:szCs w:val="20"/>
                <w:lang w:val="en-US" w:eastAsia="zh-CN"/>
              </w:rPr>
              <w:t>壁厚≥3mm，材料表面经高压静电喷涂环氧树脂防护层，耐酸碱，耐腐蚀处理。</w:t>
            </w:r>
          </w:p>
          <w:p w14:paraId="7A82B5D5">
            <w:pPr>
              <w:numPr>
                <w:ilvl w:val="0"/>
                <w:numId w:val="0"/>
              </w:numPr>
              <w:spacing w:after="0" w:line="240" w:lineRule="auto"/>
              <w:contextualSpacing/>
              <w:rPr>
                <w:rStyle w:val="218"/>
                <w:rFonts w:hint="eastAsia" w:ascii="宋体" w:hAnsi="宋体" w:eastAsia="宋体" w:cs="宋体"/>
                <w:b w:val="0"/>
                <w:bCs w:val="0"/>
                <w:color w:val="auto"/>
                <w:lang w:val="en-US" w:eastAsia="zh-CN" w:bidi="ar"/>
              </w:rPr>
            </w:pPr>
            <w:r>
              <w:rPr>
                <w:rFonts w:hint="eastAsia" w:ascii="宋体" w:hAnsi="宋体" w:eastAsia="宋体" w:cs="宋体"/>
                <w:color w:val="auto"/>
                <w:sz w:val="20"/>
                <w:szCs w:val="20"/>
                <w:lang w:val="en-US" w:eastAsia="zh-CN"/>
              </w:rPr>
              <w:t>5</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书包斗：采用PP材料，需配套实验桌，模具一次性注塑成型,上面设计有可悬挂凳子的圆形孔</w:t>
            </w:r>
            <w:r>
              <w:rPr>
                <w:rFonts w:hint="eastAsia" w:ascii="宋体" w:hAnsi="宋体" w:cs="宋体"/>
                <w:color w:val="auto"/>
                <w:sz w:val="20"/>
                <w:szCs w:val="20"/>
                <w:lang w:val="en-US" w:eastAsia="zh-CN"/>
              </w:rPr>
              <w:t>。</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D7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3B0B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8BB44">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45360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20812">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719455"/>
                  <wp:effectExtent l="0" t="0" r="5080" b="444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13"/>
                          <a:stretch>
                            <a:fillRect/>
                          </a:stretch>
                        </pic:blipFill>
                        <pic:spPr>
                          <a:xfrm>
                            <a:off x="0" y="0"/>
                            <a:ext cx="1004570" cy="719455"/>
                          </a:xfrm>
                          <a:prstGeom prst="rect">
                            <a:avLst/>
                          </a:prstGeom>
                          <a:noFill/>
                          <a:ln>
                            <a:noFill/>
                          </a:ln>
                        </pic:spPr>
                      </pic:pic>
                    </a:graphicData>
                  </a:graphic>
                </wp:inline>
              </w:drawing>
            </w:r>
          </w:p>
        </w:tc>
      </w:tr>
      <w:tr w14:paraId="517DB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A637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DCE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功能柱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19E84">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规格335mm*195mm*765mm±10mm，选用全钢结构，主体材质为≥1.0mm镀锌钢板，板材均采用≥1.0mm 的镀锌钢板，自动喷涂线喷涂环氧树脂粉末静电吸附等几道工艺制作而成，具备较强抗氧化和防腐蚀、耐酸碱功能，主体颜色与学生桌桌体颜色一致，让产品形象更加立体、突出，电缆线、通风管等管线均布置于箱体内部，避免管线外露，确保使用的安全。留有检修口，方便检修。</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B189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117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87A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7980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28C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16305" cy="874395"/>
                  <wp:effectExtent l="0" t="0" r="17145" b="190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21"/>
                          <a:stretch>
                            <a:fillRect/>
                          </a:stretch>
                        </pic:blipFill>
                        <pic:spPr>
                          <a:xfrm>
                            <a:off x="0" y="0"/>
                            <a:ext cx="916305" cy="874395"/>
                          </a:xfrm>
                          <a:prstGeom prst="rect">
                            <a:avLst/>
                          </a:prstGeom>
                          <a:noFill/>
                          <a:ln>
                            <a:noFill/>
                          </a:ln>
                        </pic:spPr>
                      </pic:pic>
                    </a:graphicData>
                  </a:graphic>
                </wp:inline>
              </w:drawing>
            </w:r>
          </w:p>
        </w:tc>
      </w:tr>
      <w:tr w14:paraId="576E2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0DB0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8A62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钢塑水槽柜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23602">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规格：490*585*750mm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柜体框架采用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1.0mm镀锌钢板，板材均采用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 的镀锌钢板，经酸洗磷化及环氧树脂户外粉喷涂处理，具备较强抗氧化和防腐蚀、耐酸碱承重性。</w:t>
            </w:r>
          </w:p>
          <w:p w14:paraId="24A627FA">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水柜门面板：采用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1.0mm冷轧钢，表面经过时效处理和纯环氧树脂塑粉高温固化处理，具有较强的耐蚀性及承重性。</w:t>
            </w:r>
          </w:p>
          <w:p w14:paraId="0CE2BB1B">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水槽：采用PP改性材料，塑料注塑模一次性成型，其规格600*500*350mm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，耐强酸强碱耐＜80℃有机溶剂并耐150℃以下高温，外型简约美观。</w:t>
            </w:r>
          </w:p>
          <w:p w14:paraId="0AA5C538">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下水系统：采用PP材质专用连接管，配有防虹吸，防阻塞装置，水槽后方内置防溢水装置，防止废水外溢出台面，排水口内置一个防堵下水锥形网孔漏斗。</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E4D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6B0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8F89">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24500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6277B">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893570"/>
                  <wp:effectExtent l="0" t="0" r="4445" b="1143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22"/>
                          <a:stretch>
                            <a:fillRect/>
                          </a:stretch>
                        </pic:blipFill>
                        <pic:spPr>
                          <a:xfrm>
                            <a:off x="0" y="0"/>
                            <a:ext cx="1005205" cy="1893570"/>
                          </a:xfrm>
                          <a:prstGeom prst="rect">
                            <a:avLst/>
                          </a:prstGeom>
                          <a:noFill/>
                          <a:ln>
                            <a:noFill/>
                          </a:ln>
                        </pic:spPr>
                      </pic:pic>
                    </a:graphicData>
                  </a:graphic>
                </wp:inline>
              </w:drawing>
            </w:r>
          </w:p>
        </w:tc>
      </w:tr>
      <w:tr w14:paraId="79210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1C8E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0C9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教师台水槽</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202E6">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pp规格550*450</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采用PP改性材料，塑料注塑模一次性成型，耐强酸强碱耐＜80℃有机溶剂并耐150℃以下高温，外型简约美观。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10F6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7B84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30003">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225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ECA0B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753745"/>
                  <wp:effectExtent l="0" t="0" r="4445" b="825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23"/>
                          <a:stretch>
                            <a:fillRect/>
                          </a:stretch>
                        </pic:blipFill>
                        <pic:spPr>
                          <a:xfrm>
                            <a:off x="0" y="0"/>
                            <a:ext cx="1005205" cy="753745"/>
                          </a:xfrm>
                          <a:prstGeom prst="rect">
                            <a:avLst/>
                          </a:prstGeom>
                          <a:noFill/>
                          <a:ln>
                            <a:noFill/>
                          </a:ln>
                        </pic:spPr>
                      </pic:pic>
                    </a:graphicData>
                  </a:graphic>
                </wp:inline>
              </w:drawing>
            </w:r>
          </w:p>
        </w:tc>
      </w:tr>
      <w:tr w14:paraId="62DFC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7F75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ECAC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上水装置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140F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用于连接地面水管及水龙头，上水管两端接头采用201不锈钢螺帽铜芯，外管是304钢丝+尼龙丝混编</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532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24CE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1828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DC5C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271D5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52A6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E3A2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下水装置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F9E62">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规格:直径35mm*长度500mm水槽专配型排水管，不锈钢卡扣连接，安装方便不渗漏</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9FCA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8A37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9F44E">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0ED28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3FD45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8575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C361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三联水嘴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6E3A3">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主体：加厚铜质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涂层：高亮度环氧树脂涂层，耐腐蚀、耐热，防紫外线辐射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陶瓷阀芯90°旋转，</w:t>
            </w:r>
            <w:r>
              <w:rPr>
                <w:rFonts w:hint="eastAsia" w:ascii="宋体" w:hAnsi="宋体" w:cs="宋体"/>
                <w:i w:val="0"/>
                <w:iCs w:val="0"/>
                <w:color w:val="000000"/>
                <w:sz w:val="20"/>
                <w:szCs w:val="20"/>
                <w:u w:val="none"/>
                <w:lang w:val="en-US" w:eastAsia="zh-CN" w:bidi="ar"/>
              </w:rPr>
              <w:t>持久耐用。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经久耐用，不会出现渗水、断裂现象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5.</w:t>
            </w:r>
            <w:r>
              <w:rPr>
                <w:rFonts w:hint="eastAsia" w:ascii="宋体" w:hAnsi="宋体" w:eastAsia="宋体" w:cs="宋体"/>
                <w:i w:val="0"/>
                <w:iCs w:val="0"/>
                <w:color w:val="000000"/>
                <w:sz w:val="20"/>
                <w:szCs w:val="20"/>
                <w:u w:val="none"/>
                <w:lang w:val="en-US" w:eastAsia="zh-CN" w:bidi="ar"/>
              </w:rPr>
              <w:t>鹅颈管可360°旋转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6.</w:t>
            </w:r>
            <w:r>
              <w:rPr>
                <w:rFonts w:hint="eastAsia" w:ascii="宋体" w:hAnsi="宋体" w:eastAsia="宋体" w:cs="宋体"/>
                <w:i w:val="0"/>
                <w:iCs w:val="0"/>
                <w:color w:val="000000"/>
                <w:sz w:val="20"/>
                <w:szCs w:val="20"/>
                <w:u w:val="none"/>
                <w:lang w:val="en-US" w:eastAsia="zh-CN" w:bidi="ar"/>
              </w:rPr>
              <w:t>开关旋钮：高密度PP，人体工学设计，手感舒适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59C0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585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AE30E">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4950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02A9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769620"/>
                  <wp:effectExtent l="0" t="0" r="3810" b="1143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24"/>
                          <a:stretch>
                            <a:fillRect/>
                          </a:stretch>
                        </pic:blipFill>
                        <pic:spPr>
                          <a:xfrm>
                            <a:off x="0" y="0"/>
                            <a:ext cx="1005840" cy="769620"/>
                          </a:xfrm>
                          <a:prstGeom prst="rect">
                            <a:avLst/>
                          </a:prstGeom>
                          <a:noFill/>
                          <a:ln>
                            <a:noFill/>
                          </a:ln>
                        </pic:spPr>
                      </pic:pic>
                    </a:graphicData>
                  </a:graphic>
                </wp:inline>
              </w:drawing>
            </w:r>
          </w:p>
        </w:tc>
      </w:tr>
      <w:tr w14:paraId="119E7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B1CE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4C13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学生安全电源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FF98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电源装有220V，额定电流不小于6A的交流--3+2 通用插座，有保险丝，电源开关和指示灯，插座配有防尘盖，符合国家安全认证。</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26E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A9B4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AE40F">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9800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A3E77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568325"/>
                  <wp:effectExtent l="0" t="0" r="3810" b="317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25"/>
                          <a:stretch>
                            <a:fillRect/>
                          </a:stretch>
                        </pic:blipFill>
                        <pic:spPr>
                          <a:xfrm>
                            <a:off x="0" y="0"/>
                            <a:ext cx="1005840" cy="568325"/>
                          </a:xfrm>
                          <a:prstGeom prst="rect">
                            <a:avLst/>
                          </a:prstGeom>
                          <a:noFill/>
                          <a:ln>
                            <a:noFill/>
                          </a:ln>
                        </pic:spPr>
                      </pic:pic>
                    </a:graphicData>
                  </a:graphic>
                </wp:inline>
              </w:drawing>
            </w:r>
          </w:p>
        </w:tc>
      </w:tr>
      <w:tr w14:paraId="46E6B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C987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3C00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教师总控电源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02AB1">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控制学生220V分四组输出，由电压表检测电压电流。</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教师演示台设有安全宗电源，漏电过载保护功能。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交流220V多功能输出。</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FFA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C0B1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C8336">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2C08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551180"/>
                  <wp:effectExtent l="0" t="0" r="5080" b="1270"/>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26"/>
                          <a:stretch>
                            <a:fillRect/>
                          </a:stretch>
                        </pic:blipFill>
                        <pic:spPr>
                          <a:xfrm>
                            <a:off x="0" y="0"/>
                            <a:ext cx="1004570" cy="551180"/>
                          </a:xfrm>
                          <a:prstGeom prst="rect">
                            <a:avLst/>
                          </a:prstGeom>
                          <a:noFill/>
                          <a:ln>
                            <a:noFill/>
                          </a:ln>
                        </pic:spPr>
                      </pic:pic>
                    </a:graphicData>
                  </a:graphic>
                </wp:inline>
              </w:drawing>
            </w:r>
          </w:p>
        </w:tc>
      </w:tr>
      <w:tr w14:paraId="5F19A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4F67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C0D1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实验凳</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77DDC">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规格:315*420-</w:t>
            </w:r>
            <w:r>
              <w:rPr>
                <w:rFonts w:hint="eastAsia" w:ascii="宋体" w:hAnsi="宋体" w:cs="宋体"/>
                <w:i w:val="0"/>
                <w:iCs w:val="0"/>
                <w:color w:val="000000"/>
                <w:sz w:val="20"/>
                <w:szCs w:val="20"/>
                <w:u w:val="none"/>
                <w:lang w:val="en-US" w:eastAsia="zh-CN" w:bidi="ar"/>
              </w:rPr>
              <w:t>480mm±10mm</w:t>
            </w:r>
            <w:r>
              <w:rPr>
                <w:rFonts w:hint="eastAsia" w:ascii="宋体" w:hAnsi="宋体" w:eastAsia="宋体" w:cs="宋体"/>
                <w:i w:val="0"/>
                <w:iCs w:val="0"/>
                <w:color w:val="000000"/>
                <w:sz w:val="20"/>
                <w:szCs w:val="20"/>
                <w:u w:val="none"/>
                <w:lang w:val="en-US" w:eastAsia="zh-CN" w:bidi="ar"/>
              </w:rPr>
              <w:t>；</w:t>
            </w:r>
          </w:p>
          <w:p w14:paraId="45733544">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2</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凳脚材质:4个凳脚采用20*40*</w:t>
            </w:r>
            <w:r>
              <w:rPr>
                <w:rFonts w:hint="eastAsia" w:ascii="宋体" w:hAnsi="宋体" w:cs="宋体"/>
                <w:i w:val="0"/>
                <w:iCs w:val="0"/>
                <w:color w:val="000000"/>
                <w:sz w:val="20"/>
                <w:szCs w:val="20"/>
                <w:u w:val="none"/>
                <w:lang w:val="en-US" w:eastAsia="zh-CN" w:bidi="ar"/>
              </w:rPr>
              <w:t>1.1mm</w:t>
            </w:r>
            <w:r>
              <w:rPr>
                <w:rFonts w:hint="eastAsia" w:ascii="宋体" w:hAnsi="宋体" w:eastAsia="宋体" w:cs="宋体"/>
                <w:i w:val="0"/>
                <w:iCs w:val="0"/>
                <w:color w:val="000000"/>
                <w:sz w:val="20"/>
                <w:szCs w:val="20"/>
                <w:u w:val="none"/>
                <w:lang w:val="en-US" w:eastAsia="zh-CN" w:bidi="ar"/>
              </w:rPr>
              <w:t>椭圆形无缝钢管模具一次成型,全圆满焊完成,结构牢固,经高温粉体烤漆处理,长时间使用也不会产生表面烤漆剥落现象；</w:t>
            </w:r>
          </w:p>
          <w:p w14:paraId="542984EA">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凳面:凳面直径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315</w:t>
            </w:r>
            <w:r>
              <w:rPr>
                <w:rFonts w:hint="eastAsia" w:ascii="宋体" w:hAnsi="宋体" w:cs="宋体"/>
                <w:i w:val="0"/>
                <w:iCs w:val="0"/>
                <w:color w:val="000000"/>
                <w:sz w:val="20"/>
                <w:szCs w:val="20"/>
                <w:u w:val="none"/>
                <w:lang w:val="en-US" w:eastAsia="zh-CN" w:bidi="ar"/>
              </w:rPr>
              <w:t>mm，</w:t>
            </w:r>
            <w:r>
              <w:rPr>
                <w:rFonts w:hint="eastAsia" w:ascii="宋体" w:hAnsi="宋体" w:eastAsia="宋体" w:cs="宋体"/>
                <w:i w:val="0"/>
                <w:iCs w:val="0"/>
                <w:color w:val="000000"/>
                <w:sz w:val="20"/>
                <w:szCs w:val="20"/>
                <w:u w:val="none"/>
                <w:lang w:val="en-US" w:eastAsia="zh-CN" w:bidi="ar"/>
              </w:rPr>
              <w:t>采用环保型PP改性塑料一次性注塑成型;凳面表面有颗粒状凸起起到按摩作用；</w:t>
            </w:r>
          </w:p>
          <w:p w14:paraId="126B30BB">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托盘:凳面下装有直径大于</w:t>
            </w:r>
            <w:r>
              <w:rPr>
                <w:rFonts w:hint="eastAsia" w:ascii="宋体" w:hAnsi="宋体" w:cs="宋体"/>
                <w:i w:val="0"/>
                <w:iCs w:val="0"/>
                <w:color w:val="000000"/>
                <w:sz w:val="20"/>
                <w:szCs w:val="20"/>
                <w:u w:val="none"/>
                <w:lang w:val="en-US" w:eastAsia="zh-CN" w:bidi="ar"/>
              </w:rPr>
              <w:t>156mm</w:t>
            </w:r>
            <w:r>
              <w:rPr>
                <w:rFonts w:hint="eastAsia" w:ascii="宋体" w:hAnsi="宋体" w:eastAsia="宋体" w:cs="宋体"/>
                <w:i w:val="0"/>
                <w:iCs w:val="0"/>
                <w:color w:val="000000"/>
                <w:sz w:val="20"/>
                <w:szCs w:val="20"/>
                <w:u w:val="none"/>
                <w:lang w:val="en-US" w:eastAsia="zh-CN" w:bidi="ar"/>
              </w:rPr>
              <w:t>的托盘,厚度不小于</w:t>
            </w:r>
            <w:r>
              <w:rPr>
                <w:rFonts w:hint="eastAsia" w:ascii="宋体" w:hAnsi="宋体" w:cs="宋体"/>
                <w:i w:val="0"/>
                <w:iCs w:val="0"/>
                <w:color w:val="000000"/>
                <w:sz w:val="20"/>
                <w:szCs w:val="20"/>
                <w:u w:val="none"/>
                <w:lang w:val="en-US" w:eastAsia="zh-CN" w:bidi="ar"/>
              </w:rPr>
              <w:t>1.4mm</w:t>
            </w:r>
            <w:r>
              <w:rPr>
                <w:rFonts w:hint="eastAsia" w:ascii="宋体" w:hAnsi="宋体" w:eastAsia="宋体" w:cs="宋体"/>
                <w:i w:val="0"/>
                <w:iCs w:val="0"/>
                <w:color w:val="000000"/>
                <w:sz w:val="20"/>
                <w:szCs w:val="20"/>
                <w:u w:val="none"/>
                <w:lang w:val="en-US" w:eastAsia="zh-CN" w:bidi="ar"/>
              </w:rPr>
              <w:t>；</w:t>
            </w:r>
          </w:p>
          <w:p w14:paraId="67756845">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916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条</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3217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CE5DF">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10360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7B098">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107440"/>
                  <wp:effectExtent l="0" t="0" r="5080" b="1651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27"/>
                          <a:stretch>
                            <a:fillRect/>
                          </a:stretch>
                        </pic:blipFill>
                        <pic:spPr>
                          <a:xfrm>
                            <a:off x="0" y="0"/>
                            <a:ext cx="1004570" cy="1107440"/>
                          </a:xfrm>
                          <a:prstGeom prst="rect">
                            <a:avLst/>
                          </a:prstGeom>
                          <a:noFill/>
                          <a:ln>
                            <a:noFill/>
                          </a:ln>
                        </pic:spPr>
                      </pic:pic>
                    </a:graphicData>
                  </a:graphic>
                </wp:inline>
              </w:drawing>
            </w:r>
          </w:p>
        </w:tc>
      </w:tr>
      <w:tr w14:paraId="4F900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0A5F">
            <w:pPr>
              <w:jc w:val="center"/>
              <w:rPr>
                <w:rFonts w:hint="eastAsia" w:ascii="宋体" w:hAnsi="宋体" w:eastAsia="宋体" w:cs="宋体"/>
                <w:i w:val="0"/>
                <w:iCs w:val="0"/>
                <w:color w:val="000000"/>
                <w:sz w:val="22"/>
                <w:szCs w:val="22"/>
                <w:u w:val="none"/>
              </w:rPr>
            </w:pPr>
          </w:p>
        </w:tc>
        <w:tc>
          <w:tcPr>
            <w:tcW w:w="352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41B72">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生物准备室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14EC">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ACBF">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52F47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6B96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5A3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钢木</w:t>
            </w:r>
            <w:r>
              <w:rPr>
                <w:rFonts w:hint="eastAsia" w:ascii="宋体" w:hAnsi="宋体" w:eastAsia="宋体" w:cs="宋体"/>
                <w:i w:val="0"/>
                <w:iCs w:val="0"/>
                <w:color w:val="000000"/>
                <w:sz w:val="20"/>
                <w:szCs w:val="20"/>
                <w:u w:val="none"/>
                <w:lang w:val="en-US" w:eastAsia="zh-CN" w:bidi="ar"/>
              </w:rPr>
              <w:t>准备桌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A0F5E">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全钢结构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一体化台面，每边4个抽屉、</w:t>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组对开门，基本要求如下：</w:t>
            </w:r>
          </w:p>
          <w:p w14:paraId="3380E0BC">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lang w:val="en-US" w:eastAsia="zh-CN" w:bidi="ar"/>
              </w:rPr>
              <w:t>1.</w:t>
            </w:r>
            <w:r>
              <w:rPr>
                <w:rFonts w:hint="eastAsia" w:ascii="宋体" w:hAnsi="宋体" w:eastAsia="宋体" w:cs="宋体"/>
                <w:i w:val="0"/>
                <w:iCs w:val="0"/>
                <w:color w:val="000000"/>
                <w:sz w:val="20"/>
                <w:szCs w:val="20"/>
                <w:u w:val="none"/>
                <w:lang w:val="en-US" w:eastAsia="zh-CN" w:bidi="ar"/>
              </w:rPr>
              <w:t>台面尺寸（度宽高）3000mm×1100mm×800mm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w:t>
            </w:r>
          </w:p>
          <w:p w14:paraId="7E1EFCD4">
            <w:pPr>
              <w:rPr>
                <w:rFonts w:hint="eastAsia" w:ascii="宋体" w:hAnsi="宋体" w:eastAsia="宋体" w:cs="宋体"/>
                <w:sz w:val="20"/>
                <w:szCs w:val="18"/>
                <w:lang w:eastAsia="zh-CN"/>
              </w:rPr>
            </w:pPr>
            <w:r>
              <w:rPr>
                <w:rFonts w:hint="eastAsia" w:ascii="宋体" w:hAnsi="宋体" w:cs="宋体"/>
                <w:i w:val="0"/>
                <w:iCs w:val="0"/>
                <w:color w:val="000000"/>
                <w:sz w:val="20"/>
                <w:szCs w:val="20"/>
                <w:lang w:val="en-US" w:eastAsia="zh-CN" w:bidi="ar"/>
              </w:rPr>
              <w:t>2.</w:t>
            </w:r>
            <w:r>
              <w:rPr>
                <w:rFonts w:hint="eastAsia" w:ascii="宋体" w:hAnsi="宋体" w:eastAsia="宋体" w:cs="宋体"/>
                <w:sz w:val="20"/>
                <w:szCs w:val="18"/>
              </w:rPr>
              <w:t>台面：采用≥12.7mm厚双面膜实芯理化板</w:t>
            </w:r>
            <w:r>
              <w:rPr>
                <w:rFonts w:hint="eastAsia" w:ascii="宋体" w:hAnsi="宋体" w:cs="宋体"/>
                <w:sz w:val="20"/>
                <w:szCs w:val="18"/>
                <w:lang w:eastAsia="zh-CN"/>
              </w:rPr>
              <w:t>，且需符合以下参数：</w:t>
            </w:r>
          </w:p>
          <w:p w14:paraId="7C87B3D2">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67E2FE17">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5B56936F">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6FB1CF85">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708E70A5">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台身：采用≥1.0mm厚镀锌钢板，钢板表面经环氧树脂静电粉末喷涂。</w:t>
            </w:r>
          </w:p>
          <w:p w14:paraId="6D16F7D2">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桌脚：采用直径不小于10mm的螺杆与ABS工程塑料一次注塑成型的脚垫，高度可调节。</w:t>
            </w:r>
          </w:p>
          <w:p w14:paraId="71A2D1D8">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5</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柜门铰链：采用不锈钢定位铰链，铰链的壁厚不小于1.5mm。</w:t>
            </w:r>
          </w:p>
          <w:p w14:paraId="72A76249">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6</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抽屉滑道：采用消声三节滑轨，壁厚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1.5mm合金钢板一次性成型加工，表面经环氧树脂静电喷涂。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DF44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1984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3AED1">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15850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0E9B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117600"/>
                  <wp:effectExtent l="0" t="0" r="4445" b="6350"/>
                  <wp:docPr id="2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pic:cNvPicPr>
                            <a:picLocks noChangeAspect="1"/>
                          </pic:cNvPicPr>
                        </pic:nvPicPr>
                        <pic:blipFill>
                          <a:blip r:embed="rId28"/>
                          <a:stretch>
                            <a:fillRect/>
                          </a:stretch>
                        </pic:blipFill>
                        <pic:spPr>
                          <a:xfrm>
                            <a:off x="0" y="0"/>
                            <a:ext cx="1005205" cy="1117600"/>
                          </a:xfrm>
                          <a:prstGeom prst="rect">
                            <a:avLst/>
                          </a:prstGeom>
                          <a:noFill/>
                          <a:ln>
                            <a:noFill/>
                          </a:ln>
                        </pic:spPr>
                      </pic:pic>
                    </a:graphicData>
                  </a:graphic>
                </wp:inline>
              </w:drawing>
            </w:r>
          </w:p>
        </w:tc>
      </w:tr>
      <w:tr w14:paraId="7D33B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3653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E87F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准备桌水槽</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042A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pp规格550*450</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采用PP改性材料，塑料注塑模一次性成型，耐强酸强碱耐＜80℃有机溶剂并耐150℃以下高温，外型简约美观。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6A80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A448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6DEC5">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225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D7A6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772795"/>
                  <wp:effectExtent l="0" t="0" r="4445" b="8255"/>
                  <wp:docPr id="2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pic:cNvPicPr>
                            <a:picLocks noChangeAspect="1"/>
                          </pic:cNvPicPr>
                        </pic:nvPicPr>
                        <pic:blipFill>
                          <a:blip r:embed="rId29"/>
                          <a:stretch>
                            <a:fillRect/>
                          </a:stretch>
                        </pic:blipFill>
                        <pic:spPr>
                          <a:xfrm>
                            <a:off x="0" y="0"/>
                            <a:ext cx="1005205" cy="772795"/>
                          </a:xfrm>
                          <a:prstGeom prst="rect">
                            <a:avLst/>
                          </a:prstGeom>
                          <a:noFill/>
                          <a:ln>
                            <a:noFill/>
                          </a:ln>
                        </pic:spPr>
                      </pic:pic>
                    </a:graphicData>
                  </a:graphic>
                </wp:inline>
              </w:drawing>
            </w:r>
          </w:p>
        </w:tc>
      </w:tr>
      <w:tr w14:paraId="72FEB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D175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6176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三联水嘴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A2C1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主体：加厚铜质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2.涂层：高亮度环氧树脂涂层，耐腐蚀、耐热，防紫外线辐射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3.陶瓷阀芯90°旋转，</w:t>
            </w:r>
            <w:r>
              <w:rPr>
                <w:rFonts w:hint="eastAsia" w:ascii="宋体" w:hAnsi="宋体" w:cs="宋体"/>
                <w:i w:val="0"/>
                <w:iCs w:val="0"/>
                <w:color w:val="000000"/>
                <w:sz w:val="20"/>
                <w:szCs w:val="20"/>
                <w:u w:val="none"/>
                <w:lang w:val="en-US" w:eastAsia="zh-CN" w:bidi="ar"/>
              </w:rPr>
              <w:t>持久耐用。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4.经久耐用，不会出现渗水、断裂现象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5.鹅颈管可360°旋转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6.开关旋钮：高密度PP，人体工学设计，手感舒适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9D37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CDB2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A9AAD">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330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74EBF">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48055"/>
                  <wp:effectExtent l="0" t="0" r="4445" b="444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icPr>
                        <pic:blipFill>
                          <a:blip r:embed="rId30"/>
                          <a:stretch>
                            <a:fillRect/>
                          </a:stretch>
                        </pic:blipFill>
                        <pic:spPr>
                          <a:xfrm>
                            <a:off x="0" y="0"/>
                            <a:ext cx="1005205" cy="948055"/>
                          </a:xfrm>
                          <a:prstGeom prst="rect">
                            <a:avLst/>
                          </a:prstGeom>
                          <a:noFill/>
                          <a:ln>
                            <a:noFill/>
                          </a:ln>
                        </pic:spPr>
                      </pic:pic>
                    </a:graphicData>
                  </a:graphic>
                </wp:inline>
              </w:drawing>
            </w:r>
          </w:p>
        </w:tc>
      </w:tr>
      <w:tr w14:paraId="26BE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4"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28F2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6558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仪器柜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E615F">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整体规格：1000mm（L）×500mm（W）×2000mm（H）</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整体采用环保型ABS塑料一次性注塑成型，层板采用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2.5mm厚双面环保型PP改性塑料，耐强酸碱及有机溶剂，内设加强筋。</w:t>
            </w:r>
          </w:p>
          <w:p w14:paraId="5D6E8E07">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lang w:val="en-US" w:eastAsia="zh-CN" w:bidi="ar"/>
              </w:rPr>
              <w:t>3.</w:t>
            </w:r>
            <w:r>
              <w:rPr>
                <w:rFonts w:hint="eastAsia" w:ascii="宋体" w:hAnsi="宋体" w:eastAsia="宋体" w:cs="宋体"/>
                <w:i w:val="0"/>
                <w:iCs w:val="0"/>
                <w:color w:val="000000"/>
                <w:sz w:val="20"/>
                <w:szCs w:val="20"/>
                <w:u w:val="none"/>
                <w:lang w:val="en-US" w:eastAsia="zh-CN" w:bidi="ar"/>
              </w:rPr>
              <w:t>柜体：榫卯连接结构并合理布局加强筋，安装时不用胶水粘结，不用任何金属螺丝。</w:t>
            </w:r>
          </w:p>
          <w:p w14:paraId="233368D9">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0"/>
                <w:szCs w:val="20"/>
                <w:lang w:val="en-US" w:eastAsia="zh-CN" w:bidi="ar"/>
              </w:rPr>
              <w:t>4.</w:t>
            </w:r>
            <w:r>
              <w:rPr>
                <w:rFonts w:hint="eastAsia" w:ascii="宋体" w:hAnsi="宋体" w:eastAsia="宋体" w:cs="宋体"/>
                <w:i w:val="0"/>
                <w:iCs w:val="0"/>
                <w:color w:val="000000"/>
                <w:sz w:val="20"/>
                <w:szCs w:val="20"/>
                <w:u w:val="none"/>
                <w:lang w:val="en-US" w:eastAsia="zh-CN" w:bidi="ar"/>
              </w:rPr>
              <w:t>上部为ABS工程塑料镶装玻璃对开门,带锁、内嵌式塑料扣手，尼龙塑料铰链，高强度耐磨，防水、永不生锈，内设PP改性活动隔板2块。</w:t>
            </w:r>
          </w:p>
          <w:p w14:paraId="3D01C4CF">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1"/>
                <w:szCs w:val="21"/>
                <w:u w:val="none"/>
                <w:lang w:val="en-US" w:eastAsia="zh-CN" w:bidi="ar"/>
              </w:rPr>
              <w:t>5.</w:t>
            </w:r>
            <w:r>
              <w:rPr>
                <w:rFonts w:hint="eastAsia" w:ascii="宋体" w:hAnsi="宋体" w:eastAsia="宋体" w:cs="宋体"/>
                <w:i w:val="0"/>
                <w:iCs w:val="0"/>
                <w:color w:val="000000"/>
                <w:sz w:val="21"/>
                <w:szCs w:val="21"/>
                <w:u w:val="none"/>
                <w:lang w:val="en-US" w:eastAsia="zh-CN" w:bidi="ar"/>
              </w:rPr>
              <w:t>下部为ABS工程塑料对开门，带</w:t>
            </w:r>
            <w:r>
              <w:rPr>
                <w:rFonts w:hint="eastAsia" w:ascii="宋体" w:hAnsi="宋体" w:eastAsia="宋体" w:cs="宋体"/>
                <w:i w:val="0"/>
                <w:iCs w:val="0"/>
                <w:color w:val="000000"/>
                <w:sz w:val="20"/>
                <w:szCs w:val="20"/>
                <w:u w:val="none"/>
                <w:lang w:val="en-US" w:eastAsia="zh-CN" w:bidi="ar"/>
              </w:rPr>
              <w:t>锁、内嵌式塑料扣手，采用尼龙塑料铰链，内设PP改性塑料活动隔板1块。门板与侧板并安装有防盗插销，防止从外部撬开柜门。底座高80mm，上下板30mm，重要部位加厚处理，从而使产品更牢固，结实耐用。</w:t>
            </w:r>
          </w:p>
          <w:p w14:paraId="38FC99A4">
            <w:pPr>
              <w:keepNext w:val="0"/>
              <w:keepLines w:val="0"/>
              <w:widowControl/>
              <w:numPr>
                <w:ilvl w:val="0"/>
                <w:numId w:val="0"/>
              </w:numPr>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仪器</w:t>
            </w:r>
            <w:r>
              <w:rPr>
                <w:rFonts w:hint="eastAsia" w:ascii="宋体" w:hAnsi="宋体" w:cs="宋体"/>
                <w:i w:val="0"/>
                <w:iCs w:val="0"/>
                <w:color w:val="000000"/>
                <w:sz w:val="20"/>
                <w:szCs w:val="20"/>
                <w:highlight w:val="none"/>
                <w:u w:val="none"/>
                <w:lang w:val="en-US" w:eastAsia="zh-CN" w:bidi="ar"/>
              </w:rPr>
              <w:t>塑料件</w:t>
            </w:r>
            <w:r>
              <w:rPr>
                <w:rFonts w:hint="eastAsia" w:ascii="宋体" w:hAnsi="宋体" w:eastAsia="宋体" w:cs="宋体"/>
                <w:i w:val="0"/>
                <w:iCs w:val="0"/>
                <w:color w:val="000000"/>
                <w:sz w:val="20"/>
                <w:szCs w:val="20"/>
                <w:highlight w:val="none"/>
                <w:u w:val="none"/>
                <w:lang w:val="en-US" w:eastAsia="zh-CN" w:bidi="ar"/>
              </w:rPr>
              <w:t>符合：</w:t>
            </w:r>
          </w:p>
          <w:p w14:paraId="71D8EEAA">
            <w:pPr>
              <w:keepNext w:val="0"/>
              <w:keepLines w:val="0"/>
              <w:widowControl/>
              <w:numPr>
                <w:ilvl w:val="0"/>
                <w:numId w:val="0"/>
              </w:numPr>
              <w:suppressLineNumbers w:val="0"/>
              <w:jc w:val="left"/>
              <w:rPr>
                <w:rFonts w:hint="default"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（1）塑料材料理化性能：冲击强度≥</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0J/㎡</w:t>
            </w:r>
            <w:r>
              <w:rPr>
                <w:rFonts w:hint="eastAsia" w:ascii="宋体" w:hAnsi="宋体" w:cs="宋体"/>
                <w:i w:val="0"/>
                <w:iCs w:val="0"/>
                <w:color w:val="000000"/>
                <w:sz w:val="20"/>
                <w:szCs w:val="20"/>
                <w:highlight w:val="none"/>
                <w:u w:val="none"/>
                <w:lang w:val="en-US" w:eastAsia="zh-CN" w:bidi="ar"/>
              </w:rPr>
              <w:t>；</w:t>
            </w:r>
          </w:p>
          <w:p w14:paraId="0C2FDFCF">
            <w:pPr>
              <w:rPr>
                <w:rFonts w:hint="default" w:ascii="宋体" w:hAnsi="宋体" w:eastAsia="宋体" w:cs="宋体"/>
                <w:i w:val="0"/>
                <w:iCs w:val="0"/>
                <w:color w:val="000000"/>
                <w:sz w:val="20"/>
                <w:szCs w:val="20"/>
                <w:u w:val="none"/>
                <w:lang w:val="en-US"/>
              </w:rPr>
            </w:pP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2</w:t>
            </w: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塑料件硬度：邵氏D硬度≥HD</w:t>
            </w:r>
            <w:r>
              <w:rPr>
                <w:rFonts w:hint="eastAsia" w:ascii="宋体" w:hAnsi="宋体" w:cs="宋体"/>
                <w:i w:val="0"/>
                <w:iCs w:val="0"/>
                <w:color w:val="000000"/>
                <w:sz w:val="20"/>
                <w:szCs w:val="20"/>
                <w:highlight w:val="none"/>
                <w:u w:val="none"/>
                <w:lang w:val="en-US" w:eastAsia="zh-CN" w:bidi="ar"/>
              </w:rPr>
              <w:t>63。</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4251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A1DF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81D3">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22000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62D4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81075" cy="1485900"/>
                  <wp:effectExtent l="0" t="0" r="9525" b="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
                          <pic:cNvPicPr>
                            <a:picLocks noChangeAspect="1"/>
                          </pic:cNvPicPr>
                        </pic:nvPicPr>
                        <pic:blipFill>
                          <a:blip r:embed="rId31"/>
                          <a:stretch>
                            <a:fillRect/>
                          </a:stretch>
                        </pic:blipFill>
                        <pic:spPr>
                          <a:xfrm>
                            <a:off x="0" y="0"/>
                            <a:ext cx="981075" cy="1485900"/>
                          </a:xfrm>
                          <a:prstGeom prst="rect">
                            <a:avLst/>
                          </a:prstGeom>
                          <a:noFill/>
                          <a:ln>
                            <a:noFill/>
                          </a:ln>
                        </pic:spPr>
                      </pic:pic>
                    </a:graphicData>
                  </a:graphic>
                </wp:inline>
              </w:drawing>
            </w:r>
          </w:p>
        </w:tc>
      </w:tr>
      <w:tr w14:paraId="6A170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4D79">
            <w:pPr>
              <w:jc w:val="center"/>
              <w:rPr>
                <w:rFonts w:hint="eastAsia" w:ascii="宋体" w:hAnsi="宋体" w:eastAsia="宋体" w:cs="宋体"/>
                <w:i w:val="0"/>
                <w:iCs w:val="0"/>
                <w:color w:val="000000"/>
                <w:sz w:val="22"/>
                <w:szCs w:val="22"/>
                <w:u w:val="none"/>
              </w:rPr>
            </w:pPr>
          </w:p>
        </w:tc>
        <w:tc>
          <w:tcPr>
            <w:tcW w:w="3525"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97702">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生物组培实验室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E6638">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5F294">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09AF3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4524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EE1C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单人净化工作台</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1E6D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auto"/>
                <w:sz w:val="20"/>
                <w:szCs w:val="20"/>
                <w:u w:val="none"/>
                <w:lang w:val="en-US" w:eastAsia="zh-CN" w:bidi="ar"/>
              </w:rPr>
              <w:t>1、单人净化工作台，外型尺寸：≥1000×750×1650mm；工作区尺寸：≥890×700×510mm；</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2、采用全钢结构，材料厚度≥1.0mm，支柱材料厚度≥1.2mm，冷轧板喷塑工艺，防霉防菌，净重：≥85kg；</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3、</w:t>
            </w:r>
            <w:r>
              <w:rPr>
                <w:rFonts w:hint="eastAsia" w:ascii="宋体" w:hAnsi="宋体" w:cs="宋体"/>
                <w:i w:val="0"/>
                <w:iCs w:val="0"/>
                <w:color w:val="auto"/>
                <w:sz w:val="20"/>
                <w:szCs w:val="20"/>
                <w:u w:val="none"/>
                <w:lang w:val="en-US" w:eastAsia="zh-CN" w:bidi="ar"/>
              </w:rPr>
              <w:t>配置不小于7英寸的彩色触摸屏控制系统，要求显示清晰、触控灵敏、运行稳定，具备人机交互功能。屏幕表面需具备足够的硬度以确保耐用性和抗划伤。</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4、工作区域采用镜面不锈钢斜面结构设计，材质厚度≥1.2mm一体化优质304镜面不锈钢整体塑形，耐腐蚀，易清洁，有效抑制细菌滋生；设置45°连接面，有效提高灭菌效果；</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5、四面高透性钢化玻璃窗，保障仪器运行安全，采光与视野效果更佳，同时方便教学实验观摩及交流，也便于指导实验操作；</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6、倾斜式操作面，符合人体工程学，操作更舒适；悬挂式升降玻璃门，操作简便方便灵活，底部设置减震装置，升降自如，可任意位置停留；</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7、采用可调风量风机系统，平均风速：0.3-0.6m/s，气流流线垂直于台面，无死角和回流。</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8、配置玻璃纤维材质高效过滤器，使用寿命长，过滤效率高，过滤器规格尺寸：≥880×520×50mm；具备初效过滤器、高效过滤器、紫外杀菌灯使用时长及更换提醒设置功能；</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9、扫描检漏</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DOP法检漏</w:t>
            </w:r>
            <w:r>
              <w:rPr>
                <w:rFonts w:hint="eastAsia" w:ascii="宋体" w:hAnsi="宋体" w:cs="宋体"/>
                <w:i w:val="0"/>
                <w:iCs w:val="0"/>
                <w:color w:val="auto"/>
                <w:sz w:val="20"/>
                <w:szCs w:val="20"/>
                <w:u w:val="none"/>
                <w:lang w:val="en-US" w:eastAsia="zh-CN" w:bidi="ar"/>
              </w:rPr>
              <w:t>）：穿透率</w:t>
            </w:r>
            <w:r>
              <w:rPr>
                <w:rFonts w:hint="eastAsia" w:ascii="宋体" w:hAnsi="宋体" w:eastAsia="宋体" w:cs="宋体"/>
                <w:i w:val="0"/>
                <w:iCs w:val="0"/>
                <w:color w:val="auto"/>
                <w:sz w:val="20"/>
                <w:szCs w:val="20"/>
                <w:u w:val="none"/>
                <w:lang w:val="en-US" w:eastAsia="zh-CN" w:bidi="ar"/>
              </w:rPr>
              <w:t>≤0.01%；</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10、空气洁净度：≤</w:t>
            </w:r>
            <w:r>
              <w:rPr>
                <w:rFonts w:hint="eastAsia" w:ascii="宋体" w:hAnsi="宋体" w:cs="宋体"/>
                <w:i w:val="0"/>
                <w:iCs w:val="0"/>
                <w:color w:val="auto"/>
                <w:sz w:val="20"/>
                <w:szCs w:val="20"/>
                <w:u w:val="none"/>
                <w:lang w:val="en-US" w:eastAsia="zh-CN" w:bidi="ar"/>
              </w:rPr>
              <w:t>ISO 6级</w:t>
            </w:r>
            <w:r>
              <w:rPr>
                <w:rFonts w:hint="eastAsia" w:ascii="宋体" w:hAnsi="宋体" w:eastAsia="宋体" w:cs="宋体"/>
                <w:i w:val="0"/>
                <w:iCs w:val="0"/>
                <w:color w:val="auto"/>
                <w:sz w:val="20"/>
                <w:szCs w:val="20"/>
                <w:u w:val="none"/>
                <w:lang w:val="en-US" w:eastAsia="zh-CN" w:bidi="ar"/>
              </w:rPr>
              <w:t>；沉降菌浓度</w:t>
            </w:r>
            <w:r>
              <w:rPr>
                <w:rFonts w:hint="eastAsia" w:ascii="宋体" w:hAnsi="宋体" w:cs="宋体"/>
                <w:i w:val="0"/>
                <w:iCs w:val="0"/>
                <w:color w:val="auto"/>
                <w:sz w:val="20"/>
                <w:szCs w:val="20"/>
                <w:u w:val="none"/>
                <w:lang w:val="en-US" w:eastAsia="zh-CN" w:bidi="ar"/>
              </w:rPr>
              <w:t>（cfu/</w:t>
            </w:r>
            <w:r>
              <w:rPr>
                <w:rFonts w:hint="eastAsia" w:ascii="宋体" w:hAnsi="宋体" w:eastAsia="宋体" w:cs="宋体"/>
                <w:i w:val="0"/>
                <w:iCs w:val="0"/>
                <w:color w:val="auto"/>
                <w:sz w:val="20"/>
                <w:szCs w:val="20"/>
                <w:u w:val="none"/>
                <w:lang w:val="en-US" w:eastAsia="zh-CN" w:bidi="ar"/>
              </w:rPr>
              <w:t>皿×0.5</w:t>
            </w:r>
            <w:r>
              <w:rPr>
                <w:rFonts w:hint="eastAsia" w:ascii="宋体" w:hAnsi="宋体" w:cs="宋体"/>
                <w:i w:val="0"/>
                <w:iCs w:val="0"/>
                <w:color w:val="auto"/>
                <w:sz w:val="20"/>
                <w:szCs w:val="20"/>
                <w:u w:val="none"/>
                <w:lang w:val="en-US" w:eastAsia="zh-CN" w:bidi="ar"/>
              </w:rPr>
              <w:t>h）：</w:t>
            </w:r>
            <w:r>
              <w:rPr>
                <w:rFonts w:hint="eastAsia" w:ascii="宋体" w:hAnsi="宋体" w:eastAsia="宋体" w:cs="宋体"/>
                <w:i w:val="0"/>
                <w:iCs w:val="0"/>
                <w:color w:val="auto"/>
                <w:sz w:val="20"/>
                <w:szCs w:val="20"/>
                <w:u w:val="none"/>
                <w:lang w:val="en-US" w:eastAsia="zh-CN" w:bidi="ar"/>
              </w:rPr>
              <w:t>≤0.5；</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11、照度：≥</w:t>
            </w:r>
            <w:r>
              <w:rPr>
                <w:rFonts w:hint="eastAsia" w:ascii="宋体" w:hAnsi="宋体" w:cs="宋体"/>
                <w:i w:val="0"/>
                <w:iCs w:val="0"/>
                <w:color w:val="auto"/>
                <w:sz w:val="20"/>
                <w:szCs w:val="20"/>
                <w:u w:val="none"/>
                <w:lang w:val="en-US" w:eastAsia="zh-CN" w:bidi="ar"/>
              </w:rPr>
              <w:t>3</w:t>
            </w:r>
            <w:r>
              <w:rPr>
                <w:rFonts w:hint="eastAsia" w:ascii="宋体" w:hAnsi="宋体" w:eastAsia="宋体" w:cs="宋体"/>
                <w:i w:val="0"/>
                <w:iCs w:val="0"/>
                <w:color w:val="auto"/>
                <w:sz w:val="20"/>
                <w:szCs w:val="20"/>
                <w:u w:val="none"/>
                <w:lang w:val="en-US" w:eastAsia="zh-CN" w:bidi="ar"/>
              </w:rPr>
              <w:t>00lx；噪声：≤65dB；振动幅度：≤5μm；</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12、内置双重（机械控制、红外感应）紫外线防护装置，紫外灯开启状态下人在工作台正面60cm处移动或打开升降玻璃门，紫外灯将自动关闭，更加保护人员安全；</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13、智能控制系统：</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13.1、显示开机时间并记录设备持续运行时间，具备智能关机功能，设备打开后自启动防忘功能，面板无任何操作时开始自动计时，累计6小时无操作后进行文字和蜂鸣提醒，累计12小时无操作后自动关机；</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13.2、具备无菌操作环境空间温度、湿度、光照强度、CO</w:t>
            </w:r>
            <w:r>
              <w:rPr>
                <w:rStyle w:val="220"/>
                <w:rFonts w:hint="eastAsia" w:ascii="宋体" w:hAnsi="宋体" w:eastAsia="宋体" w:cs="宋体"/>
                <w:color w:val="auto"/>
                <w:sz w:val="20"/>
                <w:szCs w:val="20"/>
                <w:lang w:val="en-US" w:eastAsia="zh-CN" w:bidi="ar"/>
              </w:rPr>
              <w:t>₂</w:t>
            </w:r>
            <w:r>
              <w:rPr>
                <w:rStyle w:val="234"/>
                <w:rFonts w:hint="eastAsia" w:ascii="宋体" w:hAnsi="宋体" w:eastAsia="宋体" w:cs="宋体"/>
                <w:color w:val="auto"/>
                <w:sz w:val="20"/>
                <w:szCs w:val="20"/>
                <w:lang w:val="en-US" w:eastAsia="zh-CN" w:bidi="ar"/>
              </w:rPr>
              <w:t>浓度实时监测功能；</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13.3、定时/计时灭菌功能，紫外灯、风机、照明灯多部件联动设定，智能规划实验准备工序；</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13.4、内置微生物实验、植物组织培养实验、细胞培养实验等模式一键启停，紫外/照明/风机多参数综合联动设定，标配蓝牙远程控制功能；</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14、内置电源插座，电源：220V/50Hz；最大功率：≥400W。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F616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5A40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2B38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18"/>
                <w:szCs w:val="18"/>
                <w:u w:val="none"/>
                <w:lang w:val="en-US" w:eastAsia="zh-CN" w:bidi="ar"/>
              </w:rPr>
              <w:t>36600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DF52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204595"/>
                  <wp:effectExtent l="0" t="0" r="4445" b="14604"/>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pic:cNvPicPr>
                            <a:picLocks noChangeAspect="1"/>
                          </pic:cNvPicPr>
                        </pic:nvPicPr>
                        <pic:blipFill>
                          <a:blip r:embed="rId32"/>
                          <a:stretch>
                            <a:fillRect/>
                          </a:stretch>
                        </pic:blipFill>
                        <pic:spPr>
                          <a:xfrm>
                            <a:off x="0" y="0"/>
                            <a:ext cx="1005205" cy="1204595"/>
                          </a:xfrm>
                          <a:prstGeom prst="rect">
                            <a:avLst/>
                          </a:prstGeom>
                          <a:noFill/>
                          <a:ln>
                            <a:noFill/>
                          </a:ln>
                        </pic:spPr>
                      </pic:pic>
                    </a:graphicData>
                  </a:graphic>
                </wp:inline>
              </w:drawing>
            </w:r>
          </w:p>
        </w:tc>
      </w:tr>
      <w:tr w14:paraId="5E21D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169D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C95C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接种器具灭菌器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47534">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接种器具灭菌器：</w:t>
            </w:r>
            <w:r>
              <w:rPr>
                <w:rFonts w:hint="eastAsia" w:ascii="宋体" w:hAnsi="宋体" w:eastAsia="宋体" w:cs="宋体"/>
                <w:i w:val="0"/>
                <w:iCs w:val="0"/>
                <w:color w:val="000000"/>
                <w:sz w:val="20"/>
                <w:szCs w:val="20"/>
                <w:u w:val="none"/>
                <w:lang w:val="en-US" w:eastAsia="zh-CN" w:bidi="ar"/>
              </w:rPr>
              <w:br w:type="textWrapping"/>
            </w:r>
            <w:r>
              <w:rPr>
                <w:rStyle w:val="234"/>
                <w:rFonts w:hint="eastAsia" w:ascii="宋体" w:hAnsi="宋体" w:eastAsia="宋体" w:cs="宋体"/>
                <w:color w:val="auto"/>
                <w:sz w:val="20"/>
                <w:szCs w:val="20"/>
                <w:lang w:val="en-US" w:eastAsia="zh-CN" w:bidi="ar"/>
              </w:rPr>
              <w:t>1、采用干式传热原理进行高温消毒，比传统加热形式具有安全、寿命长、省电、升温快等特点；</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2、采用自动温控技术和高温材料，消毒芯内的温度0-320℃无级调节，消毒芯内设置温控器探头，全程控制消毒芯内温度，适合育苗、接种等无菌操作；</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3、氩弧焊技术，外壳纯不锈钢材质，结实耐用；</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4、耐高温陶瓷消毒槽，耐高温石英玻璃珠，保证对器械消毒均匀彻底；</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5、温度：0-320℃无级可调；杀菌温度：285℃-320℃；</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6、电源：AC220V/50Hz；额定功率≥80W；</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7、立式（保护类型I型），配保险丝≥2个；</w:t>
            </w:r>
            <w:r>
              <w:rPr>
                <w:rStyle w:val="234"/>
                <w:rFonts w:hint="eastAsia" w:ascii="宋体" w:hAnsi="宋体" w:eastAsia="宋体" w:cs="宋体"/>
                <w:color w:val="auto"/>
                <w:sz w:val="20"/>
                <w:szCs w:val="20"/>
                <w:lang w:val="en-US" w:eastAsia="zh-CN" w:bidi="ar"/>
              </w:rPr>
              <w:br w:type="textWrapping"/>
            </w:r>
            <w:r>
              <w:rPr>
                <w:rStyle w:val="234"/>
                <w:rFonts w:hint="eastAsia" w:ascii="宋体" w:hAnsi="宋体" w:eastAsia="宋体" w:cs="宋体"/>
                <w:color w:val="auto"/>
                <w:sz w:val="20"/>
                <w:szCs w:val="20"/>
                <w:lang w:val="en-US" w:eastAsia="zh-CN" w:bidi="ar"/>
              </w:rPr>
              <w:t>8、外观尺寸：深×宽×高≥160×100×190mm；净重：≥1.85kg。</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0FCE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2E9D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7F28F">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 xml:space="preserve">5033.60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A923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991870"/>
                  <wp:effectExtent l="0" t="0" r="5080" b="17780"/>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33"/>
                          <a:stretch>
                            <a:fillRect/>
                          </a:stretch>
                        </pic:blipFill>
                        <pic:spPr>
                          <a:xfrm>
                            <a:off x="0" y="0"/>
                            <a:ext cx="1004570" cy="991870"/>
                          </a:xfrm>
                          <a:prstGeom prst="rect">
                            <a:avLst/>
                          </a:prstGeom>
                          <a:noFill/>
                          <a:ln>
                            <a:noFill/>
                          </a:ln>
                        </pic:spPr>
                      </pic:pic>
                    </a:graphicData>
                  </a:graphic>
                </wp:inline>
              </w:drawing>
            </w:r>
          </w:p>
        </w:tc>
      </w:tr>
      <w:tr w14:paraId="680F9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1"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B245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68B9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立式高压蒸汽灭菌器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153F4">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立式高压蒸汽灭菌器：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1、手轮式开门结构；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2、机械式安全连锁装置；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3、电脑控制自动循环灭菌程序；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4、数码窗液晶显示工作状态；</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5、温度任意设定（50℃-134℃）；</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6、时间任意设定（0-9999分钟）；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7、超压自泄：0.22Mpa；</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8、灭菌终了蜂鸣提醒后自动停机；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9、全不锈钢材料；</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10、容积：≥50L；</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11、电源：220V；</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12、功率：≥3.5KW；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13、灭菌室尺寸：≥φ340×525mm；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14、包装尺寸：≥570×570×1300mm；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15、净重：≥58Kg；</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3FF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56D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EDFE2">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18636.80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10D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129665"/>
                  <wp:effectExtent l="0" t="0" r="4445" b="13335"/>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34"/>
                          <a:stretch>
                            <a:fillRect/>
                          </a:stretch>
                        </pic:blipFill>
                        <pic:spPr>
                          <a:xfrm>
                            <a:off x="0" y="0"/>
                            <a:ext cx="1005205" cy="1129665"/>
                          </a:xfrm>
                          <a:prstGeom prst="rect">
                            <a:avLst/>
                          </a:prstGeom>
                          <a:noFill/>
                          <a:ln>
                            <a:noFill/>
                          </a:ln>
                        </pic:spPr>
                      </pic:pic>
                    </a:graphicData>
                  </a:graphic>
                </wp:inline>
              </w:drawing>
            </w:r>
          </w:p>
        </w:tc>
      </w:tr>
      <w:tr w14:paraId="306F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E396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B9FC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电热鼓风干燥箱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8612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电热鼓风干燥箱：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1、适用于干燥、烘焙、熔蜡、灭菌、固化使用；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2、外壳采用静电喷涂工艺，漆膜牢固美观；</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3、箱门设有观察窗，可随时观察工作室内物品的加热情况；</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4、数字显示，可选用多种控温仪表，控温精度高，稳定性能好；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5、采用背面加热鼓风发方式，加热和鼓风系统独立开关设置，鼓风风速无极可调；</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6、控温范围：Rt+10～250℃；</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7、温度波动：≤±1℃；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8、定时范围：1～999min；</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9、加热功率：≥3000W；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10、工作电压：220V/50Hz；</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11、外观尺寸：深×宽×高≥635×655×850mm，工作室尺寸：深×宽×高≥460×550×550mm。</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376D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B81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2350">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5033.60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203A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029970"/>
                  <wp:effectExtent l="0" t="0" r="5080" b="17780"/>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icPr>
                        <pic:blipFill>
                          <a:blip r:embed="rId35"/>
                          <a:stretch>
                            <a:fillRect/>
                          </a:stretch>
                        </pic:blipFill>
                        <pic:spPr>
                          <a:xfrm>
                            <a:off x="0" y="0"/>
                            <a:ext cx="1004570" cy="1029970"/>
                          </a:xfrm>
                          <a:prstGeom prst="rect">
                            <a:avLst/>
                          </a:prstGeom>
                          <a:noFill/>
                          <a:ln>
                            <a:noFill/>
                          </a:ln>
                        </pic:spPr>
                      </pic:pic>
                    </a:graphicData>
                  </a:graphic>
                </wp:inline>
              </w:drawing>
            </w:r>
          </w:p>
        </w:tc>
      </w:tr>
      <w:tr w14:paraId="0F1D8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761F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34FF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紫外线灭菌车</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47486">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紫外线灭菌车：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1、移动式紫外消毒车采用双灯管结构；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2、灯臂长度为：≥900mm，灯臂调节角度：0-180度；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3、紫外线波长≈253.7A；</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4、定时范围：1-120min，定时误差≤15min；</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5、电源：220V/50Hz，功率：≥60W（2×30W）；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6、安全防护分类：I类。</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A091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C77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81BD">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 xml:space="preserve">1548.80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1EB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028065"/>
                  <wp:effectExtent l="0" t="0" r="5080" b="635"/>
                  <wp:docPr id="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pic:cNvPicPr>
                            <a:picLocks noChangeAspect="1"/>
                          </pic:cNvPicPr>
                        </pic:nvPicPr>
                        <pic:blipFill>
                          <a:blip r:embed="rId36"/>
                          <a:stretch>
                            <a:fillRect/>
                          </a:stretch>
                        </pic:blipFill>
                        <pic:spPr>
                          <a:xfrm>
                            <a:off x="0" y="0"/>
                            <a:ext cx="1004570" cy="1028065"/>
                          </a:xfrm>
                          <a:prstGeom prst="rect">
                            <a:avLst/>
                          </a:prstGeom>
                          <a:noFill/>
                          <a:ln>
                            <a:noFill/>
                          </a:ln>
                        </pic:spPr>
                      </pic:pic>
                    </a:graphicData>
                  </a:graphic>
                </wp:inline>
              </w:drawing>
            </w:r>
          </w:p>
        </w:tc>
      </w:tr>
      <w:tr w14:paraId="7486E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4C08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05644">
            <w:pPr>
              <w:keepNext w:val="0"/>
              <w:keepLines w:val="0"/>
              <w:widowControl/>
              <w:suppressLineNumbers w:val="0"/>
              <w:jc w:val="center"/>
              <w:rPr>
                <w:rFonts w:hint="eastAsia" w:ascii="宋体" w:hAnsi="宋体" w:eastAsia="宋体" w:cs="宋体"/>
                <w:b w:val="0"/>
                <w:bCs w:val="0"/>
                <w:i w:val="0"/>
                <w:iCs w:val="0"/>
                <w:color w:val="auto"/>
                <w:sz w:val="20"/>
                <w:szCs w:val="20"/>
                <w:u w:val="none"/>
              </w:rPr>
            </w:pPr>
            <w:r>
              <w:rPr>
                <w:rFonts w:hint="eastAsia" w:ascii="宋体" w:hAnsi="宋体" w:cs="宋体"/>
                <w:b w:val="0"/>
                <w:bCs w:val="0"/>
                <w:i w:val="0"/>
                <w:iCs w:val="0"/>
                <w:color w:val="auto"/>
                <w:sz w:val="20"/>
                <w:szCs w:val="20"/>
                <w:u w:val="none"/>
                <w:lang w:val="en-US" w:eastAsia="zh-CN" w:bidi="ar"/>
              </w:rPr>
              <w:t>组培用</w:t>
            </w:r>
            <w:r>
              <w:rPr>
                <w:rFonts w:hint="eastAsia" w:ascii="宋体" w:hAnsi="宋体" w:eastAsia="宋体" w:cs="宋体"/>
                <w:b w:val="0"/>
                <w:bCs w:val="0"/>
                <w:i w:val="0"/>
                <w:iCs w:val="0"/>
                <w:color w:val="auto"/>
                <w:sz w:val="20"/>
                <w:szCs w:val="20"/>
                <w:u w:val="none"/>
                <w:lang w:val="en-US" w:eastAsia="zh-CN" w:bidi="ar"/>
              </w:rPr>
              <w:t>纯水机</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E13FB">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纯水机（超纯水机）：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1、具备多行显示系统（电源、缺水、满水、纯水取水、超纯水取水、冲洗等）；具备电阻率仪在线显示监测系统（超纯水水质监控、RO 水水质监控、水温监控），具备水质检测显示功能；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2、具备开机自检、缺水保护报警、停电自动复位、满水自动停机、超低压保护、RO自动冲洗功能；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3、配置RO反渗透膜，内置RO膜防垢定时自动冲洗功能，有效延长RO膜使用寿命，保障纯水水质稳定，延长后级纯化柱和超纯化柱的寿命；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4、采用一体式设计，预处理、主机分离，RO反渗透、纯化柱、抛光超纯化柱等均内置在机壳内，系统模块均采用快接式设计，充分实现集成化、模块化、更换维修快速化；</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5、内置纯水循环程序设计，开机快速达到</w:t>
            </w:r>
          </w:p>
          <w:p w14:paraId="7D187295">
            <w:pPr>
              <w:keepNext w:val="0"/>
              <w:keepLines w:val="0"/>
              <w:widowControl/>
              <w:suppressLineNumbers w:val="0"/>
              <w:jc w:val="left"/>
              <w:rPr>
                <w:rFonts w:hint="eastAsia" w:ascii="宋体" w:hAnsi="宋体" w:eastAsia="宋体" w:cs="宋体"/>
                <w:b w:val="0"/>
                <w:bCs w:val="0"/>
                <w:i w:val="0"/>
                <w:iCs w:val="0"/>
                <w:color w:val="auto"/>
                <w:sz w:val="20"/>
                <w:szCs w:val="20"/>
                <w:u w:val="none"/>
              </w:rPr>
            </w:pPr>
            <w:r>
              <w:rPr>
                <w:rFonts w:ascii="Segoe UI" w:hAnsi="Segoe UI" w:eastAsia="Segoe UI" w:cs="Segoe UI"/>
                <w:i w:val="0"/>
                <w:iCs w:val="0"/>
                <w:caps w:val="0"/>
                <w:color w:val="0F1115"/>
                <w:spacing w:val="0"/>
                <w:sz w:val="18"/>
                <w:szCs w:val="18"/>
                <w:shd w:val="clear" w:color="auto" w:fill="FFFFFF"/>
              </w:rPr>
              <w:t>1MΩ·cm@25℃</w:t>
            </w:r>
            <w:r>
              <w:rPr>
                <w:rFonts w:hint="eastAsia" w:ascii="宋体" w:hAnsi="宋体" w:eastAsia="宋体" w:cs="宋体"/>
                <w:i w:val="0"/>
                <w:iCs w:val="0"/>
                <w:color w:val="000000"/>
                <w:sz w:val="20"/>
                <w:szCs w:val="20"/>
                <w:u w:val="none"/>
                <w:lang w:val="en-US" w:eastAsia="zh-CN" w:bidi="ar"/>
              </w:rPr>
              <w:t>，水质稳定，取水用水方便快捷，无须等候；</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7、进水水源：城市自来水；TDS＜200ppm；水压＞0.15Mpa；水温：5-45℃；</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8、制水量：≥10L/h；瞬间取水量：≥2L/min；</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9、RO纯水产水水质：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9.1、电导率≤1μS/cm@25℃；电阻率≥1MΩ•cm@25℃；</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9.2、重金属离子＜0.01ppb；</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9.3、总有机碳（TOC）＜20 ppb；</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10、UP超纯水产水水质：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10.1、电阻率≥18.25MΩ-cm@25℃（电导率≤0.055 μS/cm@25℃）；</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10.2、金属阳离子含量（单位：PPb）：Fe（铁）＜0.005；Cu（铜）＜0.005；Al（铝）＜0.005；Ni（镍）＜0.005；Zn（锌）＜0.02；Cr（铬）＜0.005；Na（钠）＜0.01；K（钾）＜0.02；</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10.3、阴离子含量（单位：PPb）：Cl（氯）＜0.01；NO2（亚硝酸根）＜0.02；NO3（硝酸根）＜0.02 ；SO4（硫酸根）＜0.01；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10.4、总有机碳（TOC）＜10 ppb；</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10.5、微生物/细菌：＜1CFU/mL；</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10.6、颗粒物：截留率＞99%；</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11、前置超纯水/纯水双取水口，后置超纯水无限供应取水功能；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12、配置≥20L全封闭真空压力储水桶，有效的保证了纯水水质，避免了因储存带来二次污染、阳光照射、微生物滋长等；</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13、耐腐蚀ABS材质机壳，尺寸：≥450×300×500mm；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14、电源：220V/50Hz，功率：≥80W。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9F9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5F1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2E3E">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13939.20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84A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970915"/>
                  <wp:effectExtent l="0" t="0" r="5080" b="635"/>
                  <wp:docPr id="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7"/>
                          <pic:cNvPicPr>
                            <a:picLocks noChangeAspect="1"/>
                          </pic:cNvPicPr>
                        </pic:nvPicPr>
                        <pic:blipFill>
                          <a:blip r:embed="rId37"/>
                          <a:stretch>
                            <a:fillRect/>
                          </a:stretch>
                        </pic:blipFill>
                        <pic:spPr>
                          <a:xfrm>
                            <a:off x="0" y="0"/>
                            <a:ext cx="1004570" cy="970915"/>
                          </a:xfrm>
                          <a:prstGeom prst="rect">
                            <a:avLst/>
                          </a:prstGeom>
                          <a:noFill/>
                          <a:ln>
                            <a:noFill/>
                          </a:ln>
                        </pic:spPr>
                      </pic:pic>
                    </a:graphicData>
                  </a:graphic>
                </wp:inline>
              </w:drawing>
            </w:r>
          </w:p>
        </w:tc>
      </w:tr>
      <w:tr w14:paraId="224AC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4743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3C10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微量可调移液器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EAAFC">
            <w:pPr>
              <w:pStyle w:val="20"/>
              <w:tabs>
                <w:tab w:val="center" w:pos="4153"/>
                <w:tab w:val="right" w:pos="8306"/>
                <w:tab w:val="clear" w:pos="7143"/>
                <w:tab w:val="clear" w:pos="14287"/>
              </w:tabs>
              <w:rPr>
                <w:rFonts w:hint="default"/>
                <w:lang w:val="en-US"/>
              </w:rPr>
            </w:pPr>
            <w:r>
              <w:rPr>
                <w:rFonts w:hint="eastAsia" w:ascii="宋体" w:hAnsi="宋体" w:eastAsia="宋体" w:cs="宋体"/>
                <w:i w:val="0"/>
                <w:iCs w:val="0"/>
                <w:color w:val="000000"/>
                <w:sz w:val="20"/>
                <w:szCs w:val="20"/>
                <w:u w:val="none"/>
                <w:lang w:val="en-US" w:eastAsia="zh-CN" w:bidi="ar"/>
              </w:rPr>
              <w:t>微量可调移液器2.5、10、200、1000、5000μL：</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1、采用极佳耐热材料，可整支紫外灭菌，也可整支高温（121℃）消毒灭菌；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w:t>
            </w:r>
            <w:r>
              <w:rPr>
                <w:rFonts w:hint="eastAsia" w:ascii="宋体" w:hAnsi="宋体" w:cs="宋体"/>
                <w:i w:val="0"/>
                <w:iCs w:val="0"/>
                <w:color w:val="000000"/>
                <w:sz w:val="20"/>
                <w:szCs w:val="20"/>
                <w:u w:val="none"/>
                <w:lang w:val="en-US" w:eastAsia="zh-CN" w:bidi="ar"/>
              </w:rPr>
              <w:t>≤0</w:t>
            </w:r>
            <w:r>
              <w:rPr>
                <w:rFonts w:hint="eastAsia" w:ascii="宋体" w:hAnsi="宋体" w:eastAsia="宋体" w:cs="宋体"/>
                <w:i w:val="0"/>
                <w:iCs w:val="0"/>
                <w:color w:val="000000"/>
                <w:sz w:val="20"/>
                <w:szCs w:val="20"/>
                <w:u w:val="none"/>
                <w:lang w:val="en-US" w:eastAsia="zh-CN" w:bidi="ar"/>
              </w:rPr>
              <w:t>℃</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00</w:t>
            </w:r>
            <w:r>
              <w:rPr>
                <w:rFonts w:hint="eastAsia" w:ascii="宋体" w:hAnsi="宋体" w:eastAsia="宋体" w:cs="宋体"/>
                <w:i w:val="0"/>
                <w:iCs w:val="0"/>
                <w:color w:val="000000"/>
                <w:sz w:val="20"/>
                <w:szCs w:val="20"/>
                <w:u w:val="none"/>
                <w:lang w:val="en-US" w:eastAsia="zh-CN" w:bidi="ar"/>
              </w:rPr>
              <w:t>℃环境下外观无形变，所有功能正常使用；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3、人机功效学轻便设计，采用侧面数字视窗，更便于观察设定取液量程；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4、调节和取样按钮多功能一体化设置；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5、计数器自锁功能，防止非旋动碰触情况下计数器滑动而锁定量程；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6、防倒吸结构设计，主动防护误操作引起的设备损坏；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7、系统误差：≤1%（最大量程）；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8、量程范围：0.1-2.5μL/0.5-10μL/20-200μL/100-1000μL/1000-5000μL。</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81F3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79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866" w:type="dxa"/>
            <w:tcBorders>
              <w:top w:val="single" w:color="000000" w:sz="4" w:space="0"/>
              <w:left w:val="single" w:color="000000" w:sz="4" w:space="0"/>
              <w:right w:val="single" w:color="000000" w:sz="4" w:space="0"/>
            </w:tcBorders>
            <w:shd w:val="clear" w:color="auto" w:fill="auto"/>
            <w:noWrap/>
            <w:vAlign w:val="center"/>
          </w:tcPr>
          <w:p w14:paraId="6B38B7A3">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15488</w:t>
            </w:r>
            <w:r>
              <w:rPr>
                <w:rFonts w:hint="eastAsia" w:ascii="宋体" w:hAnsi="宋体" w:eastAsia="宋体" w:cs="宋体"/>
                <w:i w:val="0"/>
                <w:iCs w:val="0"/>
                <w:color w:val="000000"/>
                <w:sz w:val="20"/>
                <w:szCs w:val="20"/>
                <w:u w:val="none"/>
                <w:lang w:val="en-US" w:eastAsia="zh-CN" w:bidi="ar"/>
              </w:rPr>
              <w:t xml:space="preserve"> </w:t>
            </w:r>
          </w:p>
        </w:tc>
        <w:tc>
          <w:tcPr>
            <w:tcW w:w="718" w:type="pct"/>
            <w:vMerge w:val="restart"/>
            <w:tcBorders>
              <w:top w:val="single" w:color="000000" w:sz="4" w:space="0"/>
              <w:left w:val="single" w:color="000000" w:sz="4" w:space="0"/>
              <w:right w:val="single" w:color="000000" w:sz="4" w:space="0"/>
            </w:tcBorders>
            <w:shd w:val="clear" w:color="auto" w:fill="auto"/>
            <w:noWrap/>
            <w:vAlign w:val="center"/>
          </w:tcPr>
          <w:p w14:paraId="38103E0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085850"/>
                  <wp:effectExtent l="0" t="0" r="4445" b="0"/>
                  <wp:docPr id="3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pic:cNvPicPr>
                            <a:picLocks noChangeAspect="1"/>
                          </pic:cNvPicPr>
                        </pic:nvPicPr>
                        <pic:blipFill>
                          <a:blip r:embed="rId38"/>
                          <a:stretch>
                            <a:fillRect/>
                          </a:stretch>
                        </pic:blipFill>
                        <pic:spPr>
                          <a:xfrm>
                            <a:off x="0" y="0"/>
                            <a:ext cx="1005205" cy="1085850"/>
                          </a:xfrm>
                          <a:prstGeom prst="rect">
                            <a:avLst/>
                          </a:prstGeom>
                          <a:noFill/>
                          <a:ln>
                            <a:noFill/>
                          </a:ln>
                        </pic:spPr>
                      </pic:pic>
                    </a:graphicData>
                  </a:graphic>
                </wp:inline>
              </w:drawing>
            </w:r>
          </w:p>
        </w:tc>
      </w:tr>
      <w:tr w14:paraId="418E0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7BB0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4382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移液器架</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9C032">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移液器架：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1、注塑成型，稳固耐用；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2、人体工学倾斜式设计，可同时放置移液器数量：≥7支。</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785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75A1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866" w:type="dxa"/>
            <w:tcBorders>
              <w:left w:val="single" w:color="000000" w:sz="4" w:space="0"/>
              <w:bottom w:val="single" w:color="000000" w:sz="4" w:space="0"/>
              <w:right w:val="single" w:color="000000" w:sz="4" w:space="0"/>
            </w:tcBorders>
            <w:shd w:val="clear" w:color="auto" w:fill="auto"/>
            <w:noWrap/>
            <w:vAlign w:val="center"/>
          </w:tcPr>
          <w:p w14:paraId="12B74A22">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464 </w:t>
            </w:r>
          </w:p>
        </w:tc>
        <w:tc>
          <w:tcPr>
            <w:tcW w:w="718" w:type="pct"/>
            <w:vMerge w:val="continue"/>
            <w:tcBorders>
              <w:left w:val="single" w:color="000000" w:sz="4" w:space="0"/>
              <w:bottom w:val="single" w:color="000000" w:sz="4" w:space="0"/>
              <w:right w:val="single" w:color="000000" w:sz="4" w:space="0"/>
            </w:tcBorders>
            <w:shd w:val="clear" w:color="auto" w:fill="auto"/>
            <w:noWrap/>
            <w:vAlign w:val="center"/>
          </w:tcPr>
          <w:p w14:paraId="1AE3EC5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5D9E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D3D3A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8924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恒温磁力搅拌器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B0E6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恒温磁力搅拌器：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1、采用直流电机作驱动，调速平稳，噪音低；</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2、一体成形铝合金加热搅拌平台，加热速度快、加热温度均匀可调，使用安全，性能可靠；</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3、工作盘尺寸：≥120×120mm；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3、搅拌容量：20-5000mL；</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4、搅拌速度：0-2000转/分，转速无级调速；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5、加热温度：室温+5～380℃（加热温度可调）；</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6</w:t>
            </w:r>
            <w:r>
              <w:rPr>
                <w:rFonts w:hint="eastAsia" w:ascii="宋体" w:hAnsi="宋体" w:eastAsia="宋体" w:cs="宋体"/>
                <w:i w:val="0"/>
                <w:iCs w:val="0"/>
                <w:color w:val="000000"/>
                <w:sz w:val="20"/>
                <w:szCs w:val="20"/>
                <w:u w:val="none"/>
                <w:lang w:val="en-US" w:eastAsia="zh-CN" w:bidi="ar"/>
              </w:rPr>
              <w:t>、工作电压：AC 220V/50Hz；加热功率：0～200W（可调）；额定功率205W；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7</w:t>
            </w:r>
            <w:r>
              <w:rPr>
                <w:rFonts w:hint="eastAsia" w:ascii="宋体" w:hAnsi="宋体" w:eastAsia="宋体" w:cs="宋体"/>
                <w:i w:val="0"/>
                <w:iCs w:val="0"/>
                <w:color w:val="000000"/>
                <w:sz w:val="20"/>
                <w:szCs w:val="20"/>
                <w:u w:val="none"/>
                <w:lang w:val="en-US" w:eastAsia="zh-CN" w:bidi="ar"/>
              </w:rPr>
              <w:t>、外观规格：≥240×130×90mm，辅助支架高度：≥300mm，重量：≥1.6kg。</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2A2B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DC0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0561">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1452</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BC1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04875"/>
                  <wp:effectExtent l="0" t="0" r="4445" b="9525"/>
                  <wp:docPr id="3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pic:cNvPicPr>
                            <a:picLocks noChangeAspect="1"/>
                          </pic:cNvPicPr>
                        </pic:nvPicPr>
                        <pic:blipFill>
                          <a:blip r:embed="rId39"/>
                          <a:stretch>
                            <a:fillRect/>
                          </a:stretch>
                        </pic:blipFill>
                        <pic:spPr>
                          <a:xfrm>
                            <a:off x="0" y="0"/>
                            <a:ext cx="1005205" cy="904875"/>
                          </a:xfrm>
                          <a:prstGeom prst="rect">
                            <a:avLst/>
                          </a:prstGeom>
                          <a:noFill/>
                          <a:ln>
                            <a:noFill/>
                          </a:ln>
                        </pic:spPr>
                      </pic:pic>
                    </a:graphicData>
                  </a:graphic>
                </wp:inline>
              </w:drawing>
            </w:r>
          </w:p>
        </w:tc>
      </w:tr>
      <w:tr w14:paraId="18BB5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63C7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883E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超声波清洗器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5E2F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超声波清洗器：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1、整机不锈钢压花材质，加厚型内胆一次性冲压成型，防刮花防漏水，耐腐蚀耐热；</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2、智能数显控制系统，一键变波功能自由切换，智能脱气功能提高清洗效率；</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3、容量：≥30L；标配超声波功率≥600W/震头≥10个；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4、时间控制：1-99min可调；温度控制：室温-80℃可调，加热功率≥600W；超声频率：标配40KHz；</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5、尺寸：≥530×325×325mm；内槽尺寸：≥500×300×200mm。</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3021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F26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B221">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5808</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E5C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729615"/>
                  <wp:effectExtent l="0" t="0" r="5080" b="13335"/>
                  <wp:docPr id="3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pic:cNvPicPr>
                            <a:picLocks noChangeAspect="1"/>
                          </pic:cNvPicPr>
                        </pic:nvPicPr>
                        <pic:blipFill>
                          <a:blip r:embed="rId40"/>
                          <a:stretch>
                            <a:fillRect/>
                          </a:stretch>
                        </pic:blipFill>
                        <pic:spPr>
                          <a:xfrm>
                            <a:off x="0" y="0"/>
                            <a:ext cx="1004570" cy="729615"/>
                          </a:xfrm>
                          <a:prstGeom prst="rect">
                            <a:avLst/>
                          </a:prstGeom>
                          <a:noFill/>
                          <a:ln>
                            <a:noFill/>
                          </a:ln>
                        </pic:spPr>
                      </pic:pic>
                    </a:graphicData>
                  </a:graphic>
                </wp:inline>
              </w:drawing>
            </w:r>
          </w:p>
        </w:tc>
      </w:tr>
      <w:tr w14:paraId="75A4E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3C28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5821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精油提取器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3022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精油提取器：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1、主机材质：304优质不锈钢；物料篮容量：≥5L；</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2、渐进式升温电陶炉加热方式，三重热均衡、无局部高温；</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3、总电源开关和面板开关双重开关保障，采用触摸面板，液晶数码显示，实时功率详情清晰可见，具有定时加热功能；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4、加热蒸馏装置及冷凝装置可视化结构设计，具备开放式可视冷凝系统，高硬度高硼硅材质，水汽冷凝现象直观、便于教学；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5、拉扣式四定位微压密封盖，304不锈钢包边钢化玻璃盖，便于观察蒸汽产生过程；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6、加热功率：≥1000W，功率10级可调；</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7、具有缺水断电保护功能；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8、输入电源电压：交流220V/50Hz。</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BEC7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28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6116">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9292.80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4C1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1501140"/>
                  <wp:effectExtent l="0" t="0" r="3810" b="3810"/>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icPr>
                        <pic:blipFill>
                          <a:blip r:embed="rId41"/>
                          <a:stretch>
                            <a:fillRect/>
                          </a:stretch>
                        </pic:blipFill>
                        <pic:spPr>
                          <a:xfrm>
                            <a:off x="0" y="0"/>
                            <a:ext cx="1005840" cy="1501140"/>
                          </a:xfrm>
                          <a:prstGeom prst="rect">
                            <a:avLst/>
                          </a:prstGeom>
                          <a:noFill/>
                          <a:ln>
                            <a:noFill/>
                          </a:ln>
                        </pic:spPr>
                      </pic:pic>
                    </a:graphicData>
                  </a:graphic>
                </wp:inline>
              </w:drawing>
            </w:r>
          </w:p>
        </w:tc>
      </w:tr>
      <w:tr w14:paraId="26B8D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8AC2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DC13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光合作用反应仪</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1EDA1">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光合作用反应仪：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1、专用于探究环境因素对植物的光合作用强度的影响；</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2、仪器满足光合作用所需的环境条件，光照强度、光照时间、温度、光谱等可变环境因素控制结构设计，满足探究各种不同因素对植物光合作用的影响；</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3、配置不小于7英寸的彩色触摸屏控制系统，要求显示清晰、触控灵敏、运行稳定，具备人机交互功能。屏幕表面需具备足够的硬度以确保耐用性和抗划伤</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4、配置可变换光谱LED植物专用补光灯，不同光谱独立控制，光照强度≥</w:t>
            </w:r>
            <w:r>
              <w:rPr>
                <w:rFonts w:hint="eastAsia" w:ascii="宋体" w:hAnsi="宋体" w:cs="宋体"/>
                <w:i w:val="0"/>
                <w:iCs w:val="0"/>
                <w:color w:val="000000"/>
                <w:sz w:val="20"/>
                <w:szCs w:val="20"/>
                <w:u w:val="none"/>
                <w:lang w:val="en-US" w:eastAsia="zh-CN" w:bidi="ar"/>
              </w:rPr>
              <w:t>9</w:t>
            </w:r>
            <w:r>
              <w:rPr>
                <w:rFonts w:hint="eastAsia" w:ascii="宋体" w:hAnsi="宋体" w:eastAsia="宋体" w:cs="宋体"/>
                <w:i w:val="0"/>
                <w:iCs w:val="0"/>
                <w:color w:val="000000"/>
                <w:sz w:val="20"/>
                <w:szCs w:val="20"/>
                <w:u w:val="none"/>
                <w:lang w:val="en-US" w:eastAsia="zh-CN" w:bidi="ar"/>
              </w:rPr>
              <w:t>档可调，适合不同光强下植物光合作用实验探究；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5、设备配置自然界肉眼可见的光学三原色光谱红、绿、蓝以及混合光谱白光，并且可进行交叉组合不同的光质，满足多种光质环境探究实验；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6、温度控制范围：温度10-</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0℃可调，设备配置恒温加热和制冷装置，可维持反应室温度保持稳定不变，恒温范围±1.0℃；</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7、反应前端设置透明观察窗，方便观察光合作用实验现象以及实验记录和拍照；</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8、仪器尺寸：≥260×310×360mm，反应室空间：≥255×200×170mm；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9、电源：AC220V/50Hz，功率：≥300W。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D076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CCCC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1080">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9680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5B7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659130"/>
                  <wp:effectExtent l="0" t="0" r="4445" b="7620"/>
                  <wp:docPr id="3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2"/>
                          <pic:cNvPicPr>
                            <a:picLocks noChangeAspect="1"/>
                          </pic:cNvPicPr>
                        </pic:nvPicPr>
                        <pic:blipFill>
                          <a:blip r:embed="rId42"/>
                          <a:stretch>
                            <a:fillRect/>
                          </a:stretch>
                        </pic:blipFill>
                        <pic:spPr>
                          <a:xfrm>
                            <a:off x="0" y="0"/>
                            <a:ext cx="1005205" cy="659130"/>
                          </a:xfrm>
                          <a:prstGeom prst="rect">
                            <a:avLst/>
                          </a:prstGeom>
                          <a:noFill/>
                          <a:ln>
                            <a:noFill/>
                          </a:ln>
                        </pic:spPr>
                      </pic:pic>
                    </a:graphicData>
                  </a:graphic>
                </wp:inline>
              </w:drawing>
            </w:r>
          </w:p>
        </w:tc>
      </w:tr>
      <w:tr w14:paraId="74CC7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2C6E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9649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环境测量仪-光照度</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164E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环境测量仪-光照度：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1、显示器：大液晶屏显示器，尺寸≥35×40mm，六位数字显示；显示屏带背景灯光，且具有彩色背景灯光报警提示，测量数据模拟条刻度指示，低电量等级指示功能，10分钟无操作自动关机；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2、测量范围（具备环境光照度、温度、湿度测量功能）：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2.1、照度：0.1-300000Lux/0.01-30000Fc；</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2.2、温度：0-60℃；</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2.3、湿度：0-99%RH；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3、具有测量数据Hi高出和Low低出报警值设置功能；具有自动切换档位功能，数据保持，测量最大值、最小值、平均值查看功能；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4、分辨率：0.1Lux；</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5、准确度：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5.1、照度：±3% rdg±0.5% f.s.（＜10,000 Lux）；±4%rdg±10dgts（＞10,000 Lux）（以色温2856 K标准平面灯校正）；</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5.2、温度：±1℃；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5.3、湿度：±8%RH；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6、重复测试：±2%；</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7、温度特性：±0.1%/℃；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8、取样率：约2 times/sec；</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 xml:space="preserve">9、记录器输出：DC 2V/f.s.（满刻度）； </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10、操作及储存温湿度：-10°至50℃，＜80%RH，室内海拔＜2000m；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、产品尺寸：≥152mm（L）×55mm（W）×33mm（H）；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、电源：3×1.5VAAA电池。</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1C26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531D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DF2A6">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1161.60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CC27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1223010"/>
                  <wp:effectExtent l="0" t="0" r="3810" b="15240"/>
                  <wp:docPr id="3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3"/>
                          <pic:cNvPicPr>
                            <a:picLocks noChangeAspect="1"/>
                          </pic:cNvPicPr>
                        </pic:nvPicPr>
                        <pic:blipFill>
                          <a:blip r:embed="rId43"/>
                          <a:stretch>
                            <a:fillRect/>
                          </a:stretch>
                        </pic:blipFill>
                        <pic:spPr>
                          <a:xfrm>
                            <a:off x="0" y="0"/>
                            <a:ext cx="1005840" cy="1223009"/>
                          </a:xfrm>
                          <a:prstGeom prst="rect">
                            <a:avLst/>
                          </a:prstGeom>
                          <a:noFill/>
                          <a:ln>
                            <a:noFill/>
                          </a:ln>
                        </pic:spPr>
                      </pic:pic>
                    </a:graphicData>
                  </a:graphic>
                </wp:inline>
              </w:drawing>
            </w:r>
          </w:p>
        </w:tc>
      </w:tr>
      <w:tr w14:paraId="2012C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06D1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F881E">
            <w:pPr>
              <w:keepNext w:val="0"/>
              <w:keepLines w:val="0"/>
              <w:widowControl/>
              <w:suppressLineNumbers w:val="0"/>
              <w:jc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sz w:val="20"/>
                <w:szCs w:val="20"/>
                <w:u w:val="none"/>
                <w:lang w:val="en-US" w:eastAsia="zh-CN" w:bidi="ar"/>
              </w:rPr>
              <w:t>环境测量仪-温湿度</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A73C9">
            <w:pPr>
              <w:keepNext w:val="0"/>
              <w:keepLines w:val="0"/>
              <w:widowControl/>
              <w:suppressLineNumbers w:val="0"/>
              <w:jc w:val="left"/>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000000"/>
                <w:sz w:val="20"/>
                <w:szCs w:val="20"/>
                <w:u w:val="none"/>
                <w:lang w:val="en-US" w:eastAsia="zh-CN" w:bidi="ar"/>
              </w:rPr>
              <w:t>环境测量仪-温湿度（空气质量）：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1、≥2.8寸超大屏幕LED高清液晶显示，读数清晰，直观方便；</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2、采用传感器，一键校准技术，智能记忆校准；</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3、甲醛和TVOC多种有害气体双千位检测，温度、湿度检测一目了然，空气质量指数（AQI）检测，五等级空气质量鉴定；</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4、3D对流气孔，空气实时循环对流检测更准确，隐形背靠支架，方便直立放置观察；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5、检测范围：甲醛0-2.888mg/m³；TVOC（总挥发性有机化合物）0-9.999mg/m³；</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6、空气污染超标自动警报提示；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7、背景光开/关和报警功能开/关切换；</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8、内置≥2000mAh大容量充电锂电池，先进稳压电路，省电模式，待机时间长；</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9、显示分辨率：温度：≤1℃；湿度：≤1%RH；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10、测量精度：温度：≤1℃；湿度：≤5%RH；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11、输入电压：DC5V，500mA;</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12、仪器尺寸：≈150×68×30mm；</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B6B6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FCB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6DFD4">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580.80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CA1A">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082040"/>
                  <wp:effectExtent l="0" t="0" r="5080" b="3810"/>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4"/>
                          <pic:cNvPicPr>
                            <a:picLocks noChangeAspect="1"/>
                          </pic:cNvPicPr>
                        </pic:nvPicPr>
                        <pic:blipFill>
                          <a:blip r:embed="rId44"/>
                          <a:stretch>
                            <a:fillRect/>
                          </a:stretch>
                        </pic:blipFill>
                        <pic:spPr>
                          <a:xfrm>
                            <a:off x="0" y="0"/>
                            <a:ext cx="1004570" cy="1082040"/>
                          </a:xfrm>
                          <a:prstGeom prst="rect">
                            <a:avLst/>
                          </a:prstGeom>
                          <a:noFill/>
                          <a:ln>
                            <a:noFill/>
                          </a:ln>
                        </pic:spPr>
                      </pic:pic>
                    </a:graphicData>
                  </a:graphic>
                </wp:inline>
              </w:drawing>
            </w:r>
          </w:p>
        </w:tc>
      </w:tr>
      <w:tr w14:paraId="4FFCE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FF4A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4D8D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多功能水质测量仪</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4B222">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多功能水质测量仪：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广泛适用于实验室、植物栽培、环境监测等多种不同环境下水质检测。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1、ABS工程塑料材质，人体工学手握外形设计；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2、防水等级：IP67；</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3、LCD背光液晶显示屏，方便在环境黑暗条件下观察和读取数据；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4、7合1参数测量，多参数测量复合电极探头，可测量溶液pH、TDS、TEMP、EC、盐度、SG、ORP参数；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5、EC电导率测量参数：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测量范围：0-10000μs/cm，10.01-19.99mS/cm（自动转换测量范围）； 分辨率：1μs/cm，0.1mS/cm；精度：±2％FS；</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6、TDS测量参数：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测量范围：0-10000ppm，10.1-20.0ppt（自动转换测量范围）；分辨率：1ppm，0.1ppt；精度：±2％FS；</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7、盐度测量参数：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测量范围：0.01ppt-25.00ppt；分辨率：0.01％；精度：0.01-5.00％（±0.1％），5.1-25.0％（±1％）；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8、pH值测量参数：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测量范围：0.01-14.00рH；分辨率：0.01pH；准确度：±0.05pH；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9、ORP富氢量测量参数：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测量范围：±999mv；分辨率：1mv；精度：±2mv；</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10、SG盐比重测量参数：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测量范围：1.000-1.222；工作环境：0至60.0℃（32.0-140℉），相对湿度100％；</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11、温度测量参数：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测量范围：0.1-60.0℃，32.0-140℉；精度：±0.5℃；分辨率：0.1℃/℉；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12、自动温度补偿（ATC）0-60℃，一键切换参数和固定读数功能，保证测量参数的准确性；</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13、支持3点校准自动识别校准液；5分钟自动关机，节能环保；</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15、仪器规格：尺寸：≥185×37×37mm；显示屏尺寸：≥29×20mm；重量：≥90g；电源：3×1.5V（LR44）。</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8084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支</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24B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88DA4">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 xml:space="preserve">2323.20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3206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174750"/>
                  <wp:effectExtent l="0" t="0" r="4445" b="6350"/>
                  <wp:docPr id="4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6"/>
                          <pic:cNvPicPr>
                            <a:picLocks noChangeAspect="1"/>
                          </pic:cNvPicPr>
                        </pic:nvPicPr>
                        <pic:blipFill>
                          <a:blip r:embed="rId45"/>
                          <a:stretch>
                            <a:fillRect/>
                          </a:stretch>
                        </pic:blipFill>
                        <pic:spPr>
                          <a:xfrm>
                            <a:off x="0" y="0"/>
                            <a:ext cx="1005205" cy="1174750"/>
                          </a:xfrm>
                          <a:prstGeom prst="rect">
                            <a:avLst/>
                          </a:prstGeom>
                          <a:noFill/>
                          <a:ln>
                            <a:noFill/>
                          </a:ln>
                        </pic:spPr>
                      </pic:pic>
                    </a:graphicData>
                  </a:graphic>
                </wp:inline>
              </w:drawing>
            </w:r>
          </w:p>
        </w:tc>
      </w:tr>
      <w:tr w14:paraId="7A0F7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B2FB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B9F6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光照培养箱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632F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光照培养箱：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1、温度控制范围：0-50℃（温度分辨率0.1℃，控温精度0-50±0.5℃）；</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2、制冷装置：压缩机与冷凝器冷热交换比例（1：1.135），制冷效果好、节能、使用寿命长；</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3、加热装置：镍铬合金加热装置，合理功率配比，制热效果好、节能、使用寿命长；</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4、光照控制范围：0-30000Lux无级可调，光源平均寿命：≥50000小时；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5、光照装置：市电隔离低压安全光源，防止触电引发实验事故；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6、平面光照设计，平面受光点照度接近一致，同一平面内实验结果接近一致。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7、控制方式：微电脑控制器，多段可编程序，人性化智能设定，实验全自动控制及运行；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8、操作界面：点晶屏操作方式，简单实用，易学易懂；</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9、内部循环：内部柔和循环风设计，温度均匀＜1℃；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10、保护装置：控制器程序保护与机械温度异常保护同时运行，安全可靠；</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11、记忆功能：掉电记忆功能，掉电时间自动补偿功能；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12、一次性发泡成型技术，外观精美且保温性能极高；</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13、容积：250L，内胆尺寸：长×宽×高≥480×520×1140mm，外形尺寸：长×宽×高≥580×630×1760mm。</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0F06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8C92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B3F8">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 xml:space="preserve">20425.60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FFC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053465"/>
                  <wp:effectExtent l="0" t="0" r="5080" b="13335"/>
                  <wp:docPr id="4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7"/>
                          <pic:cNvPicPr>
                            <a:picLocks noChangeAspect="1"/>
                          </pic:cNvPicPr>
                        </pic:nvPicPr>
                        <pic:blipFill>
                          <a:blip r:embed="rId46"/>
                          <a:stretch>
                            <a:fillRect/>
                          </a:stretch>
                        </pic:blipFill>
                        <pic:spPr>
                          <a:xfrm>
                            <a:off x="0" y="0"/>
                            <a:ext cx="1004570" cy="1053465"/>
                          </a:xfrm>
                          <a:prstGeom prst="rect">
                            <a:avLst/>
                          </a:prstGeom>
                          <a:noFill/>
                          <a:ln>
                            <a:noFill/>
                          </a:ln>
                        </pic:spPr>
                      </pic:pic>
                    </a:graphicData>
                  </a:graphic>
                </wp:inline>
              </w:drawing>
            </w:r>
          </w:p>
        </w:tc>
      </w:tr>
      <w:tr w14:paraId="795C4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2D3C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D87D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光照培养架</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D93A4">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光照培养架：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1、外观尺寸：长×宽×高≥1350×450×1800mm，实用四层，层板材料厚度≥0.5mm，立柱及横撑全钢厚度≥1.5mm；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2、采用卡扣式结构设计，稳固耐用，方便安装维护，外观采用静电喷涂工艺，保证长期不锈不掉漆；</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3、每层标配三组白红蓝三色植物生长专用补光灯，额定功率≥16W/组，色温6500K，单组光强≥1600LM，光效≥90LM/W；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4、灯管和灯架一体化设计，设置柔光灯罩，避免光线刺眼伤害且光线均匀分布，每组灯光独立开关，每层光照强度3级可调；</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19FF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4AC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A913">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10164</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D422">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42975"/>
                  <wp:effectExtent l="0" t="0" r="4445" b="9525"/>
                  <wp:docPr id="4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8"/>
                          <pic:cNvPicPr>
                            <a:picLocks noChangeAspect="1"/>
                          </pic:cNvPicPr>
                        </pic:nvPicPr>
                        <pic:blipFill>
                          <a:blip r:embed="rId47"/>
                          <a:stretch>
                            <a:fillRect/>
                          </a:stretch>
                        </pic:blipFill>
                        <pic:spPr>
                          <a:xfrm>
                            <a:off x="0" y="0"/>
                            <a:ext cx="1005205" cy="942975"/>
                          </a:xfrm>
                          <a:prstGeom prst="rect">
                            <a:avLst/>
                          </a:prstGeom>
                          <a:noFill/>
                          <a:ln>
                            <a:noFill/>
                          </a:ln>
                        </pic:spPr>
                      </pic:pic>
                    </a:graphicData>
                  </a:graphic>
                </wp:inline>
              </w:drawing>
            </w:r>
          </w:p>
        </w:tc>
      </w:tr>
      <w:tr w14:paraId="26848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23C3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5B4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植物生长专用培养架</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2A1FC">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植物生长专用培养架：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1、符合植物栽培、种子发芽、苗木、无菌苗、动物、昆虫等研究的理想实验设备；</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2、采用欧标铝型材作为整体框架主材料，表面电泳处理，耐腐蚀，表面光洁度高，无毛刺；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3、每层置物板下方配备LED植物专用生长光源模组，使用寿命长、节能、光照均匀度好；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4、置物板采用镜面不锈钢，耐腐蚀；</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5、每层置物板高度调节由四个角的滑动块连接件进行松紧调节，方便，无需额外螺丝孔，表面干净，美观，无毛刺；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6、置物板前部设置遮光装置，可有效防止光照逃逸造成人员刺眼等损伤；</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7、每层置物板的右侧配备</w:t>
            </w:r>
            <w:r>
              <w:rPr>
                <w:rFonts w:hint="eastAsia" w:ascii="宋体" w:hAnsi="宋体" w:eastAsia="宋体" w:cs="宋体"/>
                <w:b w:val="0"/>
                <w:bCs w:val="0"/>
                <w:color w:val="auto"/>
                <w:sz w:val="21"/>
                <w:szCs w:val="21"/>
                <w:lang w:val="en-US" w:eastAsia="zh-CN"/>
              </w:rPr>
              <w:t>主光灯组、辅光灯组、功率调节器</w:t>
            </w:r>
            <w:r>
              <w:rPr>
                <w:rFonts w:hint="eastAsia" w:ascii="宋体" w:hAnsi="宋体" w:cs="宋体"/>
                <w:b w:val="0"/>
                <w:bCs w:val="0"/>
                <w:color w:val="auto"/>
                <w:sz w:val="21"/>
                <w:szCs w:val="21"/>
                <w:lang w:val="en-US" w:eastAsia="zh-CN"/>
              </w:rPr>
              <w:t>等功能</w:t>
            </w:r>
            <w:r>
              <w:rPr>
                <w:rFonts w:hint="eastAsia" w:ascii="宋体" w:hAnsi="宋体" w:eastAsia="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8、培养架底部采用带固定式的牛仔万向滑轮，即可使用万向轮移动培养架；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9、植物生长专用模组（红白）光源板尺寸：≥1120×520×32mm，光照度：≥150μmol/㎡·s，240W；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10、每层置物板内置USB接口不低于4个，每个USB接口独立开关控制，每层置物板提供220V电源接口不低于3个，可供外置设备供电使用；</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EB80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9B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DADE">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18150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A1A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16305"/>
                  <wp:effectExtent l="0" t="0" r="4445" b="17145"/>
                  <wp:docPr id="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9"/>
                          <pic:cNvPicPr>
                            <a:picLocks noChangeAspect="1"/>
                          </pic:cNvPicPr>
                        </pic:nvPicPr>
                        <pic:blipFill>
                          <a:blip r:embed="rId48"/>
                          <a:stretch>
                            <a:fillRect/>
                          </a:stretch>
                        </pic:blipFill>
                        <pic:spPr>
                          <a:xfrm>
                            <a:off x="0" y="0"/>
                            <a:ext cx="1005205" cy="916305"/>
                          </a:xfrm>
                          <a:prstGeom prst="rect">
                            <a:avLst/>
                          </a:prstGeom>
                          <a:noFill/>
                          <a:ln>
                            <a:noFill/>
                          </a:ln>
                        </pic:spPr>
                      </pic:pic>
                    </a:graphicData>
                  </a:graphic>
                </wp:inline>
              </w:drawing>
            </w:r>
          </w:p>
        </w:tc>
      </w:tr>
      <w:tr w14:paraId="44F3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4A35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4F01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多功能生态养殖箱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17DD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多功能生态养殖箱：</w:t>
            </w:r>
          </w:p>
          <w:p w14:paraId="1FB7025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1、生态养殖箱用于在栽植植物的同时养殖多种陆生小型动物，也可布置水生动植物生长环境，养殖多种水生小型动物或者两栖爬行类动物，创造动物所需的自然舒适环境，便于观察动物接近自然状况下的日常行为，对观察和记录动物自身的生长繁殖以及与同环境中其他动物、植物之间的互作关系提供帮助，研究小型生态循环系统的动植物相互作用；</w:t>
            </w:r>
          </w:p>
          <w:p w14:paraId="58BDAC3E">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2、装置用于生命科学实验中生态环境的设计和循环以及生态缸的布置等实验；</w:t>
            </w:r>
          </w:p>
          <w:p w14:paraId="25F8D46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3、主体材质为高透光超白晶玻璃，精心打磨，手感平滑，不低于5mm加厚无边框设计，结构稳固，透光率≥91.5%，用于观赏、拍照、录像动植物的生长状态，观赏体验效果更好；</w:t>
            </w:r>
          </w:p>
          <w:p w14:paraId="1570859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4、底座及顶盖采用ABS工程塑料，无毒、无味，兼有韧、硬、刚的特性，有极好的冲击强度，尺寸稳定性好，耐磨；</w:t>
            </w:r>
          </w:p>
          <w:p w14:paraId="07BA6F8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5、顶盖立体设计，内嵌阻尼轴心，开关无声，静音开合10000次以上无明显损坏；</w:t>
            </w:r>
          </w:p>
          <w:p w14:paraId="2366386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6、内置感温度探头，栽培环境温度实时监测并LED数码显示，环境温度一目了然；</w:t>
            </w:r>
          </w:p>
          <w:p w14:paraId="00B23E7A">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7、顶盖设置5370植物生长专用高亮补光灯，提供植物生长所需有效光谱，光照模式设置八色幻彩灯光，包括白、蓝、红、紫、绿、青、黄、渐变照明模式，通过触摸按键可进行一键交替切换使用并一键照明亮度调节，增加教学实验的对比性和趣味性，补光灯采用柔光板设计，在保护养殖昆虫动物应激反应的同时，也保护灯珠强光对人眼的伤害；</w:t>
            </w:r>
          </w:p>
          <w:p w14:paraId="03C357C2">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8、多功能顶盖设置，根据陆生动植物养殖和水生动植物养殖，分别进行食物盒和水循环过滤系统；</w:t>
            </w:r>
          </w:p>
          <w:p w14:paraId="421806C3">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8.1、水生生态环境布置可设置高效静音过滤，可选用各种不同的过滤材质，对水质过滤洁净程度进行探究（推荐净水材质有碳过滤棉、生化棉、中空石英球、陶瓷圈、颗粒活性炭等）；</w:t>
            </w:r>
          </w:p>
          <w:p w14:paraId="426393A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8.2、多功能三合一仿生态水泵，增氧、循环、造浪一泵完成；</w:t>
            </w:r>
          </w:p>
          <w:p w14:paraId="325D1CE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8.3、顶盖设置自动通风换气系统，保证栽培环境中的空气流通和进行内部气体更换更换； 8.4、设置80mL旋转式防卡粮搅拌食物补给仓，阻挡水汽进入，可设置三档时间自动喂食；</w:t>
            </w:r>
          </w:p>
          <w:p w14:paraId="3335CCC1">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8.5、顶盖配备室内环境自动净化空气功能，香薰或喷雾三档可调；</w:t>
            </w:r>
          </w:p>
          <w:p w14:paraId="2651D975">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9、装置整体尺寸：≥375×240×365mm，重量：≥7kg；</w:t>
            </w:r>
          </w:p>
          <w:p w14:paraId="068FC5A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10、采用安全直流电压供电，总功率≥10W。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55F3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8B4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8A3A1">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3146</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141A">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745490"/>
                  <wp:effectExtent l="0" t="0" r="5080" b="16510"/>
                  <wp:docPr id="4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0"/>
                          <pic:cNvPicPr>
                            <a:picLocks noChangeAspect="1"/>
                          </pic:cNvPicPr>
                        </pic:nvPicPr>
                        <pic:blipFill>
                          <a:blip r:embed="rId49"/>
                          <a:stretch>
                            <a:fillRect/>
                          </a:stretch>
                        </pic:blipFill>
                        <pic:spPr>
                          <a:xfrm>
                            <a:off x="0" y="0"/>
                            <a:ext cx="1004570" cy="745490"/>
                          </a:xfrm>
                          <a:prstGeom prst="rect">
                            <a:avLst/>
                          </a:prstGeom>
                          <a:noFill/>
                          <a:ln>
                            <a:noFill/>
                          </a:ln>
                        </pic:spPr>
                      </pic:pic>
                    </a:graphicData>
                  </a:graphic>
                </wp:inline>
              </w:drawing>
            </w:r>
          </w:p>
        </w:tc>
      </w:tr>
      <w:tr w14:paraId="7DB5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4DBE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F8EE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水耕生态养殖系统</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0642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水耕生态养殖系统：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1、复合耕作体系生态环境设计，实现水生动植物和陆生动植物协同共生效应，探究水生动物、水生植物、陆生动物、陆生植物和微生物及必要环境因素之间生态平衡关系；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2、整体尺寸：宽×深×高≥≥1000×500×1720mm，陆生动植物养殖空间尺寸：宽×深×高≥900×390×150mm，水生动植物养殖空间尺寸：宽×深×高≥960×420×300mm；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3、主体材质为钢结构骨架，外饰面防水板材质包边，结构美观和防水；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4、配置不小于7英寸的彩色触摸屏控制系统，要求显示清晰、触控灵敏、运行稳定，具备人机交互功能。屏幕表面需具备足够的硬度以确保耐用性和抗划伤</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5、陆生动植物养殖箱与水生动植物养殖箱封闭隔离设计及肥水连通循环结构设计，上、下双层生态系统隔离设计，上层为陆生动植物栽培区域，下层为水生动植物栽培区；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陆生动植物养殖区分为水培区、基质栽培区和水质净化区，设置不低于三重级别水质净化过滤装置，实时监测显示生长环境温度、湿度、光照强度、二氧化碳浓度等参数，植物生长补光可分段控制，设定范围为24段不同时间段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7、水生动植物养殖区用于水陆两栖类动物和水生植物的养殖：</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7.1 水生环境水温、TDS值、pH值等参数实时监测显示，水生环境温度补偿，配置水体加热装置，保证不同环境动物生长温度需求，水体加热装置独立开关控制；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7.2 水生环境配备杀菌装置，用于水生区域微生物的消杀，杀菌装置独立开关控制；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7.3 设置水体循环装置，为陆生植物生长提供营养水分；</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7.4 设置水体造浪装置和水体补氧装置，循环水泵和增氧泵保证水质的氧气充足，水生动物健康愉悦生长，循环水泵功率：35-60W，增氧泵功率：8-10W；</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7.5 水体循环水泵运行维保时间设置，提醒用户定期清洗营养液水泵，保证水泵高效运行；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7.6 水生动植物养殖区补光、杀菌、水泵循环、造浪、增氧等装置可分段控制，设定范围为24段不同时间段控制；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7.7 水体水箱独立设置高低水位监测功能，在水位出现异常情况下发出蜂鸣警示并文字提示警示原因，方便用户解决问题；</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8、各模块运行状态屏显直观可见，系统控制装置异常警示并文字提示，工控设置保存并执行；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9、下层主体材质采用≥10mm厚超白钢玻璃，透明度强，适合观察水生动植物的生长状态；</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10、设备底部设置有活动抽屉，便于放置营养液、种子、种植工具等小型耗材及工具；</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11、电压：AC220V/50Hz；功率：约150W。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1907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947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8056B">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38940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64B2">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415415"/>
                  <wp:effectExtent l="0" t="0" r="5080" b="13335"/>
                  <wp:docPr id="4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3"/>
                          <pic:cNvPicPr>
                            <a:picLocks noChangeAspect="1"/>
                          </pic:cNvPicPr>
                        </pic:nvPicPr>
                        <pic:blipFill>
                          <a:blip r:embed="rId50"/>
                          <a:stretch>
                            <a:fillRect/>
                          </a:stretch>
                        </pic:blipFill>
                        <pic:spPr>
                          <a:xfrm>
                            <a:off x="0" y="0"/>
                            <a:ext cx="1004570" cy="1415415"/>
                          </a:xfrm>
                          <a:prstGeom prst="rect">
                            <a:avLst/>
                          </a:prstGeom>
                          <a:noFill/>
                          <a:ln>
                            <a:noFill/>
                          </a:ln>
                        </pic:spPr>
                      </pic:pic>
                    </a:graphicData>
                  </a:graphic>
                </wp:inline>
              </w:drawing>
            </w:r>
          </w:p>
        </w:tc>
      </w:tr>
      <w:tr w14:paraId="064D2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9A9B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E9E5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全温振荡器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0D1B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全温振荡器：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1、全温振荡器广泛应用于教学、医疗、卫生防疫、环境监测等部门作生物、生化、细胞、菌种等各种液态、固态化合物的振荡培养；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2、设备外框为加厚钣金喷塑，内腔采用304不锈钢制作，抗腐蚀和保温性能良好；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3、静电喷塑箱体，大屏幕透明视窗，三维一体传动机构，运转平稳，承载力大；</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4、无刷直流电机控制系统，带调速、恒力矩、恒转速、无碳刷、免保养、控速精准，具备缓启动功能，运转平稳，在启动期间保护样品安全，仪器升温和降温情况下不掉速；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5、温控精准，可进行培养环境的降温和加温，控制温度范围：4-60℃，控温精度：≤0.1℃，分辨率：0.1℃，温度均匀度：≤1℃；</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6、转速：40-300rpm，振幅：≥Φ25mm；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7、实时显示设定参数和实测参数，设备运行状态动态显示；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8、智能化声光故障报警，并在液晶屏显示和提示当前故障信息，同时在主板上进行故障报警信息储存，方便用户随时查阅；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9、可储存不低于20个不同运行的程序，方便实验操作时参数设定，仪器运行定时范围：0-999h；</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10、采用万能不锈钢弹簧网架，弹簧网架尺寸：≥450×400mm，可容纳培养瓶数量容量：≥500mL×9/250mL×16/100mL×25；</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11、温度、转速等参数可实时监测，自动绘制参数曲线，记录频率为1-9999s（可进行记录数据的自动打印，自动打印数据时间间隔为1-600分，日期间隔为0-7天，打印需增配外接打印机）；</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、可开关机时间设定，运行参数加密锁定，内设照明灯和紫外杀菌装置，具备断电恢复功能；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、电源电压：220V/50Hz；整机功率≥1000W。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32BA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台</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D72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95E7">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17036.80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E0EC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096010"/>
                  <wp:effectExtent l="0" t="0" r="5080" b="8890"/>
                  <wp:docPr id="4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4"/>
                          <pic:cNvPicPr>
                            <a:picLocks noChangeAspect="1"/>
                          </pic:cNvPicPr>
                        </pic:nvPicPr>
                        <pic:blipFill>
                          <a:blip r:embed="rId51"/>
                          <a:stretch>
                            <a:fillRect/>
                          </a:stretch>
                        </pic:blipFill>
                        <pic:spPr>
                          <a:xfrm>
                            <a:off x="0" y="0"/>
                            <a:ext cx="1004570" cy="1096010"/>
                          </a:xfrm>
                          <a:prstGeom prst="rect">
                            <a:avLst/>
                          </a:prstGeom>
                          <a:noFill/>
                          <a:ln>
                            <a:noFill/>
                          </a:ln>
                        </pic:spPr>
                      </pic:pic>
                    </a:graphicData>
                  </a:graphic>
                </wp:inline>
              </w:drawing>
            </w:r>
          </w:p>
        </w:tc>
      </w:tr>
      <w:tr w14:paraId="33E0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30D7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2644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耗材包</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1CFFA">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1、吸头，10μL，1000个/包，5包；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2、吸头，200μL，1000个/包，5包；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3、吸头，1000μL，500个/包，5包；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4、吸头，5000μL，300个/包，5包；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5、吸头盒，10μL，8个；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6、吸头盒，200μL，8个；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7、吸头盒，1000μL，8个；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8、吸头盒，5000μL，8个；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9、组培瓶，150mL，600个；</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10、培养皿，一次性90mm，500个/箱，1箱；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11、封口膜，16cm×16cm，500张/包，2包；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12、称量纸，90×90mm，2包；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13、擦镜纸，50张/本，10本；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14、脱脂棉，500g/包，2包；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15、酒精灯芯，标准，100条/包，2包；</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16、无粉乳胶手套，50只/盒，中号，5盒；</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17、育苗盘，21穴，尺寸：540×285mm，壁厚1mm，50个。</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8E4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5FD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6EE8">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18"/>
                <w:szCs w:val="18"/>
                <w:u w:val="none"/>
                <w:lang w:val="en-US" w:eastAsia="zh-CN" w:bidi="ar"/>
              </w:rPr>
              <w:t>11435</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DB7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0B5FF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D184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65EF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教学试剂包</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B7A5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1、试剂盒-植物的组织培养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2、试剂盒-手指植物的制作</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3、试剂盒-菩提树组织培养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4、试剂盒-胡萝卜组织培养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5、试剂盒-矮牵牛组织培养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6、试剂盒-百合组织培养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7、试剂盒-彩叶草组织培养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8、试剂盒-菊花组织培养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9、试剂盒-卡特兰愈伤组织培养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10、试剂盒-落地生根组织培养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11、试剂盒-葡萄风信子组织培养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12、试剂盒-小丽花组织培养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13、试剂盒-烟草组织培养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14、试剂盒-铁皮石斛组织培养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15、试剂盒-草莓组织培养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16、试剂盒-枸杞组织培养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17、试剂盒-金线莲组织培养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18、试剂盒-含羞草组织培养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19、试剂盒-蛇莓组织培养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20、试剂盒-太阳花组织培养</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21、试剂盒-月季组织培养</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ACB6D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DF8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9EB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18"/>
                <w:szCs w:val="18"/>
                <w:u w:val="none"/>
                <w:lang w:val="en-US" w:eastAsia="zh-CN" w:bidi="ar"/>
              </w:rPr>
              <w:t>11277</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58AA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09F86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4E5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F7A5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无菌种苗包</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FD23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1、无菌苗-烟草</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2、无菌苗-百合</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3、无菌苗-矮牵牛</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4、无菌苗-卡特兰愈伤</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5、无菌苗-小丽花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6、无菌苗-菊花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7、无菌苗-菩提树</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8、无菌苗-月季</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9、无菌苗-落地生根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10、无菌苗-葡萄风信子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11、无菌苗-彩叶草</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12、无菌苗-铁皮石斛-长芽无愈伤</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13、无菌苗-草莓</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14、无菌苗-枸杞</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15、无菌苗-金线莲</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16、无菌苗-菊花精油瓶挂件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17、无菌苗-含羞草</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18、无菌苗-蛇莓</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19、无菌苗-太阳花</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20、无菌苗-胡萝卜</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0F7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C6D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CF4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1973</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5370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7015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3A7B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0E4F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循环通风净化过滤系统（无菌间）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F9EDE">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正压送风，高效过滤自净器一套，风量</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1000立方/小时，喷塑铝合金进出风口，含运输和安装。</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D25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DB7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ECF0C">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48000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B02F">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00B0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D801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4EA6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风淋室</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95A7F5E">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外行尺寸：1300×780×2050 （宽×深×高） 净化区尺寸：700×780×1950（宽×深×高）（±20mm）， 过滤器净化效率：≥0.5um尘埃≥99.99%（钠焰法）电 源： 220V-50Hz 最大功率：0.55KW 重 量：150Kg 有隔板高效过滤器尺寸：600×600×120×2</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70BC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26AC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CFD3B">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15040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916E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50561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7332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FB25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净化灯</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EBE2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净化实验室专用，双管（2×40W）不锈钢直边</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946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A21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2B9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2560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803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4866B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BACA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9307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紫外灯</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6CF44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功率40W</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6B4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DE61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6C50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2400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2DD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7D314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C2D1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D1DE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净化顶板</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2EE26">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50系列实验室专用净化苯板一边加钢带(主材为基板</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0.5mm,表面喷塑处理)。</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546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B3D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9BC7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24400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92F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4409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0877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064F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净化立板</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CA7F3">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50系列实验室专用净化苯板一边加钢带(主材为基板</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0.5mm,表面喷塑处理)。</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EB4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8455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03823">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21960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2C4E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7DA6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6958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B60E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2386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50系列实验室门专用净化苯板表面喷塑处理</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0E5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A4E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77F8">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8400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0E1B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5C99C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311F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9533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净化板透视窗</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0FC6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5mm钢化玻璃，净化板系列专用型材。</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725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项</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D0A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913E">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3400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F9A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09C52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EBD9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AE1A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室内水\电路改造\系统集成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936F4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铜芯线按照容量需求配线，PVC阻燃穿线管及暗合</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896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项</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891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D5B41">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6000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986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3BADB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620C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09D45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地插</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9B99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六孔地槽，含安装</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0BB1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项</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E8A4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31793">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4627B">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54EE9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9670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2040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墙插</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8EC7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五孔墙插，含安装</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88A2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项</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8280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A614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60DE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3BC64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865"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7FBCC">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56座上通风化学实验室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C81B4">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117CF">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31E7C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E142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1FCD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cs="宋体"/>
                <w:i w:val="0"/>
                <w:iCs w:val="0"/>
                <w:color w:val="auto"/>
                <w:sz w:val="20"/>
                <w:szCs w:val="20"/>
                <w:u w:val="none"/>
                <w:lang w:val="en-US" w:eastAsia="zh-CN" w:bidi="ar"/>
              </w:rPr>
              <w:t>钢木</w:t>
            </w:r>
            <w:r>
              <w:rPr>
                <w:rFonts w:hint="eastAsia" w:ascii="宋体" w:hAnsi="宋体" w:eastAsia="宋体" w:cs="宋体"/>
                <w:i w:val="0"/>
                <w:iCs w:val="0"/>
                <w:color w:val="auto"/>
                <w:sz w:val="20"/>
                <w:szCs w:val="20"/>
                <w:u w:val="none"/>
                <w:lang w:val="en-US" w:eastAsia="zh-CN" w:bidi="ar"/>
              </w:rPr>
              <w:t>教师桌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2E69C">
            <w:pPr>
              <w:rPr>
                <w:rFonts w:hint="eastAsia" w:ascii="宋体" w:hAnsi="宋体" w:eastAsia="宋体" w:cs="宋体"/>
                <w:sz w:val="20"/>
                <w:szCs w:val="18"/>
              </w:rPr>
            </w:pPr>
            <w:r>
              <w:rPr>
                <w:rFonts w:hint="eastAsia" w:ascii="宋体" w:hAnsi="宋体" w:eastAsia="宋体" w:cs="宋体"/>
                <w:sz w:val="20"/>
                <w:szCs w:val="18"/>
              </w:rPr>
              <w:t>1.规格：2400×700×850mm±10mm；</w:t>
            </w:r>
          </w:p>
          <w:p w14:paraId="232847FA">
            <w:pPr>
              <w:rPr>
                <w:rFonts w:hint="eastAsia" w:ascii="宋体" w:hAnsi="宋体" w:eastAsia="宋体" w:cs="宋体"/>
                <w:sz w:val="20"/>
                <w:szCs w:val="18"/>
                <w:lang w:eastAsia="zh-CN"/>
              </w:rPr>
            </w:pPr>
            <w:r>
              <w:rPr>
                <w:rFonts w:hint="eastAsia" w:ascii="宋体" w:hAnsi="宋体" w:eastAsia="宋体" w:cs="宋体"/>
                <w:sz w:val="20"/>
                <w:szCs w:val="18"/>
              </w:rPr>
              <w:t>2.台面：采用≥12.7mm厚双面膜实芯理化板</w:t>
            </w:r>
            <w:r>
              <w:rPr>
                <w:rFonts w:hint="eastAsia" w:ascii="宋体" w:hAnsi="宋体" w:cs="宋体"/>
                <w:sz w:val="20"/>
                <w:szCs w:val="18"/>
                <w:lang w:eastAsia="zh-CN"/>
              </w:rPr>
              <w:t>，且需符合以下参数：</w:t>
            </w:r>
          </w:p>
          <w:p w14:paraId="017ED2EE">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077B00DD">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382DFCE4">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5624257A">
            <w:pPr>
              <w:rPr>
                <w:rFonts w:hint="eastAsia" w:ascii="宋体" w:hAnsi="宋体" w:eastAsia="宋体" w:cs="宋体"/>
                <w:sz w:val="20"/>
                <w:szCs w:val="18"/>
                <w:lang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603B4A2B">
            <w:pPr>
              <w:rPr>
                <w:rFonts w:hint="eastAsia" w:ascii="宋体" w:hAnsi="宋体" w:eastAsia="宋体" w:cs="宋体"/>
                <w:sz w:val="20"/>
                <w:szCs w:val="18"/>
              </w:rPr>
            </w:pPr>
            <w:r>
              <w:rPr>
                <w:rFonts w:hint="eastAsia" w:ascii="宋体" w:hAnsi="宋体" w:eastAsia="宋体" w:cs="宋体"/>
                <w:sz w:val="20"/>
                <w:szCs w:val="18"/>
              </w:rPr>
              <w:t>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p>
          <w:p w14:paraId="156771E8">
            <w:pPr>
              <w:rPr>
                <w:rFonts w:hint="eastAsia" w:ascii="宋体" w:hAnsi="宋体" w:eastAsia="宋体" w:cs="宋体"/>
                <w:sz w:val="20"/>
                <w:szCs w:val="18"/>
                <w:lang w:eastAsia="zh-CN"/>
              </w:rPr>
            </w:pPr>
            <w:r>
              <w:rPr>
                <w:rFonts w:hint="eastAsia" w:ascii="宋体" w:hAnsi="宋体" w:eastAsia="宋体" w:cs="宋体"/>
                <w:sz w:val="20"/>
                <w:szCs w:val="18"/>
              </w:rPr>
              <w:t>4.门铰：</w:t>
            </w:r>
            <w:r>
              <w:rPr>
                <w:rFonts w:hint="eastAsia" w:ascii="宋体" w:hAnsi="宋体" w:cs="宋体"/>
                <w:sz w:val="20"/>
                <w:szCs w:val="18"/>
                <w:lang w:eastAsia="zh-CN"/>
              </w:rPr>
              <w:t>采用优质阻尼自闭铰链，开关顺畅，使用寿命长。</w:t>
            </w:r>
          </w:p>
          <w:p w14:paraId="756FAF66">
            <w:pPr>
              <w:rPr>
                <w:rFonts w:hint="eastAsia" w:ascii="宋体" w:hAnsi="宋体" w:eastAsia="宋体" w:cs="宋体"/>
                <w:sz w:val="20"/>
                <w:szCs w:val="18"/>
              </w:rPr>
            </w:pPr>
            <w:r>
              <w:rPr>
                <w:rFonts w:hint="eastAsia" w:ascii="宋体" w:hAnsi="宋体" w:eastAsia="宋体" w:cs="宋体"/>
                <w:sz w:val="20"/>
                <w:szCs w:val="18"/>
              </w:rPr>
              <w:t>5.滑轨：采用阻尼三节滑轨。</w:t>
            </w:r>
          </w:p>
          <w:p w14:paraId="65D3A52E">
            <w:pPr>
              <w:rPr>
                <w:rFonts w:hint="eastAsia" w:ascii="宋体" w:hAnsi="宋体" w:eastAsia="宋体" w:cs="宋体"/>
                <w:sz w:val="20"/>
                <w:szCs w:val="18"/>
              </w:rPr>
            </w:pPr>
            <w:r>
              <w:rPr>
                <w:rFonts w:hint="eastAsia" w:ascii="宋体" w:hAnsi="宋体" w:eastAsia="宋体" w:cs="宋体"/>
                <w:sz w:val="20"/>
                <w:szCs w:val="18"/>
              </w:rPr>
              <w:t>6.手抽:一字型，表面有光滑防腐涂层。</w:t>
            </w:r>
          </w:p>
          <w:p w14:paraId="1CCBB909">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7.固定脚：采用ABS工程塑料模具成型制作而成，具有高度可调、耐磨、防潮、耐腐蚀等特点。</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BF1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D291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77B9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6500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B85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40130" cy="876300"/>
                  <wp:effectExtent l="0" t="0" r="7620" b="0"/>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pic:cNvPicPr>
                            <a:picLocks noChangeAspect="1"/>
                          </pic:cNvPicPr>
                        </pic:nvPicPr>
                        <pic:blipFill>
                          <a:blip r:embed="rId52"/>
                          <a:stretch>
                            <a:fillRect/>
                          </a:stretch>
                        </pic:blipFill>
                        <pic:spPr>
                          <a:xfrm>
                            <a:off x="0" y="0"/>
                            <a:ext cx="1040129" cy="876299"/>
                          </a:xfrm>
                          <a:prstGeom prst="rect">
                            <a:avLst/>
                          </a:prstGeom>
                          <a:noFill/>
                          <a:ln>
                            <a:noFill/>
                          </a:ln>
                        </pic:spPr>
                      </pic:pic>
                    </a:graphicData>
                  </a:graphic>
                </wp:inline>
              </w:drawing>
            </w:r>
          </w:p>
        </w:tc>
      </w:tr>
      <w:tr w14:paraId="5B23B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CB42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9E7C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化学</w:t>
            </w:r>
            <w:r>
              <w:rPr>
                <w:rFonts w:hint="eastAsia" w:ascii="宋体" w:hAnsi="宋体" w:eastAsia="宋体" w:cs="宋体"/>
                <w:i w:val="0"/>
                <w:iCs w:val="0"/>
                <w:color w:val="000000"/>
                <w:sz w:val="20"/>
                <w:szCs w:val="20"/>
                <w:u w:val="none"/>
                <w:lang w:val="en-US" w:eastAsia="zh-CN" w:bidi="ar"/>
              </w:rPr>
              <w:t>实验桌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D8347">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cs="宋体"/>
                <w:sz w:val="20"/>
                <w:szCs w:val="20"/>
                <w:lang w:val="en-US" w:eastAsia="zh-CN"/>
              </w:rPr>
              <w:t>1.</w:t>
            </w:r>
            <w:r>
              <w:rPr>
                <w:rFonts w:hint="eastAsia" w:ascii="宋体" w:hAnsi="宋体" w:eastAsia="宋体" w:cs="宋体"/>
                <w:sz w:val="20"/>
                <w:szCs w:val="20"/>
                <w:lang w:val="en-US" w:eastAsia="zh-CN"/>
              </w:rPr>
              <w:t>规格：1200*600*780mm±10mm</w:t>
            </w:r>
            <w:r>
              <w:rPr>
                <w:rFonts w:hint="eastAsia" w:ascii="宋体" w:hAnsi="宋体" w:cs="宋体"/>
                <w:sz w:val="20"/>
                <w:szCs w:val="20"/>
                <w:lang w:val="en-US" w:eastAsia="zh-CN"/>
              </w:rPr>
              <w:t>；</w:t>
            </w:r>
          </w:p>
          <w:p w14:paraId="4DD8E255">
            <w:pPr>
              <w:numPr>
                <w:ilvl w:val="0"/>
                <w:numId w:val="0"/>
              </w:numPr>
              <w:spacing w:after="0" w:line="240" w:lineRule="auto"/>
              <w:contextualSpacing/>
              <w:rPr>
                <w:rFonts w:hint="eastAsia" w:ascii="宋体" w:hAnsi="宋体" w:cs="宋体"/>
                <w:sz w:val="20"/>
                <w:szCs w:val="20"/>
                <w:lang w:val="en-US" w:eastAsia="zh-CN"/>
              </w:rPr>
            </w:pPr>
            <w:r>
              <w:rPr>
                <w:rFonts w:hint="eastAsia" w:ascii="宋体" w:hAnsi="宋体" w:cs="宋体"/>
                <w:sz w:val="20"/>
                <w:szCs w:val="20"/>
                <w:lang w:val="en-US" w:eastAsia="zh-CN"/>
              </w:rPr>
              <w:t>2.</w:t>
            </w:r>
            <w:r>
              <w:rPr>
                <w:rFonts w:hint="eastAsia" w:ascii="宋体" w:hAnsi="宋体" w:eastAsia="宋体" w:cs="宋体"/>
                <w:sz w:val="20"/>
                <w:szCs w:val="20"/>
                <w:lang w:val="en-US" w:eastAsia="zh-CN"/>
              </w:rPr>
              <w:t>台面：采用≥20mm厚一体成型高温烧制实验室专用陶瓷台面</w:t>
            </w:r>
            <w:r>
              <w:rPr>
                <w:rFonts w:hint="eastAsia" w:ascii="宋体" w:hAnsi="宋体" w:cs="宋体"/>
                <w:sz w:val="20"/>
                <w:szCs w:val="20"/>
                <w:lang w:val="en-US" w:eastAsia="zh-CN"/>
              </w:rPr>
              <w:t>，且参数符合如下标准：</w:t>
            </w:r>
          </w:p>
          <w:p w14:paraId="677C7441">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cs="宋体"/>
                <w:sz w:val="20"/>
                <w:szCs w:val="20"/>
                <w:lang w:val="en-US" w:eastAsia="zh-CN"/>
              </w:rPr>
              <w:t>2.1</w:t>
            </w:r>
            <w:r>
              <w:rPr>
                <w:rFonts w:hint="eastAsia" w:ascii="宋体" w:hAnsi="宋体" w:eastAsia="宋体" w:cs="宋体"/>
                <w:sz w:val="20"/>
                <w:szCs w:val="20"/>
                <w:lang w:val="en-US" w:eastAsia="zh-CN"/>
              </w:rPr>
              <w:t>抗菌性能：大肠杆菌抗菌率≥9</w:t>
            </w:r>
            <w:r>
              <w:rPr>
                <w:rFonts w:hint="eastAsia" w:ascii="宋体" w:hAnsi="宋体" w:cs="宋体"/>
                <w:sz w:val="20"/>
                <w:szCs w:val="20"/>
                <w:lang w:val="en-US" w:eastAsia="zh-CN"/>
              </w:rPr>
              <w:t>0</w:t>
            </w:r>
            <w:r>
              <w:rPr>
                <w:rFonts w:hint="eastAsia" w:ascii="宋体" w:hAnsi="宋体" w:eastAsia="宋体" w:cs="宋体"/>
                <w:sz w:val="20"/>
                <w:szCs w:val="20"/>
                <w:lang w:val="en-US" w:eastAsia="zh-CN"/>
              </w:rPr>
              <w:t>.00%，金黄色葡萄球菌抗菌率≥9</w:t>
            </w:r>
            <w:r>
              <w:rPr>
                <w:rFonts w:hint="eastAsia" w:ascii="宋体" w:hAnsi="宋体" w:cs="宋体"/>
                <w:sz w:val="20"/>
                <w:szCs w:val="20"/>
                <w:lang w:val="en-US" w:eastAsia="zh-CN"/>
              </w:rPr>
              <w:t>0</w:t>
            </w:r>
            <w:r>
              <w:rPr>
                <w:rFonts w:hint="eastAsia" w:ascii="宋体" w:hAnsi="宋体" w:eastAsia="宋体" w:cs="宋体"/>
                <w:sz w:val="20"/>
                <w:szCs w:val="20"/>
                <w:lang w:val="en-US" w:eastAsia="zh-CN"/>
              </w:rPr>
              <w:t>.00%；</w:t>
            </w:r>
          </w:p>
          <w:p w14:paraId="6AAF08B0">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cs="宋体"/>
                <w:sz w:val="20"/>
                <w:szCs w:val="20"/>
                <w:lang w:val="en-US" w:eastAsia="zh-CN"/>
              </w:rPr>
              <w:t>2.2</w:t>
            </w:r>
            <w:r>
              <w:rPr>
                <w:rFonts w:hint="eastAsia" w:ascii="宋体" w:hAnsi="宋体" w:eastAsia="宋体" w:cs="宋体"/>
                <w:sz w:val="20"/>
                <w:szCs w:val="20"/>
                <w:lang w:val="en-US" w:eastAsia="zh-CN"/>
              </w:rPr>
              <w:t>耐磨性</w:t>
            </w:r>
            <w:r>
              <w:rPr>
                <w:rFonts w:hint="eastAsia" w:ascii="宋体" w:hAnsi="宋体" w:cs="宋体"/>
                <w:sz w:val="20"/>
                <w:szCs w:val="20"/>
                <w:lang w:val="en-US" w:eastAsia="zh-CN"/>
              </w:rPr>
              <w:t>能</w:t>
            </w:r>
            <w:r>
              <w:rPr>
                <w:rFonts w:hint="eastAsia" w:ascii="宋体" w:hAnsi="宋体" w:eastAsia="宋体" w:cs="宋体"/>
                <w:sz w:val="20"/>
                <w:szCs w:val="20"/>
                <w:lang w:val="en-US" w:eastAsia="zh-CN"/>
              </w:rPr>
              <w:t>：耐磨性达到</w:t>
            </w:r>
            <w:r>
              <w:rPr>
                <w:rFonts w:hint="eastAsia" w:ascii="宋体" w:hAnsi="宋体" w:cs="宋体"/>
                <w:sz w:val="20"/>
                <w:szCs w:val="20"/>
                <w:lang w:val="en-US" w:eastAsia="zh-CN"/>
              </w:rPr>
              <w:t>15</w:t>
            </w:r>
            <w:r>
              <w:rPr>
                <w:rFonts w:hint="eastAsia" w:ascii="宋体" w:hAnsi="宋体" w:eastAsia="宋体" w:cs="宋体"/>
                <w:sz w:val="20"/>
                <w:szCs w:val="20"/>
                <w:lang w:val="en-US" w:eastAsia="zh-CN"/>
              </w:rPr>
              <w:t>00转</w:t>
            </w:r>
            <w:r>
              <w:rPr>
                <w:rFonts w:hint="eastAsia" w:ascii="宋体" w:hAnsi="宋体" w:cs="宋体"/>
                <w:sz w:val="20"/>
                <w:szCs w:val="20"/>
                <w:lang w:val="en-US" w:eastAsia="zh-CN"/>
              </w:rPr>
              <w:t>，3级或</w:t>
            </w:r>
            <w:r>
              <w:rPr>
                <w:rFonts w:hint="eastAsia" w:ascii="宋体" w:hAnsi="宋体" w:eastAsia="宋体" w:cs="宋体"/>
                <w:sz w:val="20"/>
                <w:szCs w:val="20"/>
                <w:lang w:val="en-US" w:eastAsia="zh-CN"/>
              </w:rPr>
              <w:t>以上；</w:t>
            </w:r>
          </w:p>
          <w:p w14:paraId="7C639F2F">
            <w:pPr>
              <w:numPr>
                <w:ilvl w:val="0"/>
                <w:numId w:val="0"/>
              </w:numPr>
              <w:spacing w:after="0" w:line="240" w:lineRule="auto"/>
              <w:contextualSpacing/>
              <w:rPr>
                <w:rFonts w:hint="default" w:ascii="宋体" w:hAnsi="宋体" w:eastAsia="宋体" w:cs="宋体"/>
                <w:sz w:val="20"/>
                <w:szCs w:val="20"/>
                <w:lang w:val="en-US" w:eastAsia="zh-CN"/>
              </w:rPr>
            </w:pPr>
            <w:r>
              <w:rPr>
                <w:rFonts w:hint="eastAsia" w:ascii="宋体" w:hAnsi="宋体" w:cs="宋体"/>
                <w:sz w:val="20"/>
                <w:szCs w:val="20"/>
                <w:lang w:val="en-US" w:eastAsia="zh-CN"/>
              </w:rPr>
              <w:t>2.3表面耐污染性能：满足不少于90种化学试剂检测，且覆盖玻璃盖板和未覆盖玻璃盖板检验结果≥4级；</w:t>
            </w:r>
          </w:p>
          <w:p w14:paraId="107D9DE5">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r>
              <w:rPr>
                <w:rFonts w:hint="eastAsia" w:ascii="宋体" w:hAnsi="宋体" w:eastAsia="宋体" w:cs="宋体"/>
                <w:sz w:val="20"/>
                <w:szCs w:val="18"/>
              </w:rPr>
              <w:t>.</w:t>
            </w:r>
            <w:r>
              <w:rPr>
                <w:rFonts w:hint="eastAsia" w:ascii="宋体" w:hAnsi="宋体" w:eastAsia="宋体" w:cs="宋体"/>
                <w:sz w:val="20"/>
                <w:szCs w:val="20"/>
                <w:lang w:val="en-US" w:eastAsia="zh-CN"/>
              </w:rPr>
              <w:t>结构：新型塑铝结构,学生位镂空式，主框架字型结构：桌身：由桌腿、立柱、前横梁、中横梁、后横梁组成</w:t>
            </w:r>
            <w:r>
              <w:rPr>
                <w:rFonts w:hint="eastAsia" w:ascii="宋体" w:hAnsi="宋体" w:cs="宋体"/>
                <w:sz w:val="20"/>
                <w:szCs w:val="20"/>
                <w:lang w:val="en-US" w:eastAsia="zh-CN"/>
              </w:rPr>
              <w:t>；</w:t>
            </w:r>
            <w:r>
              <w:rPr>
                <w:rFonts w:hint="eastAsia" w:ascii="宋体" w:hAnsi="宋体" w:eastAsia="宋体" w:cs="宋体"/>
                <w:sz w:val="20"/>
                <w:szCs w:val="20"/>
                <w:lang w:val="en-US" w:eastAsia="zh-CN"/>
              </w:rPr>
              <w:br w:type="textWrapping"/>
            </w:r>
            <w:r>
              <w:rPr>
                <w:rFonts w:hint="eastAsia" w:ascii="宋体" w:hAnsi="宋体" w:eastAsia="宋体" w:cs="宋体"/>
                <w:sz w:val="20"/>
                <w:szCs w:val="20"/>
                <w:lang w:val="en-US" w:eastAsia="zh-CN"/>
              </w:rPr>
              <w:t>4</w:t>
            </w:r>
            <w:r>
              <w:rPr>
                <w:rFonts w:hint="eastAsia" w:ascii="宋体" w:hAnsi="宋体" w:eastAsia="宋体" w:cs="宋体"/>
                <w:sz w:val="20"/>
                <w:szCs w:val="18"/>
              </w:rPr>
              <w:t>.</w:t>
            </w:r>
            <w:r>
              <w:rPr>
                <w:rFonts w:hint="eastAsia" w:ascii="宋体" w:hAnsi="宋体" w:eastAsia="宋体" w:cs="宋体"/>
                <w:sz w:val="20"/>
                <w:szCs w:val="20"/>
                <w:lang w:val="en-US" w:eastAsia="zh-CN"/>
              </w:rPr>
              <w:t>主框架字型结构材质：采用铝镁合金材料，</w:t>
            </w:r>
            <w:r>
              <w:rPr>
                <w:rFonts w:hint="eastAsia" w:ascii="宋体" w:hAnsi="宋体" w:cs="宋体"/>
                <w:sz w:val="20"/>
                <w:szCs w:val="20"/>
                <w:lang w:val="en-US" w:eastAsia="zh-CN"/>
              </w:rPr>
              <w:t>桌腿</w:t>
            </w:r>
            <w:r>
              <w:rPr>
                <w:rFonts w:hint="eastAsia" w:ascii="宋体" w:hAnsi="宋体" w:eastAsia="宋体" w:cs="宋体"/>
                <w:sz w:val="20"/>
                <w:szCs w:val="20"/>
                <w:lang w:val="en-US" w:eastAsia="zh-CN"/>
              </w:rPr>
              <w:t>壁厚≥3mm，材料表面经高压静电喷涂环氧树脂防护层，耐酸碱，耐腐蚀处理</w:t>
            </w:r>
            <w:r>
              <w:rPr>
                <w:rFonts w:hint="eastAsia" w:ascii="宋体" w:hAnsi="宋体" w:cs="宋体"/>
                <w:sz w:val="20"/>
                <w:szCs w:val="20"/>
                <w:lang w:val="en-US" w:eastAsia="zh-CN"/>
              </w:rPr>
              <w:t>；</w:t>
            </w:r>
          </w:p>
          <w:p w14:paraId="5020DA2C">
            <w:pPr>
              <w:numPr>
                <w:ilvl w:val="0"/>
                <w:numId w:val="0"/>
              </w:numPr>
              <w:spacing w:after="0" w:line="240" w:lineRule="auto"/>
              <w:contextualSpacing/>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5</w:t>
            </w:r>
            <w:r>
              <w:rPr>
                <w:rFonts w:hint="eastAsia" w:ascii="宋体" w:hAnsi="宋体" w:eastAsia="宋体" w:cs="宋体"/>
                <w:sz w:val="20"/>
                <w:szCs w:val="18"/>
              </w:rPr>
              <w:t>.</w:t>
            </w:r>
            <w:r>
              <w:rPr>
                <w:rFonts w:hint="eastAsia" w:ascii="宋体" w:hAnsi="宋体" w:eastAsia="宋体" w:cs="宋体"/>
                <w:sz w:val="20"/>
                <w:szCs w:val="20"/>
                <w:lang w:val="en-US" w:eastAsia="zh-CN"/>
              </w:rPr>
              <w:t>书包斗：采用PP材料，需配套实验桌，模具一次性注塑成型,上面设计有可悬挂凳子的圆形孔。</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3C84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44E3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866"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1039CC6D">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45360</w:t>
            </w:r>
          </w:p>
        </w:tc>
        <w:tc>
          <w:tcPr>
            <w:tcW w:w="718"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600C4DA3">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23925" cy="952500"/>
                  <wp:effectExtent l="0" t="0" r="9525" b="0"/>
                  <wp:docPr id="4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0"/>
                          <pic:cNvPicPr>
                            <a:picLocks noChangeAspect="1"/>
                          </pic:cNvPicPr>
                        </pic:nvPicPr>
                        <pic:blipFill>
                          <a:blip r:embed="rId53"/>
                          <a:stretch>
                            <a:fillRect/>
                          </a:stretch>
                        </pic:blipFill>
                        <pic:spPr>
                          <a:xfrm>
                            <a:off x="0" y="0"/>
                            <a:ext cx="923925" cy="952500"/>
                          </a:xfrm>
                          <a:prstGeom prst="rect">
                            <a:avLst/>
                          </a:prstGeom>
                          <a:noFill/>
                          <a:ln>
                            <a:noFill/>
                          </a:ln>
                        </pic:spPr>
                      </pic:pic>
                    </a:graphicData>
                  </a:graphic>
                </wp:inline>
              </w:drawing>
            </w:r>
          </w:p>
        </w:tc>
      </w:tr>
      <w:tr w14:paraId="39E93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17D0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ECB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功能柱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F17B6">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规格335mm*195mm*765mm±10mm，选用全钢结构，主体材质为≥1.0mm镀锌钢板，板材均采用≥1.0mm 的镀锌钢板，自动喷涂线喷涂环氧树脂粉末静电吸附等几道工艺制作而成，具备较强抗氧化和防腐蚀、耐酸碱功能，主体颜色与学生桌桌体颜色一致，让产品形象更加立体、突出，电缆线、通风管等管线均布置于箱体内部，避免管线外露，确保使用的安全。留有检修口，方便检修。</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7114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5C5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86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F1BA129">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7980 </w:t>
            </w:r>
          </w:p>
        </w:tc>
        <w:tc>
          <w:tcPr>
            <w:tcW w:w="718"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206A8E8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895350" cy="1057275"/>
                  <wp:effectExtent l="0" t="0" r="0" b="9525"/>
                  <wp:docPr id="4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79"/>
                          <pic:cNvPicPr>
                            <a:picLocks noChangeAspect="1"/>
                          </pic:cNvPicPr>
                        </pic:nvPicPr>
                        <pic:blipFill>
                          <a:blip r:embed="rId54"/>
                          <a:stretch>
                            <a:fillRect/>
                          </a:stretch>
                        </pic:blipFill>
                        <pic:spPr>
                          <a:xfrm>
                            <a:off x="0" y="0"/>
                            <a:ext cx="895350" cy="1057275"/>
                          </a:xfrm>
                          <a:prstGeom prst="rect">
                            <a:avLst/>
                          </a:prstGeom>
                          <a:noFill/>
                          <a:ln>
                            <a:noFill/>
                          </a:ln>
                        </pic:spPr>
                      </pic:pic>
                    </a:graphicData>
                  </a:graphic>
                </wp:inline>
              </w:drawing>
            </w:r>
          </w:p>
        </w:tc>
      </w:tr>
      <w:tr w14:paraId="5998D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3C7E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B6D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钢塑水槽柜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38E36">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规格：490*585*750mm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柜体框架采用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1.0mm镀锌钢板，板材均采用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 的镀锌钢板，经酸洗磷化及环氧树脂户外粉喷涂处理，具备较强抗氧化和防腐蚀、耐酸碱承重性。</w:t>
            </w:r>
          </w:p>
          <w:p w14:paraId="69DAADF7">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水柜门面板：采用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1.0mm冷轧钢，表面经过时效处理和纯环氧树脂塑粉高温固化处理，具有较强的耐蚀性及承重性。</w:t>
            </w:r>
          </w:p>
          <w:p w14:paraId="72DB6355">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水槽：采用PP改性材料，塑料注塑模一次性成型，其规格600*500*350mm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，耐强酸强碱耐＜80℃有机溶剂并耐150℃以下高温，外型简约美观。</w:t>
            </w:r>
          </w:p>
          <w:p w14:paraId="768E211E">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下水系统：采用PP材质专用连接管，配有防虹吸，防阻塞装置，水槽后方内置防溢水装置，防止废水外溢出台面，排水口内置一个防堵下水锥形网孔漏斗。</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B492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E86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14 </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F4EA">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24500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B8E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1290955"/>
                  <wp:effectExtent l="0" t="0" r="3810" b="4445"/>
                  <wp:docPr id="5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7"/>
                          <pic:cNvPicPr>
                            <a:picLocks noChangeAspect="1"/>
                          </pic:cNvPicPr>
                        </pic:nvPicPr>
                        <pic:blipFill>
                          <a:blip r:embed="rId55"/>
                          <a:stretch>
                            <a:fillRect/>
                          </a:stretch>
                        </pic:blipFill>
                        <pic:spPr>
                          <a:xfrm>
                            <a:off x="0" y="0"/>
                            <a:ext cx="1005840" cy="1290955"/>
                          </a:xfrm>
                          <a:prstGeom prst="rect">
                            <a:avLst/>
                          </a:prstGeom>
                          <a:noFill/>
                          <a:ln>
                            <a:noFill/>
                          </a:ln>
                        </pic:spPr>
                      </pic:pic>
                    </a:graphicData>
                  </a:graphic>
                </wp:inline>
              </w:drawing>
            </w:r>
          </w:p>
        </w:tc>
      </w:tr>
      <w:tr w14:paraId="1C8E1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F565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62F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教师台水槽</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DE335">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pp规格550*450</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采用PP改性材料，塑料注塑模一次性成型，耐强酸强碱耐＜80℃有机溶剂并耐150℃以下高温，外型简约美观。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2BBF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A290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FB115">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225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42F2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672465"/>
                  <wp:effectExtent l="0" t="0" r="4445" b="13335"/>
                  <wp:docPr id="51"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8"/>
                          <pic:cNvPicPr>
                            <a:picLocks noChangeAspect="1"/>
                          </pic:cNvPicPr>
                        </pic:nvPicPr>
                        <pic:blipFill>
                          <a:blip r:embed="rId56"/>
                          <a:stretch>
                            <a:fillRect/>
                          </a:stretch>
                        </pic:blipFill>
                        <pic:spPr>
                          <a:xfrm>
                            <a:off x="0" y="0"/>
                            <a:ext cx="1005205" cy="672465"/>
                          </a:xfrm>
                          <a:prstGeom prst="rect">
                            <a:avLst/>
                          </a:prstGeom>
                          <a:noFill/>
                          <a:ln>
                            <a:noFill/>
                          </a:ln>
                        </pic:spPr>
                      </pic:pic>
                    </a:graphicData>
                  </a:graphic>
                </wp:inline>
              </w:drawing>
            </w:r>
          </w:p>
        </w:tc>
      </w:tr>
      <w:tr w14:paraId="3FB59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946D0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C1A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上水装置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3D48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用于连接地面水管及水龙头，上水管两端接头采用201不锈钢螺帽铜芯，外管是304钢丝+尼龙丝混编</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03FB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81AB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D797D">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600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828C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13179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460D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388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下水装置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D4673">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规格:直径35mm*长度500mm水槽专配型排水管，不锈钢卡扣连接，安装方便不渗漏</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2B53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EB9A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740B1">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CCA1F">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38C5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BE48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C64E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三联水嘴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4AAC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1.主体：加厚铜质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2.涂层：高亮度环氧树脂涂层，耐腐蚀、耐热，防紫外线辐射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3.陶瓷阀芯90°旋转，</w:t>
            </w:r>
            <w:r>
              <w:rPr>
                <w:rFonts w:hint="eastAsia" w:ascii="宋体" w:hAnsi="宋体" w:cs="宋体"/>
                <w:i w:val="0"/>
                <w:iCs w:val="0"/>
                <w:color w:val="000000"/>
                <w:sz w:val="20"/>
                <w:szCs w:val="20"/>
                <w:u w:val="none"/>
                <w:lang w:val="en-US" w:eastAsia="zh-CN" w:bidi="ar"/>
              </w:rPr>
              <w:t>持久耐用。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4.经久耐用，不会出现渗水、断裂现象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5.鹅颈管可360°旋转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6.开关旋钮：高密度PP，人体工学设计，手感舒适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51F8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71F8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2B9E4">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4950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4F1A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893445"/>
                  <wp:effectExtent l="0" t="0" r="4445" b="1905"/>
                  <wp:docPr id="5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9"/>
                          <pic:cNvPicPr>
                            <a:picLocks noChangeAspect="1"/>
                          </pic:cNvPicPr>
                        </pic:nvPicPr>
                        <pic:blipFill>
                          <a:blip r:embed="rId57"/>
                          <a:stretch>
                            <a:fillRect/>
                          </a:stretch>
                        </pic:blipFill>
                        <pic:spPr>
                          <a:xfrm>
                            <a:off x="0" y="0"/>
                            <a:ext cx="1005205" cy="893445"/>
                          </a:xfrm>
                          <a:prstGeom prst="rect">
                            <a:avLst/>
                          </a:prstGeom>
                          <a:noFill/>
                          <a:ln>
                            <a:noFill/>
                          </a:ln>
                        </pic:spPr>
                      </pic:pic>
                    </a:graphicData>
                  </a:graphic>
                </wp:inline>
              </w:drawing>
            </w:r>
          </w:p>
        </w:tc>
      </w:tr>
      <w:tr w14:paraId="6B5FA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1AFB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788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学生安全电源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CAF4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外壳采用ABS注塑一次成型，隐蔽式防尘电源。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交直流输出0-24V,自动过载保护的学生电源有老师统一控制，具有交流220V输出五孔电源插座。</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FA0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538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6BE2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9800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0C3EB">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856615"/>
                  <wp:effectExtent l="0" t="0" r="4445" b="635"/>
                  <wp:docPr id="5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0"/>
                          <pic:cNvPicPr>
                            <a:picLocks noChangeAspect="1"/>
                          </pic:cNvPicPr>
                        </pic:nvPicPr>
                        <pic:blipFill>
                          <a:blip r:embed="rId58"/>
                          <a:stretch>
                            <a:fillRect/>
                          </a:stretch>
                        </pic:blipFill>
                        <pic:spPr>
                          <a:xfrm>
                            <a:off x="0" y="0"/>
                            <a:ext cx="1005205" cy="856615"/>
                          </a:xfrm>
                          <a:prstGeom prst="rect">
                            <a:avLst/>
                          </a:prstGeom>
                          <a:noFill/>
                          <a:ln>
                            <a:noFill/>
                          </a:ln>
                        </pic:spPr>
                      </pic:pic>
                    </a:graphicData>
                  </a:graphic>
                </wp:inline>
              </w:drawing>
            </w:r>
          </w:p>
        </w:tc>
      </w:tr>
      <w:tr w14:paraId="3AB3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9621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CEB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教师总控电源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6606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控制学生220V分四组输出，由电压表检测电压电流。</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教师演示台设有安全宗电源，漏电过载保护功能。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交流220V多功能输出。</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374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21EF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FAD4B">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C4F3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589915"/>
                  <wp:effectExtent l="0" t="0" r="5080" b="635"/>
                  <wp:docPr id="5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1"/>
                          <pic:cNvPicPr>
                            <a:picLocks noChangeAspect="1"/>
                          </pic:cNvPicPr>
                        </pic:nvPicPr>
                        <pic:blipFill>
                          <a:blip r:embed="rId59"/>
                          <a:stretch>
                            <a:fillRect/>
                          </a:stretch>
                        </pic:blipFill>
                        <pic:spPr>
                          <a:xfrm>
                            <a:off x="0" y="0"/>
                            <a:ext cx="1004570" cy="589915"/>
                          </a:xfrm>
                          <a:prstGeom prst="rect">
                            <a:avLst/>
                          </a:prstGeom>
                          <a:noFill/>
                          <a:ln>
                            <a:noFill/>
                          </a:ln>
                        </pic:spPr>
                      </pic:pic>
                    </a:graphicData>
                  </a:graphic>
                </wp:inline>
              </w:drawing>
            </w:r>
          </w:p>
        </w:tc>
      </w:tr>
      <w:tr w14:paraId="56982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8191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8584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实验凳</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85DD0">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规格:315*420-</w:t>
            </w:r>
            <w:r>
              <w:rPr>
                <w:rFonts w:hint="eastAsia" w:ascii="宋体" w:hAnsi="宋体" w:cs="宋体"/>
                <w:i w:val="0"/>
                <w:iCs w:val="0"/>
                <w:color w:val="000000"/>
                <w:sz w:val="20"/>
                <w:szCs w:val="20"/>
                <w:u w:val="none"/>
                <w:lang w:val="en-US" w:eastAsia="zh-CN" w:bidi="ar"/>
              </w:rPr>
              <w:t>480mm±10mm</w:t>
            </w:r>
            <w:r>
              <w:rPr>
                <w:rFonts w:hint="eastAsia" w:ascii="宋体" w:hAnsi="宋体" w:eastAsia="宋体" w:cs="宋体"/>
                <w:i w:val="0"/>
                <w:iCs w:val="0"/>
                <w:color w:val="000000"/>
                <w:sz w:val="20"/>
                <w:szCs w:val="20"/>
                <w:u w:val="none"/>
                <w:lang w:val="en-US" w:eastAsia="zh-CN" w:bidi="ar"/>
              </w:rPr>
              <w:t>；</w:t>
            </w:r>
          </w:p>
          <w:p w14:paraId="34863954">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2</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凳脚材质:4个凳脚采用20*40*</w:t>
            </w:r>
            <w:r>
              <w:rPr>
                <w:rFonts w:hint="eastAsia" w:ascii="宋体" w:hAnsi="宋体" w:cs="宋体"/>
                <w:i w:val="0"/>
                <w:iCs w:val="0"/>
                <w:color w:val="000000"/>
                <w:sz w:val="20"/>
                <w:szCs w:val="20"/>
                <w:u w:val="none"/>
                <w:lang w:val="en-US" w:eastAsia="zh-CN" w:bidi="ar"/>
              </w:rPr>
              <w:t>1.1mm</w:t>
            </w:r>
            <w:r>
              <w:rPr>
                <w:rFonts w:hint="eastAsia" w:ascii="宋体" w:hAnsi="宋体" w:eastAsia="宋体" w:cs="宋体"/>
                <w:i w:val="0"/>
                <w:iCs w:val="0"/>
                <w:color w:val="000000"/>
                <w:sz w:val="20"/>
                <w:szCs w:val="20"/>
                <w:u w:val="none"/>
                <w:lang w:val="en-US" w:eastAsia="zh-CN" w:bidi="ar"/>
              </w:rPr>
              <w:t>椭圆形无缝钢管模具一次成型,全圆满焊完成,结构牢固,经高温粉体烤漆处理,长时间使用也不会产生表面烤漆剥落现象；</w:t>
            </w:r>
          </w:p>
          <w:p w14:paraId="167CA803">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凳面:凳面直径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315</w:t>
            </w:r>
            <w:r>
              <w:rPr>
                <w:rFonts w:hint="eastAsia" w:ascii="宋体" w:hAnsi="宋体" w:cs="宋体"/>
                <w:i w:val="0"/>
                <w:iCs w:val="0"/>
                <w:color w:val="000000"/>
                <w:sz w:val="20"/>
                <w:szCs w:val="20"/>
                <w:u w:val="none"/>
                <w:lang w:val="en-US" w:eastAsia="zh-CN" w:bidi="ar"/>
              </w:rPr>
              <w:t>mm，</w:t>
            </w:r>
            <w:r>
              <w:rPr>
                <w:rFonts w:hint="eastAsia" w:ascii="宋体" w:hAnsi="宋体" w:eastAsia="宋体" w:cs="宋体"/>
                <w:i w:val="0"/>
                <w:iCs w:val="0"/>
                <w:color w:val="000000"/>
                <w:sz w:val="20"/>
                <w:szCs w:val="20"/>
                <w:u w:val="none"/>
                <w:lang w:val="en-US" w:eastAsia="zh-CN" w:bidi="ar"/>
              </w:rPr>
              <w:t>采用环保型PP改性塑料一次性注塑成型;凳面表面有颗粒状凸起起到按摩作用；</w:t>
            </w:r>
          </w:p>
          <w:p w14:paraId="3F904306">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托盘:凳面下装有直径大于</w:t>
            </w:r>
            <w:r>
              <w:rPr>
                <w:rFonts w:hint="eastAsia" w:ascii="宋体" w:hAnsi="宋体" w:cs="宋体"/>
                <w:i w:val="0"/>
                <w:iCs w:val="0"/>
                <w:color w:val="000000"/>
                <w:sz w:val="20"/>
                <w:szCs w:val="20"/>
                <w:u w:val="none"/>
                <w:lang w:val="en-US" w:eastAsia="zh-CN" w:bidi="ar"/>
              </w:rPr>
              <w:t>156mm</w:t>
            </w:r>
            <w:r>
              <w:rPr>
                <w:rFonts w:hint="eastAsia" w:ascii="宋体" w:hAnsi="宋体" w:eastAsia="宋体" w:cs="宋体"/>
                <w:i w:val="0"/>
                <w:iCs w:val="0"/>
                <w:color w:val="000000"/>
                <w:sz w:val="20"/>
                <w:szCs w:val="20"/>
                <w:u w:val="none"/>
                <w:lang w:val="en-US" w:eastAsia="zh-CN" w:bidi="ar"/>
              </w:rPr>
              <w:t>的托盘,厚度不小于</w:t>
            </w:r>
            <w:r>
              <w:rPr>
                <w:rFonts w:hint="eastAsia" w:ascii="宋体" w:hAnsi="宋体" w:cs="宋体"/>
                <w:i w:val="0"/>
                <w:iCs w:val="0"/>
                <w:color w:val="000000"/>
                <w:sz w:val="20"/>
                <w:szCs w:val="20"/>
                <w:u w:val="none"/>
                <w:lang w:val="en-US" w:eastAsia="zh-CN" w:bidi="ar"/>
              </w:rPr>
              <w:t>1.4mm</w:t>
            </w:r>
            <w:r>
              <w:rPr>
                <w:rFonts w:hint="eastAsia" w:ascii="宋体" w:hAnsi="宋体" w:eastAsia="宋体" w:cs="宋体"/>
                <w:i w:val="0"/>
                <w:iCs w:val="0"/>
                <w:color w:val="000000"/>
                <w:sz w:val="20"/>
                <w:szCs w:val="20"/>
                <w:u w:val="none"/>
                <w:lang w:val="en-US" w:eastAsia="zh-CN" w:bidi="ar"/>
              </w:rPr>
              <w:t>；</w:t>
            </w:r>
          </w:p>
          <w:p w14:paraId="35EF6C3D">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A498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条</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6D9B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0C7F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10360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2435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1233805"/>
                  <wp:effectExtent l="0" t="0" r="3810" b="4445"/>
                  <wp:docPr id="55"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2"/>
                          <pic:cNvPicPr>
                            <a:picLocks noChangeAspect="1"/>
                          </pic:cNvPicPr>
                        </pic:nvPicPr>
                        <pic:blipFill>
                          <a:blip r:embed="rId60"/>
                          <a:stretch>
                            <a:fillRect/>
                          </a:stretch>
                        </pic:blipFill>
                        <pic:spPr>
                          <a:xfrm>
                            <a:off x="0" y="0"/>
                            <a:ext cx="1005840" cy="1233805"/>
                          </a:xfrm>
                          <a:prstGeom prst="rect">
                            <a:avLst/>
                          </a:prstGeom>
                          <a:noFill/>
                          <a:ln>
                            <a:noFill/>
                          </a:ln>
                        </pic:spPr>
                      </pic:pic>
                    </a:graphicData>
                  </a:graphic>
                </wp:inline>
              </w:drawing>
            </w:r>
          </w:p>
        </w:tc>
      </w:tr>
      <w:tr w14:paraId="1C6B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3"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C7D3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298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离心风机</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67E5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6#离心风机</w:t>
            </w:r>
            <w:r>
              <w:rPr>
                <w:rFonts w:hint="eastAsia" w:ascii="宋体" w:hAnsi="宋体" w:cs="宋体"/>
                <w:i w:val="0"/>
                <w:iCs w:val="0"/>
                <w:color w:val="000000"/>
                <w:sz w:val="20"/>
                <w:szCs w:val="20"/>
                <w:u w:val="none"/>
                <w:lang w:val="en-US" w:eastAsia="zh-CN" w:bidi="ar"/>
              </w:rPr>
              <w:t>，电压：380V，功率：</w:t>
            </w:r>
            <w:r>
              <w:rPr>
                <w:rFonts w:hint="eastAsia" w:ascii="宋体" w:hAnsi="宋体" w:eastAsia="宋体" w:cs="宋体"/>
                <w:i w:val="0"/>
                <w:iCs w:val="0"/>
                <w:color w:val="000000"/>
                <w:sz w:val="20"/>
                <w:szCs w:val="20"/>
                <w:u w:val="none"/>
                <w:lang w:val="en-US" w:eastAsia="zh-CN" w:bidi="ar"/>
              </w:rPr>
              <w:t>5.5KW，转速</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1450r/min，流量</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10602-21204M3/h，全压</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1150-748Pa。配橡胶减震器用于消除专用通风机引起的震动，配防雨帽，PP材质，主要用于对专用通风机的防护。</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497E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02B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C4F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10800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B1E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812165"/>
                  <wp:effectExtent l="0" t="0" r="5080" b="6985"/>
                  <wp:docPr id="5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3"/>
                          <pic:cNvPicPr>
                            <a:picLocks noChangeAspect="1"/>
                          </pic:cNvPicPr>
                        </pic:nvPicPr>
                        <pic:blipFill>
                          <a:blip r:embed="rId61"/>
                          <a:stretch>
                            <a:fillRect/>
                          </a:stretch>
                        </pic:blipFill>
                        <pic:spPr>
                          <a:xfrm>
                            <a:off x="0" y="0"/>
                            <a:ext cx="1004570" cy="812165"/>
                          </a:xfrm>
                          <a:prstGeom prst="rect">
                            <a:avLst/>
                          </a:prstGeom>
                          <a:noFill/>
                          <a:ln>
                            <a:noFill/>
                          </a:ln>
                        </pic:spPr>
                      </pic:pic>
                    </a:graphicData>
                  </a:graphic>
                </wp:inline>
              </w:drawing>
            </w:r>
          </w:p>
        </w:tc>
      </w:tr>
      <w:tr w14:paraId="682D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C078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EA80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消音器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D6035">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φ400*1000mm,PP材质，内置隔音棉等隔音装置，确保通风室外噪音小于50分贝。</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C842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7A3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E4D7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1B3A">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42A6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FB42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86E1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风机软连接</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5867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φ600-φ400mm,pp材质。进出口接头采用柔性材质，消除因震动引起的微量错位对风机的影响。</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C892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75C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CAA2">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36592">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1C889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276E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70CE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变频器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03F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采用电流无感矢量控制，型号：380V/5.5KW，额定电压：380V+15%，频率：50-60HZ。</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DD0F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368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9E1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A5A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552450" cy="703580"/>
                  <wp:effectExtent l="0" t="0" r="0" b="1270"/>
                  <wp:docPr id="5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76"/>
                          <pic:cNvPicPr>
                            <a:picLocks noChangeAspect="1"/>
                          </pic:cNvPicPr>
                        </pic:nvPicPr>
                        <pic:blipFill>
                          <a:blip r:embed="rId62"/>
                          <a:stretch>
                            <a:fillRect/>
                          </a:stretch>
                        </pic:blipFill>
                        <pic:spPr>
                          <a:xfrm>
                            <a:off x="0" y="0"/>
                            <a:ext cx="552450" cy="703580"/>
                          </a:xfrm>
                          <a:prstGeom prst="rect">
                            <a:avLst/>
                          </a:prstGeom>
                          <a:noFill/>
                          <a:ln>
                            <a:noFill/>
                          </a:ln>
                        </pic:spPr>
                      </pic:pic>
                    </a:graphicData>
                  </a:graphic>
                </wp:inline>
              </w:drawing>
            </w:r>
          </w:p>
        </w:tc>
      </w:tr>
      <w:tr w14:paraId="44E9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AA45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1378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A68EC">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洗眼喷头：采用不助燃PC材质模铸一体成形制作，具有过滤泡棉及防尘功能，上面防尘盖平常可防尘，使用时可随时被水冲开，并降低突然打开时短暂的高水压，避免冲伤眼睛。</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47E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54C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1524">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450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84F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90600" cy="857250"/>
                  <wp:effectExtent l="0" t="0" r="0" b="0"/>
                  <wp:docPr id="5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4"/>
                          <pic:cNvPicPr>
                            <a:picLocks noChangeAspect="1"/>
                          </pic:cNvPicPr>
                        </pic:nvPicPr>
                        <pic:blipFill>
                          <a:blip r:embed="rId63"/>
                          <a:stretch>
                            <a:fillRect/>
                          </a:stretch>
                        </pic:blipFill>
                        <pic:spPr>
                          <a:xfrm>
                            <a:off x="0" y="0"/>
                            <a:ext cx="990600" cy="857250"/>
                          </a:xfrm>
                          <a:prstGeom prst="rect">
                            <a:avLst/>
                          </a:prstGeom>
                          <a:noFill/>
                          <a:ln>
                            <a:noFill/>
                          </a:ln>
                        </pic:spPr>
                      </pic:pic>
                    </a:graphicData>
                  </a:graphic>
                </wp:inline>
              </w:drawing>
            </w:r>
          </w:p>
        </w:tc>
      </w:tr>
      <w:tr w14:paraId="5E505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C98D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C7D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万向吸风罩</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CC0D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关节：可360度旋转调节方向，易拆卸、重组及清洗</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关节密封圈：不易老化之高密度橡胶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关节弹簧装置：防下垂、下滑、松动.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关节松紧旋钮：高密度PP材质，内嵌不锈钢轴承，与关节连接杆锁合</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气流调节阀：手动调节外部阀门旋钮，控制进入之气流量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拱型/杯型集气罩：高密度PP/PC材质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固定底座：非粘接而成，模具注塑一体成型，牢度强，不脱底</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3004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40E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1425">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47850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E1AD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090930"/>
                  <wp:effectExtent l="0" t="0" r="4445" b="13970"/>
                  <wp:docPr id="5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5"/>
                          <pic:cNvPicPr>
                            <a:picLocks noChangeAspect="1"/>
                          </pic:cNvPicPr>
                        </pic:nvPicPr>
                        <pic:blipFill>
                          <a:blip r:embed="rId64"/>
                          <a:stretch>
                            <a:fillRect/>
                          </a:stretch>
                        </pic:blipFill>
                        <pic:spPr>
                          <a:xfrm>
                            <a:off x="0" y="0"/>
                            <a:ext cx="1005205" cy="1090930"/>
                          </a:xfrm>
                          <a:prstGeom prst="rect">
                            <a:avLst/>
                          </a:prstGeom>
                          <a:noFill/>
                          <a:ln>
                            <a:noFill/>
                          </a:ln>
                        </pic:spPr>
                      </pic:pic>
                    </a:graphicData>
                  </a:graphic>
                </wp:inline>
              </w:drawing>
            </w:r>
          </w:p>
        </w:tc>
      </w:tr>
      <w:tr w14:paraId="1265A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80DD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DD57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室内风管</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51B9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室内风管采用直径为200mmPVC管路系统或者采用PP焊接管路系统</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993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2F1F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40F8">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5000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0D8F">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C97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DD1F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DC52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室外风管</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87353">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室外风管采用直径为400mmPVC管路系统或者采用PP焊接管路系统</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18D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FA6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DD8E">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14500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5E2A">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1ED10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DA18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5550E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风机控制线</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A1CE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三相电缆、含线路管道</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14A1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C35A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ACFBE">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6DE6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3528E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865"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AB6C4">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56座生化数字化实验室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BFBE6">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7E6A1">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67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D086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220D4">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cs="宋体"/>
                <w:i w:val="0"/>
                <w:iCs w:val="0"/>
                <w:color w:val="auto"/>
                <w:sz w:val="20"/>
                <w:szCs w:val="20"/>
                <w:u w:val="none"/>
                <w:lang w:val="en-US" w:eastAsia="zh-CN" w:bidi="ar"/>
              </w:rPr>
              <w:t>钢木</w:t>
            </w:r>
            <w:r>
              <w:rPr>
                <w:rFonts w:hint="eastAsia" w:ascii="宋体" w:hAnsi="宋体" w:eastAsia="宋体" w:cs="宋体"/>
                <w:i w:val="0"/>
                <w:iCs w:val="0"/>
                <w:color w:val="auto"/>
                <w:sz w:val="20"/>
                <w:szCs w:val="20"/>
                <w:u w:val="none"/>
                <w:lang w:val="en-US" w:eastAsia="zh-CN" w:bidi="ar"/>
              </w:rPr>
              <w:t>教师桌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B06D2">
            <w:pPr>
              <w:rPr>
                <w:rFonts w:hint="eastAsia" w:ascii="宋体" w:hAnsi="宋体" w:eastAsia="宋体" w:cs="宋体"/>
                <w:sz w:val="20"/>
                <w:szCs w:val="18"/>
              </w:rPr>
            </w:pPr>
            <w:r>
              <w:rPr>
                <w:rFonts w:hint="eastAsia" w:ascii="宋体" w:hAnsi="宋体" w:eastAsia="宋体" w:cs="宋体"/>
                <w:sz w:val="20"/>
                <w:szCs w:val="18"/>
              </w:rPr>
              <w:t>1.规格：2400×700×850mm±10mm；</w:t>
            </w:r>
          </w:p>
          <w:p w14:paraId="07E926C1">
            <w:pPr>
              <w:rPr>
                <w:rFonts w:hint="eastAsia" w:ascii="宋体" w:hAnsi="宋体" w:eastAsia="宋体" w:cs="宋体"/>
                <w:sz w:val="20"/>
                <w:szCs w:val="18"/>
                <w:lang w:eastAsia="zh-CN"/>
              </w:rPr>
            </w:pPr>
            <w:r>
              <w:rPr>
                <w:rFonts w:hint="eastAsia" w:ascii="宋体" w:hAnsi="宋体" w:eastAsia="宋体" w:cs="宋体"/>
                <w:sz w:val="20"/>
                <w:szCs w:val="18"/>
              </w:rPr>
              <w:t>2.台面：采用≥12.7mm厚双面膜实芯理化板</w:t>
            </w:r>
            <w:r>
              <w:rPr>
                <w:rFonts w:hint="eastAsia" w:ascii="宋体" w:hAnsi="宋体" w:cs="宋体"/>
                <w:sz w:val="20"/>
                <w:szCs w:val="18"/>
                <w:lang w:eastAsia="zh-CN"/>
              </w:rPr>
              <w:t>，且需符合以下参数：</w:t>
            </w:r>
          </w:p>
          <w:p w14:paraId="453A7012">
            <w:pPr>
              <w:rPr>
                <w:rFonts w:hint="default" w:ascii="宋体" w:hAnsi="宋体" w:eastAsia="宋体" w:cs="宋体"/>
                <w:sz w:val="20"/>
                <w:szCs w:val="18"/>
                <w:lang w:val="en-US" w:eastAsia="zh-CN"/>
              </w:rPr>
            </w:pPr>
            <w:r>
              <w:rPr>
                <w:rFonts w:hint="eastAsia" w:ascii="宋体" w:hAnsi="宋体" w:cs="宋体"/>
                <w:sz w:val="20"/>
                <w:szCs w:val="18"/>
                <w:lang w:val="en-US" w:eastAsia="zh-CN"/>
              </w:rPr>
              <w:t>2.1耐磨和耐划性能：①耐磨性能：≥1000r，未出现磨损点；②表面耐划性能：在≥2.0N作用下，表面无大于90%的连续划痕，表面装饰花纹无破坏现象。</w:t>
            </w:r>
          </w:p>
          <w:p w14:paraId="220FCD0D">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1689233F">
            <w:pPr>
              <w:rPr>
                <w:rFonts w:hint="eastAsia" w:ascii="宋体" w:hAnsi="宋体" w:eastAsia="宋体" w:cs="宋体"/>
                <w:sz w:val="20"/>
                <w:szCs w:val="18"/>
                <w:lang w:eastAsia="zh-CN"/>
              </w:rPr>
            </w:pPr>
            <w:r>
              <w:rPr>
                <w:rFonts w:hint="eastAsia" w:ascii="宋体" w:hAnsi="宋体" w:cs="宋体"/>
                <w:sz w:val="20"/>
                <w:szCs w:val="18"/>
                <w:lang w:val="en-US" w:eastAsia="zh-CN"/>
              </w:rPr>
              <w:t>2.3</w:t>
            </w:r>
            <w:r>
              <w:rPr>
                <w:rFonts w:hint="eastAsia" w:ascii="宋体" w:hAnsi="宋体" w:cs="宋体"/>
                <w:sz w:val="20"/>
                <w:szCs w:val="18"/>
                <w:lang w:eastAsia="zh-CN"/>
              </w:rPr>
              <w:t>抗菌性能：大肠杆菌抗菌率≥90.00%，金黄色葡萄球菌抗菌率≥90.00%；</w:t>
            </w:r>
          </w:p>
          <w:p w14:paraId="380424C8">
            <w:pPr>
              <w:rPr>
                <w:rFonts w:hint="eastAsia" w:ascii="宋体" w:hAnsi="宋体" w:eastAsia="宋体" w:cs="宋体"/>
                <w:sz w:val="20"/>
                <w:szCs w:val="18"/>
                <w:lang w:eastAsia="zh-CN"/>
              </w:rPr>
            </w:pPr>
            <w:r>
              <w:rPr>
                <w:rFonts w:hint="eastAsia" w:ascii="宋体" w:hAnsi="宋体" w:cs="宋体"/>
                <w:sz w:val="20"/>
                <w:szCs w:val="18"/>
                <w:lang w:val="en-US" w:eastAsia="zh-CN"/>
              </w:rPr>
              <w:t>2.4</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715BB805">
            <w:pPr>
              <w:rPr>
                <w:rFonts w:hint="eastAsia" w:ascii="宋体" w:hAnsi="宋体" w:eastAsia="宋体" w:cs="宋体"/>
                <w:sz w:val="20"/>
                <w:szCs w:val="18"/>
              </w:rPr>
            </w:pPr>
            <w:r>
              <w:rPr>
                <w:rFonts w:hint="eastAsia" w:ascii="宋体" w:hAnsi="宋体" w:eastAsia="宋体" w:cs="宋体"/>
                <w:sz w:val="20"/>
                <w:szCs w:val="18"/>
              </w:rPr>
              <w:t>3.柜身：设计了电脑主机、显示器等设备的摆放空间，同时设计了电源盒、网络接口、电脑专用插座。中间部分是讲课演示部分，并设抽屉式结构，抽屉装有教师演示安全电源及控制装置。台身主体背板、吊板及所有板材均采用≥1.0mm的镀锌钢板。</w:t>
            </w:r>
          </w:p>
          <w:p w14:paraId="3CCFD8A5">
            <w:pPr>
              <w:rPr>
                <w:rFonts w:hint="eastAsia" w:ascii="宋体" w:hAnsi="宋体" w:eastAsia="宋体" w:cs="宋体"/>
                <w:sz w:val="20"/>
                <w:szCs w:val="18"/>
                <w:lang w:eastAsia="zh-CN"/>
              </w:rPr>
            </w:pPr>
            <w:r>
              <w:rPr>
                <w:rFonts w:hint="eastAsia" w:ascii="宋体" w:hAnsi="宋体" w:eastAsia="宋体" w:cs="宋体"/>
                <w:sz w:val="20"/>
                <w:szCs w:val="18"/>
              </w:rPr>
              <w:t>4.门铰：</w:t>
            </w:r>
            <w:r>
              <w:rPr>
                <w:rFonts w:hint="eastAsia" w:ascii="宋体" w:hAnsi="宋体" w:cs="宋体"/>
                <w:sz w:val="20"/>
                <w:szCs w:val="18"/>
                <w:lang w:eastAsia="zh-CN"/>
              </w:rPr>
              <w:t>采用优质阻尼自闭铰链，开关顺畅，使用寿命长。</w:t>
            </w:r>
          </w:p>
          <w:p w14:paraId="0A63C465">
            <w:pPr>
              <w:rPr>
                <w:rFonts w:hint="eastAsia" w:ascii="宋体" w:hAnsi="宋体" w:eastAsia="宋体" w:cs="宋体"/>
                <w:sz w:val="20"/>
                <w:szCs w:val="18"/>
              </w:rPr>
            </w:pPr>
            <w:r>
              <w:rPr>
                <w:rFonts w:hint="eastAsia" w:ascii="宋体" w:hAnsi="宋体" w:eastAsia="宋体" w:cs="宋体"/>
                <w:sz w:val="20"/>
                <w:szCs w:val="18"/>
              </w:rPr>
              <w:t>5.滑轨：采用阻尼三节滑轨。</w:t>
            </w:r>
          </w:p>
          <w:p w14:paraId="730382E1">
            <w:pPr>
              <w:rPr>
                <w:rFonts w:hint="eastAsia" w:ascii="宋体" w:hAnsi="宋体" w:eastAsia="宋体" w:cs="宋体"/>
                <w:sz w:val="20"/>
                <w:szCs w:val="18"/>
              </w:rPr>
            </w:pPr>
            <w:r>
              <w:rPr>
                <w:rFonts w:hint="eastAsia" w:ascii="宋体" w:hAnsi="宋体" w:eastAsia="宋体" w:cs="宋体"/>
                <w:sz w:val="20"/>
                <w:szCs w:val="18"/>
              </w:rPr>
              <w:t>6.手抽:一字型，表面有光滑防腐涂层。</w:t>
            </w:r>
          </w:p>
          <w:p w14:paraId="0D3AC73A">
            <w:pPr>
              <w:rPr>
                <w:rFonts w:hint="eastAsia" w:ascii="宋体" w:hAnsi="宋体" w:eastAsia="宋体" w:cs="宋体"/>
                <w:i w:val="0"/>
                <w:iCs w:val="0"/>
                <w:color w:val="auto"/>
                <w:sz w:val="20"/>
                <w:szCs w:val="20"/>
                <w:u w:val="none"/>
              </w:rPr>
            </w:pPr>
            <w:r>
              <w:rPr>
                <w:rFonts w:hint="eastAsia" w:ascii="宋体" w:hAnsi="宋体" w:eastAsia="宋体" w:cs="宋体"/>
                <w:sz w:val="20"/>
                <w:szCs w:val="18"/>
              </w:rPr>
              <w:t>7.固定脚：采用ABS工程塑料模具成型制作而成，具有高度可调、耐磨、防潮、耐腐蚀等特点。</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8BE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4991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E3524">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6500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BF91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2665" cy="844550"/>
                  <wp:effectExtent l="0" t="0" r="6985" b="12700"/>
                  <wp:docPr id="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
                          <pic:cNvPicPr>
                            <a:picLocks noChangeAspect="1"/>
                          </pic:cNvPicPr>
                        </pic:nvPicPr>
                        <pic:blipFill>
                          <a:blip r:embed="rId52"/>
                          <a:stretch>
                            <a:fillRect/>
                          </a:stretch>
                        </pic:blipFill>
                        <pic:spPr>
                          <a:xfrm>
                            <a:off x="0" y="0"/>
                            <a:ext cx="1002665" cy="844550"/>
                          </a:xfrm>
                          <a:prstGeom prst="rect">
                            <a:avLst/>
                          </a:prstGeom>
                          <a:noFill/>
                          <a:ln>
                            <a:noFill/>
                          </a:ln>
                        </pic:spPr>
                      </pic:pic>
                    </a:graphicData>
                  </a:graphic>
                </wp:inline>
              </w:drawing>
            </w:r>
          </w:p>
        </w:tc>
      </w:tr>
      <w:tr w14:paraId="6A472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BDA0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9E97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探究实验桌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AB876">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r>
              <w:rPr>
                <w:rFonts w:hint="eastAsia" w:ascii="宋体" w:hAnsi="宋体" w:eastAsia="宋体" w:cs="宋体"/>
                <w:sz w:val="20"/>
                <w:szCs w:val="18"/>
              </w:rPr>
              <w:t>.</w:t>
            </w:r>
            <w:r>
              <w:rPr>
                <w:rFonts w:hint="eastAsia" w:ascii="宋体" w:hAnsi="宋体" w:eastAsia="宋体" w:cs="宋体"/>
                <w:sz w:val="20"/>
                <w:szCs w:val="20"/>
                <w:lang w:val="en-US" w:eastAsia="zh-CN"/>
              </w:rPr>
              <w:t>规格：1200*1200*780mm±10mm</w:t>
            </w:r>
            <w:r>
              <w:rPr>
                <w:rFonts w:hint="eastAsia" w:ascii="宋体" w:hAnsi="宋体" w:cs="宋体"/>
                <w:sz w:val="20"/>
                <w:szCs w:val="20"/>
                <w:lang w:val="en-US" w:eastAsia="zh-CN"/>
              </w:rPr>
              <w:t>；</w:t>
            </w:r>
          </w:p>
          <w:p w14:paraId="6F736AAC">
            <w:pPr>
              <w:numPr>
                <w:ilvl w:val="0"/>
                <w:numId w:val="0"/>
              </w:numPr>
              <w:spacing w:after="0" w:line="240" w:lineRule="auto"/>
              <w:contextualSpacing/>
              <w:rPr>
                <w:rFonts w:hint="eastAsia" w:ascii="宋体" w:hAnsi="宋体" w:cs="宋体"/>
                <w:sz w:val="20"/>
                <w:szCs w:val="20"/>
                <w:lang w:val="en-US" w:eastAsia="zh-CN"/>
              </w:rPr>
            </w:pPr>
            <w:r>
              <w:rPr>
                <w:rFonts w:hint="eastAsia" w:ascii="宋体" w:hAnsi="宋体" w:cs="宋体"/>
                <w:sz w:val="20"/>
                <w:szCs w:val="20"/>
                <w:lang w:val="en-US" w:eastAsia="zh-CN"/>
              </w:rPr>
              <w:t>2.</w:t>
            </w:r>
            <w:r>
              <w:rPr>
                <w:rFonts w:hint="eastAsia" w:ascii="宋体" w:hAnsi="宋体" w:eastAsia="宋体" w:cs="宋体"/>
                <w:sz w:val="20"/>
                <w:szCs w:val="20"/>
                <w:lang w:val="en-US" w:eastAsia="zh-CN"/>
              </w:rPr>
              <w:t>台面：采用≥20mm厚一体成型高温烧制实验室专用陶瓷台面</w:t>
            </w:r>
            <w:r>
              <w:rPr>
                <w:rFonts w:hint="eastAsia" w:ascii="宋体" w:hAnsi="宋体" w:cs="宋体"/>
                <w:sz w:val="20"/>
                <w:szCs w:val="20"/>
                <w:lang w:val="en-US" w:eastAsia="zh-CN"/>
              </w:rPr>
              <w:t>，且参数符合如下标准：</w:t>
            </w:r>
          </w:p>
          <w:p w14:paraId="16FE2B87">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cs="宋体"/>
                <w:sz w:val="20"/>
                <w:szCs w:val="20"/>
                <w:lang w:val="en-US" w:eastAsia="zh-CN"/>
              </w:rPr>
              <w:t>2.1</w:t>
            </w:r>
            <w:r>
              <w:rPr>
                <w:rFonts w:hint="eastAsia" w:ascii="宋体" w:hAnsi="宋体" w:eastAsia="宋体" w:cs="宋体"/>
                <w:sz w:val="20"/>
                <w:szCs w:val="20"/>
                <w:lang w:val="en-US" w:eastAsia="zh-CN"/>
              </w:rPr>
              <w:t>抗菌性能：大肠杆菌抗菌率≥9</w:t>
            </w:r>
            <w:r>
              <w:rPr>
                <w:rFonts w:hint="eastAsia" w:ascii="宋体" w:hAnsi="宋体" w:cs="宋体"/>
                <w:sz w:val="20"/>
                <w:szCs w:val="20"/>
                <w:lang w:val="en-US" w:eastAsia="zh-CN"/>
              </w:rPr>
              <w:t>0</w:t>
            </w:r>
            <w:r>
              <w:rPr>
                <w:rFonts w:hint="eastAsia" w:ascii="宋体" w:hAnsi="宋体" w:eastAsia="宋体" w:cs="宋体"/>
                <w:sz w:val="20"/>
                <w:szCs w:val="20"/>
                <w:lang w:val="en-US" w:eastAsia="zh-CN"/>
              </w:rPr>
              <w:t>.00%，金黄色葡萄球菌抗菌率≥9</w:t>
            </w:r>
            <w:r>
              <w:rPr>
                <w:rFonts w:hint="eastAsia" w:ascii="宋体" w:hAnsi="宋体" w:cs="宋体"/>
                <w:sz w:val="20"/>
                <w:szCs w:val="20"/>
                <w:lang w:val="en-US" w:eastAsia="zh-CN"/>
              </w:rPr>
              <w:t>0</w:t>
            </w:r>
            <w:r>
              <w:rPr>
                <w:rFonts w:hint="eastAsia" w:ascii="宋体" w:hAnsi="宋体" w:eastAsia="宋体" w:cs="宋体"/>
                <w:sz w:val="20"/>
                <w:szCs w:val="20"/>
                <w:lang w:val="en-US" w:eastAsia="zh-CN"/>
              </w:rPr>
              <w:t>.00%；</w:t>
            </w:r>
          </w:p>
          <w:p w14:paraId="605370EB">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cs="宋体"/>
                <w:sz w:val="20"/>
                <w:szCs w:val="20"/>
                <w:lang w:val="en-US" w:eastAsia="zh-CN"/>
              </w:rPr>
              <w:t>2.2</w:t>
            </w:r>
            <w:r>
              <w:rPr>
                <w:rFonts w:hint="eastAsia" w:ascii="宋体" w:hAnsi="宋体" w:eastAsia="宋体" w:cs="宋体"/>
                <w:sz w:val="20"/>
                <w:szCs w:val="20"/>
                <w:lang w:val="en-US" w:eastAsia="zh-CN"/>
              </w:rPr>
              <w:t>耐磨性</w:t>
            </w:r>
            <w:r>
              <w:rPr>
                <w:rFonts w:hint="eastAsia" w:ascii="宋体" w:hAnsi="宋体" w:cs="宋体"/>
                <w:sz w:val="20"/>
                <w:szCs w:val="20"/>
                <w:lang w:val="en-US" w:eastAsia="zh-CN"/>
              </w:rPr>
              <w:t>能</w:t>
            </w:r>
            <w:r>
              <w:rPr>
                <w:rFonts w:hint="eastAsia" w:ascii="宋体" w:hAnsi="宋体" w:eastAsia="宋体" w:cs="宋体"/>
                <w:sz w:val="20"/>
                <w:szCs w:val="20"/>
                <w:lang w:val="en-US" w:eastAsia="zh-CN"/>
              </w:rPr>
              <w:t>：耐磨性达到</w:t>
            </w:r>
            <w:r>
              <w:rPr>
                <w:rFonts w:hint="eastAsia" w:ascii="宋体" w:hAnsi="宋体" w:cs="宋体"/>
                <w:sz w:val="20"/>
                <w:szCs w:val="20"/>
                <w:lang w:val="en-US" w:eastAsia="zh-CN"/>
              </w:rPr>
              <w:t>15</w:t>
            </w:r>
            <w:r>
              <w:rPr>
                <w:rFonts w:hint="eastAsia" w:ascii="宋体" w:hAnsi="宋体" w:eastAsia="宋体" w:cs="宋体"/>
                <w:sz w:val="20"/>
                <w:szCs w:val="20"/>
                <w:lang w:val="en-US" w:eastAsia="zh-CN"/>
              </w:rPr>
              <w:t>00转</w:t>
            </w:r>
            <w:r>
              <w:rPr>
                <w:rFonts w:hint="eastAsia" w:ascii="宋体" w:hAnsi="宋体" w:cs="宋体"/>
                <w:sz w:val="20"/>
                <w:szCs w:val="20"/>
                <w:lang w:val="en-US" w:eastAsia="zh-CN"/>
              </w:rPr>
              <w:t>，3级或</w:t>
            </w:r>
            <w:r>
              <w:rPr>
                <w:rFonts w:hint="eastAsia" w:ascii="宋体" w:hAnsi="宋体" w:eastAsia="宋体" w:cs="宋体"/>
                <w:sz w:val="20"/>
                <w:szCs w:val="20"/>
                <w:lang w:val="en-US" w:eastAsia="zh-CN"/>
              </w:rPr>
              <w:t>以上；</w:t>
            </w:r>
          </w:p>
          <w:p w14:paraId="76F7439D">
            <w:pPr>
              <w:numPr>
                <w:ilvl w:val="0"/>
                <w:numId w:val="0"/>
              </w:numPr>
              <w:spacing w:after="0" w:line="240" w:lineRule="auto"/>
              <w:contextualSpacing/>
              <w:rPr>
                <w:rFonts w:hint="default" w:ascii="宋体" w:hAnsi="宋体" w:eastAsia="宋体" w:cs="宋体"/>
                <w:sz w:val="20"/>
                <w:szCs w:val="20"/>
                <w:lang w:val="en-US" w:eastAsia="zh-CN"/>
              </w:rPr>
            </w:pPr>
            <w:r>
              <w:rPr>
                <w:rFonts w:hint="eastAsia" w:ascii="宋体" w:hAnsi="宋体" w:cs="宋体"/>
                <w:sz w:val="20"/>
                <w:szCs w:val="20"/>
                <w:lang w:val="en-US" w:eastAsia="zh-CN"/>
              </w:rPr>
              <w:t>2.3表面耐污染性能：满足不少于90种化学试剂检测，且覆盖玻璃盖板和未覆盖玻璃盖板检验结果≥4级；</w:t>
            </w:r>
          </w:p>
          <w:p w14:paraId="1F153C69">
            <w:pPr>
              <w:numPr>
                <w:ilvl w:val="0"/>
                <w:numId w:val="0"/>
              </w:numPr>
              <w:spacing w:after="0" w:line="240" w:lineRule="auto"/>
              <w:contextualSpacing/>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r>
              <w:rPr>
                <w:rFonts w:hint="eastAsia" w:ascii="宋体" w:hAnsi="宋体" w:eastAsia="宋体" w:cs="宋体"/>
                <w:sz w:val="20"/>
                <w:szCs w:val="18"/>
              </w:rPr>
              <w:t>.</w:t>
            </w:r>
            <w:r>
              <w:rPr>
                <w:rFonts w:hint="eastAsia" w:ascii="宋体" w:hAnsi="宋体" w:eastAsia="宋体" w:cs="宋体"/>
                <w:sz w:val="20"/>
                <w:szCs w:val="20"/>
                <w:lang w:val="en-US" w:eastAsia="zh-CN"/>
              </w:rPr>
              <w:t>结构：新型塑铝结构,学生位镂空式，主框架字型结构：桌身：由桌腿、立柱、前横梁、中横梁、后横梁组成</w:t>
            </w:r>
            <w:r>
              <w:rPr>
                <w:rFonts w:hint="eastAsia" w:ascii="宋体" w:hAnsi="宋体" w:cs="宋体"/>
                <w:sz w:val="20"/>
                <w:szCs w:val="20"/>
                <w:lang w:val="en-US" w:eastAsia="zh-CN"/>
              </w:rPr>
              <w:t>；</w:t>
            </w:r>
            <w:r>
              <w:rPr>
                <w:rFonts w:hint="eastAsia" w:ascii="宋体" w:hAnsi="宋体" w:eastAsia="宋体" w:cs="宋体"/>
                <w:sz w:val="20"/>
                <w:szCs w:val="20"/>
                <w:lang w:val="en-US" w:eastAsia="zh-CN"/>
              </w:rPr>
              <w:br w:type="textWrapping"/>
            </w:r>
            <w:r>
              <w:rPr>
                <w:rFonts w:hint="eastAsia" w:ascii="宋体" w:hAnsi="宋体" w:eastAsia="宋体" w:cs="宋体"/>
                <w:sz w:val="20"/>
                <w:szCs w:val="20"/>
                <w:lang w:val="en-US" w:eastAsia="zh-CN"/>
              </w:rPr>
              <w:t>4</w:t>
            </w:r>
            <w:r>
              <w:rPr>
                <w:rFonts w:hint="eastAsia" w:ascii="宋体" w:hAnsi="宋体" w:eastAsia="宋体" w:cs="宋体"/>
                <w:sz w:val="20"/>
                <w:szCs w:val="18"/>
              </w:rPr>
              <w:t>.</w:t>
            </w:r>
            <w:r>
              <w:rPr>
                <w:rFonts w:hint="eastAsia" w:ascii="宋体" w:hAnsi="宋体" w:eastAsia="宋体" w:cs="宋体"/>
                <w:sz w:val="20"/>
                <w:szCs w:val="20"/>
                <w:lang w:val="en-US" w:eastAsia="zh-CN"/>
              </w:rPr>
              <w:t>主框架字型结构材质：采用铝镁合金材料，</w:t>
            </w:r>
            <w:r>
              <w:rPr>
                <w:rFonts w:hint="eastAsia" w:ascii="宋体" w:hAnsi="宋体" w:cs="宋体"/>
                <w:sz w:val="20"/>
                <w:szCs w:val="20"/>
                <w:lang w:val="en-US" w:eastAsia="zh-CN"/>
              </w:rPr>
              <w:t>桌腿</w:t>
            </w:r>
            <w:r>
              <w:rPr>
                <w:rFonts w:hint="eastAsia" w:ascii="宋体" w:hAnsi="宋体" w:eastAsia="宋体" w:cs="宋体"/>
                <w:sz w:val="20"/>
                <w:szCs w:val="20"/>
                <w:lang w:val="en-US" w:eastAsia="zh-CN"/>
              </w:rPr>
              <w:t>壁厚≥3mm，材料表面经高压静电喷涂环氧树脂防护层，耐酸碱，耐腐蚀处理</w:t>
            </w:r>
            <w:r>
              <w:rPr>
                <w:rFonts w:hint="eastAsia" w:ascii="宋体" w:hAnsi="宋体" w:cs="宋体"/>
                <w:sz w:val="20"/>
                <w:szCs w:val="20"/>
                <w:lang w:val="en-US" w:eastAsia="zh-CN"/>
              </w:rPr>
              <w:t>；</w:t>
            </w:r>
          </w:p>
          <w:p w14:paraId="61EC49D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sz w:val="20"/>
                <w:szCs w:val="20"/>
                <w:lang w:val="en-US" w:eastAsia="zh-CN"/>
              </w:rPr>
              <w:t>5</w:t>
            </w:r>
            <w:r>
              <w:rPr>
                <w:rFonts w:hint="eastAsia" w:ascii="宋体" w:hAnsi="宋体" w:eastAsia="宋体" w:cs="宋体"/>
                <w:sz w:val="20"/>
                <w:szCs w:val="18"/>
              </w:rPr>
              <w:t>.</w:t>
            </w:r>
            <w:r>
              <w:rPr>
                <w:rFonts w:hint="eastAsia" w:ascii="宋体" w:hAnsi="宋体" w:eastAsia="宋体" w:cs="宋体"/>
                <w:sz w:val="20"/>
                <w:szCs w:val="20"/>
                <w:lang w:val="en-US" w:eastAsia="zh-CN"/>
              </w:rPr>
              <w:t>书包斗：采用PP材料，需配套实验桌，模具一次性注塑成型,上面设计有可悬挂凳子的圆形孔。</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9BB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28F387B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866"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70186B4E">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46200</w:t>
            </w:r>
            <w:r>
              <w:rPr>
                <w:rFonts w:hint="eastAsia" w:ascii="宋体" w:hAnsi="宋体" w:eastAsia="宋体" w:cs="宋体"/>
                <w:i w:val="0"/>
                <w:iCs w:val="0"/>
                <w:color w:val="000000"/>
                <w:sz w:val="20"/>
                <w:szCs w:val="20"/>
                <w:u w:val="none"/>
                <w:lang w:val="en-US" w:eastAsia="zh-CN" w:bidi="ar"/>
              </w:rPr>
              <w:t xml:space="preserve"> </w:t>
            </w:r>
          </w:p>
        </w:tc>
        <w:tc>
          <w:tcPr>
            <w:tcW w:w="718"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2FD67E8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861060" cy="795655"/>
                  <wp:effectExtent l="0" t="0" r="15240" b="4445"/>
                  <wp:docPr id="61"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77"/>
                          <pic:cNvPicPr>
                            <a:picLocks noChangeAspect="1"/>
                          </pic:cNvPicPr>
                        </pic:nvPicPr>
                        <pic:blipFill>
                          <a:blip r:embed="rId65"/>
                          <a:stretch>
                            <a:fillRect/>
                          </a:stretch>
                        </pic:blipFill>
                        <pic:spPr>
                          <a:xfrm>
                            <a:off x="0" y="0"/>
                            <a:ext cx="861060" cy="795655"/>
                          </a:xfrm>
                          <a:prstGeom prst="rect">
                            <a:avLst/>
                          </a:prstGeom>
                          <a:noFill/>
                          <a:ln>
                            <a:noFill/>
                          </a:ln>
                        </pic:spPr>
                      </pic:pic>
                    </a:graphicData>
                  </a:graphic>
                </wp:inline>
              </w:drawing>
            </w:r>
          </w:p>
        </w:tc>
      </w:tr>
      <w:tr w14:paraId="1EBC6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AF3A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8CE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功能柱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BB341">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规格335mm*195mm*765mm±10mm，选用全钢结构，主体材质为≥1.0mm镀锌钢板，板材均采用≥1.0mm 的镀锌钢板，自动喷涂线喷涂环氧树脂粉末静电吸附等几道工艺制作而成，具备较强抗氧化和防腐蚀、耐酸碱功能，主体颜色与学生桌桌体颜色一致，让产品形象更加立体、突出，电缆线、通风管等管线均布置于箱体内部，避免管线外露，确保使用的安全。留有检修口，方便检修。</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ABC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5415417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86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17437C5">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3990 </w:t>
            </w:r>
          </w:p>
        </w:tc>
        <w:tc>
          <w:tcPr>
            <w:tcW w:w="718"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6F506FD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036955"/>
                  <wp:effectExtent l="0" t="0" r="4445" b="10795"/>
                  <wp:docPr id="62"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78"/>
                          <pic:cNvPicPr>
                            <a:picLocks noChangeAspect="1"/>
                          </pic:cNvPicPr>
                        </pic:nvPicPr>
                        <pic:blipFill>
                          <a:blip r:embed="rId66"/>
                          <a:stretch>
                            <a:fillRect/>
                          </a:stretch>
                        </pic:blipFill>
                        <pic:spPr>
                          <a:xfrm>
                            <a:off x="0" y="0"/>
                            <a:ext cx="1005205" cy="1036955"/>
                          </a:xfrm>
                          <a:prstGeom prst="rect">
                            <a:avLst/>
                          </a:prstGeom>
                          <a:noFill/>
                          <a:ln>
                            <a:noFill/>
                          </a:ln>
                        </pic:spPr>
                      </pic:pic>
                    </a:graphicData>
                  </a:graphic>
                </wp:inline>
              </w:drawing>
            </w:r>
          </w:p>
        </w:tc>
      </w:tr>
      <w:tr w14:paraId="2F727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8385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174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钢塑水槽柜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FBCDC">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规格：490*585*750mm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柜体框架采用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1.0mm镀锌钢板，板材均采用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 的镀锌钢板，经酸洗磷化及环氧树脂户外粉喷涂处理，具备较强抗氧化和防腐蚀、耐酸碱承重性。</w:t>
            </w:r>
          </w:p>
          <w:p w14:paraId="739666FA">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水柜门面板：采用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1.0mm冷轧钢，表面经过时效处理和纯环氧树脂塑粉高温固化处理，具有较强的耐蚀性及承重性。</w:t>
            </w:r>
          </w:p>
          <w:p w14:paraId="0C92791F">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水槽：采用PP改性材料，塑料注塑模一次性成型，其规格600*500*350mm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，耐强酸强碱耐＜80℃有机溶剂并耐150℃以下高温，外型简约美观。</w:t>
            </w:r>
          </w:p>
          <w:p w14:paraId="45206513">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下水系统：采用PP材质专用连接管，配有防虹吸，防阻塞装置，水槽后方内置防溢水装置，防止废水外溢出台面，排水口内置一个防堵下水锥形网孔漏斗。</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882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59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16 </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5A3CD">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28000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4E4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33450" cy="1695450"/>
                  <wp:effectExtent l="0" t="0" r="0" b="0"/>
                  <wp:docPr id="6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7"/>
                          <pic:cNvPicPr>
                            <a:picLocks noChangeAspect="1"/>
                          </pic:cNvPicPr>
                        </pic:nvPicPr>
                        <pic:blipFill>
                          <a:blip r:embed="rId67"/>
                          <a:stretch>
                            <a:fillRect/>
                          </a:stretch>
                        </pic:blipFill>
                        <pic:spPr>
                          <a:xfrm>
                            <a:off x="0" y="0"/>
                            <a:ext cx="933450" cy="1695450"/>
                          </a:xfrm>
                          <a:prstGeom prst="rect">
                            <a:avLst/>
                          </a:prstGeom>
                          <a:noFill/>
                          <a:ln>
                            <a:noFill/>
                          </a:ln>
                        </pic:spPr>
                      </pic:pic>
                    </a:graphicData>
                  </a:graphic>
                </wp:inline>
              </w:drawing>
            </w:r>
          </w:p>
        </w:tc>
      </w:tr>
      <w:tr w14:paraId="28E0B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1A62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70C8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教师台水槽</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D1C2C">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pp规格550*450</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采用PP改性材料，塑料注塑模一次性成型，耐强酸强碱耐＜80℃有机溶剂并耐150℃以下高温，外型简约美观。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B15A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1E09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12A08">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225</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B7C8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652780"/>
                  <wp:effectExtent l="0" t="0" r="5080" b="13970"/>
                  <wp:docPr id="64"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8"/>
                          <pic:cNvPicPr>
                            <a:picLocks noChangeAspect="1"/>
                          </pic:cNvPicPr>
                        </pic:nvPicPr>
                        <pic:blipFill>
                          <a:blip r:embed="rId68"/>
                          <a:stretch>
                            <a:fillRect/>
                          </a:stretch>
                        </pic:blipFill>
                        <pic:spPr>
                          <a:xfrm>
                            <a:off x="0" y="0"/>
                            <a:ext cx="1004570" cy="652780"/>
                          </a:xfrm>
                          <a:prstGeom prst="rect">
                            <a:avLst/>
                          </a:prstGeom>
                          <a:noFill/>
                          <a:ln>
                            <a:noFill/>
                          </a:ln>
                        </pic:spPr>
                      </pic:pic>
                    </a:graphicData>
                  </a:graphic>
                </wp:inline>
              </w:drawing>
            </w:r>
          </w:p>
        </w:tc>
      </w:tr>
      <w:tr w14:paraId="3F875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8F89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A9E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上水装置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60DF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用于连接地面水管及水龙头，上水管两端接头采用201不锈钢螺帽铜芯，外管是304钢丝+尼龙丝混编</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A99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FC6C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EB701">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2FEC">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25111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2D6A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388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下水装置</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C8B7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规格:直径35mm*长度500mm水槽专配型排水管，不锈钢卡扣连接，安装方便不渗漏</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9448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9277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58228">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680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1EE30">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F694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98F1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9F7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三联水嘴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212B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1.主体：加厚铜质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2.涂层：高亮度环氧树脂涂层，耐腐蚀、耐热，防紫外线辐射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3.陶瓷阀芯90°旋转，</w:t>
            </w:r>
            <w:r>
              <w:rPr>
                <w:rFonts w:hint="eastAsia" w:ascii="宋体" w:hAnsi="宋体" w:cs="宋体"/>
                <w:i w:val="0"/>
                <w:iCs w:val="0"/>
                <w:color w:val="000000"/>
                <w:sz w:val="20"/>
                <w:szCs w:val="20"/>
                <w:u w:val="none"/>
                <w:lang w:val="en-US" w:eastAsia="zh-CN" w:bidi="ar"/>
              </w:rPr>
              <w:t>持久耐用。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4.经久耐用，不会出现渗水、断裂现象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5.鹅颈管可360°旋转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6.开关旋钮：高密度PP，人体工学设计，手感舒适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1B8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BF49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1B905">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5610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02FA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876300" cy="1047750"/>
                  <wp:effectExtent l="0" t="0" r="0" b="0"/>
                  <wp:docPr id="6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9"/>
                          <pic:cNvPicPr>
                            <a:picLocks noChangeAspect="1"/>
                          </pic:cNvPicPr>
                        </pic:nvPicPr>
                        <pic:blipFill>
                          <a:blip r:embed="rId69"/>
                          <a:stretch>
                            <a:fillRect/>
                          </a:stretch>
                        </pic:blipFill>
                        <pic:spPr>
                          <a:xfrm>
                            <a:off x="0" y="0"/>
                            <a:ext cx="876299" cy="1047750"/>
                          </a:xfrm>
                          <a:prstGeom prst="rect">
                            <a:avLst/>
                          </a:prstGeom>
                          <a:noFill/>
                          <a:ln>
                            <a:noFill/>
                          </a:ln>
                        </pic:spPr>
                      </pic:pic>
                    </a:graphicData>
                  </a:graphic>
                </wp:inline>
              </w:drawing>
            </w:r>
          </w:p>
        </w:tc>
      </w:tr>
      <w:tr w14:paraId="7B657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8886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5F98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学生安全电源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8C5B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外壳采用ABS注塑一次成型，隐蔽式防尘电源。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交直流输出0-24V,自动过载保护的学生电源有老师统一控制，具有交流220V输出五孔电源插座。</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9FB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A411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58459">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9800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6A4A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878840"/>
                  <wp:effectExtent l="0" t="0" r="4445" b="16510"/>
                  <wp:docPr id="6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0"/>
                          <pic:cNvPicPr>
                            <a:picLocks noChangeAspect="1"/>
                          </pic:cNvPicPr>
                        </pic:nvPicPr>
                        <pic:blipFill>
                          <a:blip r:embed="rId70"/>
                          <a:stretch>
                            <a:fillRect/>
                          </a:stretch>
                        </pic:blipFill>
                        <pic:spPr>
                          <a:xfrm>
                            <a:off x="0" y="0"/>
                            <a:ext cx="1005205" cy="878840"/>
                          </a:xfrm>
                          <a:prstGeom prst="rect">
                            <a:avLst/>
                          </a:prstGeom>
                          <a:noFill/>
                          <a:ln>
                            <a:noFill/>
                          </a:ln>
                        </pic:spPr>
                      </pic:pic>
                    </a:graphicData>
                  </a:graphic>
                </wp:inline>
              </w:drawing>
            </w:r>
          </w:p>
        </w:tc>
      </w:tr>
      <w:tr w14:paraId="3E4CD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F021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5D54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教师总控电源</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00A67">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控制学生220V分四组输出，由电压表检测电压电流。</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教师演示台设有安全宗电源，漏电过载保护功能。</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交流220V多功能输出。</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E74B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876B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EEA1B">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4000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A6E4F">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696595"/>
                  <wp:effectExtent l="0" t="0" r="4445" b="8255"/>
                  <wp:docPr id="67"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1"/>
                          <pic:cNvPicPr>
                            <a:picLocks noChangeAspect="1"/>
                          </pic:cNvPicPr>
                        </pic:nvPicPr>
                        <pic:blipFill>
                          <a:blip r:embed="rId71"/>
                          <a:stretch>
                            <a:fillRect/>
                          </a:stretch>
                        </pic:blipFill>
                        <pic:spPr>
                          <a:xfrm>
                            <a:off x="0" y="0"/>
                            <a:ext cx="1005205" cy="696595"/>
                          </a:xfrm>
                          <a:prstGeom prst="rect">
                            <a:avLst/>
                          </a:prstGeom>
                          <a:noFill/>
                          <a:ln>
                            <a:noFill/>
                          </a:ln>
                        </pic:spPr>
                      </pic:pic>
                    </a:graphicData>
                  </a:graphic>
                </wp:inline>
              </w:drawing>
            </w:r>
          </w:p>
        </w:tc>
      </w:tr>
      <w:tr w14:paraId="45F4F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06BA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38DB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实验凳</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0477">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规格:315*420-</w:t>
            </w:r>
            <w:r>
              <w:rPr>
                <w:rFonts w:hint="eastAsia" w:ascii="宋体" w:hAnsi="宋体" w:cs="宋体"/>
                <w:i w:val="0"/>
                <w:iCs w:val="0"/>
                <w:color w:val="000000"/>
                <w:sz w:val="20"/>
                <w:szCs w:val="20"/>
                <w:u w:val="none"/>
                <w:lang w:val="en-US" w:eastAsia="zh-CN" w:bidi="ar"/>
              </w:rPr>
              <w:t>480mm±10mm</w:t>
            </w:r>
            <w:r>
              <w:rPr>
                <w:rFonts w:hint="eastAsia" w:ascii="宋体" w:hAnsi="宋体" w:eastAsia="宋体" w:cs="宋体"/>
                <w:i w:val="0"/>
                <w:iCs w:val="0"/>
                <w:color w:val="000000"/>
                <w:sz w:val="20"/>
                <w:szCs w:val="20"/>
                <w:u w:val="none"/>
                <w:lang w:val="en-US" w:eastAsia="zh-CN" w:bidi="ar"/>
              </w:rPr>
              <w:t>；</w:t>
            </w:r>
          </w:p>
          <w:p w14:paraId="07EA87E4">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2</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凳脚材质:4个凳脚采用20*40*</w:t>
            </w:r>
            <w:r>
              <w:rPr>
                <w:rFonts w:hint="eastAsia" w:ascii="宋体" w:hAnsi="宋体" w:cs="宋体"/>
                <w:i w:val="0"/>
                <w:iCs w:val="0"/>
                <w:color w:val="000000"/>
                <w:sz w:val="20"/>
                <w:szCs w:val="20"/>
                <w:u w:val="none"/>
                <w:lang w:val="en-US" w:eastAsia="zh-CN" w:bidi="ar"/>
              </w:rPr>
              <w:t>1.1mm</w:t>
            </w:r>
            <w:r>
              <w:rPr>
                <w:rFonts w:hint="eastAsia" w:ascii="宋体" w:hAnsi="宋体" w:eastAsia="宋体" w:cs="宋体"/>
                <w:i w:val="0"/>
                <w:iCs w:val="0"/>
                <w:color w:val="000000"/>
                <w:sz w:val="20"/>
                <w:szCs w:val="20"/>
                <w:u w:val="none"/>
                <w:lang w:val="en-US" w:eastAsia="zh-CN" w:bidi="ar"/>
              </w:rPr>
              <w:t>椭圆形无缝钢管模具一次成型,全圆满焊完成,结构牢固,经高温粉体烤漆处理,长时间使用也不会产生表面烤漆剥落现象；</w:t>
            </w:r>
          </w:p>
          <w:p w14:paraId="6BF20D8A">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凳面:凳面直径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315</w:t>
            </w:r>
            <w:r>
              <w:rPr>
                <w:rFonts w:hint="eastAsia" w:ascii="宋体" w:hAnsi="宋体" w:cs="宋体"/>
                <w:i w:val="0"/>
                <w:iCs w:val="0"/>
                <w:color w:val="000000"/>
                <w:sz w:val="20"/>
                <w:szCs w:val="20"/>
                <w:u w:val="none"/>
                <w:lang w:val="en-US" w:eastAsia="zh-CN" w:bidi="ar"/>
              </w:rPr>
              <w:t>mm，</w:t>
            </w:r>
            <w:r>
              <w:rPr>
                <w:rFonts w:hint="eastAsia" w:ascii="宋体" w:hAnsi="宋体" w:eastAsia="宋体" w:cs="宋体"/>
                <w:i w:val="0"/>
                <w:iCs w:val="0"/>
                <w:color w:val="000000"/>
                <w:sz w:val="20"/>
                <w:szCs w:val="20"/>
                <w:u w:val="none"/>
                <w:lang w:val="en-US" w:eastAsia="zh-CN" w:bidi="ar"/>
              </w:rPr>
              <w:t>采用环保型PP改性塑料一次性注塑成型;凳面表面有颗粒状凸起起到按摩作用；</w:t>
            </w:r>
          </w:p>
          <w:p w14:paraId="2ABFA7EA">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托盘:凳面下装有直径大于</w:t>
            </w:r>
            <w:r>
              <w:rPr>
                <w:rFonts w:hint="eastAsia" w:ascii="宋体" w:hAnsi="宋体" w:cs="宋体"/>
                <w:i w:val="0"/>
                <w:iCs w:val="0"/>
                <w:color w:val="000000"/>
                <w:sz w:val="20"/>
                <w:szCs w:val="20"/>
                <w:u w:val="none"/>
                <w:lang w:val="en-US" w:eastAsia="zh-CN" w:bidi="ar"/>
              </w:rPr>
              <w:t>156mm</w:t>
            </w:r>
            <w:r>
              <w:rPr>
                <w:rFonts w:hint="eastAsia" w:ascii="宋体" w:hAnsi="宋体" w:eastAsia="宋体" w:cs="宋体"/>
                <w:i w:val="0"/>
                <w:iCs w:val="0"/>
                <w:color w:val="000000"/>
                <w:sz w:val="20"/>
                <w:szCs w:val="20"/>
                <w:u w:val="none"/>
                <w:lang w:val="en-US" w:eastAsia="zh-CN" w:bidi="ar"/>
              </w:rPr>
              <w:t>的托盘,厚度不小于</w:t>
            </w:r>
            <w:r>
              <w:rPr>
                <w:rFonts w:hint="eastAsia" w:ascii="宋体" w:hAnsi="宋体" w:cs="宋体"/>
                <w:i w:val="0"/>
                <w:iCs w:val="0"/>
                <w:color w:val="000000"/>
                <w:sz w:val="20"/>
                <w:szCs w:val="20"/>
                <w:u w:val="none"/>
                <w:lang w:val="en-US" w:eastAsia="zh-CN" w:bidi="ar"/>
              </w:rPr>
              <w:t>1.4mm</w:t>
            </w:r>
            <w:r>
              <w:rPr>
                <w:rFonts w:hint="eastAsia" w:ascii="宋体" w:hAnsi="宋体" w:eastAsia="宋体" w:cs="宋体"/>
                <w:i w:val="0"/>
                <w:iCs w:val="0"/>
                <w:color w:val="000000"/>
                <w:sz w:val="20"/>
                <w:szCs w:val="20"/>
                <w:u w:val="none"/>
                <w:lang w:val="en-US" w:eastAsia="zh-CN" w:bidi="ar"/>
              </w:rPr>
              <w:t>；</w:t>
            </w:r>
          </w:p>
          <w:p w14:paraId="00A12296">
            <w:pP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5.</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615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条</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20A0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A2937">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10360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FCEF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81075"/>
                  <wp:effectExtent l="0" t="0" r="4445" b="9525"/>
                  <wp:docPr id="68"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2"/>
                          <pic:cNvPicPr>
                            <a:picLocks noChangeAspect="1"/>
                          </pic:cNvPicPr>
                        </pic:nvPicPr>
                        <pic:blipFill>
                          <a:blip r:embed="rId72"/>
                          <a:stretch>
                            <a:fillRect/>
                          </a:stretch>
                        </pic:blipFill>
                        <pic:spPr>
                          <a:xfrm>
                            <a:off x="0" y="0"/>
                            <a:ext cx="1005205" cy="981075"/>
                          </a:xfrm>
                          <a:prstGeom prst="rect">
                            <a:avLst/>
                          </a:prstGeom>
                          <a:noFill/>
                          <a:ln>
                            <a:noFill/>
                          </a:ln>
                        </pic:spPr>
                      </pic:pic>
                    </a:graphicData>
                  </a:graphic>
                </wp:inline>
              </w:drawing>
            </w:r>
          </w:p>
        </w:tc>
      </w:tr>
      <w:tr w14:paraId="32BDA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ACB9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0716C">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离心风机</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86935">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6#离心风机</w:t>
            </w:r>
            <w:r>
              <w:rPr>
                <w:rFonts w:hint="eastAsia" w:ascii="宋体" w:hAnsi="宋体" w:cs="宋体"/>
                <w:i w:val="0"/>
                <w:iCs w:val="0"/>
                <w:color w:val="000000"/>
                <w:sz w:val="20"/>
                <w:szCs w:val="20"/>
                <w:u w:val="none"/>
                <w:lang w:val="en-US" w:eastAsia="zh-CN" w:bidi="ar"/>
              </w:rPr>
              <w:t>，电压：380V，功率：</w:t>
            </w:r>
            <w:r>
              <w:rPr>
                <w:rFonts w:hint="eastAsia" w:ascii="宋体" w:hAnsi="宋体" w:eastAsia="宋体" w:cs="宋体"/>
                <w:i w:val="0"/>
                <w:iCs w:val="0"/>
                <w:color w:val="000000"/>
                <w:sz w:val="20"/>
                <w:szCs w:val="20"/>
                <w:u w:val="none"/>
                <w:lang w:val="en-US" w:eastAsia="zh-CN" w:bidi="ar"/>
              </w:rPr>
              <w:t>5.5KW，转速</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1450r/min，流量</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10602-21204M3/h，全压</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1150-748Pa。配橡胶减震器用于消除专用通风机引起的震动，配防雨帽，PP材质，主要用于对专用通风机的防护。</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F280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7BD92">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B990">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10800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5446B">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887095"/>
                  <wp:effectExtent l="0" t="0" r="3810" b="8255"/>
                  <wp:docPr id="6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3"/>
                          <pic:cNvPicPr>
                            <a:picLocks noChangeAspect="1"/>
                          </pic:cNvPicPr>
                        </pic:nvPicPr>
                        <pic:blipFill>
                          <a:blip r:embed="rId73"/>
                          <a:stretch>
                            <a:fillRect/>
                          </a:stretch>
                        </pic:blipFill>
                        <pic:spPr>
                          <a:xfrm>
                            <a:off x="0" y="0"/>
                            <a:ext cx="1005840" cy="887095"/>
                          </a:xfrm>
                          <a:prstGeom prst="rect">
                            <a:avLst/>
                          </a:prstGeom>
                          <a:noFill/>
                          <a:ln>
                            <a:noFill/>
                          </a:ln>
                        </pic:spPr>
                      </pic:pic>
                    </a:graphicData>
                  </a:graphic>
                </wp:inline>
              </w:drawing>
            </w:r>
          </w:p>
        </w:tc>
      </w:tr>
      <w:tr w14:paraId="3AE21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4940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CFE9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消音器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0374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φ400*1000mm,PP材质，内置隔音棉等隔音装置，确保通风室外噪音小于50分贝。</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4629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79F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4119">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9E74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15EA3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6CCC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2131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风机软连接</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DCD9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φ600-φ400mm,pp材质。进出口接头采用柔性材质，消除因震动引起的微量错位对风机的影响。</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1038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802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A21F">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500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A276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68B70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1C15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1057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变频器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89889">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采用电流无感矢量控制，型号：380V/5.5KW，额定电压：380V+15%，频率：50-60HZ。</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6A47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B20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0200">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4100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954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552450" cy="703580"/>
                  <wp:effectExtent l="0" t="0" r="0" b="1270"/>
                  <wp:docPr id="70"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6"/>
                          <pic:cNvPicPr>
                            <a:picLocks noChangeAspect="1"/>
                          </pic:cNvPicPr>
                        </pic:nvPicPr>
                        <pic:blipFill>
                          <a:blip r:embed="rId62"/>
                          <a:stretch>
                            <a:fillRect/>
                          </a:stretch>
                        </pic:blipFill>
                        <pic:spPr>
                          <a:xfrm>
                            <a:off x="0" y="0"/>
                            <a:ext cx="552450" cy="703580"/>
                          </a:xfrm>
                          <a:prstGeom prst="rect">
                            <a:avLst/>
                          </a:prstGeom>
                          <a:noFill/>
                          <a:ln>
                            <a:noFill/>
                          </a:ln>
                        </pic:spPr>
                      </pic:pic>
                    </a:graphicData>
                  </a:graphic>
                </wp:inline>
              </w:drawing>
            </w:r>
          </w:p>
        </w:tc>
      </w:tr>
      <w:tr w14:paraId="73A6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1"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B626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B2F9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0B06E">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洗眼喷头：采用不助燃PC材质模铸一体成形制作，具有过滤泡棉及防尘功能，上面防尘盖平常可防尘，使用时可随时被水冲开，并降低突然打开时短暂的高水压，避免冲伤眼睛。</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FCF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C09D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A5CC">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450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4E6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919480"/>
                  <wp:effectExtent l="0" t="0" r="4445" b="13970"/>
                  <wp:docPr id="71"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4"/>
                          <pic:cNvPicPr>
                            <a:picLocks noChangeAspect="1"/>
                          </pic:cNvPicPr>
                        </pic:nvPicPr>
                        <pic:blipFill>
                          <a:blip r:embed="rId74"/>
                          <a:stretch>
                            <a:fillRect/>
                          </a:stretch>
                        </pic:blipFill>
                        <pic:spPr>
                          <a:xfrm>
                            <a:off x="0" y="0"/>
                            <a:ext cx="1005205" cy="919480"/>
                          </a:xfrm>
                          <a:prstGeom prst="rect">
                            <a:avLst/>
                          </a:prstGeom>
                          <a:noFill/>
                          <a:ln>
                            <a:noFill/>
                          </a:ln>
                        </pic:spPr>
                      </pic:pic>
                    </a:graphicData>
                  </a:graphic>
                </wp:inline>
              </w:drawing>
            </w:r>
          </w:p>
        </w:tc>
      </w:tr>
      <w:tr w14:paraId="6B1EB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DEEC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F523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万向吸风罩</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D0438">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关节：可360度旋转调节方向，易拆卸、重组及清洗</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关节密封圈：不易老化之高密度橡胶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关节弹簧装置：防下垂、下滑、松动.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关节松紧旋钮：高密度PP材质，内嵌不锈钢轴承，与关节连接杆锁合</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气流调节阀：手动调节外部阀门旋钮，控制进入之气流量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拱型/杯型集气罩：高密度PP/PC材质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固定底座：非粘接而成，模具注塑一体成型，牢度强，不脱底</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295F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364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BB06">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47850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98D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852170"/>
                  <wp:effectExtent l="0" t="0" r="4445" b="5080"/>
                  <wp:docPr id="72"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5"/>
                          <pic:cNvPicPr>
                            <a:picLocks noChangeAspect="1"/>
                          </pic:cNvPicPr>
                        </pic:nvPicPr>
                        <pic:blipFill>
                          <a:blip r:embed="rId75"/>
                          <a:stretch>
                            <a:fillRect/>
                          </a:stretch>
                        </pic:blipFill>
                        <pic:spPr>
                          <a:xfrm>
                            <a:off x="0" y="0"/>
                            <a:ext cx="1005205" cy="852170"/>
                          </a:xfrm>
                          <a:prstGeom prst="rect">
                            <a:avLst/>
                          </a:prstGeom>
                          <a:noFill/>
                          <a:ln>
                            <a:noFill/>
                          </a:ln>
                        </pic:spPr>
                      </pic:pic>
                    </a:graphicData>
                  </a:graphic>
                </wp:inline>
              </w:drawing>
            </w:r>
          </w:p>
        </w:tc>
      </w:tr>
      <w:tr w14:paraId="1559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9290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90C0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室内风管</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F7F30">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室内风管采用直径为200mmPVC管路系统或者采用PP焊接管路系统</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C2F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A55D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BAE5">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8000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1302">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4D3C3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E3AD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F256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室外风管</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149E1">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室外风管采用直径为400mmPVC管路系统或者采用PP焊接管路系统</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CFF3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7FC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C40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14500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363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185E4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90E0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E898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风机控制线</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C42AA">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三相电缆、含线路管道</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CE1A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室</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9260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658A6">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2000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0DF5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p>
        </w:tc>
      </w:tr>
      <w:tr w14:paraId="0EA9A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865"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69DE6">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3.化学准备室</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E782">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1BE2E">
            <w:pPr>
              <w:keepNext w:val="0"/>
              <w:keepLines w:val="0"/>
              <w:widowControl/>
              <w:suppressLineNumbers w:val="0"/>
              <w:jc w:val="center"/>
              <w:rPr>
                <w:rFonts w:hint="eastAsia" w:ascii="宋体" w:hAnsi="宋体" w:eastAsia="宋体" w:cs="宋体"/>
                <w:b/>
                <w:bCs/>
                <w:i w:val="0"/>
                <w:iCs w:val="0"/>
                <w:color w:val="000000"/>
                <w:sz w:val="22"/>
                <w:szCs w:val="22"/>
                <w:u w:val="none"/>
                <w:lang w:val="en-US" w:eastAsia="zh-CN" w:bidi="ar"/>
              </w:rPr>
            </w:pPr>
          </w:p>
        </w:tc>
      </w:tr>
      <w:tr w14:paraId="41D36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633E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CCAD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钢木</w:t>
            </w:r>
            <w:r>
              <w:rPr>
                <w:rFonts w:hint="eastAsia" w:ascii="宋体" w:hAnsi="宋体" w:eastAsia="宋体" w:cs="宋体"/>
                <w:i w:val="0"/>
                <w:iCs w:val="0"/>
                <w:color w:val="000000"/>
                <w:sz w:val="20"/>
                <w:szCs w:val="20"/>
                <w:u w:val="none"/>
                <w:lang w:val="en-US" w:eastAsia="zh-CN" w:bidi="ar"/>
              </w:rPr>
              <w:t>准备桌</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2D6ED">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全钢结构</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一体化台面，每边4个抽屉、</w:t>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组对开门，基本要求如下：</w:t>
            </w:r>
          </w:p>
          <w:p w14:paraId="0FBE5293">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台面尺寸（度宽高）3000mm×1100mm×800mm</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w:t>
            </w:r>
          </w:p>
          <w:p w14:paraId="7CBFDEC5">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台面:台面采用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12.7mm实芯理化板，四边厚度25㎜；</w:t>
            </w:r>
          </w:p>
          <w:p w14:paraId="290F40A9">
            <w:pPr>
              <w:rPr>
                <w:rFonts w:hint="eastAsia" w:ascii="宋体" w:hAnsi="宋体" w:eastAsia="宋体" w:cs="宋体"/>
                <w:sz w:val="20"/>
                <w:szCs w:val="18"/>
                <w:lang w:eastAsia="zh-CN"/>
              </w:rPr>
            </w:pPr>
            <w:r>
              <w:rPr>
                <w:rFonts w:hint="eastAsia" w:ascii="宋体" w:hAnsi="宋体" w:cs="宋体"/>
                <w:sz w:val="20"/>
                <w:szCs w:val="18"/>
                <w:lang w:val="en-US" w:eastAsia="zh-CN"/>
              </w:rPr>
              <w:t>2.1</w:t>
            </w:r>
            <w:r>
              <w:rPr>
                <w:rFonts w:hint="eastAsia" w:ascii="宋体" w:hAnsi="宋体" w:eastAsia="宋体" w:cs="宋体"/>
                <w:sz w:val="20"/>
                <w:szCs w:val="18"/>
              </w:rPr>
              <w:t>表面耐污染性能：</w:t>
            </w:r>
            <w:r>
              <w:rPr>
                <w:rFonts w:hint="eastAsia" w:ascii="宋体" w:hAnsi="宋体" w:cs="宋体"/>
                <w:sz w:val="20"/>
                <w:szCs w:val="18"/>
                <w:lang w:eastAsia="zh-CN"/>
              </w:rPr>
              <w:t>耐污染性能不少于90项试验污染物的检测</w:t>
            </w:r>
            <w:r>
              <w:rPr>
                <w:rFonts w:hint="eastAsia" w:ascii="宋体" w:hAnsi="宋体" w:eastAsia="宋体" w:cs="宋体"/>
                <w:sz w:val="20"/>
                <w:szCs w:val="18"/>
              </w:rPr>
              <w:t>，</w:t>
            </w:r>
            <w:r>
              <w:rPr>
                <w:rFonts w:hint="eastAsia" w:ascii="宋体" w:hAnsi="宋体" w:cs="宋体"/>
                <w:sz w:val="20"/>
                <w:szCs w:val="18"/>
                <w:lang w:eastAsia="zh-CN"/>
              </w:rPr>
              <w:t>且覆盖玻璃盖板和未覆盖玻璃盖板检验结果≥4级；</w:t>
            </w:r>
          </w:p>
          <w:p w14:paraId="78F1F915">
            <w:pPr>
              <w:rPr>
                <w:rFonts w:hint="eastAsia" w:ascii="宋体" w:hAnsi="宋体" w:eastAsia="宋体" w:cs="宋体"/>
                <w:sz w:val="20"/>
                <w:szCs w:val="18"/>
                <w:lang w:eastAsia="zh-CN"/>
              </w:rPr>
            </w:pPr>
            <w:r>
              <w:rPr>
                <w:rFonts w:hint="eastAsia" w:ascii="宋体" w:hAnsi="宋体" w:cs="宋体"/>
                <w:sz w:val="20"/>
                <w:szCs w:val="18"/>
                <w:lang w:val="en-US" w:eastAsia="zh-CN"/>
              </w:rPr>
              <w:t>2.2</w:t>
            </w:r>
            <w:r>
              <w:rPr>
                <w:rFonts w:hint="eastAsia" w:ascii="宋体" w:hAnsi="宋体" w:cs="宋体"/>
                <w:sz w:val="20"/>
                <w:szCs w:val="18"/>
                <w:lang w:eastAsia="zh-CN"/>
              </w:rPr>
              <w:t>抗菌性能：大肠杆菌抗菌率≥90.00%，金黄色葡萄球菌抗菌率≥90.00%；</w:t>
            </w:r>
          </w:p>
          <w:p w14:paraId="0D5C26D8">
            <w:pPr>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18"/>
                <w:lang w:val="en-US" w:eastAsia="zh-CN"/>
              </w:rPr>
              <w:t>2.3</w:t>
            </w:r>
            <w:r>
              <w:rPr>
                <w:rFonts w:hint="eastAsia" w:ascii="宋体" w:hAnsi="宋体" w:eastAsia="宋体" w:cs="宋体"/>
                <w:sz w:val="20"/>
                <w:szCs w:val="18"/>
              </w:rPr>
              <w:t>防霉性能：至少包含黑曲霉、土曲霉、宛氏拟青霉、绳状青霉、出芽短梗霉、球毛壳的霉菌检测，且</w:t>
            </w:r>
            <w:r>
              <w:rPr>
                <w:rFonts w:hint="eastAsia" w:ascii="宋体" w:hAnsi="宋体" w:cs="宋体"/>
                <w:sz w:val="20"/>
                <w:szCs w:val="18"/>
                <w:lang w:eastAsia="zh-CN"/>
              </w:rPr>
              <w:t>防霉等级≤1级；</w:t>
            </w:r>
          </w:p>
          <w:p w14:paraId="5A519B96">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台身：采用≥1.0mm厚镀锌钢板，钢板表面经环氧树脂静电粉末喷涂。</w:t>
            </w:r>
          </w:p>
          <w:p w14:paraId="424AC1F9">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桌脚：采用直径不小于10mm的螺杆与ABS工程塑料一次注塑成型的脚垫，高度可调节。</w:t>
            </w:r>
          </w:p>
          <w:p w14:paraId="75C32D04">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5</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柜门铰链：采用不锈钢定位铰链，铰链的壁厚不小于1.5mm。</w:t>
            </w:r>
          </w:p>
          <w:p w14:paraId="19116CD3">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
              </w:rPr>
              <w:t>6</w:t>
            </w:r>
            <w:r>
              <w:rPr>
                <w:rFonts w:hint="eastAsia" w:ascii="宋体" w:hAnsi="宋体" w:cs="宋体"/>
                <w:i w:val="0"/>
                <w:iCs w:val="0"/>
                <w:color w:val="000000"/>
                <w:sz w:val="20"/>
                <w:szCs w:val="20"/>
                <w:lang w:val="en-US" w:eastAsia="zh-CN" w:bidi="ar"/>
              </w:rPr>
              <w:t>.</w:t>
            </w:r>
            <w:r>
              <w:rPr>
                <w:rFonts w:hint="eastAsia" w:ascii="宋体" w:hAnsi="宋体" w:eastAsia="宋体" w:cs="宋体"/>
                <w:i w:val="0"/>
                <w:iCs w:val="0"/>
                <w:color w:val="000000"/>
                <w:sz w:val="20"/>
                <w:szCs w:val="20"/>
                <w:u w:val="none"/>
                <w:lang w:val="en-US" w:eastAsia="zh-CN" w:bidi="ar"/>
              </w:rPr>
              <w:t>抽屉滑道：采用消声三节滑轨，壁厚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1.5mm合金钢板一次性成型加工，表面经环氧树脂静电喷涂。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617B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张</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E041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A6D1E">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15850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0FD53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1218565"/>
                  <wp:effectExtent l="0" t="0" r="5080" b="635"/>
                  <wp:docPr id="73"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6"/>
                          <pic:cNvPicPr>
                            <a:picLocks noChangeAspect="1"/>
                          </pic:cNvPicPr>
                        </pic:nvPicPr>
                        <pic:blipFill>
                          <a:blip r:embed="rId76"/>
                          <a:stretch>
                            <a:fillRect/>
                          </a:stretch>
                        </pic:blipFill>
                        <pic:spPr>
                          <a:xfrm>
                            <a:off x="0" y="0"/>
                            <a:ext cx="1004570" cy="1218565"/>
                          </a:xfrm>
                          <a:prstGeom prst="rect">
                            <a:avLst/>
                          </a:prstGeom>
                          <a:noFill/>
                          <a:ln>
                            <a:noFill/>
                          </a:ln>
                        </pic:spPr>
                      </pic:pic>
                    </a:graphicData>
                  </a:graphic>
                </wp:inline>
              </w:drawing>
            </w:r>
          </w:p>
        </w:tc>
      </w:tr>
      <w:tr w14:paraId="60F43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32DB0">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2</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20F3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通风柜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6B0B7">
            <w:pPr>
              <w:keepNext w:val="0"/>
              <w:keepLines w:val="0"/>
              <w:widowControl/>
              <w:numPr>
                <w:ilvl w:val="0"/>
                <w:numId w:val="0"/>
              </w:numPr>
              <w:suppressLineNumbers w:val="0"/>
              <w:jc w:val="left"/>
              <w:rPr>
                <w:rFonts w:hint="default"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1、</w:t>
            </w:r>
            <w:r>
              <w:rPr>
                <w:rFonts w:hint="eastAsia" w:ascii="宋体" w:hAnsi="宋体" w:eastAsia="宋体" w:cs="宋体"/>
                <w:i w:val="0"/>
                <w:iCs w:val="0"/>
                <w:color w:val="000000"/>
                <w:sz w:val="20"/>
                <w:szCs w:val="20"/>
                <w:u w:val="none"/>
                <w:lang w:val="en-US" w:eastAsia="zh-CN" w:bidi="ar"/>
              </w:rPr>
              <w:t>规格1500*850*2350</w:t>
            </w:r>
            <w:r>
              <w:rPr>
                <w:rFonts w:hint="eastAsia" w:ascii="宋体" w:hAnsi="宋体" w:cs="宋体"/>
                <w:i w:val="0"/>
                <w:iCs w:val="0"/>
                <w:color w:val="000000"/>
                <w:sz w:val="20"/>
                <w:szCs w:val="20"/>
                <w:u w:val="none"/>
                <w:lang w:val="en-US" w:eastAsia="zh-CN" w:bidi="ar"/>
              </w:rPr>
              <w:t>mm±10mm</w:t>
            </w:r>
          </w:p>
          <w:p w14:paraId="6DF9560A">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lang w:val="en-US" w:eastAsia="zh-CN" w:bidi="ar-SA"/>
              </w:rPr>
              <w:t>2、</w:t>
            </w:r>
            <w:r>
              <w:rPr>
                <w:rFonts w:hint="eastAsia" w:ascii="宋体" w:hAnsi="宋体" w:eastAsia="宋体" w:cs="宋体"/>
                <w:i w:val="0"/>
                <w:iCs w:val="0"/>
                <w:color w:val="000000"/>
                <w:sz w:val="20"/>
                <w:szCs w:val="20"/>
                <w:u w:val="none"/>
                <w:lang w:val="en-US" w:eastAsia="zh-CN" w:bidi="ar"/>
              </w:rPr>
              <w:t>结构组合：采用三段组合式柜体，上部柜体（通风柜体），中间（操作面板），下部柜体</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3、外壳：采用厚不小于1.0mm镀锌钢板冲压成型制作，表面经耐酸碱环氧树脂喷涂处理；</w:t>
            </w:r>
          </w:p>
          <w:p w14:paraId="394DAF46">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SA"/>
              </w:rPr>
              <w:t>4、</w:t>
            </w:r>
            <w:r>
              <w:rPr>
                <w:rFonts w:hint="eastAsia" w:ascii="宋体" w:hAnsi="宋体" w:eastAsia="宋体" w:cs="宋体"/>
                <w:i w:val="0"/>
                <w:iCs w:val="0"/>
                <w:color w:val="000000"/>
                <w:sz w:val="20"/>
                <w:szCs w:val="20"/>
                <w:u w:val="none"/>
                <w:lang w:val="en-US" w:eastAsia="zh-CN" w:bidi="ar"/>
              </w:rPr>
              <w:t>内壳：采用不小于5mm厚耐酸碱、耐高温的抗倍特板制作；</w:t>
            </w:r>
          </w:p>
          <w:p w14:paraId="040837AB">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5、面板：采用不小于12.7mm厚实芯理化板，结构坚固，耐强酸碱；</w:t>
            </w:r>
          </w:p>
          <w:p w14:paraId="7A883404">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6、</w:t>
            </w:r>
            <w:r>
              <w:rPr>
                <w:rFonts w:hint="eastAsia" w:ascii="宋体" w:hAnsi="宋体" w:eastAsia="宋体" w:cs="宋体"/>
                <w:i w:val="0"/>
                <w:iCs w:val="0"/>
                <w:color w:val="000000"/>
                <w:sz w:val="20"/>
                <w:szCs w:val="20"/>
                <w:u w:val="none"/>
                <w:lang w:val="en-US" w:eastAsia="zh-CN" w:bidi="ar"/>
              </w:rPr>
              <w:t>照明：采用LED日光灯；</w:t>
            </w:r>
          </w:p>
          <w:p w14:paraId="78D8E344">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7、</w:t>
            </w:r>
            <w:r>
              <w:rPr>
                <w:rFonts w:hint="eastAsia" w:ascii="宋体" w:hAnsi="宋体" w:eastAsia="宋体" w:cs="宋体"/>
                <w:i w:val="0"/>
                <w:iCs w:val="0"/>
                <w:color w:val="000000"/>
                <w:sz w:val="20"/>
                <w:szCs w:val="20"/>
                <w:u w:val="none"/>
                <w:lang w:val="en-US" w:eastAsia="zh-CN" w:bidi="ar"/>
              </w:rPr>
              <w:t>拉手：采用ABS注塑成型；</w:t>
            </w:r>
          </w:p>
          <w:p w14:paraId="7728FE2B">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SA"/>
              </w:rPr>
              <w:t>8、</w:t>
            </w:r>
            <w:r>
              <w:rPr>
                <w:rFonts w:hint="eastAsia" w:ascii="宋体" w:hAnsi="宋体" w:eastAsia="宋体" w:cs="宋体"/>
                <w:i w:val="0"/>
                <w:iCs w:val="0"/>
                <w:color w:val="000000"/>
                <w:sz w:val="20"/>
                <w:szCs w:val="20"/>
                <w:u w:val="none"/>
                <w:lang w:val="en-US" w:eastAsia="zh-CN" w:bidi="ar"/>
              </w:rPr>
              <w:t>气流板： 采用不小于5mm厚抗倍特板制作，安装位置与角度需使排气分布均匀，无死角，在标准状况下，导流板上方与中、下方出风口排风量比例各约50±10%，以确保不同比重之气体均能有效排除，另并具手动可调排风量比例设计；</w:t>
            </w:r>
          </w:p>
          <w:p w14:paraId="029CC682">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9、化验水斗：采用PP制作，耐酸碱一体成型小水杯；</w:t>
            </w:r>
          </w:p>
          <w:p w14:paraId="335C40C3">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10、化验水嘴：采用实验室专用单口烤漆水嘴；</w:t>
            </w:r>
          </w:p>
          <w:p w14:paraId="46738F3C">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11、窗口：采用不小于5mm厚的钢化玻璃制作。内部采用垂体平衡装置，可以停留在上下任何位置；</w:t>
            </w:r>
          </w:p>
          <w:p w14:paraId="60C7C678">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12、 液晶控制系统：通风柜控制器以微控制器为核心，采用模块化设计，其主要特点是功能完备，结构简单，界面清晰，操作容易。</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1C2A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51EB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A72D1">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10720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12C7E">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840" cy="1082675"/>
                  <wp:effectExtent l="0" t="0" r="3810" b="3175"/>
                  <wp:docPr id="7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7"/>
                          <pic:cNvPicPr>
                            <a:picLocks noChangeAspect="1"/>
                          </pic:cNvPicPr>
                        </pic:nvPicPr>
                        <pic:blipFill>
                          <a:blip r:embed="rId77"/>
                          <a:stretch>
                            <a:fillRect/>
                          </a:stretch>
                        </pic:blipFill>
                        <pic:spPr>
                          <a:xfrm>
                            <a:off x="0" y="0"/>
                            <a:ext cx="1005840" cy="1082675"/>
                          </a:xfrm>
                          <a:prstGeom prst="rect">
                            <a:avLst/>
                          </a:prstGeom>
                          <a:noFill/>
                          <a:ln>
                            <a:noFill/>
                          </a:ln>
                        </pic:spPr>
                      </pic:pic>
                    </a:graphicData>
                  </a:graphic>
                </wp:inline>
              </w:drawing>
            </w:r>
          </w:p>
        </w:tc>
      </w:tr>
      <w:tr w14:paraId="707CF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44DA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912D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仪器柜</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75D94">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整体规格：1000mm（L）×500mm（W）×2000mm（H）</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cs="宋体"/>
                <w:i w:val="0"/>
                <w:iCs w:val="0"/>
                <w:color w:val="000000"/>
                <w:sz w:val="20"/>
                <w:szCs w:val="20"/>
                <w:u w:val="none"/>
                <w:lang w:val="en-US" w:eastAsia="zh-CN" w:bidi="ar"/>
              </w:rPr>
              <w:t>2.</w:t>
            </w:r>
            <w:r>
              <w:rPr>
                <w:rFonts w:hint="eastAsia" w:ascii="宋体" w:hAnsi="宋体" w:eastAsia="宋体" w:cs="宋体"/>
                <w:i w:val="0"/>
                <w:iCs w:val="0"/>
                <w:color w:val="000000"/>
                <w:sz w:val="20"/>
                <w:szCs w:val="20"/>
                <w:u w:val="none"/>
                <w:lang w:val="en-US" w:eastAsia="zh-CN" w:bidi="ar"/>
              </w:rPr>
              <w:t>整体采用环保型ABS塑料一次性注塑成型，层板采用</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2.5mm厚双面环保型PP改性塑料，耐强酸碱及有机溶剂，内设加强筋。</w:t>
            </w:r>
          </w:p>
          <w:p w14:paraId="23035CED">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0"/>
                <w:szCs w:val="20"/>
                <w:lang w:val="en-US" w:eastAsia="zh-CN" w:bidi="ar"/>
              </w:rPr>
              <w:t>3.</w:t>
            </w:r>
            <w:r>
              <w:rPr>
                <w:rFonts w:hint="eastAsia" w:ascii="宋体" w:hAnsi="宋体" w:eastAsia="宋体" w:cs="宋体"/>
                <w:i w:val="0"/>
                <w:iCs w:val="0"/>
                <w:color w:val="000000"/>
                <w:sz w:val="20"/>
                <w:szCs w:val="20"/>
                <w:u w:val="none"/>
                <w:lang w:val="en-US" w:eastAsia="zh-CN" w:bidi="ar"/>
              </w:rPr>
              <w:t>柜体：榫卯连接结构并合理布局加强筋，安装时不用胶水粘结，不用任何金属螺丝。</w:t>
            </w:r>
          </w:p>
          <w:p w14:paraId="0FA91684">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0"/>
                <w:szCs w:val="20"/>
                <w:lang w:val="en-US" w:eastAsia="zh-CN" w:bidi="ar"/>
              </w:rPr>
              <w:t>4.</w:t>
            </w:r>
            <w:r>
              <w:rPr>
                <w:rFonts w:hint="eastAsia" w:ascii="宋体" w:hAnsi="宋体" w:eastAsia="宋体" w:cs="宋体"/>
                <w:i w:val="0"/>
                <w:iCs w:val="0"/>
                <w:color w:val="000000"/>
                <w:sz w:val="20"/>
                <w:szCs w:val="20"/>
                <w:u w:val="none"/>
                <w:lang w:val="en-US" w:eastAsia="zh-CN" w:bidi="ar"/>
              </w:rPr>
              <w:t>上部为ABS工程塑料镶装玻璃对开门,带锁、内嵌式塑料扣手，尼龙塑料铰链，高强度耐磨，防水、永不生锈，内设PP改性活动隔板2块。</w:t>
            </w:r>
          </w:p>
          <w:p w14:paraId="0E22C94D">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cs="宋体"/>
                <w:i w:val="0"/>
                <w:iCs w:val="0"/>
                <w:color w:val="000000"/>
                <w:sz w:val="21"/>
                <w:szCs w:val="21"/>
                <w:u w:val="none"/>
                <w:lang w:val="en-US" w:eastAsia="zh-CN" w:bidi="ar"/>
              </w:rPr>
              <w:t>5.</w:t>
            </w:r>
            <w:r>
              <w:rPr>
                <w:rFonts w:hint="eastAsia" w:ascii="宋体" w:hAnsi="宋体" w:eastAsia="宋体" w:cs="宋体"/>
                <w:i w:val="0"/>
                <w:iCs w:val="0"/>
                <w:color w:val="000000"/>
                <w:sz w:val="21"/>
                <w:szCs w:val="21"/>
                <w:u w:val="none"/>
                <w:lang w:val="en-US" w:eastAsia="zh-CN" w:bidi="ar"/>
              </w:rPr>
              <w:t>下部为ABS工程塑料对开门，带</w:t>
            </w:r>
            <w:r>
              <w:rPr>
                <w:rFonts w:hint="eastAsia" w:ascii="宋体" w:hAnsi="宋体" w:eastAsia="宋体" w:cs="宋体"/>
                <w:i w:val="0"/>
                <w:iCs w:val="0"/>
                <w:color w:val="000000"/>
                <w:sz w:val="20"/>
                <w:szCs w:val="20"/>
                <w:u w:val="none"/>
                <w:lang w:val="en-US" w:eastAsia="zh-CN" w:bidi="ar"/>
              </w:rPr>
              <w:t>锁、内嵌式塑料扣手，采用尼龙塑料铰链，内设PP改性塑料活动隔板1块。门板与侧板并安装有防盗插销，防止从外部撬开柜门。底座高80mm，上下板30mm，重要部位加厚处理，从而使产品更牢固，结实耐用。</w:t>
            </w:r>
          </w:p>
          <w:p w14:paraId="61EB9B9C">
            <w:pPr>
              <w:keepNext w:val="0"/>
              <w:keepLines w:val="0"/>
              <w:widowControl/>
              <w:numPr>
                <w:ilvl w:val="0"/>
                <w:numId w:val="0"/>
              </w:numPr>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仪器</w:t>
            </w:r>
            <w:r>
              <w:rPr>
                <w:rFonts w:hint="eastAsia" w:ascii="宋体" w:hAnsi="宋体" w:cs="宋体"/>
                <w:i w:val="0"/>
                <w:iCs w:val="0"/>
                <w:color w:val="000000"/>
                <w:sz w:val="20"/>
                <w:szCs w:val="20"/>
                <w:highlight w:val="none"/>
                <w:u w:val="none"/>
                <w:lang w:val="en-US" w:eastAsia="zh-CN" w:bidi="ar"/>
              </w:rPr>
              <w:t>塑料件</w:t>
            </w:r>
            <w:r>
              <w:rPr>
                <w:rFonts w:hint="eastAsia" w:ascii="宋体" w:hAnsi="宋体" w:eastAsia="宋体" w:cs="宋体"/>
                <w:i w:val="0"/>
                <w:iCs w:val="0"/>
                <w:color w:val="000000"/>
                <w:sz w:val="20"/>
                <w:szCs w:val="20"/>
                <w:highlight w:val="none"/>
                <w:u w:val="none"/>
                <w:lang w:val="en-US" w:eastAsia="zh-CN" w:bidi="ar"/>
              </w:rPr>
              <w:t>符合：</w:t>
            </w:r>
          </w:p>
          <w:p w14:paraId="2D1280EB">
            <w:pPr>
              <w:keepNext w:val="0"/>
              <w:keepLines w:val="0"/>
              <w:widowControl/>
              <w:numPr>
                <w:ilvl w:val="0"/>
                <w:numId w:val="0"/>
              </w:numPr>
              <w:suppressLineNumbers w:val="0"/>
              <w:jc w:val="left"/>
              <w:rPr>
                <w:rFonts w:hint="default"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（1）塑料材料理化性能：冲击强度≥</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0J/㎡</w:t>
            </w:r>
            <w:r>
              <w:rPr>
                <w:rFonts w:hint="eastAsia" w:ascii="宋体" w:hAnsi="宋体" w:cs="宋体"/>
                <w:i w:val="0"/>
                <w:iCs w:val="0"/>
                <w:color w:val="000000"/>
                <w:sz w:val="20"/>
                <w:szCs w:val="20"/>
                <w:highlight w:val="none"/>
                <w:u w:val="none"/>
                <w:lang w:val="en-US" w:eastAsia="zh-CN" w:bidi="ar"/>
              </w:rPr>
              <w:t>；</w:t>
            </w:r>
          </w:p>
          <w:p w14:paraId="155181BF">
            <w:pPr>
              <w:rPr>
                <w:rFonts w:hint="eastAsia" w:ascii="宋体" w:hAnsi="宋体" w:eastAsia="宋体" w:cs="宋体"/>
                <w:i w:val="0"/>
                <w:iCs w:val="0"/>
                <w:color w:val="000000"/>
                <w:sz w:val="20"/>
                <w:szCs w:val="20"/>
                <w:u w:val="none"/>
              </w:rPr>
            </w:pP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2</w:t>
            </w:r>
            <w:r>
              <w:rPr>
                <w:rFonts w:hint="default"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塑料件硬度：邵氏D硬度≥HD</w:t>
            </w:r>
            <w:r>
              <w:rPr>
                <w:rFonts w:hint="eastAsia" w:ascii="宋体" w:hAnsi="宋体" w:cs="宋体"/>
                <w:i w:val="0"/>
                <w:iCs w:val="0"/>
                <w:color w:val="000000"/>
                <w:sz w:val="20"/>
                <w:szCs w:val="20"/>
                <w:highlight w:val="none"/>
                <w:u w:val="none"/>
                <w:lang w:val="en-US" w:eastAsia="zh-CN" w:bidi="ar"/>
              </w:rPr>
              <w:t>63。</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8D3A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个</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E5995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074DC">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22000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0E7B6">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5205" cy="1334770"/>
                  <wp:effectExtent l="0" t="0" r="4445" b="17780"/>
                  <wp:docPr id="75"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8"/>
                          <pic:cNvPicPr>
                            <a:picLocks noChangeAspect="1"/>
                          </pic:cNvPicPr>
                        </pic:nvPicPr>
                        <pic:blipFill>
                          <a:blip r:embed="rId78"/>
                          <a:stretch>
                            <a:fillRect/>
                          </a:stretch>
                        </pic:blipFill>
                        <pic:spPr>
                          <a:xfrm>
                            <a:off x="0" y="0"/>
                            <a:ext cx="1005205" cy="1334770"/>
                          </a:xfrm>
                          <a:prstGeom prst="rect">
                            <a:avLst/>
                          </a:prstGeom>
                          <a:noFill/>
                          <a:ln>
                            <a:noFill/>
                          </a:ln>
                        </pic:spPr>
                      </pic:pic>
                    </a:graphicData>
                  </a:graphic>
                </wp:inline>
              </w:drawing>
            </w:r>
          </w:p>
        </w:tc>
      </w:tr>
      <w:tr w14:paraId="39A98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CF01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FA11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准备桌水槽</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1C49F">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pp规格550*450</w:t>
            </w:r>
            <w:r>
              <w:rPr>
                <w:rFonts w:hint="eastAsia" w:ascii="宋体" w:hAnsi="宋体" w:cs="宋体"/>
                <w:i w:val="0"/>
                <w:iCs w:val="0"/>
                <w:color w:val="000000"/>
                <w:sz w:val="20"/>
                <w:szCs w:val="20"/>
                <w:u w:val="none"/>
                <w:lang w:val="en-US" w:eastAsia="zh-CN" w:bidi="ar"/>
              </w:rPr>
              <w:t>±10mm</w:t>
            </w:r>
            <w:r>
              <w:rPr>
                <w:rFonts w:hint="eastAsia" w:ascii="宋体" w:hAnsi="宋体" w:eastAsia="宋体" w:cs="宋体"/>
                <w:i w:val="0"/>
                <w:iCs w:val="0"/>
                <w:color w:val="000000"/>
                <w:sz w:val="20"/>
                <w:szCs w:val="20"/>
                <w:u w:val="none"/>
                <w:lang w:val="en-US" w:eastAsia="zh-CN" w:bidi="ar"/>
              </w:rPr>
              <w:t>采用PP改性材料，塑料注塑模一次性成型，耐强酸强碱耐＜80℃有机溶剂并耐150℃以下高温，外型简约美观。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35B9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895B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502EC">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225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2192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633730"/>
                  <wp:effectExtent l="0" t="0" r="5080" b="13970"/>
                  <wp:docPr id="76"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9"/>
                          <pic:cNvPicPr>
                            <a:picLocks noChangeAspect="1"/>
                          </pic:cNvPicPr>
                        </pic:nvPicPr>
                        <pic:blipFill>
                          <a:blip r:embed="rId79"/>
                          <a:stretch>
                            <a:fillRect/>
                          </a:stretch>
                        </pic:blipFill>
                        <pic:spPr>
                          <a:xfrm>
                            <a:off x="0" y="0"/>
                            <a:ext cx="1004570" cy="633730"/>
                          </a:xfrm>
                          <a:prstGeom prst="rect">
                            <a:avLst/>
                          </a:prstGeom>
                          <a:noFill/>
                          <a:ln>
                            <a:noFill/>
                          </a:ln>
                        </pic:spPr>
                      </pic:pic>
                    </a:graphicData>
                  </a:graphic>
                </wp:inline>
              </w:drawing>
            </w:r>
          </w:p>
        </w:tc>
      </w:tr>
      <w:tr w14:paraId="56DFC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7C61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5</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B7940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洗眼器</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76F8D">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洗眼喷头：采用不助燃PC材质模铸一体成形制作，具有过滤泡棉及防尘功能，上面防尘盖平常可防尘，使用时可随时被水冲开，并降低突然打开时短暂的高水压，避免冲伤眼睛。</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1843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1761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0A52">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450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83A9">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771525" cy="1247775"/>
                  <wp:effectExtent l="0" t="0" r="9525" b="9525"/>
                  <wp:docPr id="77"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0"/>
                          <pic:cNvPicPr>
                            <a:picLocks noChangeAspect="1"/>
                          </pic:cNvPicPr>
                        </pic:nvPicPr>
                        <pic:blipFill>
                          <a:blip r:embed="rId80"/>
                          <a:stretch>
                            <a:fillRect/>
                          </a:stretch>
                        </pic:blipFill>
                        <pic:spPr>
                          <a:xfrm>
                            <a:off x="0" y="0"/>
                            <a:ext cx="771525" cy="1247775"/>
                          </a:xfrm>
                          <a:prstGeom prst="rect">
                            <a:avLst/>
                          </a:prstGeom>
                          <a:noFill/>
                          <a:ln>
                            <a:noFill/>
                          </a:ln>
                        </pic:spPr>
                      </pic:pic>
                    </a:graphicData>
                  </a:graphic>
                </wp:inline>
              </w:drawing>
            </w:r>
          </w:p>
        </w:tc>
      </w:tr>
      <w:tr w14:paraId="28483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0745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78EF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三联水嘴</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1E7C6">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1.主体：加厚铜质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2.涂层：高亮度环氧树脂涂层，耐腐蚀、耐热，防紫外线辐射</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3.陶瓷阀芯90°旋转，</w:t>
            </w:r>
            <w:r>
              <w:rPr>
                <w:rFonts w:hint="eastAsia" w:ascii="宋体" w:hAnsi="宋体" w:cs="宋体"/>
                <w:i w:val="0"/>
                <w:iCs w:val="0"/>
                <w:color w:val="000000"/>
                <w:sz w:val="20"/>
                <w:szCs w:val="20"/>
                <w:u w:val="none"/>
                <w:lang w:val="en-US" w:eastAsia="zh-CN" w:bidi="ar"/>
              </w:rPr>
              <w:t>持久耐用。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4.经久耐用，不会出现渗水、断裂现象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5.鹅颈管可360°旋转</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6.开关旋钮：高密度PP，人体工学设计，手感舒适</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DA4F3">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5604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5395C">
            <w:pPr>
              <w:keepNext w:val="0"/>
              <w:keepLines w:val="0"/>
              <w:widowControl/>
              <w:suppressLineNumbers w:val="0"/>
              <w:jc w:val="center"/>
              <w:rPr>
                <w:sz w:val="18"/>
                <w:szCs w:val="18"/>
              </w:rPr>
            </w:pPr>
            <w:r>
              <w:rPr>
                <w:rFonts w:hint="eastAsia" w:ascii="宋体" w:hAnsi="宋体" w:eastAsia="宋体" w:cs="宋体"/>
                <w:i w:val="0"/>
                <w:iCs w:val="0"/>
                <w:color w:val="000000"/>
                <w:sz w:val="18"/>
                <w:szCs w:val="18"/>
                <w:u w:val="none"/>
                <w:lang w:val="en-US" w:eastAsia="zh-CN" w:bidi="ar"/>
              </w:rPr>
              <w:t xml:space="preserve">330 </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A5C85">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952500" cy="1123950"/>
                  <wp:effectExtent l="0" t="0" r="0" b="0"/>
                  <wp:docPr id="7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1"/>
                          <pic:cNvPicPr>
                            <a:picLocks noChangeAspect="1"/>
                          </pic:cNvPicPr>
                        </pic:nvPicPr>
                        <pic:blipFill>
                          <a:blip r:embed="rId81"/>
                          <a:stretch>
                            <a:fillRect/>
                          </a:stretch>
                        </pic:blipFill>
                        <pic:spPr>
                          <a:xfrm>
                            <a:off x="0" y="0"/>
                            <a:ext cx="952500" cy="1123950"/>
                          </a:xfrm>
                          <a:prstGeom prst="rect">
                            <a:avLst/>
                          </a:prstGeom>
                          <a:noFill/>
                          <a:ln>
                            <a:noFill/>
                          </a:ln>
                        </pic:spPr>
                      </pic:pic>
                    </a:graphicData>
                  </a:graphic>
                </wp:inline>
              </w:drawing>
            </w:r>
          </w:p>
        </w:tc>
      </w:tr>
      <w:tr w14:paraId="349A7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B5036">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7</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63E1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固体、液体和气体演示实验箱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A6728">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以《普通高中物理课程标准》为依据，结合最新国家教材委员会专家委员会审核通过的各大版本普通高中物理教科书(含必修课程和选择性必修课程)，满足高中物理课程的所有学生实验。此箱是专为教师及学生完成教材要求的实验而设计，采用高度集成的方法将“固体、液体和气体”、“热力学定律”这两个学习主题对应的实验所用到的实验器材分块放置在实验箱里，准备简单，管理方便。每款仪器的配置均符合教材上要求的实验要求，充分提高了实验课堂的授课水平和学习质量。并对普通高中物理教学装备配置标准中的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一、实验箱规格描述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1、外形尺寸：箱体470×360×210（±10）mm，壁厚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二、产品组成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由温度计*1；不锈钢酒精灯*1；多功能组合支架(X型支座)*1；支撑杆/铁架台立杆*1；新型升降块*2；铁圈*1；石棉网*1；锥形瓶/三角烧瓶*1；硅胶管*1；玻璃烧杯*1；色素*1；玻意尔定律实验器*1；针筒*1；双孔硅胶塞*1；单孔硅胶塞*1；长直角玻璃导管(粗)*1；玻璃导管*1；硅胶管*1；U型压强计*1；玻璃试管*1；蜂蜡*1；透明玻璃板*1；石蜡*1；塑料圈*1；瓶装泡泡水*1；小滴管*1；液晶车载时钟*1；毛细玻璃管（5种规格）*1；金属毛细管支架*1；空气压缩引火仪*1；两用打气筒*1；饮水鸟/永动鸟*1；短管标准漏斗*1；玻璃杯*1；玻璃培养皿*1；尼龙线*1；云母石*2；浅碟*1等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三、主要配置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多功能组合支架(X型支座)：规格：240×132×28mm；材质：增强ABS；工艺：塑料注塑成型，表面磨砂工艺处理；结构形式：设有立杆异形安装孔、两脚立杆扩展孔、组合卡扣、内嵌铜螺母，内嵌铜螺母上旋接固定有M6紧锁手拧螺丝，主体内部含金属配重；功能描述：两件对插组合使用呈X型，可作为铁架台底座、光学导轨、新能源轨道等，可满足理化生不同学科实验需求。</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毛细管支架：规格：135×40×90mm；材质：主体为金属材质；工艺：钣金成型，表面喷漆工艺处理；结构形式：设有5个规格不同毛细管放置孔，主体为金属钣金，底座为塑料材质；功能描述：用于探究毛细现象实验。</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四、功能和应用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可模拟演示实验：1.温度计；2.探究气体等温变化的规律（玻意尔定律）；3.等压变化（盖—吕萨克定律）；4.等容变化（查理定律）；5.晶体和非晶体；6.石蜡在玻璃和云母片上的融化；7.液体的表面张力（观察肥皂膜和棉线的变化）；8.浸润和不浸润（水滴在玻璃面和蜡面的现象、毛细现象）；9.观察液晶屏10.空气压缩引火实验；11.功与内能的改变（观察橡胶塞跳出时瓶内的变化）等</w:t>
            </w:r>
            <w:r>
              <w:rPr>
                <w:rFonts w:hint="eastAsia" w:ascii="宋体" w:hAnsi="宋体" w:cs="宋体"/>
                <w:i w:val="0"/>
                <w:iCs w:val="0"/>
                <w:color w:val="000000"/>
                <w:sz w:val="20"/>
                <w:szCs w:val="20"/>
                <w:u w:val="none"/>
                <w:lang w:val="en-US" w:eastAsia="zh-CN" w:bidi="ar"/>
              </w:rPr>
              <w:t>11种实验内容</w:t>
            </w:r>
            <w:r>
              <w:rPr>
                <w:rFonts w:hint="eastAsia" w:ascii="宋体" w:hAnsi="宋体" w:eastAsia="宋体" w:cs="宋体"/>
                <w:i w:val="0"/>
                <w:iCs w:val="0"/>
                <w:color w:val="000000"/>
                <w:sz w:val="20"/>
                <w:szCs w:val="20"/>
                <w:u w:val="none"/>
                <w:lang w:val="en-US" w:eastAsia="zh-CN" w:bidi="ar"/>
              </w:rPr>
              <w:t>。</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9A3E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3173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9C6AF">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7350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7C177">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2665" cy="458470"/>
                  <wp:effectExtent l="0" t="0" r="6985" b="17780"/>
                  <wp:docPr id="79"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3"/>
                          <pic:cNvPicPr>
                            <a:picLocks noChangeAspect="1"/>
                          </pic:cNvPicPr>
                        </pic:nvPicPr>
                        <pic:blipFill>
                          <a:blip r:embed="rId82"/>
                          <a:stretch>
                            <a:fillRect/>
                          </a:stretch>
                        </pic:blipFill>
                        <pic:spPr>
                          <a:xfrm>
                            <a:off x="0" y="0"/>
                            <a:ext cx="1002665" cy="458470"/>
                          </a:xfrm>
                          <a:prstGeom prst="rect">
                            <a:avLst/>
                          </a:prstGeom>
                          <a:noFill/>
                          <a:ln>
                            <a:noFill/>
                          </a:ln>
                        </pic:spPr>
                      </pic:pic>
                    </a:graphicData>
                  </a:graphic>
                </wp:inline>
              </w:drawing>
            </w:r>
          </w:p>
        </w:tc>
      </w:tr>
      <w:tr w14:paraId="0F4A9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CFC5B">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831A9">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有机化合物演示实验箱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44E8A">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普通高中化学课程标准》为依据，结合最新各大版本高中化学课程教材，满足高中化学课程的所有实验。此箱是专为教师及学生完成教材要求的实验而设计，采用高度集成的方法将“有机化合物”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一、实验箱规格描述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1、外形尺寸：箱体470×360×210（±10）mm，壁厚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二、产品组成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由锥形瓶/三角烧瓶*1；标口圆底烧瓶*1；分液漏斗（四氟阀）*1；U形管*1；玻璃试管*4；磨口试管*1；具支玻璃试管*2；玻璃刻度量筒*1；玻璃刻度量筒*1；螺口塞具支接头*1；直形抽气接头*1；长直角玻璃导管(粗)*2；直角玻璃导管(粗)*1；玻璃烧杯*1；玻璃烧杯*1；玻璃烧杯*1；玻璃培养皿*1；蒸发皿*1；试管塞*2；试管塞*1；玻璃胶头滴管*3；尖嘴导管*1；玻璃直导管*1；双孔硅胶塞*1；硅胶管*1；蓝色石蕊试纸*1；不锈钢尖嘴小镊子*1；竹棒*5；玻璃棒*1；玻璃表面皿*1；广泛PH试纸*1；药匙*3；研钵*1；温度计*1；铜丝*1；有机化合物分子结构模型*1等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三、功能和应用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可模拟演示实验：1.乙醇、乙酸的主要性质；2.搭建球棍模型认识有机化合物分子结构的特点；3.乙酸乙酯的制备与性质；4.乙醇与金属钠的反应；5.乙醇在浓硫酸作用下的消去反应；6.乙醇在浓氢溴酸作用下的取代反应；7.乙醇在催化剂作用下被空气氧化；8.乙醇被重铬酸钾溶液氧化；9.石蜡油分解实验；10.聚氯乙烯的性质；11.玻璃粉末的酸碱性测定；12.聚乙烯、聚氯乙烯、聚苯乙烯的区别；13.塑料的热塑性和热固性；14.水的表面张力；15.蛋白质的性质；16.蔗糖的燃烧；17.葡萄糖的银镜反应实验；18.葡萄糖与新制的氢氧化铜反应实验；19.蔗糖与麦芽糖的水解；20.比较稀硫酸、唾液对淀粉水解速率的影响；21.酚醛树脂的制备及性质；22.酚醛树脂的溶解性实验；23.几种纤维的性质实验；24.蓝瓶子实验；25.石蜡的催化裂化；26.有机化合物中常见官能团的检验；27.乙醇的消去反应；28.糖类的性质；29.葡萄糖、淀粉、蛋白质的特征反应；30.乙醇和氢卤酸反应；31.苯酚与溴水反应；32.苯酚与氯化铁反应；33.卤代烃的水解反应；34.蔗糖溶液、蔗糖水解液、麦芽糖溶液的还原性比较；35.水解反应趋于完全的条件；36.比较醋酸和碳酸酸性强弱；37.醋酸、硼酸中滴加碳酸钠溶液的现象比较；38.乙醛与新制氢氧化铜反应实验；39.煤的干馏；40.溴丁烷的消去反应；41.乙醛的性质；42.乙醛的银镜反应；43.合成乙酸乙酯；44.乙酸乙酯在酸性、中性和碱性条件下的水解；45.溴乙烷在氢氧化钠溶液中的水解及其产物验证；46.溴乙烷在氢氧化钠乙醇溶液中的消去反应；47.计算聚丙烯酸钠的吸水率；48.芳香族化合物；49.苯酚的性质实验；50.苯酚和氢氧化钠溶液的反应等</w:t>
            </w:r>
            <w:r>
              <w:rPr>
                <w:rFonts w:hint="eastAsia" w:ascii="宋体" w:hAnsi="宋体" w:cs="宋体"/>
                <w:i w:val="0"/>
                <w:iCs w:val="0"/>
                <w:color w:val="000000"/>
                <w:sz w:val="20"/>
                <w:szCs w:val="20"/>
                <w:u w:val="none"/>
                <w:lang w:val="en-US" w:eastAsia="zh-CN" w:bidi="ar"/>
              </w:rPr>
              <w:t>50种实验内容</w:t>
            </w:r>
            <w:r>
              <w:rPr>
                <w:rFonts w:hint="eastAsia" w:ascii="宋体" w:hAnsi="宋体" w:eastAsia="宋体" w:cs="宋体"/>
                <w:i w:val="0"/>
                <w:iCs w:val="0"/>
                <w:color w:val="000000"/>
                <w:sz w:val="20"/>
                <w:szCs w:val="20"/>
                <w:u w:val="none"/>
                <w:lang w:val="en-US" w:eastAsia="zh-CN" w:bidi="ar"/>
              </w:rPr>
              <w:t>。</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36175">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07E54">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88987">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5940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D4AA4">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4570" cy="400050"/>
                  <wp:effectExtent l="0" t="0" r="5080" b="0"/>
                  <wp:docPr id="8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2"/>
                          <pic:cNvPicPr>
                            <a:picLocks noChangeAspect="1"/>
                          </pic:cNvPicPr>
                        </pic:nvPicPr>
                        <pic:blipFill>
                          <a:blip r:embed="rId83"/>
                          <a:stretch>
                            <a:fillRect/>
                          </a:stretch>
                        </pic:blipFill>
                        <pic:spPr>
                          <a:xfrm>
                            <a:off x="0" y="0"/>
                            <a:ext cx="1004570" cy="400050"/>
                          </a:xfrm>
                          <a:prstGeom prst="rect">
                            <a:avLst/>
                          </a:prstGeom>
                          <a:noFill/>
                          <a:ln>
                            <a:noFill/>
                          </a:ln>
                        </pic:spPr>
                      </pic:pic>
                    </a:graphicData>
                  </a:graphic>
                </wp:inline>
              </w:drawing>
            </w:r>
          </w:p>
        </w:tc>
      </w:tr>
      <w:tr w14:paraId="4AB71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165CC">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9</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557A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生物技术与工程演示实验箱</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394AB">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普通高中生物学教学装备配置标准》为依据，结合最新各大版本高中生物课程教材，满足高中生物课程的大部分实验。此箱是专为教师及学生完成教材要求的实验而设计，采用高度集成的方法将“生物技术与工程”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一、实验箱规格描述</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1、外形尺寸：箱体470×360×210（±10）mm，壁厚</w:t>
            </w:r>
            <w:r>
              <w:rPr>
                <w:rFonts w:hint="eastAsia" w:ascii="宋体" w:hAnsi="宋体" w:cs="宋体"/>
                <w:i w:val="0"/>
                <w:iCs w:val="0"/>
                <w:color w:val="000000"/>
                <w:sz w:val="20"/>
                <w:szCs w:val="20"/>
                <w:u w:val="none"/>
                <w:lang w:val="en-US" w:eastAsia="zh-CN" w:bidi="ar"/>
              </w:rPr>
              <w:t>≥</w:t>
            </w:r>
            <w:r>
              <w:rPr>
                <w:rFonts w:hint="eastAsia" w:ascii="宋体" w:hAnsi="宋体" w:eastAsia="宋体" w:cs="宋体"/>
                <w:i w:val="0"/>
                <w:iCs w:val="0"/>
                <w:color w:val="000000"/>
                <w:sz w:val="20"/>
                <w:szCs w:val="20"/>
                <w:u w:val="none"/>
                <w:lang w:val="en-US" w:eastAsia="zh-CN" w:bidi="ar"/>
              </w:rPr>
              <w:t>3mm；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3、旋扣式机构锁合，转动实验箱前侧的锁止机构既可以锁定箱子，也可以实现两箱子间的锁合，便于携带和搬运。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二、产品组成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由锥形瓶/三角烧瓶*1；容量瓶*1；玻璃培养皿*1；玻璃刻度量筒*1；玻璃刻度量筒*1；玻璃烧杯*2；玻璃烧杯*2；短管标准漏斗*1；Y型玻璃三通管*1；玻璃胶头滴管*3；玻璃试管*4；长直角玻璃导管(粗)*1；广泛PH试纸*1；玻璃棒*1；硅胶管*0.3；单孔硅胶塞*1；无孔硅胶塞*1；滤纸*1；玻璃毛细吸管*20；塑料试管*1；瓶装棉球*1；气球*2；纱布*1；离心管（1.5ml）*10；温度计*1；定量吸球*1；吸水纸*100；研钵*1；药匙*3；移液管*1；不锈钢止水夹*1；试管夹*2；比色管*4；尼龙布*1等组成。</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三、功能和应用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可模拟演示实验：1.DNA的粗提取与鉴定；2.绿叶中色素的提取和分离；3.发酵现象的观察及发酵原理的探究；4.制作泡菜并检测亚硝酸盐含量；5.蔬菜在腌制过程中维生素C含量的变化；6.果汁发酵制作果酒和果醋；7.DNA片段的扩增及电泳鉴定；8.菊花的组织培养；9.胡萝卜的组织培养；10.月季的花药培养等</w:t>
            </w:r>
            <w:r>
              <w:rPr>
                <w:rFonts w:hint="eastAsia" w:ascii="宋体" w:hAnsi="宋体" w:cs="宋体"/>
                <w:i w:val="0"/>
                <w:iCs w:val="0"/>
                <w:color w:val="000000"/>
                <w:sz w:val="20"/>
                <w:szCs w:val="20"/>
                <w:u w:val="none"/>
                <w:lang w:val="en-US" w:eastAsia="zh-CN" w:bidi="ar"/>
              </w:rPr>
              <w:t>10种实验内容</w:t>
            </w:r>
            <w:r>
              <w:rPr>
                <w:rFonts w:hint="eastAsia" w:ascii="宋体" w:hAnsi="宋体" w:eastAsia="宋体" w:cs="宋体"/>
                <w:i w:val="0"/>
                <w:iCs w:val="0"/>
                <w:color w:val="000000"/>
                <w:sz w:val="20"/>
                <w:szCs w:val="20"/>
                <w:u w:val="none"/>
                <w:lang w:val="en-US" w:eastAsia="zh-CN" w:bidi="ar"/>
              </w:rPr>
              <w:t>。</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7335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1034F">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7315F">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5340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B60B1">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3300" cy="478790"/>
                  <wp:effectExtent l="0" t="0" r="6350" b="16510"/>
                  <wp:docPr id="81"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4"/>
                          <pic:cNvPicPr>
                            <a:picLocks noChangeAspect="1"/>
                          </pic:cNvPicPr>
                        </pic:nvPicPr>
                        <pic:blipFill>
                          <a:blip r:embed="rId84"/>
                          <a:stretch>
                            <a:fillRect/>
                          </a:stretch>
                        </pic:blipFill>
                        <pic:spPr>
                          <a:xfrm>
                            <a:off x="0" y="0"/>
                            <a:ext cx="1003300" cy="478790"/>
                          </a:xfrm>
                          <a:prstGeom prst="rect">
                            <a:avLst/>
                          </a:prstGeom>
                          <a:noFill/>
                          <a:ln>
                            <a:noFill/>
                          </a:ln>
                        </pic:spPr>
                      </pic:pic>
                    </a:graphicData>
                  </a:graphic>
                </wp:inline>
              </w:drawing>
            </w:r>
          </w:p>
        </w:tc>
      </w:tr>
      <w:tr w14:paraId="60CAA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66FA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E9C9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物理数据采集处理系统</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6133AD">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有计算机采集处理分析软件，屏显数据采集器，传感器，可配套专用实验仪器，详细配置如下：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一、屏显数据采集器：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本设备主要与数字化实验系统软件配合使用，用于传感器数据的采集处理，外观采用人体工学设计，美观，实用。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1.多通道一体化设计，支持4通道TYPE-C接口并行采集，不区分模拟通道与数字通道；</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2.内置2.0寸TFT显示屏及内置供电模块可脱机使用，可直接显示传感器的数据；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3.采用USB2.0标准传输数据，采用USB-B型接口与PC或者Pad连接之用；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4.采集器模拟采样分辨率12-bits，数字采样分辨率0.1μs，单通道最高采样率200kHz；</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5.可以使用USB供电，预留5VDC接口，为采集器提供外部电源及为内部电池充电；</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6.所有接口具备防静电TVS，传感器即插即用，不区分模拟和数字通道使用；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7.设备带有1个自锁按键，用于设备的开关机控制；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8.设备带有2个触摸按键，分别为调零按键和显示方向切换按键；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9.可将传感器检测的数值传输给计算机，支持平台：Windows、Android、IOS等系统。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二、传感器：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1、力传感器：量程1：-</w:t>
            </w:r>
            <w:r>
              <w:rPr>
                <w:rFonts w:hint="eastAsia" w:ascii="宋体" w:hAnsi="宋体" w:cs="宋体"/>
                <w:i w:val="0"/>
                <w:iCs w:val="0"/>
                <w:color w:val="000000"/>
                <w:sz w:val="20"/>
                <w:szCs w:val="20"/>
                <w:u w:val="none"/>
                <w:lang w:val="en-US" w:eastAsia="zh-CN" w:bidi="ar"/>
              </w:rPr>
              <w:t>15</w:t>
            </w:r>
            <w:r>
              <w:rPr>
                <w:rFonts w:hint="eastAsia" w:ascii="宋体" w:hAnsi="宋体" w:eastAsia="宋体" w:cs="宋体"/>
                <w:i w:val="0"/>
                <w:iCs w:val="0"/>
                <w:color w:val="000000"/>
                <w:sz w:val="20"/>
                <w:szCs w:val="20"/>
                <w:u w:val="none"/>
                <w:lang w:val="en-US" w:eastAsia="zh-CN" w:bidi="ar"/>
              </w:rPr>
              <w:t>N～+</w:t>
            </w:r>
            <w:r>
              <w:rPr>
                <w:rFonts w:hint="eastAsia" w:ascii="宋体" w:hAnsi="宋体" w:cs="宋体"/>
                <w:i w:val="0"/>
                <w:iCs w:val="0"/>
                <w:color w:val="000000"/>
                <w:sz w:val="20"/>
                <w:szCs w:val="20"/>
                <w:u w:val="none"/>
                <w:lang w:val="en-US" w:eastAsia="zh-CN" w:bidi="ar"/>
              </w:rPr>
              <w:t>15</w:t>
            </w:r>
            <w:r>
              <w:rPr>
                <w:rFonts w:hint="eastAsia" w:ascii="宋体" w:hAnsi="宋体" w:eastAsia="宋体" w:cs="宋体"/>
                <w:i w:val="0"/>
                <w:iCs w:val="0"/>
                <w:color w:val="000000"/>
                <w:sz w:val="20"/>
                <w:szCs w:val="20"/>
                <w:u w:val="none"/>
                <w:lang w:val="en-US" w:eastAsia="zh-CN" w:bidi="ar"/>
              </w:rPr>
              <w:t>N 分辨率：0.01N；量程2：-</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0N～+</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0N，分辨率：0.1N；软件切换量程，接口为TYPEC接口，连接传感器无需辨认方向。</w:t>
            </w:r>
          </w:p>
          <w:p w14:paraId="001779DA">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eastAsia="宋体" w:cs="宋体"/>
                <w:i w:val="0"/>
                <w:iCs w:val="0"/>
                <w:color w:val="000000"/>
                <w:sz w:val="20"/>
                <w:szCs w:val="20"/>
                <w:u w:val="none"/>
                <w:lang w:val="en-US" w:eastAsia="zh-CN" w:bidi="ar"/>
              </w:rPr>
              <w:t>电流传感器：量程1：-0.2～0.2A，分辨率0.1mA；量程2：-1～1A，分辨率1mA；量程3：-5～5A，分辨率0.01A；软件切换量程，接口为TYPEC接口，连接传感器无需辨认方向。3、电压传感器：量程1：-1～1V，分辨率0.001V；量程2：-5～5V，分辨率0.01V；量程3：-10～10V，分辨率0.02V；量程4：-25～25V，分辨率0.05V；软件切换量程，接口为TYPEC接口，连接传感器无需辨认方向。</w:t>
            </w:r>
          </w:p>
          <w:p w14:paraId="21C92B8D">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eastAsia="宋体" w:cs="宋体"/>
                <w:i w:val="0"/>
                <w:iCs w:val="0"/>
                <w:color w:val="000000"/>
                <w:sz w:val="20"/>
                <w:szCs w:val="20"/>
                <w:u w:val="none"/>
                <w:lang w:val="en-US" w:eastAsia="zh-CN" w:bidi="ar"/>
              </w:rPr>
              <w:t>微电流传感器：量程1：-</w:t>
            </w:r>
            <w:r>
              <w:rPr>
                <w:rFonts w:hint="eastAsia" w:ascii="宋体" w:hAnsi="宋体" w:cs="宋体"/>
                <w:i w:val="0"/>
                <w:iCs w:val="0"/>
                <w:color w:val="000000"/>
                <w:sz w:val="20"/>
                <w:szCs w:val="20"/>
                <w:u w:val="none"/>
                <w:lang w:val="en-US" w:eastAsia="zh-CN" w:bidi="ar"/>
              </w:rPr>
              <w:t>15</w:t>
            </w:r>
            <w:r>
              <w:rPr>
                <w:rFonts w:hint="eastAsia" w:ascii="宋体" w:hAnsi="宋体" w:eastAsia="宋体" w:cs="宋体"/>
                <w:i w:val="0"/>
                <w:iCs w:val="0"/>
                <w:color w:val="000000"/>
                <w:sz w:val="20"/>
                <w:szCs w:val="20"/>
                <w:u w:val="none"/>
                <w:lang w:val="en-US" w:eastAsia="zh-CN" w:bidi="ar"/>
              </w:rPr>
              <w:t>μA～+</w:t>
            </w:r>
            <w:r>
              <w:rPr>
                <w:rFonts w:hint="eastAsia" w:ascii="宋体" w:hAnsi="宋体" w:cs="宋体"/>
                <w:i w:val="0"/>
                <w:iCs w:val="0"/>
                <w:color w:val="000000"/>
                <w:sz w:val="20"/>
                <w:szCs w:val="20"/>
                <w:u w:val="none"/>
                <w:lang w:val="en-US" w:eastAsia="zh-CN" w:bidi="ar"/>
              </w:rPr>
              <w:t>15</w:t>
            </w:r>
            <w:r>
              <w:rPr>
                <w:rFonts w:hint="eastAsia" w:ascii="宋体" w:hAnsi="宋体" w:eastAsia="宋体" w:cs="宋体"/>
                <w:i w:val="0"/>
                <w:iCs w:val="0"/>
                <w:color w:val="000000"/>
                <w:sz w:val="20"/>
                <w:szCs w:val="20"/>
                <w:u w:val="none"/>
                <w:lang w:val="en-US" w:eastAsia="zh-CN" w:bidi="ar"/>
              </w:rPr>
              <w:t>μA，分辨率:0.01μA；量程2：-</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0μA～+</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0μA/分辨率:0.1μA；量程3：-</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00μA～+</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00μA/分辨率:1μA；软件切换量程，接口为TYPEC接口，连接传感器无需辨认方向。</w:t>
            </w:r>
          </w:p>
          <w:p w14:paraId="0DA141F3">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5、磁感应强度传感器：量程1：-</w:t>
            </w: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mT～+2mT ；分辨率：0.001mT；量程2：-</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mT～+</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mT；分辨率：0.01mT； 量程3：-</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0mT～+</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0mT；分辨率：0.01mT；量程4：-</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0mT～+</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0mT；分辨率：0.1mT；软件切换量程，接口为TYPEC接口，连接传感器无需辨认方向。</w:t>
            </w:r>
          </w:p>
          <w:p w14:paraId="3A2893B3">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6、气体压强传感器：量程： 0～700kPa，分辨率0.1kPa；接口为TYPEC接口，连接传感器无需辨认方向。</w:t>
            </w:r>
          </w:p>
          <w:p w14:paraId="684A002F">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7、声音传感器：音频量程：20～20KHz的声音，分辨率:0.1 Hz；声强量程：30～140dB，分辨率：0.1dB；接口为TYPEC接口，连接传感器无需辨认方向。</w:t>
            </w:r>
          </w:p>
          <w:p w14:paraId="70A72A29">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8、温度传感器：量程：-80℃～+200℃；分辨率：0.1℃；接口为TYPEC接口，连接传感器无需辨认方向。</w:t>
            </w:r>
          </w:p>
          <w:p w14:paraId="359A1A7C">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9、光电门传感器（2只）：分辨率1μS，支持多种工作模式：I、U型挡光；运动计时模式；单摆计时方式等，接口为TYPEC接口，连接传感器无需辨认方向。</w:t>
            </w:r>
          </w:p>
          <w:p w14:paraId="3CA37931">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10、分体式位移传感器（发射与接收）：量程：0m～3m  分辨率：1mm；接口为TYPEC接口，连接传感器无需辨认方向。</w:t>
            </w:r>
          </w:p>
          <w:p w14:paraId="70876675">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11、</w:t>
            </w:r>
            <w:r>
              <w:rPr>
                <w:rFonts w:hint="eastAsia" w:ascii="宋体" w:hAnsi="宋体" w:eastAsia="宋体" w:cs="宋体"/>
                <w:i w:val="0"/>
                <w:iCs w:val="0"/>
                <w:color w:val="000000"/>
                <w:sz w:val="20"/>
                <w:szCs w:val="20"/>
                <w:highlight w:val="none"/>
                <w:u w:val="none"/>
                <w:lang w:val="en-US" w:eastAsia="zh-CN" w:bidi="ar"/>
              </w:rPr>
              <w:t>光照度传感器：</w:t>
            </w:r>
            <w:r>
              <w:rPr>
                <w:rFonts w:hint="eastAsia" w:ascii="宋体" w:hAnsi="宋体" w:eastAsia="宋体" w:cs="宋体"/>
                <w:i w:val="0"/>
                <w:iCs w:val="0"/>
                <w:color w:val="000000"/>
                <w:sz w:val="20"/>
                <w:szCs w:val="20"/>
                <w:u w:val="none"/>
                <w:lang w:val="en-US" w:eastAsia="zh-CN" w:bidi="ar"/>
              </w:rPr>
              <w:t>量程1：0～600Lux，分辨率0.01Lux；量程2：0～1300Lux，分辨率0.02Lux；量程3：0～8000Lux，分辨率0.1Lux；量程4：0～16000Lux，分辨率0.2Lux；量程5：0～64000Lux，分辨率1Lux；软件切换量程，接口为TYPEC接口，连接传感器无需辨认方向。</w:t>
            </w:r>
          </w:p>
          <w:p w14:paraId="6268CE8A">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12、高强度铝合金箱：高强度CB铝合金型材框架，内部缓冲海绵传感器定位嵌槽装置，USB数据线1根，TYPEC传感器数据线6根，用户手册。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AAFDE">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5353A">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F7697">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9800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E72FD">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3935" cy="1088390"/>
                  <wp:effectExtent l="0" t="0" r="5715" b="16510"/>
                  <wp:docPr id="8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5"/>
                          <pic:cNvPicPr>
                            <a:picLocks noChangeAspect="1"/>
                          </pic:cNvPicPr>
                        </pic:nvPicPr>
                        <pic:blipFill>
                          <a:blip r:embed="rId85"/>
                          <a:stretch>
                            <a:fillRect/>
                          </a:stretch>
                        </pic:blipFill>
                        <pic:spPr>
                          <a:xfrm>
                            <a:off x="0" y="0"/>
                            <a:ext cx="1003935" cy="1088390"/>
                          </a:xfrm>
                          <a:prstGeom prst="rect">
                            <a:avLst/>
                          </a:prstGeom>
                          <a:noFill/>
                          <a:ln>
                            <a:noFill/>
                          </a:ln>
                        </pic:spPr>
                      </pic:pic>
                    </a:graphicData>
                  </a:graphic>
                </wp:inline>
              </w:drawing>
            </w:r>
          </w:p>
        </w:tc>
      </w:tr>
      <w:tr w14:paraId="2BA61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FA857">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11</w:t>
            </w:r>
          </w:p>
        </w:tc>
        <w:tc>
          <w:tcPr>
            <w:tcW w:w="4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21558">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生化数据采集处理系统</w:t>
            </w:r>
          </w:p>
        </w:tc>
        <w:tc>
          <w:tcPr>
            <w:tcW w:w="25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A08708">
            <w:pPr>
              <w:keepNext w:val="0"/>
              <w:keepLines w:val="0"/>
              <w:widowControl/>
              <w:suppressLineNumbers w:val="0"/>
              <w:jc w:val="left"/>
              <w:rPr>
                <w:rStyle w:val="218"/>
                <w:rFonts w:hint="eastAsia" w:ascii="宋体" w:hAnsi="宋体" w:eastAsia="宋体" w:cs="宋体"/>
                <w:b w:val="0"/>
                <w:bCs w:val="0"/>
                <w:lang w:val="en-US" w:eastAsia="zh-CN" w:bidi="ar"/>
              </w:rPr>
            </w:pPr>
            <w:r>
              <w:rPr>
                <w:rFonts w:hint="eastAsia" w:ascii="宋体" w:hAnsi="宋体" w:eastAsia="宋体" w:cs="宋体"/>
                <w:i w:val="0"/>
                <w:iCs w:val="0"/>
                <w:color w:val="000000"/>
                <w:sz w:val="20"/>
                <w:szCs w:val="20"/>
                <w:u w:val="none"/>
                <w:lang w:val="en-US" w:eastAsia="zh-CN" w:bidi="ar"/>
              </w:rPr>
              <w:t>有计算机采集处理分析软件，屏显数据采集器，传感器，可配套专用实验仪器，详细配置如下：</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一、屏显数据采集器：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1.多通道一体化设计，支持4通道TYPE-C接口并行采集，不区分模拟通道与数字通道；</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2.内置2.0寸TFT显示屏及内置供电模块可脱机使用，可直接显示传感器的数据；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3.采用USB2.0标准传输数据，采用USB-B型接口与PC或者Pad连接之用；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4.采集器模拟采样分辨率12-bits，数字采样分辨率0.1μs，单通道最高采样率200kHz；</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5.可以使用USB供电，预留5VDC接口，为采集器提供外部电源及为内部电池充电；</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6.所有接口具备防静电TVS，传感器即插即用，不区分模拟和数字通道使用；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7.设备带有1个自锁按键，用于设备的开关机控制；</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8.设备带有2个触摸按键，分别为调零按键和显示方向切换按键；</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9.可将传感器检测的数值传输给计算机，支持平台：Windows、Android、IOS等系统。</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二、传感器：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1、电压传感器：量程1：</w:t>
            </w:r>
            <w:r>
              <w:rPr>
                <w:rFonts w:hint="eastAsia" w:ascii="宋体" w:hAnsi="宋体" w:cs="宋体"/>
                <w:i w:val="0"/>
                <w:iCs w:val="0"/>
                <w:color w:val="000000"/>
                <w:sz w:val="20"/>
                <w:szCs w:val="20"/>
                <w:u w:val="none"/>
                <w:lang w:val="en-US" w:eastAsia="zh-CN" w:bidi="ar"/>
              </w:rPr>
              <w:t>0</w:t>
            </w:r>
            <w:r>
              <w:rPr>
                <w:rFonts w:hint="eastAsia" w:ascii="宋体" w:hAnsi="宋体" w:eastAsia="宋体" w:cs="宋体"/>
                <w:i w:val="0"/>
                <w:iCs w:val="0"/>
                <w:color w:val="000000"/>
                <w:sz w:val="20"/>
                <w:szCs w:val="20"/>
                <w:u w:val="none"/>
                <w:lang w:val="en-US" w:eastAsia="zh-CN" w:bidi="ar"/>
              </w:rPr>
              <w:t>～1V，分辨率0.001V；量程2：-</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V，分辨率0.01V；量程3：-</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w:t>
            </w:r>
            <w:r>
              <w:rPr>
                <w:rFonts w:hint="eastAsia" w:ascii="宋体" w:hAnsi="宋体" w:cs="宋体"/>
                <w:i w:val="0"/>
                <w:iCs w:val="0"/>
                <w:color w:val="000000"/>
                <w:sz w:val="20"/>
                <w:szCs w:val="20"/>
                <w:u w:val="none"/>
                <w:lang w:val="en-US" w:eastAsia="zh-CN" w:bidi="ar"/>
              </w:rPr>
              <w:t>8</w:t>
            </w:r>
            <w:r>
              <w:rPr>
                <w:rFonts w:hint="eastAsia" w:ascii="宋体" w:hAnsi="宋体" w:eastAsia="宋体" w:cs="宋体"/>
                <w:i w:val="0"/>
                <w:iCs w:val="0"/>
                <w:color w:val="000000"/>
                <w:sz w:val="20"/>
                <w:szCs w:val="20"/>
                <w:u w:val="none"/>
                <w:lang w:val="en-US" w:eastAsia="zh-CN" w:bidi="ar"/>
              </w:rPr>
              <w:t>V，分辨率0.02V；量程4：-25～25V，分辨率0.05V；软件切换量程，接口为TYPEC接口，连接传感器无需辨认方向。</w:t>
            </w:r>
          </w:p>
          <w:p w14:paraId="2DADB239">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2、</w:t>
            </w:r>
            <w:r>
              <w:rPr>
                <w:rFonts w:hint="eastAsia" w:ascii="宋体" w:hAnsi="宋体" w:eastAsia="宋体" w:cs="宋体"/>
                <w:i w:val="0"/>
                <w:iCs w:val="0"/>
                <w:color w:val="000000"/>
                <w:sz w:val="20"/>
                <w:szCs w:val="20"/>
                <w:u w:val="none"/>
                <w:lang w:val="en-US" w:eastAsia="zh-CN" w:bidi="ar"/>
              </w:rPr>
              <w:t>温度传感器：量程：-80℃～+200℃；分辨率：0.1℃；接口为TYPEC接口，连接传感器无需辨认方向。</w:t>
            </w:r>
          </w:p>
          <w:p w14:paraId="015DA5E6">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3、</w:t>
            </w:r>
            <w:r>
              <w:rPr>
                <w:rFonts w:hint="eastAsia" w:ascii="宋体" w:hAnsi="宋体" w:eastAsia="宋体" w:cs="宋体"/>
                <w:i w:val="0"/>
                <w:iCs w:val="0"/>
                <w:color w:val="000000"/>
                <w:sz w:val="20"/>
                <w:szCs w:val="20"/>
                <w:u w:val="none"/>
                <w:lang w:val="en-US" w:eastAsia="zh-CN" w:bidi="ar"/>
              </w:rPr>
              <w:t>微气压传感器：量程：-10～+10kPa分辨率：0.01kPa；接口为TYPEC接口，连接传感器无需辨认方向。</w:t>
            </w:r>
          </w:p>
          <w:p w14:paraId="2C35864D">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4、</w:t>
            </w:r>
            <w:r>
              <w:rPr>
                <w:rFonts w:hint="eastAsia" w:ascii="宋体" w:hAnsi="宋体" w:eastAsia="宋体" w:cs="宋体"/>
                <w:i w:val="0"/>
                <w:iCs w:val="0"/>
                <w:color w:val="000000"/>
                <w:sz w:val="20"/>
                <w:szCs w:val="20"/>
                <w:u w:val="none"/>
                <w:lang w:val="en-US" w:eastAsia="zh-CN" w:bidi="ar"/>
              </w:rPr>
              <w:t>氧气传感器：量程：0～100%  ；分辨率：0.1%；接口为TYPEC接口，连接传感器无需辨认方向。</w:t>
            </w:r>
          </w:p>
          <w:p w14:paraId="3D088715">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5、</w:t>
            </w:r>
            <w:r>
              <w:rPr>
                <w:rFonts w:hint="eastAsia" w:ascii="宋体" w:hAnsi="宋体" w:eastAsia="宋体" w:cs="宋体"/>
                <w:i w:val="0"/>
                <w:iCs w:val="0"/>
                <w:color w:val="000000"/>
                <w:sz w:val="20"/>
                <w:szCs w:val="20"/>
                <w:u w:val="none"/>
                <w:lang w:val="en-US" w:eastAsia="zh-CN" w:bidi="ar"/>
              </w:rPr>
              <w:t>pH传感器：量程：0～14   分辨率： 0.01；接口为TYPEC接口，连接传感器无需辨认方向。</w:t>
            </w:r>
          </w:p>
          <w:p w14:paraId="3C08F1F9">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6、</w:t>
            </w:r>
            <w:r>
              <w:rPr>
                <w:rFonts w:hint="eastAsia" w:ascii="宋体" w:hAnsi="宋体" w:eastAsia="宋体" w:cs="宋体"/>
                <w:i w:val="0"/>
                <w:iCs w:val="0"/>
                <w:color w:val="000000"/>
                <w:sz w:val="20"/>
                <w:szCs w:val="20"/>
                <w:u w:val="none"/>
                <w:lang w:val="en-US" w:eastAsia="zh-CN" w:bidi="ar"/>
              </w:rPr>
              <w:t>电导率传感器：量程1：0～</w:t>
            </w:r>
            <w:r>
              <w:rPr>
                <w:rFonts w:hint="eastAsia" w:ascii="宋体" w:hAnsi="宋体" w:cs="宋体"/>
                <w:i w:val="0"/>
                <w:iCs w:val="0"/>
                <w:color w:val="000000"/>
                <w:sz w:val="20"/>
                <w:szCs w:val="20"/>
                <w:u w:val="none"/>
                <w:lang w:val="en-US" w:eastAsia="zh-CN" w:bidi="ar"/>
              </w:rPr>
              <w:t>3</w:t>
            </w:r>
            <w:r>
              <w:rPr>
                <w:rFonts w:hint="eastAsia" w:ascii="宋体" w:hAnsi="宋体" w:eastAsia="宋体" w:cs="宋体"/>
                <w:i w:val="0"/>
                <w:iCs w:val="0"/>
                <w:color w:val="000000"/>
                <w:sz w:val="20"/>
                <w:szCs w:val="20"/>
                <w:u w:val="none"/>
                <w:lang w:val="en-US" w:eastAsia="zh-CN" w:bidi="ar"/>
              </w:rPr>
              <w:t>000μS/cm，分辨率：1μS/cm；量程2：0～</w:t>
            </w:r>
            <w:r>
              <w:rPr>
                <w:rFonts w:hint="eastAsia" w:ascii="宋体" w:hAnsi="宋体" w:cs="宋体"/>
                <w:i w:val="0"/>
                <w:iCs w:val="0"/>
                <w:color w:val="000000"/>
                <w:sz w:val="20"/>
                <w:szCs w:val="20"/>
                <w:u w:val="none"/>
                <w:lang w:val="en-US" w:eastAsia="zh-CN" w:bidi="ar"/>
              </w:rPr>
              <w:t>18</w:t>
            </w:r>
            <w:r>
              <w:rPr>
                <w:rFonts w:hint="eastAsia" w:ascii="宋体" w:hAnsi="宋体" w:eastAsia="宋体" w:cs="宋体"/>
                <w:i w:val="0"/>
                <w:iCs w:val="0"/>
                <w:color w:val="000000"/>
                <w:sz w:val="20"/>
                <w:szCs w:val="20"/>
                <w:u w:val="none"/>
                <w:lang w:val="en-US" w:eastAsia="zh-CN" w:bidi="ar"/>
              </w:rPr>
              <w:t>000μS/cm，分辨率：10μS/cm；量程3：0-</w:t>
            </w:r>
            <w:r>
              <w:rPr>
                <w:rFonts w:hint="eastAsia" w:ascii="宋体" w:hAnsi="宋体" w:cs="宋体"/>
                <w:i w:val="0"/>
                <w:iCs w:val="0"/>
                <w:color w:val="000000"/>
                <w:sz w:val="20"/>
                <w:szCs w:val="20"/>
                <w:u w:val="none"/>
                <w:lang w:val="en-US" w:eastAsia="zh-CN" w:bidi="ar"/>
              </w:rPr>
              <w:t>9</w:t>
            </w:r>
            <w:r>
              <w:rPr>
                <w:rFonts w:hint="eastAsia" w:ascii="宋体" w:hAnsi="宋体" w:eastAsia="宋体" w:cs="宋体"/>
                <w:i w:val="0"/>
                <w:iCs w:val="0"/>
                <w:color w:val="000000"/>
                <w:sz w:val="20"/>
                <w:szCs w:val="20"/>
                <w:u w:val="none"/>
                <w:lang w:val="en-US" w:eastAsia="zh-CN" w:bidi="ar"/>
              </w:rPr>
              <w:t>0000uS/cm  分辨率：100μS/cm；软件切换量程，接口为TYPEC接口，连接传感器无需辨认方向。</w:t>
            </w:r>
          </w:p>
          <w:p w14:paraId="43C87FC0">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7、</w:t>
            </w:r>
            <w:r>
              <w:rPr>
                <w:rFonts w:hint="eastAsia" w:ascii="宋体" w:hAnsi="宋体" w:eastAsia="宋体" w:cs="宋体"/>
                <w:i w:val="0"/>
                <w:iCs w:val="0"/>
                <w:color w:val="000000"/>
                <w:sz w:val="20"/>
                <w:szCs w:val="20"/>
                <w:u w:val="none"/>
                <w:lang w:val="en-US" w:eastAsia="zh-CN" w:bidi="ar"/>
              </w:rPr>
              <w:t>电流传感器：量程1：-0.</w:t>
            </w: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～0.</w:t>
            </w:r>
            <w:r>
              <w:rPr>
                <w:rFonts w:hint="eastAsia" w:ascii="宋体" w:hAnsi="宋体" w:cs="宋体"/>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A，分辨率0.1mA；量程2：</w:t>
            </w:r>
            <w:r>
              <w:rPr>
                <w:rFonts w:hint="eastAsia" w:ascii="宋体" w:hAnsi="宋体" w:cs="宋体"/>
                <w:i w:val="0"/>
                <w:iCs w:val="0"/>
                <w:color w:val="000000"/>
                <w:sz w:val="20"/>
                <w:szCs w:val="20"/>
                <w:u w:val="none"/>
                <w:lang w:val="en-US" w:eastAsia="zh-CN" w:bidi="ar"/>
              </w:rPr>
              <w:t>0</w:t>
            </w:r>
            <w:r>
              <w:rPr>
                <w:rFonts w:hint="eastAsia" w:ascii="宋体" w:hAnsi="宋体" w:eastAsia="宋体" w:cs="宋体"/>
                <w:i w:val="0"/>
                <w:iCs w:val="0"/>
                <w:color w:val="000000"/>
                <w:sz w:val="20"/>
                <w:szCs w:val="20"/>
                <w:u w:val="none"/>
                <w:lang w:val="en-US" w:eastAsia="zh-CN" w:bidi="ar"/>
              </w:rPr>
              <w:t>～1A，分辨率1mA；量程3：-</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w:t>
            </w:r>
            <w:r>
              <w:rPr>
                <w:rFonts w:hint="eastAsia" w:ascii="宋体" w:hAnsi="宋体" w:cs="宋体"/>
                <w:i w:val="0"/>
                <w:iCs w:val="0"/>
                <w:color w:val="000000"/>
                <w:sz w:val="20"/>
                <w:szCs w:val="20"/>
                <w:u w:val="none"/>
                <w:lang w:val="en-US" w:eastAsia="zh-CN" w:bidi="ar"/>
              </w:rPr>
              <w:t>4</w:t>
            </w:r>
            <w:r>
              <w:rPr>
                <w:rFonts w:hint="eastAsia" w:ascii="宋体" w:hAnsi="宋体" w:eastAsia="宋体" w:cs="宋体"/>
                <w:i w:val="0"/>
                <w:iCs w:val="0"/>
                <w:color w:val="000000"/>
                <w:sz w:val="20"/>
                <w:szCs w:val="20"/>
                <w:u w:val="none"/>
                <w:lang w:val="en-US" w:eastAsia="zh-CN" w:bidi="ar"/>
              </w:rPr>
              <w:t>A，分辨率0.01A；软件切换量程，接口为TYPEC接口，连接传感器无需辨认方向。</w:t>
            </w:r>
          </w:p>
          <w:p w14:paraId="6CFDEF16">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8、高温传感器：量程：-40℃～+1200℃；分辨率：1℃；接口为TYPEC接口，连接传感器无需辨认方向。</w:t>
            </w:r>
          </w:p>
          <w:p w14:paraId="660AFAA2">
            <w:pPr>
              <w:keepNext w:val="0"/>
              <w:keepLines w:val="0"/>
              <w:widowControl/>
              <w:numPr>
                <w:ilvl w:val="0"/>
                <w:numId w:val="0"/>
              </w:numPr>
              <w:suppressLineNumbers w:val="0"/>
              <w:ind w:left="0" w:firstLine="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lang w:val="en-US" w:eastAsia="zh-CN" w:bidi="ar"/>
              </w:rPr>
              <w:t>9、</w:t>
            </w:r>
            <w:r>
              <w:rPr>
                <w:rFonts w:hint="eastAsia" w:ascii="宋体" w:hAnsi="宋体" w:eastAsia="宋体" w:cs="宋体"/>
                <w:i w:val="0"/>
                <w:iCs w:val="0"/>
                <w:color w:val="000000"/>
                <w:sz w:val="20"/>
                <w:szCs w:val="20"/>
                <w:u w:val="none"/>
                <w:lang w:val="en-US" w:eastAsia="zh-CN" w:bidi="ar"/>
              </w:rPr>
              <w:t>溶解氧传感器：量程:0～20mg/L；  分辨率0.01 mg/L；接口为TYPEC接口，连接传感器无需辨认方向。(支持有线通讯和无线通讯方式，可在windows和安卓系统下进行实验)</w:t>
            </w:r>
          </w:p>
          <w:p w14:paraId="3499C8A3">
            <w:pPr>
              <w:keepNext w:val="0"/>
              <w:keepLines w:val="0"/>
              <w:widowControl/>
              <w:numPr>
                <w:ilvl w:val="0"/>
                <w:numId w:val="0"/>
              </w:numPr>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10、高强度铝合金箱：高强度CB铝合金型材框架，内部缓冲海绵传感器定位嵌槽装置，USB数据线1根，TYPEC传感器数据线6根，用户手册。 </w:t>
            </w:r>
          </w:p>
        </w:tc>
        <w:tc>
          <w:tcPr>
            <w:tcW w:w="2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0E271">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套</w:t>
            </w:r>
          </w:p>
        </w:tc>
        <w:tc>
          <w:tcPr>
            <w:tcW w:w="22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EAB2D">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0FECD">
            <w:pPr>
              <w:keepNext w:val="0"/>
              <w:keepLines w:val="0"/>
              <w:widowControl/>
              <w:suppressLineNumbers w:val="0"/>
              <w:jc w:val="center"/>
            </w:pPr>
            <w:r>
              <w:rPr>
                <w:rFonts w:hint="eastAsia" w:ascii="宋体" w:hAnsi="宋体" w:eastAsia="宋体" w:cs="宋体"/>
                <w:i w:val="0"/>
                <w:iCs w:val="0"/>
                <w:color w:val="000000"/>
                <w:sz w:val="18"/>
                <w:szCs w:val="18"/>
                <w:u w:val="none"/>
                <w:lang w:val="en-US" w:eastAsia="zh-CN" w:bidi="ar"/>
              </w:rPr>
              <w:t>11560</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E5AAA">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drawing>
                <wp:inline distT="0" distB="0" distL="0" distR="0">
                  <wp:extent cx="1003935" cy="1088390"/>
                  <wp:effectExtent l="0" t="0" r="5715" b="16510"/>
                  <wp:docPr id="8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5"/>
                          <pic:cNvPicPr>
                            <a:picLocks noChangeAspect="1"/>
                          </pic:cNvPicPr>
                        </pic:nvPicPr>
                        <pic:blipFill>
                          <a:blip r:embed="rId85"/>
                          <a:stretch>
                            <a:fillRect/>
                          </a:stretch>
                        </pic:blipFill>
                        <pic:spPr>
                          <a:xfrm>
                            <a:off x="0" y="0"/>
                            <a:ext cx="1003935" cy="1088390"/>
                          </a:xfrm>
                          <a:prstGeom prst="rect">
                            <a:avLst/>
                          </a:prstGeom>
                          <a:noFill/>
                          <a:ln>
                            <a:noFill/>
                          </a:ln>
                        </pic:spPr>
                      </pic:pic>
                    </a:graphicData>
                  </a:graphic>
                </wp:inline>
              </w:drawing>
            </w:r>
          </w:p>
        </w:tc>
      </w:tr>
    </w:tbl>
    <w:p w14:paraId="5006D8CD">
      <w:pPr>
        <w:spacing w:before="120" w:after="120" w:line="360" w:lineRule="auto"/>
        <w:ind w:firstLine="482"/>
        <w:rPr>
          <w:rFonts w:hint="eastAsia" w:ascii="宋体" w:hAnsi="宋体" w:eastAsia="宋体" w:cs="宋体"/>
          <w:b/>
          <w:bCs/>
          <w:i w:val="0"/>
          <w:iCs w:val="0"/>
          <w:color w:val="000000"/>
          <w:sz w:val="24"/>
          <w:szCs w:val="24"/>
          <w:highlight w:val="none"/>
          <w:u w:val="single"/>
          <w:lang w:val="en-US" w:eastAsia="zh-CN" w:bidi="ar"/>
        </w:rPr>
      </w:pPr>
      <w:r>
        <w:rPr>
          <w:rFonts w:ascii="宋体" w:hAnsi="宋体" w:eastAsia="宋体" w:cs="宋体"/>
          <w:b/>
          <w:bCs/>
          <w:color w:val="000000"/>
          <w:sz w:val="24"/>
          <w:szCs w:val="24"/>
          <w:highlight w:val="none"/>
        </w:rPr>
        <w:t>注：</w:t>
      </w:r>
      <w:r>
        <w:rPr>
          <w:rFonts w:hint="eastAsia" w:ascii="宋体" w:hAnsi="宋体" w:cs="宋体"/>
          <w:b/>
          <w:bCs/>
          <w:color w:val="000000"/>
          <w:sz w:val="24"/>
          <w:szCs w:val="24"/>
          <w:highlight w:val="none"/>
          <w:lang w:val="en-US" w:eastAsia="zh-CN"/>
        </w:rPr>
        <w:t>核心产品：</w:t>
      </w:r>
      <w:r>
        <w:rPr>
          <w:rFonts w:hint="eastAsia" w:ascii="宋体" w:hAnsi="宋体" w:eastAsia="宋体" w:cs="宋体"/>
          <w:b/>
          <w:bCs/>
          <w:i w:val="0"/>
          <w:iCs w:val="0"/>
          <w:color w:val="000000"/>
          <w:sz w:val="24"/>
          <w:szCs w:val="24"/>
          <w:highlight w:val="none"/>
          <w:u w:val="single"/>
          <w:lang w:val="en-US" w:eastAsia="zh-CN" w:bidi="ar"/>
        </w:rPr>
        <w:t>实验桌</w:t>
      </w:r>
    </w:p>
    <w:p w14:paraId="375C9191">
      <w:pPr>
        <w:pStyle w:val="30"/>
        <w:pageBreakBefore w:val="0"/>
        <w:spacing w:beforeAutospacing="0" w:afterAutospacing="0" w:line="48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本项目执行的</w:t>
      </w:r>
      <w:r>
        <w:rPr>
          <w:rFonts w:hint="eastAsia" w:ascii="宋体" w:hAnsi="宋体" w:cs="宋体"/>
          <w:color w:val="auto"/>
          <w:highlight w:val="none"/>
          <w:lang w:val="en-US" w:eastAsia="zh-CN"/>
        </w:rPr>
        <w:t>国家相关</w:t>
      </w:r>
      <w:r>
        <w:rPr>
          <w:rFonts w:hint="eastAsia" w:ascii="宋体" w:hAnsi="宋体" w:eastAsia="宋体" w:cs="宋体"/>
          <w:color w:val="auto"/>
          <w:highlight w:val="none"/>
        </w:rPr>
        <w:t>标准</w:t>
      </w:r>
      <w:r>
        <w:rPr>
          <w:rFonts w:hint="eastAsia" w:ascii="宋体" w:hAnsi="宋体" w:cs="宋体"/>
          <w:color w:val="auto"/>
          <w:highlight w:val="none"/>
          <w:lang w:eastAsia="zh-CN"/>
        </w:rPr>
        <w:t>、</w:t>
      </w:r>
      <w:r>
        <w:rPr>
          <w:rFonts w:hint="eastAsia" w:ascii="宋体" w:hAnsi="宋体" w:cs="宋体"/>
          <w:color w:val="auto"/>
          <w:highlight w:val="none"/>
          <w:lang w:val="en-US" w:eastAsia="zh-CN"/>
        </w:rPr>
        <w:t>行业标准、地方标准</w:t>
      </w:r>
      <w:r>
        <w:rPr>
          <w:rFonts w:hint="eastAsia" w:ascii="宋体" w:hAnsi="宋体" w:eastAsia="宋体" w:cs="宋体"/>
          <w:color w:val="auto"/>
          <w:highlight w:val="none"/>
        </w:rPr>
        <w:t>应符合</w:t>
      </w:r>
      <w:r>
        <w:rPr>
          <w:rFonts w:hint="eastAsia" w:ascii="宋体" w:hAnsi="宋体" w:cs="宋体"/>
          <w:color w:val="auto"/>
          <w:highlight w:val="none"/>
          <w:lang w:val="en-US" w:eastAsia="zh-CN"/>
        </w:rPr>
        <w:t>现行国家标准包括</w:t>
      </w:r>
      <w:r>
        <w:rPr>
          <w:rFonts w:hint="eastAsia" w:ascii="宋体" w:hAnsi="宋体" w:eastAsia="宋体" w:cs="宋体"/>
          <w:color w:val="auto"/>
          <w:highlight w:val="none"/>
        </w:rPr>
        <w:t>但不限于以下标准，如遇更新标准，则按新标准执行：</w:t>
      </w:r>
    </w:p>
    <w:p w14:paraId="36B6BC22">
      <w:pPr>
        <w:pStyle w:val="30"/>
        <w:pageBreakBefore w:val="0"/>
        <w:spacing w:beforeAutospacing="0" w:afterAutospacing="0" w:line="48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GB/T 17657-2022《人造板及饰面人造板理化性能试验方法》；</w:t>
      </w:r>
    </w:p>
    <w:p w14:paraId="58ADEB1C">
      <w:pPr>
        <w:pStyle w:val="30"/>
        <w:pageBreakBefore w:val="0"/>
        <w:spacing w:beforeAutospacing="0" w:afterAutospacing="0" w:line="48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GB/T 7911-2024《热固性树脂浸渍纸高压装饰层积板 (HPL)》；</w:t>
      </w:r>
      <w:r>
        <w:rPr>
          <w:rFonts w:hint="eastAsia" w:ascii="宋体" w:hAnsi="宋体" w:eastAsia="宋体" w:cs="宋体"/>
          <w:color w:val="auto"/>
          <w:highlight w:val="none"/>
        </w:rPr>
        <w:br w:type="textWrapping"/>
      </w:r>
      <w:r>
        <w:rPr>
          <w:rFonts w:hint="eastAsia" w:ascii="宋体" w:hAnsi="宋体" w:eastAsia="宋体" w:cs="宋体"/>
          <w:color w:val="auto"/>
          <w:highlight w:val="none"/>
        </w:rPr>
        <w:t>JC/T 2039-2010《抗菌防霉木质装饰板》</w:t>
      </w:r>
      <w:r>
        <w:rPr>
          <w:rFonts w:hint="eastAsia" w:ascii="宋体" w:hAnsi="宋体" w:eastAsia="宋体" w:cs="宋体"/>
          <w:color w:val="auto"/>
          <w:highlight w:val="none"/>
          <w:lang w:val="en-US" w:eastAsia="zh-CN"/>
        </w:rPr>
        <w:t>；</w:t>
      </w:r>
    </w:p>
    <w:p w14:paraId="536CEC6F">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GB/T 3810.7</w:t>
      </w:r>
      <w:r>
        <w:rPr>
          <w:rFonts w:hint="eastAsia" w:ascii="宋体" w:hAnsi="宋体" w:eastAsia="宋体" w:cs="宋体"/>
          <w:color w:val="auto"/>
          <w:highlight w:val="none"/>
          <w:lang w:val="en-US" w:eastAsia="zh-CN"/>
        </w:rPr>
        <w:t>-2016</w:t>
      </w:r>
      <w:r>
        <w:rPr>
          <w:rFonts w:hint="eastAsia" w:ascii="宋体" w:hAnsi="宋体" w:eastAsia="宋体" w:cs="宋体"/>
          <w:color w:val="auto"/>
          <w:highlight w:val="none"/>
        </w:rPr>
        <w:t>《陶瓷砖试验方法 第7部分：有釉砖表面耐磨性的测定》</w:t>
      </w:r>
      <w:r>
        <w:rPr>
          <w:rFonts w:hint="eastAsia" w:ascii="宋体" w:hAnsi="宋体" w:eastAsia="宋体" w:cs="宋体"/>
          <w:color w:val="auto"/>
          <w:highlight w:val="none"/>
          <w:lang w:eastAsia="zh-CN"/>
        </w:rPr>
        <w:t>；</w:t>
      </w:r>
    </w:p>
    <w:p w14:paraId="5FB66497">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JC/T 897-2014《抗菌陶瓷制品抗菌性能》</w:t>
      </w:r>
      <w:r>
        <w:rPr>
          <w:rFonts w:hint="eastAsia" w:ascii="宋体" w:hAnsi="宋体" w:eastAsia="宋体" w:cs="宋体"/>
          <w:color w:val="auto"/>
          <w:highlight w:val="none"/>
          <w:lang w:eastAsia="zh-CN"/>
        </w:rPr>
        <w:t>；</w:t>
      </w:r>
    </w:p>
    <w:p w14:paraId="6CE9069E">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GB/T 32487-2016《塑料家具通用技术条件》</w:t>
      </w:r>
      <w:r>
        <w:rPr>
          <w:rFonts w:hint="eastAsia" w:ascii="宋体" w:hAnsi="宋体" w:eastAsia="宋体" w:cs="宋体"/>
          <w:color w:val="auto"/>
          <w:highlight w:val="none"/>
          <w:lang w:eastAsia="zh-CN"/>
        </w:rPr>
        <w:t>；</w:t>
      </w:r>
    </w:p>
    <w:p w14:paraId="4AB0EE66">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JG/T292-2010《洁净工作台》</w:t>
      </w:r>
      <w:r>
        <w:rPr>
          <w:rFonts w:hint="eastAsia" w:ascii="宋体" w:hAnsi="宋体" w:eastAsia="宋体" w:cs="宋体"/>
          <w:color w:val="auto"/>
          <w:highlight w:val="none"/>
          <w:lang w:eastAsia="zh-CN"/>
        </w:rPr>
        <w:t>；</w:t>
      </w:r>
    </w:p>
    <w:p w14:paraId="3BC5960F">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GB/T27405-2008《实验室质量控制规范食品微生物检测》</w:t>
      </w:r>
      <w:r>
        <w:rPr>
          <w:rFonts w:hint="eastAsia" w:ascii="宋体" w:hAnsi="宋体" w:eastAsia="宋体" w:cs="宋体"/>
          <w:color w:val="auto"/>
          <w:highlight w:val="none"/>
          <w:lang w:eastAsia="zh-CN"/>
        </w:rPr>
        <w:t>；</w:t>
      </w:r>
    </w:p>
    <w:p w14:paraId="49F2286D">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GB/T2423.1-2008《电工电子产品环境试验第2部分:试验方法试验A:低温》</w:t>
      </w:r>
      <w:r>
        <w:rPr>
          <w:rFonts w:hint="eastAsia" w:ascii="宋体" w:hAnsi="宋体" w:eastAsia="宋体" w:cs="宋体"/>
          <w:color w:val="auto"/>
          <w:highlight w:val="none"/>
          <w:lang w:eastAsia="zh-CN"/>
        </w:rPr>
        <w:t>；</w:t>
      </w:r>
    </w:p>
    <w:p w14:paraId="2CBC10D3">
      <w:pPr>
        <w:pStyle w:val="30"/>
        <w:pageBreakBefore w:val="0"/>
        <w:spacing w:beforeAutospacing="0" w:afterAutospacing="0" w:line="480" w:lineRule="exact"/>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GB/T2423.2-2008《电工电子产品环境试验第2部分:试验方法试验 B:高温》</w:t>
      </w:r>
      <w:r>
        <w:rPr>
          <w:rFonts w:hint="eastAsia" w:ascii="宋体" w:hAnsi="宋体" w:eastAsia="宋体" w:cs="宋体"/>
          <w:color w:val="auto"/>
          <w:highlight w:val="none"/>
          <w:lang w:eastAsia="zh-CN"/>
        </w:rPr>
        <w:t>。</w:t>
      </w:r>
    </w:p>
    <w:p w14:paraId="086DF18B">
      <w:pPr>
        <w:numPr>
          <w:ilvl w:val="0"/>
          <w:numId w:val="0"/>
        </w:numPr>
        <w:spacing w:before="120" w:after="120" w:line="360" w:lineRule="auto"/>
        <w:ind w:firstLine="0"/>
        <w:rPr>
          <w:rFonts w:hint="eastAsia" w:ascii="宋体" w:hAnsi="宋体" w:eastAsia="宋体" w:cs="宋体"/>
          <w:b/>
          <w:bCs/>
          <w:i w:val="0"/>
          <w:iCs w:val="0"/>
          <w:color w:val="000000"/>
          <w:sz w:val="24"/>
          <w:szCs w:val="24"/>
          <w:lang w:val="en-US" w:eastAsia="zh-CN" w:bidi="ar"/>
        </w:rPr>
      </w:pPr>
    </w:p>
    <w:p w14:paraId="4DE12A82">
      <w:pPr>
        <w:numPr>
          <w:ilvl w:val="0"/>
          <w:numId w:val="0"/>
        </w:numPr>
        <w:spacing w:before="120" w:after="120" w:line="360" w:lineRule="auto"/>
        <w:ind w:firstLine="482"/>
        <w:rPr>
          <w:rFonts w:hint="eastAsia" w:ascii="宋体" w:hAnsi="宋体" w:cs="宋体"/>
          <w:b/>
          <w:bCs/>
          <w:i w:val="0"/>
          <w:iCs w:val="0"/>
          <w:color w:val="000000"/>
          <w:sz w:val="24"/>
          <w:szCs w:val="24"/>
          <w:highlight w:val="none"/>
          <w:u w:val="single"/>
          <w:lang w:val="en-US" w:eastAsia="zh-CN" w:bidi="ar"/>
        </w:rPr>
      </w:pPr>
      <w:r>
        <w:rPr>
          <w:rFonts w:hint="eastAsia" w:ascii="宋体" w:hAnsi="宋体" w:cs="宋体"/>
          <w:b/>
          <w:bCs/>
          <w:i w:val="0"/>
          <w:iCs w:val="0"/>
          <w:color w:val="000000"/>
          <w:sz w:val="24"/>
          <w:szCs w:val="24"/>
          <w:lang w:val="en-US" w:eastAsia="zh-CN" w:bidi="ar"/>
        </w:rPr>
        <w:t>3.</w:t>
      </w:r>
      <w:r>
        <w:rPr>
          <w:rFonts w:hint="eastAsia" w:ascii="宋体" w:hAnsi="宋体" w:cs="宋体"/>
          <w:b/>
          <w:bCs/>
          <w:i w:val="0"/>
          <w:iCs w:val="0"/>
          <w:color w:val="000000"/>
          <w:sz w:val="24"/>
          <w:szCs w:val="24"/>
          <w:highlight w:val="none"/>
          <w:u w:val="single"/>
          <w:lang w:val="en-US" w:eastAsia="zh-CN" w:bidi="ar"/>
        </w:rPr>
        <w:t>图纸</w:t>
      </w:r>
    </w:p>
    <w:p w14:paraId="2384D196">
      <w:pPr>
        <w:numPr>
          <w:ilvl w:val="0"/>
          <w:numId w:val="0"/>
        </w:numPr>
        <w:spacing w:before="120" w:after="120" w:line="360" w:lineRule="auto"/>
      </w:pPr>
      <w:r>
        <w:drawing>
          <wp:inline distT="0" distB="0" distL="0" distR="0">
            <wp:extent cx="5809615" cy="4170680"/>
            <wp:effectExtent l="0" t="0" r="635" b="1270"/>
            <wp:docPr id="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
                    <pic:cNvPicPr>
                      <a:picLocks noChangeAspect="1"/>
                    </pic:cNvPicPr>
                  </pic:nvPicPr>
                  <pic:blipFill>
                    <a:blip r:embed="rId86"/>
                    <a:stretch>
                      <a:fillRect/>
                    </a:stretch>
                  </pic:blipFill>
                  <pic:spPr>
                    <a:xfrm>
                      <a:off x="0" y="0"/>
                      <a:ext cx="5809615" cy="4170680"/>
                    </a:xfrm>
                    <a:prstGeom prst="rect">
                      <a:avLst/>
                    </a:prstGeom>
                    <a:noFill/>
                    <a:ln>
                      <a:noFill/>
                    </a:ln>
                  </pic:spPr>
                </pic:pic>
              </a:graphicData>
            </a:graphic>
          </wp:inline>
        </w:drawing>
      </w:r>
    </w:p>
    <w:p w14:paraId="110F3B5E">
      <w:pPr>
        <w:numPr>
          <w:ilvl w:val="0"/>
          <w:numId w:val="0"/>
        </w:numPr>
        <w:spacing w:before="120" w:after="120" w:line="360" w:lineRule="auto"/>
        <w:rPr>
          <w:rFonts w:hint="default"/>
          <w:lang w:val="en-US" w:eastAsia="zh-CN"/>
        </w:rPr>
      </w:pPr>
      <w:r>
        <w:drawing>
          <wp:inline distT="0" distB="0" distL="0" distR="0">
            <wp:extent cx="5591810" cy="3962400"/>
            <wp:effectExtent l="0" t="0" r="8890" b="0"/>
            <wp:docPr id="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
                    <pic:cNvPicPr>
                      <a:picLocks noChangeAspect="1"/>
                    </pic:cNvPicPr>
                  </pic:nvPicPr>
                  <pic:blipFill>
                    <a:blip r:embed="rId87"/>
                    <a:stretch>
                      <a:fillRect/>
                    </a:stretch>
                  </pic:blipFill>
                  <pic:spPr>
                    <a:xfrm>
                      <a:off x="0" y="0"/>
                      <a:ext cx="5591810" cy="3962400"/>
                    </a:xfrm>
                    <a:prstGeom prst="rect">
                      <a:avLst/>
                    </a:prstGeom>
                    <a:noFill/>
                    <a:ln>
                      <a:noFill/>
                    </a:ln>
                  </pic:spPr>
                </pic:pic>
              </a:graphicData>
            </a:graphic>
          </wp:inline>
        </w:drawing>
      </w:r>
      <w:r>
        <w:drawing>
          <wp:inline distT="0" distB="0" distL="0" distR="0">
            <wp:extent cx="5938520" cy="3545205"/>
            <wp:effectExtent l="0" t="0" r="5080" b="17145"/>
            <wp:docPr id="8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4"/>
                    <pic:cNvPicPr>
                      <a:picLocks noChangeAspect="1"/>
                    </pic:cNvPicPr>
                  </pic:nvPicPr>
                  <pic:blipFill>
                    <a:blip r:embed="rId88"/>
                    <a:stretch>
                      <a:fillRect/>
                    </a:stretch>
                  </pic:blipFill>
                  <pic:spPr>
                    <a:xfrm>
                      <a:off x="0" y="0"/>
                      <a:ext cx="5938520" cy="3545205"/>
                    </a:xfrm>
                    <a:prstGeom prst="rect">
                      <a:avLst/>
                    </a:prstGeom>
                    <a:noFill/>
                    <a:ln>
                      <a:noFill/>
                    </a:ln>
                  </pic:spPr>
                </pic:pic>
              </a:graphicData>
            </a:graphic>
          </wp:inline>
        </w:drawing>
      </w:r>
      <w:r>
        <w:drawing>
          <wp:inline distT="0" distB="0" distL="0" distR="0">
            <wp:extent cx="6180455" cy="4412615"/>
            <wp:effectExtent l="0" t="0" r="10795" b="6985"/>
            <wp:docPr id="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
                    <pic:cNvPicPr>
                      <a:picLocks noChangeAspect="1"/>
                    </pic:cNvPicPr>
                  </pic:nvPicPr>
                  <pic:blipFill>
                    <a:blip r:embed="rId89"/>
                    <a:stretch>
                      <a:fillRect/>
                    </a:stretch>
                  </pic:blipFill>
                  <pic:spPr>
                    <a:xfrm>
                      <a:off x="0" y="0"/>
                      <a:ext cx="6180455" cy="4412615"/>
                    </a:xfrm>
                    <a:prstGeom prst="rect">
                      <a:avLst/>
                    </a:prstGeom>
                    <a:noFill/>
                    <a:ln>
                      <a:noFill/>
                    </a:ln>
                  </pic:spPr>
                </pic:pic>
              </a:graphicData>
            </a:graphic>
          </wp:inline>
        </w:drawing>
      </w:r>
      <w:r>
        <w:drawing>
          <wp:inline distT="0" distB="0" distL="0" distR="0">
            <wp:extent cx="6110605" cy="4344670"/>
            <wp:effectExtent l="0" t="0" r="4445" b="17780"/>
            <wp:docPr id="8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6"/>
                    <pic:cNvPicPr>
                      <a:picLocks noChangeAspect="1"/>
                    </pic:cNvPicPr>
                  </pic:nvPicPr>
                  <pic:blipFill>
                    <a:blip r:embed="rId90"/>
                    <a:stretch>
                      <a:fillRect/>
                    </a:stretch>
                  </pic:blipFill>
                  <pic:spPr>
                    <a:xfrm>
                      <a:off x="0" y="0"/>
                      <a:ext cx="6110605" cy="4344670"/>
                    </a:xfrm>
                    <a:prstGeom prst="rect">
                      <a:avLst/>
                    </a:prstGeom>
                    <a:noFill/>
                    <a:ln>
                      <a:noFill/>
                      <a:round/>
                    </a:ln>
                  </pic:spPr>
                </pic:pic>
              </a:graphicData>
            </a:graphic>
          </wp:inline>
        </w:drawing>
      </w:r>
    </w:p>
    <w:p w14:paraId="5B25672D">
      <w:pPr>
        <w:spacing w:before="120" w:after="120" w:line="360" w:lineRule="auto"/>
        <w:ind w:firstLine="482"/>
        <w:rPr>
          <w:rFonts w:hint="eastAsia" w:ascii="宋体" w:hAnsi="宋体"/>
          <w:b/>
          <w:bCs/>
          <w:color w:val="auto"/>
          <w:sz w:val="24"/>
          <w:szCs w:val="24"/>
          <w:highlight w:val="none"/>
        </w:rPr>
      </w:pPr>
    </w:p>
    <w:p w14:paraId="2CA880FC">
      <w:pPr>
        <w:spacing w:before="120" w:after="120"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二、商务要求</w:t>
      </w:r>
    </w:p>
    <w:p w14:paraId="085F5E49">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1、</w:t>
      </w:r>
      <w:r>
        <w:rPr>
          <w:rFonts w:hint="eastAsia" w:ascii="宋体" w:hAnsi="宋体"/>
          <w:b/>
          <w:color w:val="auto"/>
          <w:sz w:val="24"/>
          <w:highlight w:val="none"/>
        </w:rPr>
        <w:t>服务要求</w:t>
      </w:r>
      <w:r>
        <w:rPr>
          <w:rFonts w:hint="eastAsia" w:ascii="宋体" w:hAnsi="宋体"/>
          <w:bCs/>
          <w:color w:val="auto"/>
          <w:sz w:val="24"/>
          <w:highlight w:val="none"/>
        </w:rPr>
        <w:t>：</w:t>
      </w:r>
    </w:p>
    <w:p w14:paraId="77862A3A">
      <w:pPr>
        <w:numPr>
          <w:ilvl w:val="0"/>
          <w:numId w:val="0"/>
        </w:numPr>
        <w:spacing w:line="360" w:lineRule="auto"/>
        <w:ind w:left="480"/>
        <w:rPr>
          <w:rFonts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lang w:eastAsia="zh-CN"/>
        </w:rPr>
        <w:t>）</w:t>
      </w:r>
      <w:r>
        <w:rPr>
          <w:rFonts w:hint="eastAsia" w:ascii="宋体" w:hAnsi="宋体"/>
          <w:bCs/>
          <w:color w:val="auto"/>
          <w:sz w:val="24"/>
          <w:highlight w:val="none"/>
        </w:rPr>
        <w:t>本次招标的设备应提供不低于</w:t>
      </w:r>
      <w:r>
        <w:rPr>
          <w:rFonts w:hint="eastAsia" w:ascii="宋体" w:hAnsi="宋体"/>
          <w:bCs/>
          <w:color w:val="auto"/>
          <w:sz w:val="24"/>
          <w:highlight w:val="none"/>
          <w:lang w:eastAsia="zh-CN"/>
        </w:rPr>
        <w:t>二</w:t>
      </w:r>
      <w:r>
        <w:rPr>
          <w:rFonts w:hint="eastAsia" w:ascii="宋体" w:hAnsi="宋体"/>
          <w:bCs/>
          <w:color w:val="auto"/>
          <w:sz w:val="24"/>
          <w:highlight w:val="none"/>
        </w:rPr>
        <w:t>年的免费质保，供货时提供相关证明材料。质保时间自终验验收合格之日起算，免费质保期内应提供免除一切费用的售后服务。</w:t>
      </w:r>
    </w:p>
    <w:p w14:paraId="7FEE6986">
      <w:pPr>
        <w:numPr>
          <w:ilvl w:val="0"/>
          <w:numId w:val="0"/>
        </w:numPr>
        <w:spacing w:line="360" w:lineRule="auto"/>
        <w:ind w:left="480"/>
        <w:rPr>
          <w:rFonts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rPr>
        <w:t>服务时间的承诺：响应时间为24小时，修复时间为3个工作日，如不能在3个工作日内修复的则应提供备用设备。</w:t>
      </w:r>
    </w:p>
    <w:p w14:paraId="45EEA5BA">
      <w:pPr>
        <w:numPr>
          <w:ilvl w:val="0"/>
          <w:numId w:val="0"/>
        </w:numPr>
        <w:spacing w:line="360" w:lineRule="auto"/>
        <w:ind w:left="0" w:firstLine="480"/>
        <w:rPr>
          <w:rFonts w:ascii="宋体" w:hAnsi="宋体"/>
          <w:bCs/>
          <w:color w:val="auto"/>
          <w:sz w:val="24"/>
          <w:highlight w:val="none"/>
        </w:rPr>
      </w:pPr>
      <w:r>
        <w:rPr>
          <w:rFonts w:hint="eastAsia" w:ascii="宋体" w:hAnsi="宋体" w:cs="Times New Roman"/>
          <w:bCs/>
          <w:color w:val="auto"/>
          <w:sz w:val="24"/>
          <w:lang w:val="en-US" w:eastAsia="zh-CN" w:bidi="ar-SA"/>
        </w:rPr>
        <w:t>（3）</w:t>
      </w:r>
      <w:r>
        <w:rPr>
          <w:rFonts w:hint="eastAsia" w:ascii="宋体" w:hAnsi="宋体"/>
          <w:bCs/>
          <w:color w:val="auto"/>
          <w:sz w:val="24"/>
          <w:highlight w:val="none"/>
        </w:rPr>
        <w:t>如设备在免费质保期内发生质量问题，投标人应在接到采购人报修电话后24小时内予以响应，否则采购人将自行采取必要的措施，由此产生风险和费用应由投标人承担。</w:t>
      </w:r>
    </w:p>
    <w:p w14:paraId="4A0033B1">
      <w:pPr>
        <w:numPr>
          <w:ilvl w:val="0"/>
          <w:numId w:val="0"/>
        </w:numPr>
        <w:spacing w:line="360" w:lineRule="auto"/>
        <w:ind w:left="0" w:firstLine="480"/>
        <w:rPr>
          <w:rFonts w:ascii="宋体" w:hAnsi="宋体"/>
          <w:bCs/>
          <w:color w:val="auto"/>
          <w:sz w:val="24"/>
          <w:highlight w:val="none"/>
        </w:rPr>
      </w:pPr>
      <w:r>
        <w:rPr>
          <w:rFonts w:hint="eastAsia" w:ascii="宋体" w:hAnsi="宋体" w:cs="Times New Roman"/>
          <w:bCs/>
          <w:color w:val="auto"/>
          <w:sz w:val="24"/>
          <w:lang w:val="en-US" w:eastAsia="zh-CN" w:bidi="ar-SA"/>
        </w:rPr>
        <w:t>（4）</w:t>
      </w:r>
      <w:r>
        <w:rPr>
          <w:rFonts w:hint="eastAsia" w:ascii="宋体" w:hAnsi="宋体"/>
          <w:bCs/>
          <w:color w:val="auto"/>
          <w:sz w:val="24"/>
          <w:highlight w:val="none"/>
        </w:rPr>
        <w:t>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p>
    <w:p w14:paraId="6566DF99">
      <w:pPr>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
          <w:color w:val="auto"/>
          <w:sz w:val="24"/>
          <w:highlight w:val="none"/>
        </w:rPr>
        <w:t>交货地点</w:t>
      </w:r>
      <w:r>
        <w:rPr>
          <w:rFonts w:hint="eastAsia" w:ascii="宋体" w:hAnsi="宋体"/>
          <w:bCs/>
          <w:color w:val="auto"/>
          <w:sz w:val="24"/>
          <w:highlight w:val="none"/>
        </w:rPr>
        <w:t>：</w:t>
      </w:r>
      <w:r>
        <w:rPr>
          <w:rFonts w:hint="eastAsia" w:ascii="宋体" w:hAnsi="宋体"/>
          <w:bCs/>
          <w:color w:val="auto"/>
          <w:sz w:val="24"/>
          <w:highlight w:val="none"/>
          <w:lang w:eastAsia="zh-CN"/>
        </w:rPr>
        <w:t>采购人</w:t>
      </w:r>
      <w:r>
        <w:rPr>
          <w:rFonts w:hint="eastAsia" w:ascii="宋体" w:hAnsi="宋体"/>
          <w:bCs/>
          <w:color w:val="auto"/>
          <w:sz w:val="24"/>
          <w:highlight w:val="none"/>
        </w:rPr>
        <w:t>指定地点。</w:t>
      </w:r>
    </w:p>
    <w:p w14:paraId="4E2A2C58">
      <w:pPr>
        <w:spacing w:line="360" w:lineRule="auto"/>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
          <w:color w:val="auto"/>
          <w:sz w:val="24"/>
          <w:highlight w:val="none"/>
        </w:rPr>
        <w:t>交货期限</w:t>
      </w:r>
      <w:r>
        <w:rPr>
          <w:rFonts w:hint="eastAsia" w:ascii="宋体" w:hAnsi="宋体"/>
          <w:bCs/>
          <w:color w:val="auto"/>
          <w:sz w:val="24"/>
          <w:highlight w:val="none"/>
        </w:rPr>
        <w:t>：合同签订之日起</w:t>
      </w:r>
      <w:r>
        <w:rPr>
          <w:rFonts w:hint="eastAsia" w:ascii="宋体" w:hAnsi="宋体"/>
          <w:bCs/>
          <w:color w:val="auto"/>
          <w:sz w:val="24"/>
          <w:highlight w:val="none"/>
          <w:lang w:val="en-US" w:eastAsia="zh-CN"/>
        </w:rPr>
        <w:t>40</w:t>
      </w:r>
      <w:r>
        <w:rPr>
          <w:rFonts w:hint="eastAsia" w:ascii="宋体" w:hAnsi="宋体"/>
          <w:bCs/>
          <w:color w:val="auto"/>
          <w:sz w:val="24"/>
          <w:highlight w:val="none"/>
        </w:rPr>
        <w:t>日内完成供货及安装。</w:t>
      </w:r>
    </w:p>
    <w:p w14:paraId="37C53991">
      <w:pPr>
        <w:spacing w:line="360" w:lineRule="auto"/>
        <w:ind w:firstLine="480"/>
        <w:rPr>
          <w:rFonts w:ascii="宋体" w:hAnsi="宋体"/>
          <w:bCs/>
          <w:color w:val="auto"/>
          <w:sz w:val="24"/>
          <w:highlight w:val="none"/>
        </w:rPr>
      </w:pPr>
      <w:r>
        <w:rPr>
          <w:rFonts w:hint="eastAsia" w:ascii="宋体" w:hAnsi="宋体"/>
          <w:bCs/>
          <w:color w:val="auto"/>
          <w:sz w:val="24"/>
          <w:highlight w:val="none"/>
        </w:rPr>
        <w:t>4、</w:t>
      </w:r>
      <w:r>
        <w:rPr>
          <w:rFonts w:hint="eastAsia" w:ascii="宋体" w:hAnsi="宋体"/>
          <w:b/>
          <w:color w:val="auto"/>
          <w:sz w:val="24"/>
          <w:highlight w:val="none"/>
        </w:rPr>
        <w:t>验收标准</w:t>
      </w:r>
      <w:r>
        <w:rPr>
          <w:rFonts w:hint="eastAsia" w:ascii="宋体" w:hAnsi="宋体"/>
          <w:bCs/>
          <w:color w:val="auto"/>
          <w:sz w:val="24"/>
          <w:highlight w:val="none"/>
        </w:rPr>
        <w:t>：采购人根据国家有关规定、招投标文件以及合同约定的内容于货到安装调试合格后组织验收，具体验收办法详见《宜兴市政府采购项目履约验收管理办法》（宜财</w:t>
      </w:r>
      <w:r>
        <w:rPr>
          <w:rFonts w:hint="eastAsia" w:ascii="宋体" w:hAnsi="宋体"/>
          <w:bCs/>
          <w:color w:val="auto"/>
          <w:sz w:val="24"/>
          <w:highlight w:val="none"/>
          <w:lang w:val="en-US" w:eastAsia="zh-CN"/>
        </w:rPr>
        <w:t>采</w:t>
      </w:r>
      <w:r>
        <w:rPr>
          <w:rFonts w:hint="eastAsia" w:ascii="宋体" w:hAnsi="宋体"/>
          <w:bCs/>
          <w:color w:val="auto"/>
          <w:sz w:val="24"/>
          <w:highlight w:val="none"/>
        </w:rPr>
        <w:t>〔20</w:t>
      </w:r>
      <w:r>
        <w:rPr>
          <w:rFonts w:hint="eastAsia" w:ascii="宋体" w:hAnsi="宋体"/>
          <w:bCs/>
          <w:color w:val="auto"/>
          <w:sz w:val="24"/>
          <w:highlight w:val="none"/>
          <w:lang w:val="en-US" w:eastAsia="zh-CN"/>
        </w:rPr>
        <w:t>25</w:t>
      </w:r>
      <w:r>
        <w:rPr>
          <w:rFonts w:hint="eastAsia" w:ascii="宋体" w:hAnsi="宋体"/>
          <w:bCs/>
          <w:color w:val="auto"/>
          <w:sz w:val="24"/>
          <w:highlight w:val="none"/>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号）。</w:t>
      </w:r>
    </w:p>
    <w:p w14:paraId="09E493AB">
      <w:pPr>
        <w:spacing w:line="360" w:lineRule="auto"/>
        <w:ind w:firstLine="480"/>
        <w:rPr>
          <w:rFonts w:hint="eastAsia" w:ascii="宋体" w:hAnsi="宋体"/>
          <w:bCs/>
          <w:color w:val="auto"/>
          <w:sz w:val="24"/>
          <w:highlight w:val="none"/>
          <w:lang w:val="en-US" w:eastAsia="zh-CN"/>
        </w:rPr>
      </w:pPr>
      <w:r>
        <w:rPr>
          <w:rFonts w:hint="eastAsia" w:ascii="宋体" w:hAnsi="宋体"/>
          <w:bCs/>
          <w:color w:val="auto"/>
          <w:sz w:val="24"/>
          <w:highlight w:val="none"/>
        </w:rPr>
        <w:t>5、</w:t>
      </w:r>
      <w:r>
        <w:rPr>
          <w:rFonts w:hint="eastAsia" w:ascii="宋体" w:hAnsi="宋体"/>
          <w:b/>
          <w:color w:val="auto"/>
          <w:sz w:val="24"/>
          <w:highlight w:val="none"/>
        </w:rPr>
        <w:t>付款步骤</w:t>
      </w:r>
      <w:r>
        <w:rPr>
          <w:rFonts w:hint="eastAsia" w:ascii="宋体" w:hAnsi="宋体"/>
          <w:bCs/>
          <w:color w:val="auto"/>
          <w:sz w:val="24"/>
          <w:highlight w:val="none"/>
        </w:rPr>
        <w:t>：</w:t>
      </w:r>
      <w:r>
        <w:rPr>
          <w:rFonts w:hint="eastAsia" w:ascii="宋体" w:hAnsi="宋体"/>
          <w:bCs/>
          <w:color w:val="auto"/>
          <w:sz w:val="24"/>
          <w:highlight w:val="none"/>
          <w:lang w:val="en-US" w:eastAsia="zh-CN"/>
        </w:rPr>
        <w:t>到货安装调试后支付50%，验收合格后支付剩余的50%。</w:t>
      </w:r>
    </w:p>
    <w:p w14:paraId="68D2A314">
      <w:pPr>
        <w:spacing w:line="360" w:lineRule="auto"/>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
          <w:color w:val="auto"/>
          <w:sz w:val="24"/>
          <w:highlight w:val="none"/>
          <w:lang w:val="en-US" w:eastAsia="zh-CN"/>
        </w:rPr>
        <w:t>6、其他要求：</w:t>
      </w:r>
      <w:r>
        <w:rPr>
          <w:rFonts w:hint="eastAsia" w:ascii="宋体" w:hAnsi="宋体" w:eastAsia="宋体" w:cs="Times New Roman"/>
          <w:bCs/>
          <w:color w:val="auto"/>
          <w:sz w:val="24"/>
          <w:highlight w:val="none"/>
          <w:lang w:val="en-US" w:eastAsia="zh-CN"/>
        </w:rPr>
        <w:t>（1）投标报价应包含货物或服务的设计、制造、包装、专利技术、仓储、运输装缷、保险、指导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7848F8EC">
      <w:pPr>
        <w:spacing w:line="360" w:lineRule="auto"/>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（2）投标人一旦中标后，如因市场变化、政策性调整等因素导致投标成本的变化，投标报价将不会得到调整。</w:t>
      </w:r>
    </w:p>
    <w:p w14:paraId="62BBC618">
      <w:pPr>
        <w:spacing w:line="360" w:lineRule="auto"/>
        <w:ind w:firstLine="480"/>
        <w:rPr>
          <w:rFonts w:hint="default"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（3）</w:t>
      </w:r>
      <w:r>
        <w:rPr>
          <w:rFonts w:hint="eastAsia" w:ascii="宋体" w:hAnsi="宋体" w:cs="宋体"/>
          <w:b w:val="0"/>
          <w:bCs w:val="0"/>
          <w:sz w:val="24"/>
          <w:szCs w:val="24"/>
          <w:highlight w:val="none"/>
          <w:lang w:val="en-US" w:eastAsia="zh-CN"/>
        </w:rPr>
        <w:t>中标单位应当自签订合同之日起7日内，对其投标文件中作为评审依据的检测报告和认证证书（未在投标文件中提供扫描件的，则不需要提供）的原件（或公证件），提交给采购人进行核验。若存在无法提供原件（或公证件）且无法作出合理解释或采购人发现原件内容与投标文件扫描件内容存在实质性不符或所涉检测项目超过检测机构资质认定范围等可能影响评审结果真实性的情况，采购人会将相关情况，及时报告本级财政部门依法调查处理。</w:t>
      </w:r>
    </w:p>
    <w:p w14:paraId="530D6D42">
      <w:pPr>
        <w:rPr>
          <w:rFonts w:hint="eastAsia" w:ascii="黑体" w:hAnsi="黑体" w:eastAsia="黑体"/>
          <w:sz w:val="28"/>
          <w:highlight w:val="none"/>
        </w:rPr>
      </w:pPr>
      <w:r>
        <w:rPr>
          <w:rFonts w:hint="eastAsia" w:ascii="黑体" w:hAnsi="黑体" w:eastAsia="黑体"/>
          <w:sz w:val="28"/>
          <w:highlight w:val="none"/>
        </w:rPr>
        <w:br w:type="page" w:clear="all"/>
      </w:r>
    </w:p>
    <w:p w14:paraId="30DA8D53">
      <w:pPr>
        <w:pStyle w:val="187"/>
        <w:spacing w:line="360" w:lineRule="auto"/>
        <w:rPr>
          <w:rFonts w:hint="eastAsia" w:ascii="Times New Roman" w:hAnsi="Times New Roman" w:eastAsia="宋体" w:cs="Times New Roman"/>
          <w:highlight w:val="none"/>
        </w:rPr>
      </w:pPr>
      <w:bookmarkStart w:id="96" w:name="_Toc178"/>
      <w:r>
        <w:rPr>
          <w:rFonts w:hint="eastAsia" w:ascii="Times New Roman" w:hAnsi="Times New Roman" w:eastAsia="宋体" w:cs="Times New Roman"/>
          <w:highlight w:val="none"/>
        </w:rPr>
        <w:t>第四章 评审方法和标准</w:t>
      </w:r>
      <w:bookmarkEnd w:id="95"/>
      <w:bookmarkEnd w:id="96"/>
    </w:p>
    <w:p w14:paraId="750DA849">
      <w:pPr>
        <w:spacing w:line="360" w:lineRule="auto"/>
        <w:jc w:val="left"/>
        <w:rPr>
          <w:rFonts w:ascii="宋体" w:hAnsi="宋体"/>
          <w:sz w:val="24"/>
          <w:szCs w:val="24"/>
          <w:highlight w:val="none"/>
        </w:rPr>
      </w:pPr>
      <w:r>
        <w:rPr>
          <w:rFonts w:hint="eastAsia" w:ascii="宋体" w:hAnsi="宋体"/>
          <w:sz w:val="24"/>
          <w:szCs w:val="24"/>
          <w:highlight w:val="none"/>
        </w:rPr>
        <w:t>一、评分项目（总分100分）</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5"/>
        <w:gridCol w:w="5755"/>
      </w:tblGrid>
      <w:tr w14:paraId="36AF1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1785" w:type="dxa"/>
            <w:noWrap w:val="0"/>
            <w:vAlign w:val="center"/>
          </w:tcPr>
          <w:p w14:paraId="2CA382BF">
            <w:pPr>
              <w:jc w:val="center"/>
              <w:rPr>
                <w:rFonts w:ascii="宋体" w:hAnsi="宋体"/>
                <w:sz w:val="24"/>
                <w:szCs w:val="24"/>
                <w:highlight w:val="none"/>
              </w:rPr>
            </w:pPr>
            <w:r>
              <w:rPr>
                <w:rFonts w:hint="eastAsia" w:ascii="宋体" w:hAnsi="宋体"/>
                <w:sz w:val="24"/>
                <w:szCs w:val="24"/>
                <w:highlight w:val="none"/>
              </w:rPr>
              <w:t>技术商务部分</w:t>
            </w:r>
          </w:p>
        </w:tc>
        <w:tc>
          <w:tcPr>
            <w:tcW w:w="5755" w:type="dxa"/>
            <w:noWrap w:val="0"/>
            <w:vAlign w:val="center"/>
          </w:tcPr>
          <w:p w14:paraId="454E08B9">
            <w:pPr>
              <w:jc w:val="center"/>
              <w:rPr>
                <w:rFonts w:ascii="宋体" w:hAnsi="宋体"/>
                <w:sz w:val="24"/>
                <w:szCs w:val="24"/>
                <w:highlight w:val="none"/>
              </w:rPr>
            </w:pPr>
            <w:r>
              <w:rPr>
                <w:rFonts w:hint="eastAsia" w:ascii="宋体" w:hAnsi="宋体"/>
                <w:sz w:val="24"/>
                <w:szCs w:val="24"/>
                <w:highlight w:val="none"/>
                <w:lang w:val="en-US" w:eastAsia="zh-CN"/>
              </w:rPr>
              <w:t xml:space="preserve"> 65</w:t>
            </w:r>
            <w:r>
              <w:rPr>
                <w:rFonts w:hint="eastAsia" w:ascii="宋体" w:hAnsi="宋体"/>
                <w:sz w:val="24"/>
                <w:szCs w:val="24"/>
                <w:highlight w:val="none"/>
              </w:rPr>
              <w:t>分</w:t>
            </w:r>
          </w:p>
        </w:tc>
      </w:tr>
      <w:tr w14:paraId="088A6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9" w:hRule="atLeast"/>
          <w:jc w:val="center"/>
        </w:trPr>
        <w:tc>
          <w:tcPr>
            <w:tcW w:w="1785" w:type="dxa"/>
            <w:noWrap w:val="0"/>
            <w:vAlign w:val="center"/>
          </w:tcPr>
          <w:p w14:paraId="6D269F4C">
            <w:pPr>
              <w:jc w:val="center"/>
              <w:rPr>
                <w:rFonts w:ascii="宋体" w:hAnsi="宋体"/>
                <w:sz w:val="24"/>
                <w:szCs w:val="24"/>
                <w:highlight w:val="none"/>
              </w:rPr>
            </w:pPr>
            <w:r>
              <w:rPr>
                <w:rFonts w:hint="eastAsia" w:ascii="宋体" w:hAnsi="宋体"/>
                <w:sz w:val="24"/>
                <w:szCs w:val="24"/>
                <w:highlight w:val="none"/>
              </w:rPr>
              <w:t>价格部分</w:t>
            </w:r>
          </w:p>
        </w:tc>
        <w:tc>
          <w:tcPr>
            <w:tcW w:w="5755" w:type="dxa"/>
            <w:noWrap w:val="0"/>
            <w:vAlign w:val="center"/>
          </w:tcPr>
          <w:p w14:paraId="2E04A063">
            <w:pPr>
              <w:jc w:val="center"/>
              <w:rPr>
                <w:rFonts w:ascii="宋体" w:hAnsi="宋体"/>
                <w:sz w:val="24"/>
                <w:szCs w:val="24"/>
                <w:highlight w:val="none"/>
              </w:rPr>
            </w:pPr>
            <w:r>
              <w:rPr>
                <w:rFonts w:hint="eastAsia" w:ascii="宋体" w:hAnsi="宋体"/>
                <w:sz w:val="24"/>
                <w:szCs w:val="24"/>
                <w:highlight w:val="none"/>
                <w:lang w:val="en-US" w:eastAsia="zh-CN"/>
              </w:rPr>
              <w:t>35</w:t>
            </w:r>
            <w:r>
              <w:rPr>
                <w:rFonts w:hint="eastAsia" w:ascii="宋体" w:hAnsi="宋体"/>
                <w:sz w:val="24"/>
                <w:szCs w:val="24"/>
                <w:highlight w:val="none"/>
              </w:rPr>
              <w:t>分</w:t>
            </w:r>
          </w:p>
        </w:tc>
      </w:tr>
    </w:tbl>
    <w:p w14:paraId="59D3CF9F">
      <w:pPr>
        <w:spacing w:line="360" w:lineRule="auto"/>
        <w:jc w:val="left"/>
        <w:rPr>
          <w:rFonts w:ascii="宋体" w:hAnsi="宋体"/>
          <w:sz w:val="24"/>
          <w:szCs w:val="24"/>
          <w:highlight w:val="none"/>
        </w:rPr>
      </w:pPr>
      <w:r>
        <w:rPr>
          <w:rFonts w:hint="eastAsia" w:ascii="宋体" w:hAnsi="宋体"/>
          <w:sz w:val="24"/>
          <w:szCs w:val="24"/>
          <w:highlight w:val="none"/>
        </w:rPr>
        <w:t>二、评审内容：</w:t>
      </w:r>
    </w:p>
    <w:p w14:paraId="6133B1FE">
      <w:pPr>
        <w:spacing w:line="360" w:lineRule="auto"/>
        <w:jc w:val="left"/>
        <w:rPr>
          <w:rFonts w:hint="eastAsia" w:ascii="宋体" w:hAnsi="宋体"/>
          <w:sz w:val="24"/>
          <w:szCs w:val="24"/>
          <w:highlight w:val="none"/>
        </w:rPr>
      </w:pPr>
      <w:r>
        <w:rPr>
          <w:rFonts w:hint="eastAsia" w:ascii="宋体" w:hAnsi="宋体"/>
          <w:sz w:val="24"/>
          <w:szCs w:val="24"/>
          <w:highlight w:val="none"/>
        </w:rPr>
        <w:t>1、技术商务部分</w:t>
      </w:r>
    </w:p>
    <w:tbl>
      <w:tblPr>
        <w:tblStyle w:val="33"/>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666"/>
        <w:gridCol w:w="1173"/>
        <w:gridCol w:w="806"/>
        <w:gridCol w:w="6179"/>
      </w:tblGrid>
      <w:tr w14:paraId="6854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752" w:type="dxa"/>
            <w:tcBorders>
              <w:top w:val="single" w:color="auto" w:sz="4" w:space="0"/>
              <w:left w:val="single" w:color="auto" w:sz="4" w:space="0"/>
              <w:bottom w:val="single" w:color="auto" w:sz="4" w:space="0"/>
              <w:right w:val="single" w:color="auto" w:sz="4" w:space="0"/>
            </w:tcBorders>
            <w:noWrap w:val="0"/>
            <w:vAlign w:val="center"/>
          </w:tcPr>
          <w:p w14:paraId="7C8BFB45">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评审内容</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33767B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73" w:type="dxa"/>
            <w:tcBorders>
              <w:top w:val="single" w:color="auto" w:sz="4" w:space="0"/>
              <w:left w:val="single" w:color="auto" w:sz="4" w:space="0"/>
              <w:right w:val="single" w:color="auto" w:sz="4" w:space="0"/>
            </w:tcBorders>
            <w:noWrap w:val="0"/>
            <w:vAlign w:val="center"/>
          </w:tcPr>
          <w:p w14:paraId="0A81E3C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7187044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806" w:type="dxa"/>
            <w:tcBorders>
              <w:top w:val="single" w:color="auto" w:sz="4" w:space="0"/>
              <w:left w:val="single" w:color="auto" w:sz="4" w:space="0"/>
              <w:right w:val="single" w:color="auto" w:sz="4" w:space="0"/>
            </w:tcBorders>
            <w:noWrap w:val="0"/>
            <w:vAlign w:val="center"/>
          </w:tcPr>
          <w:p w14:paraId="6722829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6179" w:type="dxa"/>
            <w:tcBorders>
              <w:top w:val="single" w:color="auto" w:sz="4" w:space="0"/>
              <w:left w:val="single" w:color="auto" w:sz="4" w:space="0"/>
              <w:bottom w:val="single" w:color="auto" w:sz="4" w:space="0"/>
              <w:right w:val="single" w:color="auto" w:sz="4" w:space="0"/>
            </w:tcBorders>
            <w:noWrap w:val="0"/>
            <w:vAlign w:val="center"/>
          </w:tcPr>
          <w:p w14:paraId="4E2E3FA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r>
      <w:tr w14:paraId="17CE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752" w:type="dxa"/>
            <w:vMerge w:val="restart"/>
            <w:tcBorders>
              <w:top w:val="single" w:color="auto" w:sz="4" w:space="0"/>
              <w:left w:val="single" w:color="auto" w:sz="4" w:space="0"/>
              <w:right w:val="single" w:color="auto" w:sz="4" w:space="0"/>
            </w:tcBorders>
            <w:noWrap w:val="0"/>
            <w:vAlign w:val="center"/>
          </w:tcPr>
          <w:p w14:paraId="59F134A9">
            <w:pPr>
              <w:spacing w:line="360" w:lineRule="auto"/>
              <w:jc w:val="center"/>
              <w:rPr>
                <w:rFonts w:hint="eastAsia" w:ascii="宋体" w:hAnsi="宋体" w:eastAsia="宋体"/>
                <w:color w:val="auto"/>
                <w:sz w:val="24"/>
                <w:szCs w:val="24"/>
                <w:highlight w:val="none"/>
                <w:lang w:val="en-US" w:eastAsia="zh-CN"/>
              </w:rPr>
            </w:pPr>
            <w:r>
              <w:rPr>
                <w:rFonts w:hint="eastAsia" w:ascii="宋体" w:hAnsi="宋体"/>
                <w:b/>
                <w:bCs/>
                <w:color w:val="auto"/>
                <w:sz w:val="24"/>
                <w:szCs w:val="24"/>
                <w:highlight w:val="none"/>
                <w:lang w:val="en-US" w:eastAsia="zh-CN"/>
              </w:rPr>
              <w:t>技术部分(54</w:t>
            </w:r>
            <w:r>
              <w:rPr>
                <w:rFonts w:hint="eastAsia" w:ascii="宋体" w:hAnsi="宋体"/>
                <w:b/>
                <w:bCs/>
                <w:color w:val="auto"/>
                <w:sz w:val="24"/>
                <w:szCs w:val="24"/>
                <w:highlight w:val="none"/>
              </w:rPr>
              <w:t>分</w:t>
            </w:r>
            <w:r>
              <w:rPr>
                <w:rFonts w:hint="eastAsia" w:ascii="宋体" w:hAnsi="宋体"/>
                <w:b/>
                <w:bCs/>
                <w:color w:val="auto"/>
                <w:sz w:val="24"/>
                <w:szCs w:val="24"/>
                <w:highlight w:val="none"/>
                <w:lang w:val="en-US" w:eastAsia="zh-CN"/>
              </w:rPr>
              <w:t>)</w:t>
            </w:r>
          </w:p>
        </w:tc>
        <w:tc>
          <w:tcPr>
            <w:tcW w:w="666" w:type="dxa"/>
            <w:tcBorders>
              <w:top w:val="single" w:color="auto" w:sz="4" w:space="0"/>
              <w:left w:val="single" w:color="auto" w:sz="4" w:space="0"/>
              <w:bottom w:val="single" w:color="auto" w:sz="4" w:space="0"/>
              <w:right w:val="single" w:color="auto" w:sz="4" w:space="0"/>
            </w:tcBorders>
            <w:noWrap w:val="0"/>
            <w:vAlign w:val="center"/>
          </w:tcPr>
          <w:p w14:paraId="55CCDF7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73" w:type="dxa"/>
            <w:tcBorders>
              <w:top w:val="single" w:color="auto" w:sz="4" w:space="0"/>
              <w:left w:val="single" w:color="auto" w:sz="4" w:space="0"/>
              <w:right w:val="single" w:color="auto" w:sz="4" w:space="0"/>
            </w:tcBorders>
            <w:shd w:val="clear" w:color="auto" w:fill="auto"/>
            <w:noWrap w:val="0"/>
            <w:vAlign w:val="center"/>
          </w:tcPr>
          <w:p w14:paraId="16EFF6A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项目措施实施方案</w:t>
            </w:r>
          </w:p>
        </w:tc>
        <w:tc>
          <w:tcPr>
            <w:tcW w:w="806" w:type="dxa"/>
            <w:tcBorders>
              <w:top w:val="single" w:color="auto" w:sz="4" w:space="0"/>
              <w:left w:val="single" w:color="auto" w:sz="4" w:space="0"/>
              <w:right w:val="single" w:color="auto" w:sz="4" w:space="0"/>
            </w:tcBorders>
            <w:shd w:val="clear" w:color="auto" w:fill="auto"/>
            <w:noWrap w:val="0"/>
            <w:vAlign w:val="center"/>
          </w:tcPr>
          <w:p w14:paraId="700B0EC8">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c>
          <w:tcPr>
            <w:tcW w:w="617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1F50D9A">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投标人根据项目需求提供项目实施方案,包含：1.实施方案及难点分析及项目实施计划；2.进度安排及保障措施；3.供货安装及调试方案；4.人力配备情况。</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1、上述每项内容阐述全面完整，实施方案内容详细具体，措施科学合理，完全符合采购需求，得12分；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2、上述每项内容阐述基本全面完整，实施方案满足采购要求及内容，有具体实施技术方案，有详细说明及具体的措施和流程，措施较科学合理，基本符合采购需求，得8分；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3、上述每项内容阐述不完整，应对措施缺乏可操作性，脱离采购需求实际的，得4分。</w:t>
            </w:r>
          </w:p>
          <w:p w14:paraId="2AC40480">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4、不提供不得分。</w:t>
            </w:r>
          </w:p>
        </w:tc>
      </w:tr>
      <w:tr w14:paraId="5F69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vMerge w:val="continue"/>
            <w:tcBorders>
              <w:left w:val="single" w:color="auto" w:sz="4" w:space="0"/>
              <w:right w:val="single" w:color="auto" w:sz="4" w:space="0"/>
            </w:tcBorders>
            <w:noWrap w:val="0"/>
            <w:vAlign w:val="center"/>
          </w:tcPr>
          <w:p w14:paraId="05444A70">
            <w:pPr>
              <w:spacing w:line="360" w:lineRule="auto"/>
              <w:jc w:val="center"/>
              <w:rPr>
                <w:rFonts w:ascii="宋体" w:hAnsi="宋体"/>
                <w:color w:val="auto"/>
                <w:sz w:val="24"/>
                <w:szCs w:val="24"/>
                <w:highlight w:val="none"/>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03DC896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73" w:type="dxa"/>
            <w:tcBorders>
              <w:left w:val="single" w:color="auto" w:sz="4" w:space="0"/>
              <w:right w:val="single" w:color="auto" w:sz="4" w:space="0"/>
            </w:tcBorders>
            <w:shd w:val="clear" w:color="auto" w:fill="auto"/>
            <w:noWrap w:val="0"/>
            <w:vAlign w:val="center"/>
          </w:tcPr>
          <w:p w14:paraId="79003BF6">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项目方案布局的科学性和完整性</w:t>
            </w:r>
          </w:p>
        </w:tc>
        <w:tc>
          <w:tcPr>
            <w:tcW w:w="806" w:type="dxa"/>
            <w:tcBorders>
              <w:top w:val="single" w:color="auto" w:sz="4" w:space="0"/>
              <w:left w:val="single" w:color="auto" w:sz="4" w:space="0"/>
              <w:right w:val="single" w:color="auto" w:sz="4" w:space="0"/>
            </w:tcBorders>
            <w:shd w:val="clear" w:color="auto" w:fill="auto"/>
            <w:noWrap w:val="0"/>
            <w:vAlign w:val="center"/>
          </w:tcPr>
          <w:p w14:paraId="7446A803">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6179"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FB4A1DD">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根据投标人所投理化生实验室设备特点及项目需求对实验室室内布置要求的总体设计方案包含：1、平面布置图；2、效果图；3、水电施工图；4、通风施工图。</w:t>
            </w:r>
          </w:p>
          <w:p w14:paraId="2D3581A7">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1、上述每项内容阐述全面完整，布局方案内容详细具体，图纸科学合理，完全符合采购需求，得15分；</w:t>
            </w:r>
          </w:p>
          <w:p w14:paraId="3C55372D">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2、上述每项内容对阐述基本全面完整，实施方案满足采购要求及内容，有具体实施技术方案，图纸较科学合理，基本符合采购需求，得10分；</w:t>
            </w:r>
          </w:p>
          <w:p w14:paraId="526DD93C">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3、上述每项内容阐述不完整，布局缺乏可操作性，脱离采购需求实际的，得5分。</w:t>
            </w:r>
          </w:p>
          <w:p w14:paraId="64AA8426">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4、无相应的方案不得分。</w:t>
            </w:r>
          </w:p>
        </w:tc>
      </w:tr>
      <w:tr w14:paraId="23BC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vMerge w:val="continue"/>
            <w:tcBorders>
              <w:left w:val="single" w:color="auto" w:sz="4" w:space="0"/>
              <w:right w:val="single" w:color="auto" w:sz="4" w:space="0"/>
            </w:tcBorders>
            <w:noWrap w:val="0"/>
          </w:tcPr>
          <w:p w14:paraId="7C9DEC6B">
            <w:pPr>
              <w:spacing w:line="360" w:lineRule="auto"/>
              <w:jc w:val="center"/>
              <w:rPr>
                <w:rFonts w:ascii="宋体" w:hAnsi="宋体"/>
                <w:color w:val="auto"/>
                <w:sz w:val="24"/>
                <w:szCs w:val="24"/>
                <w:highlight w:val="none"/>
              </w:rPr>
            </w:pPr>
          </w:p>
        </w:tc>
        <w:tc>
          <w:tcPr>
            <w:tcW w:w="0" w:type="auto"/>
            <w:noWrap w:val="0"/>
            <w:vAlign w:val="center"/>
          </w:tcPr>
          <w:p w14:paraId="2F66C4B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73" w:type="dxa"/>
            <w:shd w:val="clear" w:color="auto" w:fill="auto"/>
            <w:noWrap w:val="0"/>
            <w:vAlign w:val="center"/>
          </w:tcPr>
          <w:p w14:paraId="3ADD9E8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培训方案</w:t>
            </w:r>
          </w:p>
        </w:tc>
        <w:tc>
          <w:tcPr>
            <w:tcW w:w="806" w:type="dxa"/>
            <w:shd w:val="clear" w:color="auto" w:fill="auto"/>
            <w:noWrap w:val="0"/>
            <w:vAlign w:val="center"/>
          </w:tcPr>
          <w:p w14:paraId="00F2BE6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c>
          <w:tcPr>
            <w:tcW w:w="6179" w:type="dxa"/>
            <w:shd w:val="clear" w:color="auto" w:fill="auto"/>
            <w:noWrap w:val="0"/>
            <w:vAlign w:val="top"/>
          </w:tcPr>
          <w:p w14:paraId="4F278642">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针对本项目所提供的产品的使用和日常维护的培训计划及方案，包含1.培训课程内容；2.培训课时安排。</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1、上述每项内容阐述全面完整，投标人提供的产品使用和日常维护的培训计划内容齐全，优于或完全满足采购实际需求的，得6分；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2、上述每项内容对阐述基本全面完整，产品的使用和日常维护的培训计划简单有瑕疵，内容有漏项、无细节性描述的，得4分； </w:t>
            </w:r>
          </w:p>
          <w:p w14:paraId="641A4EFE">
            <w:pPr>
              <w:numPr>
                <w:ilvl w:val="0"/>
                <w:numId w:val="9"/>
              </w:num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上述每项内容阐述不完整，应对措施缺乏可操作性，脱离采购需求实际的，得2分。</w:t>
            </w:r>
          </w:p>
          <w:p w14:paraId="6FAAD387">
            <w:pPr>
              <w:numPr>
                <w:ilvl w:val="0"/>
                <w:numId w:val="0"/>
              </w:num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不提供不得分。</w:t>
            </w:r>
          </w:p>
        </w:tc>
      </w:tr>
      <w:tr w14:paraId="5F84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3" w:hRule="atLeast"/>
          <w:jc w:val="center"/>
        </w:trPr>
        <w:tc>
          <w:tcPr>
            <w:tcW w:w="752" w:type="dxa"/>
            <w:vMerge w:val="continue"/>
            <w:tcBorders>
              <w:left w:val="single" w:color="auto" w:sz="4" w:space="0"/>
              <w:right w:val="single" w:color="auto" w:sz="4" w:space="0"/>
            </w:tcBorders>
            <w:noWrap w:val="0"/>
          </w:tcPr>
          <w:p w14:paraId="5A3CC1D3">
            <w:pPr>
              <w:spacing w:line="360" w:lineRule="auto"/>
              <w:jc w:val="center"/>
              <w:rPr>
                <w:rFonts w:ascii="宋体" w:hAnsi="宋体"/>
                <w:color w:val="auto"/>
                <w:sz w:val="24"/>
                <w:szCs w:val="24"/>
                <w:highlight w:val="none"/>
              </w:rPr>
            </w:pPr>
          </w:p>
        </w:tc>
        <w:tc>
          <w:tcPr>
            <w:tcW w:w="666" w:type="dxa"/>
            <w:noWrap w:val="0"/>
            <w:vAlign w:val="center"/>
          </w:tcPr>
          <w:p w14:paraId="26EB691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73" w:type="dxa"/>
            <w:shd w:val="clear" w:color="auto" w:fill="auto"/>
            <w:noWrap w:val="0"/>
            <w:vAlign w:val="center"/>
          </w:tcPr>
          <w:p w14:paraId="08E4E90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售后服务方案</w:t>
            </w:r>
          </w:p>
        </w:tc>
        <w:tc>
          <w:tcPr>
            <w:tcW w:w="806" w:type="dxa"/>
            <w:shd w:val="clear" w:color="auto" w:fill="auto"/>
            <w:noWrap w:val="0"/>
            <w:vAlign w:val="center"/>
          </w:tcPr>
          <w:p w14:paraId="75EE296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6179" w:type="dxa"/>
            <w:shd w:val="clear" w:color="auto" w:fill="auto"/>
            <w:noWrap w:val="0"/>
            <w:vAlign w:val="top"/>
          </w:tcPr>
          <w:p w14:paraId="1C7B69DE">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根据投标人提供的售后服务方案，包括1.服务内容；2.技术人员保障服务电话；3.故障解决方案。</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1、上述每项内容阐述全面完整，解决措施全面科学、响应时间迅速，内容丰富，科学合理，可操作性强的，得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2、上述每项内容对阐述基本全面完整，故障解决措施一般、响应时间慢，内容一般，可操作性差，得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3、上述每项内容阐述不完整，应对措施缺乏可操作性，脱离采购需求实际的，得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25E70AAC">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4、不提供不得分。</w:t>
            </w:r>
          </w:p>
        </w:tc>
      </w:tr>
      <w:tr w14:paraId="43B7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752" w:type="dxa"/>
            <w:vMerge w:val="continue"/>
            <w:tcBorders>
              <w:left w:val="single" w:color="auto" w:sz="4" w:space="0"/>
              <w:right w:val="single" w:color="auto" w:sz="4" w:space="0"/>
            </w:tcBorders>
            <w:noWrap w:val="0"/>
          </w:tcPr>
          <w:p w14:paraId="57EB5663">
            <w:pPr>
              <w:spacing w:line="360" w:lineRule="auto"/>
              <w:jc w:val="center"/>
              <w:rPr>
                <w:rFonts w:ascii="宋体" w:hAnsi="宋体"/>
                <w:color w:val="auto"/>
                <w:sz w:val="24"/>
                <w:szCs w:val="24"/>
                <w:highlight w:val="none"/>
              </w:rPr>
            </w:pPr>
          </w:p>
        </w:tc>
        <w:tc>
          <w:tcPr>
            <w:tcW w:w="666" w:type="dxa"/>
            <w:noWrap w:val="0"/>
            <w:vAlign w:val="center"/>
          </w:tcPr>
          <w:p w14:paraId="1BF22458">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73" w:type="dxa"/>
            <w:shd w:val="clear" w:color="auto" w:fill="auto"/>
            <w:noWrap w:val="0"/>
            <w:vAlign w:val="center"/>
          </w:tcPr>
          <w:p w14:paraId="62EEEB54">
            <w:pPr>
              <w:spacing w:after="0" w:line="360" w:lineRule="auto"/>
              <w:contextualSpacing/>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产品技术分</w:t>
            </w:r>
          </w:p>
        </w:tc>
        <w:tc>
          <w:tcPr>
            <w:tcW w:w="806" w:type="dxa"/>
            <w:shd w:val="clear" w:color="auto" w:fill="auto"/>
            <w:noWrap w:val="0"/>
            <w:vAlign w:val="center"/>
          </w:tcPr>
          <w:p w14:paraId="2FE14828">
            <w:pPr>
              <w:spacing w:after="0" w:line="360" w:lineRule="auto"/>
              <w:contextualSpacing/>
              <w:jc w:val="center"/>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rPr>
              <w:t>15</w:t>
            </w:r>
            <w:r>
              <w:rPr>
                <w:rFonts w:hint="eastAsia" w:ascii="宋体" w:hAnsi="宋体" w:eastAsia="宋体" w:cs="宋体"/>
                <w:bCs/>
                <w:sz w:val="24"/>
                <w:szCs w:val="24"/>
              </w:rPr>
              <w:t>分</w:t>
            </w:r>
          </w:p>
        </w:tc>
        <w:tc>
          <w:tcPr>
            <w:tcW w:w="6179" w:type="dxa"/>
            <w:shd w:val="clear" w:color="auto" w:fill="auto"/>
            <w:noWrap w:val="0"/>
            <w:vAlign w:val="top"/>
          </w:tcPr>
          <w:p w14:paraId="28859E99">
            <w:pPr>
              <w:spacing w:after="0" w:line="360" w:lineRule="auto"/>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rPr>
              <w:t>投标人应针对以下技术参数要求，提供</w:t>
            </w:r>
            <w:r>
              <w:rPr>
                <w:rFonts w:hint="eastAsia" w:ascii="宋体" w:hAnsi="宋体" w:eastAsia="宋体" w:cs="宋体"/>
                <w:color w:val="auto"/>
                <w:sz w:val="24"/>
                <w:szCs w:val="24"/>
                <w:lang w:eastAsia="zh-CN"/>
              </w:rPr>
              <w:t>第三方</w:t>
            </w:r>
            <w:r>
              <w:rPr>
                <w:rFonts w:hint="eastAsia" w:ascii="宋体" w:hAnsi="宋体" w:cs="宋体"/>
                <w:color w:val="auto"/>
                <w:sz w:val="24"/>
                <w:szCs w:val="24"/>
                <w:lang w:eastAsia="zh-CN"/>
              </w:rPr>
              <w:t>认证</w:t>
            </w:r>
            <w:r>
              <w:rPr>
                <w:rFonts w:hint="eastAsia" w:ascii="宋体" w:hAnsi="宋体" w:eastAsia="宋体" w:cs="宋体"/>
                <w:color w:val="auto"/>
                <w:sz w:val="24"/>
                <w:szCs w:val="24"/>
                <w:lang w:eastAsia="zh-CN"/>
              </w:rPr>
              <w:t>机构出具的</w:t>
            </w:r>
            <w:r>
              <w:rPr>
                <w:rFonts w:hint="eastAsia" w:ascii="宋体" w:hAnsi="宋体" w:cs="宋体"/>
                <w:color w:val="auto"/>
                <w:sz w:val="24"/>
                <w:szCs w:val="24"/>
                <w:lang w:val="en-US" w:eastAsia="zh-CN"/>
              </w:rPr>
              <w:t>CMA标识</w:t>
            </w:r>
            <w:r>
              <w:rPr>
                <w:rFonts w:hint="eastAsia" w:ascii="宋体" w:hAnsi="宋体" w:eastAsia="宋体" w:cs="宋体"/>
                <w:color w:val="auto"/>
                <w:sz w:val="24"/>
                <w:szCs w:val="24"/>
              </w:rPr>
              <w:t>检测报告扫描件</w:t>
            </w:r>
            <w:r>
              <w:rPr>
                <w:rFonts w:hint="eastAsia" w:ascii="宋体" w:hAnsi="宋体" w:cs="宋体"/>
                <w:color w:val="auto"/>
                <w:sz w:val="24"/>
                <w:szCs w:val="24"/>
                <w:lang w:eastAsia="zh-CN"/>
              </w:rPr>
              <w:t>或产品功能性图片</w:t>
            </w:r>
            <w:r>
              <w:rPr>
                <w:rFonts w:hint="eastAsia" w:ascii="宋体" w:hAnsi="宋体" w:eastAsia="宋体" w:cs="宋体"/>
                <w:color w:val="auto"/>
                <w:sz w:val="24"/>
                <w:szCs w:val="24"/>
              </w:rPr>
              <w:t>上传至投标系统中并加盖公章，不提供不得</w:t>
            </w:r>
            <w:r>
              <w:rPr>
                <w:rFonts w:hint="eastAsia" w:ascii="宋体" w:hAnsi="宋体" w:eastAsia="宋体" w:cs="宋体"/>
                <w:color w:val="auto"/>
                <w:sz w:val="24"/>
                <w:szCs w:val="24"/>
                <w:highlight w:val="none"/>
              </w:rPr>
              <w:t>分。</w:t>
            </w:r>
          </w:p>
          <w:p w14:paraId="2084BA4D">
            <w:pPr>
              <w:numPr>
                <w:ilvl w:val="0"/>
                <w:numId w:val="10"/>
              </w:numPr>
              <w:spacing w:after="0" w:line="360" w:lineRule="auto"/>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理化板台面（</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分）：</w:t>
            </w:r>
          </w:p>
          <w:p w14:paraId="617BECF3">
            <w:pPr>
              <w:spacing w:after="0" w:line="360" w:lineRule="auto"/>
              <w:contextualSpacing/>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耐磨和耐划性</w:t>
            </w:r>
            <w:r>
              <w:rPr>
                <w:rFonts w:hint="eastAsia" w:ascii="宋体" w:hAnsi="宋体" w:eastAsia="宋体" w:cs="宋体"/>
                <w:color w:val="auto"/>
                <w:sz w:val="24"/>
                <w:szCs w:val="24"/>
                <w:lang w:val="en-US" w:eastAsia="zh-CN"/>
              </w:rPr>
              <w:t>能：耐磨性能：≥1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00r，未出现磨损点</w:t>
            </w:r>
            <w:r>
              <w:rPr>
                <w:rFonts w:hint="eastAsia" w:ascii="宋体" w:hAnsi="宋体" w:cs="宋体"/>
                <w:color w:val="auto"/>
                <w:sz w:val="24"/>
                <w:szCs w:val="24"/>
                <w:lang w:val="en-US" w:eastAsia="zh-CN"/>
              </w:rPr>
              <w:t>；表面耐划性能：</w:t>
            </w:r>
            <w:r>
              <w:rPr>
                <w:rFonts w:hint="eastAsia" w:ascii="宋体" w:hAnsi="宋体" w:eastAsia="宋体" w:cs="宋体"/>
                <w:color w:val="auto"/>
                <w:sz w:val="24"/>
                <w:szCs w:val="24"/>
                <w:lang w:val="en-US" w:eastAsia="zh-CN"/>
              </w:rPr>
              <w:t>在</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.0N作用下，表面无大于90%的连续划痕，表面装饰花纹无破坏现象</w:t>
            </w:r>
            <w:r>
              <w:rPr>
                <w:rFonts w:hint="eastAsia" w:ascii="宋体" w:hAnsi="宋体" w:cs="宋体"/>
                <w:color w:val="auto"/>
                <w:sz w:val="24"/>
                <w:szCs w:val="24"/>
                <w:lang w:val="en-US" w:eastAsia="zh-CN"/>
              </w:rPr>
              <w:t>，</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7AD0222F">
            <w:pPr>
              <w:spacing w:after="0" w:line="360" w:lineRule="auto"/>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highlight w:val="none"/>
                <w:lang w:val="en-US" w:eastAsia="zh-CN"/>
              </w:rPr>
              <w:t>表面耐污染性能：</w:t>
            </w:r>
            <w:r>
              <w:rPr>
                <w:rFonts w:hint="eastAsia" w:ascii="宋体" w:hAnsi="宋体" w:cs="宋体"/>
                <w:sz w:val="24"/>
                <w:szCs w:val="24"/>
                <w:highlight w:val="none"/>
                <w:lang w:val="en-US" w:eastAsia="zh-CN"/>
              </w:rPr>
              <w:t>耐污染性能不少于90项试验污染物的检测</w:t>
            </w:r>
            <w:r>
              <w:rPr>
                <w:rFonts w:hint="eastAsia" w:ascii="宋体" w:hAnsi="宋体" w:eastAsia="宋体" w:cs="宋体"/>
                <w:sz w:val="24"/>
                <w:szCs w:val="24"/>
                <w:highlight w:val="none"/>
                <w:lang w:val="en-US" w:eastAsia="zh-CN"/>
              </w:rPr>
              <w:t>，且覆盖玻璃盖板和未覆盖玻璃盖板检验结果</w:t>
            </w:r>
            <w:r>
              <w:rPr>
                <w:rFonts w:hint="eastAsia" w:ascii="宋体" w:hAnsi="宋体" w:cs="宋体"/>
                <w:sz w:val="24"/>
                <w:szCs w:val="24"/>
                <w:highlight w:val="none"/>
                <w:lang w:val="en-US" w:eastAsia="zh-CN"/>
              </w:rPr>
              <w:t>达到</w:t>
            </w:r>
            <w:r>
              <w:rPr>
                <w:rFonts w:hint="eastAsia" w:ascii="宋体" w:hAnsi="宋体" w:eastAsia="宋体" w:cs="宋体"/>
                <w:sz w:val="24"/>
                <w:szCs w:val="24"/>
                <w:highlight w:val="none"/>
                <w:lang w:val="en-US" w:eastAsia="zh-CN"/>
              </w:rPr>
              <w:t>5级，得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20F08256">
            <w:p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）抗菌性能：</w:t>
            </w:r>
            <w:r>
              <w:rPr>
                <w:rFonts w:hint="eastAsia" w:ascii="宋体" w:hAnsi="宋体" w:eastAsia="宋体" w:cs="宋体"/>
                <w:sz w:val="24"/>
                <w:szCs w:val="24"/>
                <w:lang w:val="en-US" w:eastAsia="zh-CN"/>
              </w:rPr>
              <w:t>大肠杆菌抗菌率≥95.00%，金黄色葡萄球菌抗菌率≥95.00%，得</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4D98559C">
            <w:p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防霉</w:t>
            </w:r>
            <w:r>
              <w:rPr>
                <w:rFonts w:hint="eastAsia" w:ascii="宋体" w:hAnsi="宋体" w:eastAsia="宋体" w:cs="宋体"/>
                <w:sz w:val="24"/>
                <w:szCs w:val="24"/>
                <w:highlight w:val="none"/>
                <w:lang w:val="en-US" w:eastAsia="zh-CN"/>
              </w:rPr>
              <w:t>性能：</w:t>
            </w:r>
            <w:r>
              <w:rPr>
                <w:rFonts w:hint="eastAsia" w:ascii="宋体" w:hAnsi="宋体" w:eastAsia="宋体" w:cs="宋体"/>
                <w:sz w:val="24"/>
                <w:szCs w:val="24"/>
                <w:lang w:val="en-US" w:eastAsia="zh-CN"/>
              </w:rPr>
              <w:t>至少包含黑曲霉、土曲霉、宛氏拟青霉、绳状青霉、出芽短梗霉、球毛壳</w:t>
            </w:r>
            <w:r>
              <w:rPr>
                <w:rFonts w:hint="eastAsia" w:ascii="宋体" w:hAnsi="宋体" w:cs="宋体"/>
                <w:sz w:val="24"/>
                <w:szCs w:val="24"/>
                <w:lang w:val="en-US" w:eastAsia="zh-CN"/>
              </w:rPr>
              <w:t>等</w:t>
            </w:r>
            <w:r>
              <w:rPr>
                <w:rFonts w:hint="eastAsia" w:ascii="宋体" w:hAnsi="宋体" w:eastAsia="宋体" w:cs="宋体"/>
                <w:sz w:val="24"/>
                <w:szCs w:val="24"/>
                <w:lang w:val="en-US" w:eastAsia="zh-CN"/>
              </w:rPr>
              <w:t>霉菌检测，且防霉等级</w:t>
            </w:r>
            <w:r>
              <w:rPr>
                <w:rFonts w:hint="eastAsia" w:ascii="宋体" w:hAnsi="宋体" w:cs="宋体"/>
                <w:sz w:val="24"/>
                <w:szCs w:val="24"/>
                <w:lang w:val="en-US" w:eastAsia="zh-CN"/>
              </w:rPr>
              <w:t>达到</w:t>
            </w:r>
            <w:r>
              <w:rPr>
                <w:rFonts w:hint="eastAsia" w:ascii="宋体" w:hAnsi="宋体" w:eastAsia="宋体" w:cs="宋体"/>
                <w:sz w:val="24"/>
                <w:szCs w:val="24"/>
                <w:lang w:val="en-US" w:eastAsia="zh-CN"/>
              </w:rPr>
              <w:t>0级，得1分。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0B59962E">
            <w:pPr>
              <w:numPr>
                <w:ilvl w:val="0"/>
                <w:numId w:val="0"/>
              </w:numPr>
              <w:spacing w:after="0" w:line="360" w:lineRule="auto"/>
              <w:contextualSpacing/>
              <w:rPr>
                <w:rFonts w:hint="default" w:ascii="宋体" w:hAnsi="宋体" w:eastAsia="宋体" w:cs="宋体"/>
                <w:sz w:val="24"/>
                <w:szCs w:val="24"/>
                <w:lang w:val="en-US" w:eastAsia="zh-CN"/>
              </w:rPr>
            </w:pPr>
            <w:r>
              <w:rPr>
                <w:rFonts w:hint="eastAsia" w:ascii="宋体" w:hAnsi="宋体" w:cs="宋体"/>
                <w:b/>
                <w:bCs/>
                <w:sz w:val="24"/>
                <w:szCs w:val="24"/>
                <w:lang w:val="en-US" w:eastAsia="zh-CN" w:bidi="ar-SA"/>
              </w:rPr>
              <w:t>2</w:t>
            </w:r>
            <w:r>
              <w:rPr>
                <w:rFonts w:hint="eastAsia" w:ascii="宋体" w:hAnsi="宋体" w:eastAsia="宋体" w:cs="宋体"/>
                <w:b/>
                <w:bCs/>
                <w:sz w:val="24"/>
                <w:szCs w:val="24"/>
                <w:lang w:val="en-US" w:eastAsia="zh-CN" w:bidi="ar-SA"/>
              </w:rPr>
              <w:t>.</w:t>
            </w:r>
            <w:r>
              <w:rPr>
                <w:rFonts w:hint="eastAsia" w:ascii="宋体" w:hAnsi="宋体" w:eastAsia="宋体" w:cs="宋体"/>
                <w:b/>
                <w:bCs/>
                <w:color w:val="auto"/>
                <w:sz w:val="24"/>
                <w:szCs w:val="24"/>
                <w:lang w:val="en-US" w:eastAsia="zh-CN"/>
              </w:rPr>
              <w:t>陶瓷台面（</w:t>
            </w:r>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lang w:val="en-US" w:eastAsia="zh-CN"/>
              </w:rPr>
              <w:t>分）</w:t>
            </w:r>
            <w:r>
              <w:rPr>
                <w:rFonts w:hint="eastAsia" w:ascii="宋体" w:hAnsi="宋体" w:eastAsia="宋体" w:cs="宋体"/>
                <w:color w:val="auto"/>
                <w:sz w:val="24"/>
                <w:szCs w:val="24"/>
                <w:lang w:val="en-US" w:eastAsia="zh-CN"/>
              </w:rPr>
              <w:t>：</w:t>
            </w:r>
          </w:p>
          <w:p w14:paraId="50615F44">
            <w:pPr>
              <w:numPr>
                <w:ilvl w:val="0"/>
                <w:numId w:val="0"/>
              </w:num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（1）抗菌性能：抗大肠杆菌抗菌率≥95.00%，金黄色葡萄球菌抗菌率≥95.00%，得1分；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73A38E9F">
            <w:pPr>
              <w:numPr>
                <w:ilvl w:val="0"/>
                <w:numId w:val="0"/>
              </w:num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（2）耐磨性能：耐磨性</w:t>
            </w:r>
            <w:r>
              <w:rPr>
                <w:rFonts w:hint="eastAsia" w:ascii="宋体" w:hAnsi="宋体" w:cs="宋体"/>
                <w:sz w:val="24"/>
                <w:szCs w:val="24"/>
                <w:lang w:val="en-US" w:eastAsia="zh-CN"/>
              </w:rPr>
              <w:t>达到可见磨损</w:t>
            </w:r>
            <w:r>
              <w:rPr>
                <w:rFonts w:hint="eastAsia" w:ascii="宋体" w:hAnsi="宋体" w:eastAsia="宋体" w:cs="宋体"/>
                <w:sz w:val="24"/>
                <w:szCs w:val="24"/>
                <w:lang w:val="en-US" w:eastAsia="zh-CN"/>
              </w:rPr>
              <w:t>2100转</w:t>
            </w:r>
            <w:r>
              <w:rPr>
                <w:rFonts w:hint="eastAsia" w:ascii="宋体" w:hAnsi="宋体" w:cs="宋体"/>
                <w:sz w:val="24"/>
                <w:szCs w:val="24"/>
                <w:lang w:val="en-US" w:eastAsia="zh-CN"/>
              </w:rPr>
              <w:t>，4级或以上的</w:t>
            </w:r>
            <w:r>
              <w:rPr>
                <w:rFonts w:hint="eastAsia" w:ascii="宋体" w:hAnsi="宋体" w:eastAsia="宋体" w:cs="宋体"/>
                <w:sz w:val="24"/>
                <w:szCs w:val="24"/>
                <w:lang w:val="en-US" w:eastAsia="zh-CN"/>
              </w:rPr>
              <w:t>，得1分；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56833BE6">
            <w:pPr>
              <w:numPr>
                <w:ilvl w:val="0"/>
                <w:numId w:val="0"/>
              </w:num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（3）表面耐污染性能:</w:t>
            </w:r>
            <w:r>
              <w:rPr>
                <w:rFonts w:hint="eastAsia" w:ascii="宋体" w:hAnsi="宋体" w:cs="宋体"/>
                <w:sz w:val="24"/>
                <w:szCs w:val="24"/>
                <w:lang w:val="en-US" w:eastAsia="zh-CN"/>
              </w:rPr>
              <w:t>满足不少于90种化学试剂检测</w:t>
            </w:r>
            <w:r>
              <w:rPr>
                <w:rFonts w:hint="eastAsia" w:ascii="宋体" w:hAnsi="宋体" w:eastAsia="宋体" w:cs="宋体"/>
                <w:sz w:val="24"/>
                <w:szCs w:val="24"/>
                <w:lang w:val="en-US" w:eastAsia="zh-CN"/>
              </w:rPr>
              <w:t>，且覆盖玻璃盖板和未覆盖玻璃盖板检验结果</w:t>
            </w:r>
            <w:r>
              <w:rPr>
                <w:rFonts w:hint="eastAsia" w:ascii="宋体" w:hAnsi="宋体" w:cs="宋体"/>
                <w:sz w:val="24"/>
                <w:szCs w:val="24"/>
                <w:highlight w:val="none"/>
                <w:lang w:val="en-US" w:eastAsia="zh-CN"/>
              </w:rPr>
              <w:t>达到</w:t>
            </w:r>
            <w:r>
              <w:rPr>
                <w:rFonts w:hint="eastAsia" w:ascii="宋体" w:hAnsi="宋体" w:eastAsia="宋体" w:cs="宋体"/>
                <w:sz w:val="24"/>
                <w:szCs w:val="24"/>
                <w:highlight w:val="none"/>
                <w:lang w:val="en-US" w:eastAsia="zh-CN"/>
              </w:rPr>
              <w:t>5级</w:t>
            </w:r>
            <w:r>
              <w:rPr>
                <w:rFonts w:hint="eastAsia" w:ascii="宋体" w:hAnsi="宋体" w:eastAsia="宋体" w:cs="宋体"/>
                <w:sz w:val="24"/>
                <w:szCs w:val="24"/>
                <w:lang w:val="en-US" w:eastAsia="zh-CN"/>
              </w:rPr>
              <w:t>，得1分。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3528D071">
            <w:pPr>
              <w:numPr>
                <w:ilvl w:val="0"/>
                <w:numId w:val="0"/>
              </w:numPr>
              <w:spacing w:after="0" w:line="360" w:lineRule="auto"/>
              <w:contextualSpacing/>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.仪器柜（2分）：</w:t>
            </w:r>
          </w:p>
          <w:p w14:paraId="0CFD7424">
            <w:pPr>
              <w:numPr>
                <w:ilvl w:val="0"/>
                <w:numId w:val="0"/>
              </w:num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（1）塑料材料理化性能，满足：冲击强度≥20J/㎡，得1分；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040EAF7C">
            <w:pPr>
              <w:numPr>
                <w:ilvl w:val="0"/>
                <w:numId w:val="0"/>
              </w:numPr>
              <w:spacing w:after="0"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（2）塑料件硬度，满足：邵氏D硬度≥HD70，得1分。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17A9C9C8">
            <w:pPr>
              <w:numPr>
                <w:ilvl w:val="0"/>
                <w:numId w:val="0"/>
              </w:numPr>
              <w:spacing w:after="0" w:line="360" w:lineRule="auto"/>
              <w:contextualSpacing/>
              <w:rPr>
                <w:rFonts w:hint="eastAsia" w:ascii="宋体" w:hAnsi="宋体" w:cs="宋体"/>
                <w:b/>
                <w:bCs/>
                <w:sz w:val="24"/>
                <w:szCs w:val="24"/>
                <w:lang w:val="en-US" w:eastAsia="zh-CN"/>
              </w:rPr>
            </w:pPr>
          </w:p>
          <w:p w14:paraId="1E53C596">
            <w:pPr>
              <w:numPr>
                <w:ilvl w:val="0"/>
                <w:numId w:val="0"/>
              </w:numPr>
              <w:spacing w:after="0" w:line="360" w:lineRule="auto"/>
              <w:contextualSpacing/>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4</w:t>
            </w:r>
            <w:r>
              <w:rPr>
                <w:rFonts w:hint="eastAsia" w:ascii="宋体" w:hAnsi="宋体" w:eastAsia="宋体" w:cs="宋体"/>
                <w:b/>
                <w:bCs/>
                <w:sz w:val="24"/>
                <w:szCs w:val="24"/>
                <w:lang w:val="en-US" w:eastAsia="zh-CN"/>
              </w:rPr>
              <w:t>.单人净化工作台（</w:t>
            </w: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分）</w:t>
            </w:r>
          </w:p>
          <w:p w14:paraId="2FC4CEC9">
            <w:pPr>
              <w:numPr>
                <w:ilvl w:val="0"/>
                <w:numId w:val="0"/>
              </w:numPr>
              <w:spacing w:after="0" w:line="360" w:lineRule="auto"/>
              <w:contextualSpacing/>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w:t>
            </w: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lang w:val="en-US" w:eastAsia="zh-CN" w:bidi="ar-SA"/>
              </w:rPr>
              <w:t>）扫描检漏（DOP法检漏）：穿透率≤0.0</w:t>
            </w:r>
            <w:r>
              <w:rPr>
                <w:rFonts w:hint="eastAsia" w:ascii="宋体" w:hAnsi="宋体" w:cs="宋体"/>
                <w:color w:val="auto"/>
                <w:sz w:val="24"/>
                <w:szCs w:val="24"/>
                <w:lang w:val="en-US" w:eastAsia="zh-CN" w:bidi="ar-SA"/>
              </w:rPr>
              <w:t>02</w:t>
            </w:r>
            <w:r>
              <w:rPr>
                <w:rFonts w:hint="eastAsia" w:ascii="宋体" w:hAnsi="宋体" w:eastAsia="宋体" w:cs="宋体"/>
                <w:color w:val="auto"/>
                <w:sz w:val="24"/>
                <w:szCs w:val="24"/>
                <w:lang w:val="en-US" w:eastAsia="zh-CN" w:bidi="ar-SA"/>
              </w:rPr>
              <w:t>%</w:t>
            </w:r>
            <w:r>
              <w:rPr>
                <w:rFonts w:hint="eastAsia" w:ascii="宋体" w:hAnsi="宋体" w:cs="宋体"/>
                <w:color w:val="auto"/>
                <w:sz w:val="24"/>
                <w:szCs w:val="24"/>
                <w:lang w:val="en-US" w:eastAsia="zh-CN"/>
              </w:rPr>
              <w:t>，得1分；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0A54BB5D">
            <w:pPr>
              <w:numPr>
                <w:ilvl w:val="0"/>
                <w:numId w:val="0"/>
              </w:numPr>
              <w:spacing w:after="0" w:line="360" w:lineRule="auto"/>
              <w:contextualSpacing/>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w:t>
            </w: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lang w:val="en-US" w:eastAsia="zh-CN"/>
              </w:rPr>
              <w:t>空气洁净度：≤</w:t>
            </w:r>
            <w:r>
              <w:rPr>
                <w:rFonts w:hint="eastAsia" w:ascii="宋体" w:hAnsi="宋体" w:cs="宋体"/>
                <w:color w:val="auto"/>
                <w:sz w:val="24"/>
                <w:szCs w:val="24"/>
                <w:lang w:val="en-US" w:eastAsia="zh-CN"/>
              </w:rPr>
              <w:t xml:space="preserve">ISO </w:t>
            </w: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级</w:t>
            </w:r>
            <w:r>
              <w:rPr>
                <w:rFonts w:hint="eastAsia" w:ascii="宋体" w:hAnsi="宋体" w:eastAsia="宋体" w:cs="宋体"/>
                <w:color w:val="auto"/>
                <w:sz w:val="24"/>
                <w:szCs w:val="24"/>
                <w:lang w:val="en-US" w:eastAsia="zh-CN"/>
              </w:rPr>
              <w:t>；沉降菌浓度（CFU/皿×0.5</w:t>
            </w:r>
            <w:r>
              <w:rPr>
                <w:rFonts w:hint="eastAsia" w:ascii="宋体" w:hAnsi="宋体" w:cs="宋体"/>
                <w:color w:val="auto"/>
                <w:sz w:val="24"/>
                <w:szCs w:val="24"/>
                <w:lang w:val="en-US" w:eastAsia="zh-CN"/>
              </w:rPr>
              <w:t>h</w:t>
            </w:r>
            <w:r>
              <w:rPr>
                <w:rFonts w:hint="eastAsia" w:ascii="宋体" w:hAnsi="宋体" w:eastAsia="宋体" w:cs="宋体"/>
                <w:color w:val="auto"/>
                <w:sz w:val="24"/>
                <w:szCs w:val="24"/>
                <w:lang w:val="en-US" w:eastAsia="zh-CN"/>
              </w:rPr>
              <w:t>）：≤0.2</w:t>
            </w:r>
            <w:r>
              <w:rPr>
                <w:rFonts w:hint="eastAsia" w:ascii="宋体" w:hAnsi="宋体" w:cs="宋体"/>
                <w:color w:val="auto"/>
                <w:sz w:val="24"/>
                <w:szCs w:val="24"/>
                <w:lang w:val="en-US" w:eastAsia="zh-CN"/>
              </w:rPr>
              <w:t>，得1分；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77451E04">
            <w:pPr>
              <w:numPr>
                <w:ilvl w:val="0"/>
                <w:numId w:val="0"/>
              </w:numPr>
              <w:spacing w:after="0" w:line="360" w:lineRule="auto"/>
              <w:contextualSpacing/>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bidi="ar"/>
              </w:rPr>
              <w:t>（</w:t>
            </w:r>
            <w:r>
              <w:rPr>
                <w:rFonts w:hint="eastAsia" w:ascii="宋体" w:hAnsi="宋体" w:cs="宋体"/>
                <w:b w:val="0"/>
                <w:bCs w:val="0"/>
                <w:color w:val="auto"/>
                <w:sz w:val="24"/>
                <w:szCs w:val="24"/>
                <w:lang w:val="en-US" w:eastAsia="zh-CN" w:bidi="ar"/>
              </w:rPr>
              <w:t>3</w:t>
            </w:r>
            <w:r>
              <w:rPr>
                <w:rFonts w:hint="eastAsia" w:ascii="宋体" w:hAnsi="宋体" w:eastAsia="宋体" w:cs="宋体"/>
                <w:b w:val="0"/>
                <w:bCs w:val="0"/>
                <w:color w:val="auto"/>
                <w:sz w:val="24"/>
                <w:szCs w:val="24"/>
                <w:lang w:val="en-US" w:eastAsia="zh-CN" w:bidi="ar"/>
              </w:rPr>
              <w:t>）照度：≥8</w:t>
            </w:r>
            <w:r>
              <w:rPr>
                <w:rFonts w:hint="eastAsia" w:ascii="宋体" w:hAnsi="宋体" w:cs="宋体"/>
                <w:b w:val="0"/>
                <w:bCs w:val="0"/>
                <w:color w:val="auto"/>
                <w:sz w:val="24"/>
                <w:szCs w:val="24"/>
                <w:lang w:val="en-US" w:eastAsia="zh-CN" w:bidi="ar"/>
              </w:rPr>
              <w:t>0</w:t>
            </w:r>
            <w:r>
              <w:rPr>
                <w:rFonts w:hint="eastAsia" w:ascii="宋体" w:hAnsi="宋体" w:eastAsia="宋体" w:cs="宋体"/>
                <w:b w:val="0"/>
                <w:bCs w:val="0"/>
                <w:color w:val="auto"/>
                <w:sz w:val="24"/>
                <w:szCs w:val="24"/>
                <w:lang w:val="en-US" w:eastAsia="zh-CN" w:bidi="ar"/>
              </w:rPr>
              <w:t>0lx；噪声：≤</w:t>
            </w:r>
            <w:r>
              <w:rPr>
                <w:rFonts w:hint="eastAsia" w:ascii="宋体" w:hAnsi="宋体" w:cs="宋体"/>
                <w:b w:val="0"/>
                <w:bCs w:val="0"/>
                <w:color w:val="auto"/>
                <w:sz w:val="24"/>
                <w:szCs w:val="24"/>
                <w:lang w:val="en-US" w:eastAsia="zh-CN" w:bidi="ar"/>
              </w:rPr>
              <w:t>64.5</w:t>
            </w:r>
            <w:r>
              <w:rPr>
                <w:rFonts w:hint="eastAsia" w:ascii="宋体" w:hAnsi="宋体" w:eastAsia="宋体" w:cs="宋体"/>
                <w:b w:val="0"/>
                <w:bCs w:val="0"/>
                <w:color w:val="auto"/>
                <w:sz w:val="24"/>
                <w:szCs w:val="24"/>
                <w:lang w:val="en-US" w:eastAsia="zh-CN" w:bidi="ar"/>
              </w:rPr>
              <w:t>dB；振动幅度：≤</w:t>
            </w:r>
            <w:r>
              <w:rPr>
                <w:rFonts w:hint="eastAsia" w:ascii="宋体" w:hAnsi="宋体" w:cs="宋体"/>
                <w:b w:val="0"/>
                <w:bCs w:val="0"/>
                <w:color w:val="auto"/>
                <w:sz w:val="24"/>
                <w:szCs w:val="24"/>
                <w:lang w:val="en-US" w:eastAsia="zh-CN" w:bidi="ar"/>
              </w:rPr>
              <w:t>3</w:t>
            </w:r>
            <w:r>
              <w:rPr>
                <w:rFonts w:hint="eastAsia" w:ascii="宋体" w:hAnsi="宋体" w:eastAsia="宋体" w:cs="宋体"/>
                <w:b w:val="0"/>
                <w:bCs w:val="0"/>
                <w:color w:val="auto"/>
                <w:sz w:val="24"/>
                <w:szCs w:val="24"/>
                <w:lang w:val="en-US" w:eastAsia="zh-CN" w:bidi="ar"/>
              </w:rPr>
              <w:t>μm</w:t>
            </w:r>
            <w:r>
              <w:rPr>
                <w:rFonts w:hint="eastAsia" w:ascii="宋体" w:hAnsi="宋体" w:cs="宋体"/>
                <w:color w:val="auto"/>
                <w:sz w:val="24"/>
                <w:szCs w:val="24"/>
                <w:lang w:val="en-US" w:eastAsia="zh-CN"/>
              </w:rPr>
              <w:t>，得1分。</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p w14:paraId="797B9778">
            <w:pPr>
              <w:numPr>
                <w:ilvl w:val="0"/>
                <w:numId w:val="0"/>
              </w:numPr>
              <w:spacing w:after="0" w:line="360" w:lineRule="auto"/>
              <w:contextualSpacing/>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5.</w:t>
            </w:r>
            <w:r>
              <w:rPr>
                <w:rFonts w:hint="eastAsia" w:ascii="宋体" w:hAnsi="宋体" w:eastAsia="宋体" w:cs="宋体"/>
                <w:b/>
                <w:bCs/>
                <w:sz w:val="24"/>
                <w:szCs w:val="24"/>
                <w:lang w:val="en-US" w:eastAsia="zh-CN"/>
              </w:rPr>
              <w:t>光合作用反应仪</w:t>
            </w: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2</w:t>
            </w:r>
            <w:r>
              <w:rPr>
                <w:rFonts w:hint="eastAsia" w:ascii="宋体" w:hAnsi="宋体" w:eastAsia="宋体" w:cs="宋体"/>
                <w:b/>
                <w:bCs/>
                <w:color w:val="auto"/>
                <w:sz w:val="24"/>
                <w:szCs w:val="24"/>
                <w:lang w:val="en-US" w:eastAsia="zh-CN"/>
              </w:rPr>
              <w:t>分）</w:t>
            </w:r>
          </w:p>
          <w:p w14:paraId="010B8739">
            <w:pPr>
              <w:numPr>
                <w:ilvl w:val="0"/>
                <w:numId w:val="0"/>
              </w:numPr>
              <w:spacing w:after="0" w:line="360" w:lineRule="auto"/>
              <w:contextualSpacing/>
              <w:rPr>
                <w:rFonts w:hint="eastAsia" w:ascii="宋体" w:hAnsi="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（1）配置可变换光谱LED植物专用补光灯，不同光谱独立控制，光照强度≥10档可调，适合不同光强下植物光合作用实验探究</w:t>
            </w:r>
            <w:r>
              <w:rPr>
                <w:rFonts w:hint="eastAsia" w:ascii="宋体" w:hAnsi="宋体" w:cs="宋体"/>
                <w:b w:val="0"/>
                <w:bCs w:val="0"/>
                <w:color w:val="auto"/>
                <w:sz w:val="24"/>
                <w:szCs w:val="24"/>
                <w:lang w:val="en-US" w:eastAsia="zh-CN" w:bidi="ar"/>
              </w:rPr>
              <w:t>，得1分</w:t>
            </w:r>
            <w:r>
              <w:rPr>
                <w:rFonts w:hint="eastAsia" w:ascii="宋体" w:hAnsi="宋体" w:eastAsia="宋体" w:cs="宋体"/>
                <w:color w:val="auto"/>
                <w:sz w:val="24"/>
                <w:szCs w:val="24"/>
                <w:lang w:val="en-US" w:eastAsia="zh-CN"/>
              </w:rPr>
              <w:t>；</w:t>
            </w:r>
            <w:r>
              <w:rPr>
                <w:rFonts w:hint="eastAsia" w:ascii="宋体" w:hAnsi="宋体" w:cs="宋体"/>
                <w:b w:val="0"/>
                <w:bCs w:val="0"/>
                <w:color w:val="auto"/>
                <w:sz w:val="24"/>
                <w:szCs w:val="24"/>
                <w:lang w:val="en-US" w:eastAsia="zh-CN" w:bidi="ar"/>
              </w:rPr>
              <w:t>(提供产品说明书扫描件)</w:t>
            </w:r>
          </w:p>
          <w:p w14:paraId="6E87351E">
            <w:pPr>
              <w:numPr>
                <w:ilvl w:val="0"/>
                <w:numId w:val="0"/>
              </w:numPr>
              <w:spacing w:after="0" w:line="360" w:lineRule="auto"/>
              <w:contextualSpacing/>
              <w:rPr>
                <w:rFonts w:hint="eastAsia" w:ascii="宋体" w:hAnsi="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SA"/>
              </w:rPr>
              <w:t>（2）温度控制范围：温度10-50℃可调，设备配置恒温加热和制冷装置，可维持反应室温度保持稳定不变，恒温范围±1.0℃</w:t>
            </w:r>
            <w:r>
              <w:rPr>
                <w:rFonts w:hint="eastAsia" w:ascii="宋体" w:hAnsi="宋体" w:eastAsia="宋体" w:cs="宋体"/>
                <w:color w:val="auto"/>
                <w:sz w:val="24"/>
                <w:szCs w:val="24"/>
                <w:lang w:val="en-US" w:eastAsia="zh-CN"/>
              </w:rPr>
              <w:t>；</w:t>
            </w:r>
            <w:r>
              <w:rPr>
                <w:rFonts w:hint="eastAsia" w:ascii="宋体" w:hAnsi="宋体" w:cs="宋体"/>
                <w:b w:val="0"/>
                <w:bCs w:val="0"/>
                <w:color w:val="auto"/>
                <w:sz w:val="24"/>
                <w:szCs w:val="24"/>
                <w:lang w:val="en-US" w:eastAsia="zh-CN" w:bidi="ar"/>
              </w:rPr>
              <w:t>(提供产品说明书扫描件)</w:t>
            </w:r>
          </w:p>
          <w:p w14:paraId="49A7429E">
            <w:pPr>
              <w:numPr>
                <w:ilvl w:val="0"/>
                <w:numId w:val="0"/>
              </w:numPr>
              <w:spacing w:after="0" w:line="360" w:lineRule="auto"/>
              <w:contextualSpacing/>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6.微量可调移液器（1分）</w:t>
            </w:r>
          </w:p>
          <w:p w14:paraId="36BDFF6F">
            <w:pPr>
              <w:numPr>
                <w:ilvl w:val="0"/>
                <w:numId w:val="0"/>
              </w:numPr>
              <w:spacing w:after="0" w:line="360" w:lineRule="auto"/>
              <w:ind w:firstLine="240"/>
              <w:contextualSpacing/>
              <w:rPr>
                <w:rFonts w:hint="default" w:ascii="宋体" w:hAnsi="宋体" w:eastAsia="宋体" w:cs="宋体"/>
                <w:b/>
                <w:bCs/>
                <w:sz w:val="24"/>
                <w:szCs w:val="24"/>
                <w:lang w:val="en-US" w:eastAsia="zh-CN"/>
              </w:rPr>
            </w:pPr>
            <w:r>
              <w:rPr>
                <w:rFonts w:hint="eastAsia" w:ascii="宋体" w:hAnsi="宋体" w:cs="宋体"/>
                <w:b w:val="0"/>
                <w:bCs w:val="0"/>
                <w:color w:val="auto"/>
                <w:sz w:val="24"/>
                <w:szCs w:val="24"/>
                <w:lang w:val="en-US" w:eastAsia="zh-CN" w:bidi="ar-SA"/>
              </w:rPr>
              <w:t>微量可调移液器在≤-5℃~≥121℃环境下，外观无形变，所有功能正常使用。</w:t>
            </w:r>
            <w:r>
              <w:rPr>
                <w:rFonts w:hint="eastAsia" w:ascii="宋体" w:hAnsi="宋体" w:cs="宋体"/>
                <w:sz w:val="24"/>
                <w:szCs w:val="24"/>
                <w:highlight w:val="none"/>
                <w:lang w:val="en-US" w:eastAsia="zh-CN"/>
              </w:rPr>
              <w:t>（提供检测报告</w:t>
            </w:r>
            <w:r>
              <w:rPr>
                <w:rFonts w:hint="eastAsia" w:ascii="宋体" w:hAnsi="宋体" w:eastAsia="宋体" w:cs="宋体"/>
                <w:color w:val="auto"/>
                <w:sz w:val="24"/>
                <w:szCs w:val="24"/>
              </w:rPr>
              <w:t>扫描件</w:t>
            </w:r>
            <w:r>
              <w:rPr>
                <w:rFonts w:hint="eastAsia" w:ascii="宋体" w:hAnsi="宋体" w:cs="宋体"/>
                <w:sz w:val="24"/>
                <w:szCs w:val="24"/>
                <w:highlight w:val="none"/>
                <w:lang w:val="en-US" w:eastAsia="zh-CN"/>
              </w:rPr>
              <w:t>）</w:t>
            </w:r>
          </w:p>
        </w:tc>
      </w:tr>
      <w:tr w14:paraId="2DEE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vMerge w:val="restart"/>
            <w:noWrap w:val="0"/>
            <w:vAlign w:val="center"/>
          </w:tcPr>
          <w:p w14:paraId="0EDA95C7">
            <w:pPr>
              <w:spacing w:line="360" w:lineRule="auto"/>
              <w:jc w:val="center"/>
              <w:rPr>
                <w:rFonts w:ascii="宋体" w:hAnsi="宋体"/>
                <w:color w:val="auto"/>
                <w:sz w:val="24"/>
                <w:szCs w:val="24"/>
                <w:highlight w:val="none"/>
              </w:rPr>
            </w:pPr>
            <w:r>
              <w:rPr>
                <w:rFonts w:hint="eastAsia" w:ascii="宋体" w:hAnsi="宋体"/>
                <w:b/>
                <w:bCs/>
                <w:color w:val="auto"/>
                <w:sz w:val="24"/>
                <w:szCs w:val="24"/>
                <w:highlight w:val="none"/>
                <w:lang w:val="en-US" w:eastAsia="zh-CN"/>
              </w:rPr>
              <w:t>商务部分(11</w:t>
            </w:r>
            <w:r>
              <w:rPr>
                <w:rFonts w:hint="eastAsia" w:ascii="宋体" w:hAnsi="宋体"/>
                <w:b/>
                <w:bCs/>
                <w:color w:val="auto"/>
                <w:sz w:val="24"/>
                <w:szCs w:val="24"/>
                <w:highlight w:val="none"/>
              </w:rPr>
              <w:t>分</w:t>
            </w:r>
            <w:r>
              <w:rPr>
                <w:rFonts w:hint="eastAsia" w:ascii="宋体" w:hAnsi="宋体"/>
                <w:b/>
                <w:bCs/>
                <w:color w:val="auto"/>
                <w:sz w:val="24"/>
                <w:szCs w:val="24"/>
                <w:highlight w:val="none"/>
                <w:lang w:val="en-US" w:eastAsia="zh-CN"/>
              </w:rPr>
              <w:t>)</w:t>
            </w:r>
          </w:p>
        </w:tc>
        <w:tc>
          <w:tcPr>
            <w:tcW w:w="666" w:type="dxa"/>
            <w:noWrap w:val="0"/>
            <w:vAlign w:val="center"/>
          </w:tcPr>
          <w:p w14:paraId="3902660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173" w:type="dxa"/>
            <w:shd w:val="clear" w:color="auto" w:fill="auto"/>
            <w:noWrap w:val="0"/>
            <w:vAlign w:val="center"/>
          </w:tcPr>
          <w:p w14:paraId="783AC4FD">
            <w:pPr>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bCs/>
                <w:sz w:val="24"/>
                <w:szCs w:val="24"/>
                <w:lang w:val="en-US" w:eastAsia="zh-CN" w:bidi="ar-SA"/>
              </w:rPr>
            </w:pPr>
            <w:r>
              <w:rPr>
                <w:rFonts w:hint="eastAsia" w:ascii="宋体" w:hAnsi="宋体" w:eastAsia="宋体" w:cs="宋体"/>
                <w:sz w:val="24"/>
                <w:szCs w:val="24"/>
                <w:lang w:eastAsia="zh-CN"/>
              </w:rPr>
              <w:t>体系认证</w:t>
            </w:r>
          </w:p>
        </w:tc>
        <w:tc>
          <w:tcPr>
            <w:tcW w:w="806" w:type="dxa"/>
            <w:shd w:val="clear" w:color="auto" w:fill="auto"/>
            <w:noWrap w:val="0"/>
            <w:vAlign w:val="center"/>
          </w:tcPr>
          <w:p w14:paraId="6504610D">
            <w:pPr>
              <w:pBdr>
                <w:top w:val="none" w:color="000000" w:sz="0" w:space="0"/>
                <w:left w:val="none" w:color="000000" w:sz="0" w:space="0"/>
                <w:bottom w:val="none" w:color="000000" w:sz="0" w:space="0"/>
                <w:right w:val="none" w:color="000000" w:sz="0" w:space="0"/>
              </w:pBdr>
              <w:spacing w:after="0" w:line="360" w:lineRule="auto"/>
              <w:jc w:val="center"/>
              <w:rPr>
                <w:rFonts w:hint="eastAsia" w:ascii="宋体" w:hAnsi="宋体" w:eastAsia="宋体" w:cs="宋体"/>
                <w:bCs/>
                <w:sz w:val="24"/>
                <w:szCs w:val="24"/>
                <w:lang w:val="en-US" w:eastAsia="zh-CN" w:bidi="ar-SA"/>
              </w:rPr>
            </w:pPr>
            <w:r>
              <w:rPr>
                <w:rFonts w:hint="eastAsia" w:ascii="宋体" w:hAnsi="宋体" w:cs="宋体"/>
                <w:sz w:val="24"/>
                <w:szCs w:val="24"/>
                <w:lang w:val="en-US" w:eastAsia="zh-CN"/>
              </w:rPr>
              <w:t>9</w:t>
            </w:r>
            <w:r>
              <w:rPr>
                <w:rFonts w:hint="eastAsia" w:ascii="宋体" w:hAnsi="宋体" w:eastAsia="宋体" w:cs="宋体"/>
                <w:sz w:val="24"/>
                <w:szCs w:val="24"/>
              </w:rPr>
              <w:t>分</w:t>
            </w:r>
          </w:p>
        </w:tc>
        <w:tc>
          <w:tcPr>
            <w:tcW w:w="6179" w:type="dxa"/>
            <w:shd w:val="clear" w:color="auto" w:fill="auto"/>
            <w:noWrap w:val="0"/>
            <w:vAlign w:val="center"/>
          </w:tcPr>
          <w:p w14:paraId="4ECEC196">
            <w:pPr>
              <w:spacing w:after="0" w:line="360" w:lineRule="auto"/>
              <w:contextualSpacing/>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1.投标人或所投产品制造商具有有效期内的职业健康安全管理体系、环境管理体系、质量管理体系认证，每提供一份得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分，最多得</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分。（须提供证书扫描件及全国认证认可信息公共服务平台的查询截图）</w:t>
            </w:r>
          </w:p>
          <w:p w14:paraId="07B0D6EF">
            <w:pPr>
              <w:spacing w:after="0" w:line="360" w:lineRule="auto"/>
              <w:contextualSpacing/>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2.投标人或产品制造商</w:t>
            </w:r>
            <w:r>
              <w:rPr>
                <w:rFonts w:hint="eastAsia" w:ascii="宋体" w:hAnsi="宋体" w:cs="宋体"/>
                <w:sz w:val="24"/>
                <w:szCs w:val="24"/>
                <w:lang w:val="en-US" w:eastAsia="zh-CN"/>
              </w:rPr>
              <w:t>所投</w:t>
            </w:r>
            <w:r>
              <w:rPr>
                <w:rFonts w:hint="eastAsia" w:ascii="宋体" w:hAnsi="宋体" w:eastAsia="宋体" w:cs="宋体"/>
                <w:sz w:val="24"/>
                <w:szCs w:val="24"/>
                <w:lang w:val="en-US" w:eastAsia="zh-CN"/>
              </w:rPr>
              <w:t>产品属于财政部、生态环境部公布的环境标志产品政府采购品目清单范围内，具有国家权威认证机构出具的且处于有效期内的的环境标志产品认证证书，每有1项得</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分，最高得</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分。（产品名称不同，但实质性内容相同的，视为等同，需须提供证书扫描件</w:t>
            </w:r>
            <w:r>
              <w:rPr>
                <w:rFonts w:hint="eastAsia" w:ascii="宋体" w:hAnsi="宋体" w:cs="宋体"/>
                <w:sz w:val="24"/>
                <w:szCs w:val="24"/>
                <w:lang w:val="en-US" w:eastAsia="zh-CN"/>
              </w:rPr>
              <w:t>及</w:t>
            </w:r>
            <w:r>
              <w:rPr>
                <w:rFonts w:hint="eastAsia" w:ascii="宋体" w:hAnsi="宋体" w:eastAsia="宋体" w:cs="宋体"/>
                <w:sz w:val="24"/>
                <w:szCs w:val="24"/>
                <w:lang w:val="en-US" w:eastAsia="zh-CN"/>
              </w:rPr>
              <w:t>全国认证认可信息公共服务平台查询截图）</w:t>
            </w:r>
          </w:p>
        </w:tc>
      </w:tr>
      <w:tr w14:paraId="71D0E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vMerge w:val="continue"/>
            <w:noWrap w:val="0"/>
          </w:tcPr>
          <w:p w14:paraId="2A2B62C3">
            <w:pPr>
              <w:spacing w:line="360" w:lineRule="auto"/>
              <w:jc w:val="center"/>
              <w:rPr>
                <w:rFonts w:ascii="宋体" w:hAnsi="宋体"/>
                <w:color w:val="auto"/>
                <w:sz w:val="24"/>
                <w:szCs w:val="24"/>
                <w:highlight w:val="none"/>
              </w:rPr>
            </w:pPr>
          </w:p>
        </w:tc>
        <w:tc>
          <w:tcPr>
            <w:tcW w:w="0" w:type="auto"/>
            <w:noWrap w:val="0"/>
            <w:vAlign w:val="center"/>
          </w:tcPr>
          <w:p w14:paraId="69151EF3">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0" w:type="auto"/>
            <w:shd w:val="clear" w:color="auto" w:fill="auto"/>
            <w:noWrap w:val="0"/>
            <w:vAlign w:val="center"/>
          </w:tcPr>
          <w:p w14:paraId="6886AEB2">
            <w:pPr>
              <w:spacing w:after="0" w:line="360" w:lineRule="auto"/>
              <w:contextualSpacing/>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质保期</w:t>
            </w:r>
          </w:p>
        </w:tc>
        <w:tc>
          <w:tcPr>
            <w:tcW w:w="806" w:type="dxa"/>
            <w:shd w:val="clear" w:color="auto" w:fill="auto"/>
            <w:noWrap w:val="0"/>
            <w:vAlign w:val="center"/>
          </w:tcPr>
          <w:p w14:paraId="656BCDFA">
            <w:pPr>
              <w:spacing w:after="0" w:line="360" w:lineRule="auto"/>
              <w:contextualSpacing/>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分</w:t>
            </w:r>
          </w:p>
        </w:tc>
        <w:tc>
          <w:tcPr>
            <w:tcW w:w="6179" w:type="dxa"/>
            <w:shd w:val="clear" w:color="auto" w:fill="auto"/>
            <w:noWrap w:val="0"/>
            <w:vAlign w:val="top"/>
          </w:tcPr>
          <w:p w14:paraId="244CD1CD">
            <w:pPr>
              <w:spacing w:after="0" w:line="360" w:lineRule="auto"/>
              <w:contextualSpacing/>
              <w:jc w:val="lef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在承诺满足基本原厂质保二年的基础上</w:t>
            </w:r>
            <w:r>
              <w:rPr>
                <w:rFonts w:hint="eastAsia" w:ascii="宋体" w:hAnsi="宋体" w:eastAsia="宋体" w:cs="宋体"/>
                <w:bCs/>
                <w:sz w:val="24"/>
                <w:szCs w:val="24"/>
                <w:lang w:val="zh-CN" w:eastAsia="zh-CN"/>
              </w:rPr>
              <w:t>，承诺每增加1年</w:t>
            </w:r>
            <w:r>
              <w:rPr>
                <w:rFonts w:hint="eastAsia" w:ascii="宋体" w:hAnsi="宋体" w:eastAsia="宋体" w:cs="宋体"/>
                <w:bCs/>
                <w:sz w:val="24"/>
                <w:szCs w:val="24"/>
                <w:lang w:val="en-US" w:eastAsia="zh-CN"/>
              </w:rPr>
              <w:t>原厂质保</w:t>
            </w:r>
            <w:r>
              <w:rPr>
                <w:rFonts w:hint="eastAsia" w:ascii="宋体" w:hAnsi="宋体" w:eastAsia="宋体" w:cs="宋体"/>
                <w:bCs/>
                <w:sz w:val="24"/>
                <w:szCs w:val="24"/>
                <w:lang w:val="zh-CN" w:eastAsia="zh-CN"/>
              </w:rPr>
              <w:t>加</w:t>
            </w:r>
            <w:r>
              <w:rPr>
                <w:rFonts w:hint="eastAsia" w:ascii="宋体" w:hAnsi="宋体" w:eastAsia="宋体" w:cs="宋体"/>
                <w:bCs/>
                <w:sz w:val="24"/>
                <w:szCs w:val="24"/>
                <w:lang w:val="en-US" w:eastAsia="zh-CN"/>
              </w:rPr>
              <w:t>1</w:t>
            </w:r>
            <w:r>
              <w:rPr>
                <w:rFonts w:hint="eastAsia" w:ascii="宋体" w:hAnsi="宋体" w:eastAsia="宋体" w:cs="宋体"/>
                <w:bCs/>
                <w:sz w:val="24"/>
                <w:szCs w:val="24"/>
                <w:lang w:val="zh-CN" w:eastAsia="zh-CN"/>
              </w:rPr>
              <w:t>分</w:t>
            </w:r>
            <w:r>
              <w:rPr>
                <w:rFonts w:hint="eastAsia" w:ascii="宋体" w:hAnsi="宋体" w:eastAsia="宋体" w:cs="宋体"/>
                <w:bCs/>
                <w:sz w:val="24"/>
                <w:szCs w:val="24"/>
                <w:lang w:val="en-US" w:eastAsia="zh-CN"/>
              </w:rPr>
              <w:t>，最高得</w:t>
            </w: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分。</w:t>
            </w:r>
          </w:p>
        </w:tc>
      </w:tr>
    </w:tbl>
    <w:p w14:paraId="62837E84">
      <w:pPr>
        <w:spacing w:line="360" w:lineRule="auto"/>
        <w:rPr>
          <w:rFonts w:ascii="宋体" w:hAnsi="宋体"/>
          <w:sz w:val="24"/>
          <w:szCs w:val="24"/>
          <w:highlight w:val="none"/>
        </w:rPr>
      </w:pPr>
      <w:r>
        <w:rPr>
          <w:rFonts w:hint="eastAsia" w:ascii="宋体" w:hAnsi="宋体"/>
          <w:sz w:val="24"/>
          <w:szCs w:val="24"/>
          <w:highlight w:val="none"/>
        </w:rPr>
        <w:t>2、价格部分</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1356"/>
        <w:gridCol w:w="897"/>
        <w:gridCol w:w="6219"/>
      </w:tblGrid>
      <w:tr w14:paraId="434DD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2" w:hRule="atLeast"/>
          <w:jc w:val="center"/>
        </w:trPr>
        <w:tc>
          <w:tcPr>
            <w:tcW w:w="805" w:type="dxa"/>
            <w:noWrap w:val="0"/>
            <w:vAlign w:val="center"/>
          </w:tcPr>
          <w:p w14:paraId="03616559">
            <w:pPr>
              <w:spacing w:line="360" w:lineRule="auto"/>
              <w:jc w:val="center"/>
              <w:rPr>
                <w:rFonts w:ascii="宋体" w:hAnsi="宋体"/>
                <w:sz w:val="24"/>
                <w:szCs w:val="24"/>
                <w:highlight w:val="none"/>
              </w:rPr>
            </w:pPr>
            <w:r>
              <w:rPr>
                <w:rFonts w:hint="eastAsia" w:ascii="宋体" w:hAnsi="宋体"/>
                <w:sz w:val="24"/>
                <w:szCs w:val="24"/>
                <w:highlight w:val="none"/>
              </w:rPr>
              <w:t>序号</w:t>
            </w:r>
          </w:p>
        </w:tc>
        <w:tc>
          <w:tcPr>
            <w:tcW w:w="1356" w:type="dxa"/>
            <w:noWrap w:val="0"/>
            <w:vAlign w:val="center"/>
          </w:tcPr>
          <w:p w14:paraId="08A25F61">
            <w:pPr>
              <w:spacing w:line="360" w:lineRule="auto"/>
              <w:jc w:val="center"/>
              <w:rPr>
                <w:rFonts w:ascii="宋体" w:hAnsi="宋体"/>
                <w:sz w:val="24"/>
                <w:szCs w:val="24"/>
                <w:highlight w:val="none"/>
              </w:rPr>
            </w:pPr>
            <w:r>
              <w:rPr>
                <w:rFonts w:hint="eastAsia" w:ascii="宋体" w:hAnsi="宋体"/>
                <w:sz w:val="24"/>
                <w:szCs w:val="24"/>
                <w:highlight w:val="none"/>
              </w:rPr>
              <w:t>评审项目</w:t>
            </w:r>
          </w:p>
        </w:tc>
        <w:tc>
          <w:tcPr>
            <w:tcW w:w="897" w:type="dxa"/>
            <w:noWrap w:val="0"/>
            <w:vAlign w:val="center"/>
          </w:tcPr>
          <w:p w14:paraId="65A5743D">
            <w:pPr>
              <w:spacing w:line="360" w:lineRule="auto"/>
              <w:jc w:val="center"/>
              <w:rPr>
                <w:rFonts w:ascii="宋体" w:hAnsi="宋体"/>
                <w:sz w:val="24"/>
                <w:szCs w:val="24"/>
                <w:highlight w:val="none"/>
              </w:rPr>
            </w:pPr>
            <w:r>
              <w:rPr>
                <w:rFonts w:hint="eastAsia" w:ascii="宋体" w:hAnsi="宋体"/>
                <w:sz w:val="24"/>
                <w:szCs w:val="24"/>
                <w:highlight w:val="none"/>
              </w:rPr>
              <w:t>分值</w:t>
            </w:r>
          </w:p>
        </w:tc>
        <w:tc>
          <w:tcPr>
            <w:tcW w:w="6219" w:type="dxa"/>
            <w:noWrap w:val="0"/>
            <w:vAlign w:val="center"/>
          </w:tcPr>
          <w:p w14:paraId="675F265A">
            <w:pPr>
              <w:spacing w:line="360" w:lineRule="auto"/>
              <w:jc w:val="center"/>
              <w:rPr>
                <w:rFonts w:ascii="宋体" w:hAnsi="宋体"/>
                <w:sz w:val="24"/>
                <w:szCs w:val="24"/>
                <w:highlight w:val="none"/>
              </w:rPr>
            </w:pPr>
            <w:r>
              <w:rPr>
                <w:rFonts w:hint="eastAsia" w:ascii="宋体" w:hAnsi="宋体"/>
                <w:sz w:val="24"/>
                <w:szCs w:val="24"/>
                <w:highlight w:val="none"/>
              </w:rPr>
              <w:t>评审细则</w:t>
            </w:r>
          </w:p>
        </w:tc>
      </w:tr>
      <w:tr w14:paraId="647F1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0" w:hRule="atLeast"/>
          <w:jc w:val="center"/>
        </w:trPr>
        <w:tc>
          <w:tcPr>
            <w:tcW w:w="805" w:type="dxa"/>
            <w:noWrap w:val="0"/>
            <w:vAlign w:val="center"/>
          </w:tcPr>
          <w:p w14:paraId="1BD9D7B5">
            <w:pPr>
              <w:spacing w:line="360" w:lineRule="auto"/>
              <w:jc w:val="center"/>
              <w:rPr>
                <w:rFonts w:ascii="宋体" w:hAnsi="宋体"/>
                <w:sz w:val="24"/>
                <w:szCs w:val="24"/>
                <w:highlight w:val="none"/>
              </w:rPr>
            </w:pPr>
            <w:r>
              <w:rPr>
                <w:rFonts w:hint="eastAsia" w:ascii="宋体" w:hAnsi="宋体"/>
                <w:sz w:val="24"/>
                <w:szCs w:val="24"/>
                <w:highlight w:val="none"/>
              </w:rPr>
              <w:t>1</w:t>
            </w:r>
          </w:p>
        </w:tc>
        <w:tc>
          <w:tcPr>
            <w:tcW w:w="1356" w:type="dxa"/>
            <w:noWrap w:val="0"/>
            <w:vAlign w:val="center"/>
          </w:tcPr>
          <w:p w14:paraId="0385BA46">
            <w:pPr>
              <w:spacing w:line="360" w:lineRule="auto"/>
              <w:jc w:val="center"/>
              <w:rPr>
                <w:rFonts w:ascii="宋体" w:hAnsi="宋体"/>
                <w:sz w:val="24"/>
                <w:szCs w:val="24"/>
                <w:highlight w:val="none"/>
              </w:rPr>
            </w:pPr>
            <w:r>
              <w:rPr>
                <w:rFonts w:hint="eastAsia" w:ascii="宋体" w:hAnsi="宋体"/>
                <w:sz w:val="24"/>
                <w:szCs w:val="24"/>
                <w:highlight w:val="none"/>
              </w:rPr>
              <w:t>价格部分</w:t>
            </w:r>
          </w:p>
        </w:tc>
        <w:tc>
          <w:tcPr>
            <w:tcW w:w="897" w:type="dxa"/>
            <w:noWrap w:val="0"/>
            <w:vAlign w:val="center"/>
          </w:tcPr>
          <w:p w14:paraId="402017C1">
            <w:pPr>
              <w:spacing w:line="360" w:lineRule="auto"/>
              <w:jc w:val="center"/>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 35分</w:t>
            </w:r>
          </w:p>
        </w:tc>
        <w:tc>
          <w:tcPr>
            <w:tcW w:w="6219" w:type="dxa"/>
            <w:noWrap w:val="0"/>
            <w:vAlign w:val="center"/>
          </w:tcPr>
          <w:p w14:paraId="2FFD652E">
            <w:pPr>
              <w:spacing w:line="360" w:lineRule="auto"/>
              <w:jc w:val="lef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1.评标总价是指通过资格审查、符合性检查且实质性响应招标文件要求，经修正、落实政府采购政策功能扣除后的总价。</w:t>
            </w:r>
          </w:p>
          <w:p w14:paraId="4FD72B79">
            <w:pPr>
              <w:spacing w:line="360" w:lineRule="auto"/>
              <w:jc w:val="lef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2.评标基准价=评标总价中的最低总价。</w:t>
            </w:r>
          </w:p>
          <w:p w14:paraId="14824176">
            <w:pPr>
              <w:spacing w:line="360" w:lineRule="auto"/>
              <w:jc w:val="left"/>
              <w:rPr>
                <w:rFonts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3.当投标人的评标总价等于评标基准价的得35分，其他投标人的价格分按照下列公式计算：评标总价得分=（评标基准价/评标总价）×35分（计算结果保留2位小数，第三位四舍五入）。</w:t>
            </w:r>
          </w:p>
        </w:tc>
      </w:tr>
    </w:tbl>
    <w:p w14:paraId="149F8C73">
      <w:pPr>
        <w:rPr>
          <w:rFonts w:hint="eastAsia" w:ascii="宋体" w:hAnsi="宋体" w:cs="宋体"/>
          <w:b/>
          <w:bCs/>
          <w:sz w:val="24"/>
          <w:szCs w:val="24"/>
          <w:highlight w:val="none"/>
        </w:rPr>
      </w:pPr>
    </w:p>
    <w:p w14:paraId="62B60689">
      <w:pPr>
        <w:rPr>
          <w:rFonts w:hint="eastAsia" w:ascii="宋体" w:hAnsi="宋体" w:cs="宋体"/>
          <w:b/>
          <w:bCs/>
          <w:sz w:val="24"/>
          <w:szCs w:val="24"/>
          <w:highlight w:val="none"/>
        </w:rPr>
      </w:pPr>
    </w:p>
    <w:p w14:paraId="501D032A">
      <w:pPr>
        <w:rPr>
          <w:rFonts w:ascii="宋体" w:hAnsi="宋体" w:cs="宋体"/>
          <w:sz w:val="24"/>
          <w:szCs w:val="24"/>
          <w:highlight w:val="none"/>
        </w:rPr>
      </w:pPr>
      <w:r>
        <w:rPr>
          <w:rFonts w:hint="eastAsia" w:ascii="宋体" w:hAnsi="宋体" w:cs="宋体"/>
          <w:b/>
          <w:bCs/>
          <w:sz w:val="24"/>
          <w:szCs w:val="24"/>
          <w:highlight w:val="none"/>
        </w:rPr>
        <w:t>备注：</w:t>
      </w:r>
      <w:r>
        <w:rPr>
          <w:rFonts w:hint="default" w:ascii="宋体" w:hAnsi="宋体" w:eastAsia="宋体" w:cs="宋体"/>
          <w:sz w:val="24"/>
          <w:szCs w:val="24"/>
          <w:highlight w:val="none"/>
          <w:lang w:val="en-US" w:eastAsia="zh-CN" w:bidi="ar-SA"/>
        </w:rPr>
        <w:t>1、</w:t>
      </w:r>
      <w:r>
        <w:rPr>
          <w:rFonts w:hint="eastAsia" w:ascii="宋体" w:hAnsi="宋体" w:cs="宋体"/>
          <w:sz w:val="24"/>
          <w:szCs w:val="24"/>
          <w:highlight w:val="none"/>
        </w:rPr>
        <w:t>评分过程中如出现小数点后三位，采用四舍五入法，最终保留两位小数；</w:t>
      </w:r>
    </w:p>
    <w:p w14:paraId="021A0F50">
      <w:pPr>
        <w:numPr>
          <w:ilvl w:val="0"/>
          <w:numId w:val="0"/>
        </w:numPr>
        <w:ind w:firstLine="7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bidi="ar-SA"/>
        </w:rPr>
        <w:t>2、</w:t>
      </w:r>
      <w:r>
        <w:rPr>
          <w:rFonts w:hint="eastAsia" w:ascii="宋体" w:hAnsi="宋体" w:eastAsia="宋体" w:cs="宋体"/>
          <w:sz w:val="24"/>
          <w:szCs w:val="24"/>
          <w:highlight w:val="none"/>
          <w:lang w:val="zh-CN"/>
        </w:rPr>
        <w:t>响应文件中必须提供以上相关证明材料复印件，否则不予加分。</w:t>
      </w:r>
    </w:p>
    <w:p w14:paraId="5F3B568B">
      <w:pPr>
        <w:pStyle w:val="187"/>
        <w:ind w:firstLine="723"/>
        <w:jc w:val="both"/>
        <w:rPr>
          <w:rFonts w:hint="eastAsia"/>
          <w:highlight w:val="none"/>
        </w:rPr>
      </w:pPr>
      <w:r>
        <w:rPr>
          <w:rFonts w:ascii="宋体" w:hAnsi="宋体" w:cs="宋体"/>
          <w:sz w:val="24"/>
          <w:szCs w:val="24"/>
          <w:highlight w:val="none"/>
        </w:rPr>
        <w:br w:type="page" w:clear="all"/>
      </w:r>
    </w:p>
    <w:p w14:paraId="744542EC">
      <w:pPr>
        <w:rPr>
          <w:rFonts w:hint="eastAsia"/>
          <w:highlight w:val="none"/>
        </w:rPr>
      </w:pPr>
    </w:p>
    <w:p w14:paraId="54D96E66">
      <w:pPr>
        <w:pStyle w:val="187"/>
        <w:spacing w:line="360" w:lineRule="auto"/>
        <w:rPr>
          <w:rFonts w:hint="eastAsia"/>
          <w:highlight w:val="none"/>
        </w:rPr>
      </w:pPr>
      <w:bookmarkStart w:id="97" w:name="_Toc27593"/>
      <w:r>
        <w:rPr>
          <w:rFonts w:hint="eastAsia"/>
          <w:highlight w:val="none"/>
        </w:rPr>
        <w:t>第五章 政府采购合同（格式）</w:t>
      </w:r>
      <w:bookmarkEnd w:id="97"/>
    </w:p>
    <w:p w14:paraId="0DA3DD4B">
      <w:pPr>
        <w:spacing w:line="360" w:lineRule="auto"/>
        <w:ind w:left="420"/>
        <w:jc w:val="right"/>
        <w:rPr>
          <w:rFonts w:hint="eastAsia" w:ascii="宋体" w:hAnsi="宋体" w:cs="宋体"/>
          <w:b/>
          <w:sz w:val="28"/>
          <w:szCs w:val="28"/>
          <w:highlight w:val="none"/>
          <w:lang w:val="zh-CN"/>
        </w:rPr>
      </w:pPr>
    </w:p>
    <w:p w14:paraId="2985194E">
      <w:pPr>
        <w:spacing w:line="360" w:lineRule="auto"/>
        <w:ind w:left="420"/>
        <w:jc w:val="right"/>
        <w:rPr>
          <w:rFonts w:hint="eastAsia" w:ascii="宋体" w:hAnsi="宋体" w:cs="宋体"/>
          <w:b/>
          <w:sz w:val="28"/>
          <w:szCs w:val="28"/>
          <w:highlight w:val="none"/>
        </w:rPr>
      </w:pPr>
    </w:p>
    <w:p w14:paraId="7355213D">
      <w:pPr>
        <w:spacing w:line="360" w:lineRule="auto"/>
        <w:ind w:left="420"/>
        <w:rPr>
          <w:rFonts w:hint="eastAsia" w:ascii="宋体" w:hAnsi="宋体" w:cs="宋体"/>
          <w:bCs/>
          <w:sz w:val="24"/>
          <w:highlight w:val="none"/>
          <w:lang w:val="zh-CN"/>
        </w:rPr>
      </w:pPr>
    </w:p>
    <w:p w14:paraId="11473388">
      <w:pPr>
        <w:pStyle w:val="214"/>
        <w:ind w:firstLine="0"/>
        <w:jc w:val="center"/>
        <w:rPr>
          <w:rFonts w:hint="eastAsia" w:hAnsi="宋体" w:cs="宋体"/>
          <w:b/>
          <w:szCs w:val="24"/>
          <w:highlight w:val="none"/>
        </w:rPr>
      </w:pPr>
      <w:r>
        <w:rPr>
          <w:rFonts w:hint="eastAsia" w:hAnsi="宋体" w:cs="宋体"/>
          <w:b/>
          <w:szCs w:val="24"/>
          <w:highlight w:val="none"/>
        </w:rPr>
        <w:t>第一部分 合同书</w:t>
      </w:r>
    </w:p>
    <w:p w14:paraId="404CDBB0">
      <w:pPr>
        <w:pStyle w:val="214"/>
        <w:ind w:firstLine="0"/>
        <w:rPr>
          <w:rFonts w:hint="eastAsia" w:hAnsi="宋体" w:cs="宋体"/>
          <w:szCs w:val="24"/>
          <w:highlight w:val="none"/>
        </w:rPr>
      </w:pPr>
    </w:p>
    <w:p w14:paraId="6D0C3CE0">
      <w:pPr>
        <w:pStyle w:val="214"/>
        <w:ind w:firstLine="0"/>
        <w:rPr>
          <w:rFonts w:hint="eastAsia" w:hAnsi="宋体" w:cs="宋体"/>
          <w:szCs w:val="24"/>
          <w:highlight w:val="none"/>
        </w:rPr>
      </w:pPr>
    </w:p>
    <w:p w14:paraId="102F26EF">
      <w:pPr>
        <w:spacing w:before="120" w:line="22" w:lineRule="atLeast"/>
        <w:rPr>
          <w:rFonts w:hint="eastAsia" w:ascii="宋体" w:hAnsi="宋体" w:cs="宋体"/>
          <w:sz w:val="24"/>
          <w:highlight w:val="none"/>
        </w:rPr>
      </w:pPr>
    </w:p>
    <w:p w14:paraId="2290923F">
      <w:pPr>
        <w:spacing w:before="120" w:line="22" w:lineRule="atLeast"/>
        <w:ind w:left="960" w:firstLine="1140"/>
        <w:rPr>
          <w:rFonts w:hint="eastAsia"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1DC5383F">
      <w:pPr>
        <w:pStyle w:val="215"/>
        <w:spacing w:before="120" w:line="22" w:lineRule="atLeast"/>
        <w:ind w:left="960" w:firstLine="1140"/>
        <w:rPr>
          <w:rFonts w:hint="eastAsia" w:ascii="宋体" w:hAnsi="宋体" w:eastAsia="宋体" w:cs="宋体"/>
          <w:szCs w:val="24"/>
          <w:highlight w:val="none"/>
        </w:rPr>
      </w:pPr>
    </w:p>
    <w:p w14:paraId="7F5B47B3">
      <w:pPr>
        <w:pStyle w:val="215"/>
        <w:spacing w:before="120" w:line="22" w:lineRule="atLeast"/>
        <w:ind w:left="960" w:firstLine="1140"/>
        <w:rPr>
          <w:rFonts w:hint="eastAsia" w:ascii="宋体" w:hAnsi="宋体" w:eastAsia="宋体" w:cs="宋体"/>
          <w:bCs/>
          <w:highlight w:val="none"/>
        </w:rPr>
      </w:pPr>
      <w:r>
        <w:rPr>
          <w:rFonts w:hint="eastAsia" w:ascii="宋体" w:hAnsi="宋体" w:eastAsia="宋体" w:cs="宋体"/>
          <w:bCs/>
          <w:highlight w:val="none"/>
        </w:rPr>
        <w:t>项目编号：</w:t>
      </w:r>
      <w:r>
        <w:rPr>
          <w:rFonts w:hint="eastAsia" w:ascii="宋体" w:hAnsi="宋体" w:eastAsia="宋体" w:cs="宋体"/>
          <w:bCs/>
          <w:highlight w:val="none"/>
          <w:u w:val="single"/>
        </w:rPr>
        <w:t xml:space="preserve">   </w:t>
      </w:r>
      <w:r>
        <w:rPr>
          <w:rFonts w:hint="eastAsia" w:ascii="宋体" w:hAnsi="宋体" w:eastAsia="宋体" w:cs="宋体"/>
          <w:sz w:val="24"/>
          <w:highlight w:val="none"/>
          <w:u w:val="single"/>
          <w:lang w:val="en-US" w:eastAsia="zh-CN" w:bidi="ar-SA"/>
        </w:rPr>
        <w:t xml:space="preserve">                               </w:t>
      </w:r>
      <w:r>
        <w:rPr>
          <w:rFonts w:hint="eastAsia" w:ascii="宋体" w:hAnsi="宋体" w:eastAsia="宋体" w:cs="宋体"/>
          <w:highlight w:val="none"/>
          <w:u w:val="single"/>
        </w:rPr>
        <w:t xml:space="preserve"> </w:t>
      </w:r>
      <w:r>
        <w:rPr>
          <w:rFonts w:hint="eastAsia" w:ascii="宋体" w:hAnsi="宋体" w:eastAsia="宋体" w:cs="宋体"/>
          <w:bCs/>
          <w:highlight w:val="none"/>
        </w:rPr>
        <w:t xml:space="preserve">   </w:t>
      </w:r>
    </w:p>
    <w:p w14:paraId="1D3BFB6C">
      <w:pPr>
        <w:pStyle w:val="215"/>
        <w:spacing w:before="120" w:line="22" w:lineRule="atLeast"/>
        <w:ind w:left="960" w:firstLine="1140"/>
        <w:rPr>
          <w:rFonts w:hint="eastAsia" w:ascii="宋体" w:hAnsi="宋体" w:cs="宋体"/>
          <w:highlight w:val="none"/>
        </w:rPr>
      </w:pPr>
      <w:r>
        <w:rPr>
          <w:rFonts w:hint="eastAsia" w:ascii="宋体" w:hAnsi="宋体" w:eastAsia="宋体" w:cs="宋体"/>
          <w:bCs/>
          <w:highlight w:val="none"/>
        </w:rPr>
        <w:t xml:space="preserve">   </w:t>
      </w:r>
    </w:p>
    <w:p w14:paraId="79DE5896">
      <w:pPr>
        <w:spacing w:before="120" w:line="22" w:lineRule="atLeast"/>
        <w:ind w:left="960" w:firstLine="1140"/>
        <w:rPr>
          <w:rFonts w:hint="eastAsia"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 xml:space="preserve">                                       </w:t>
      </w:r>
    </w:p>
    <w:p w14:paraId="2DF15A91">
      <w:pPr>
        <w:spacing w:before="120" w:line="22" w:lineRule="atLeast"/>
        <w:ind w:left="960" w:firstLine="1140"/>
        <w:rPr>
          <w:rFonts w:hint="eastAsia" w:ascii="宋体" w:hAnsi="宋体" w:cs="宋体"/>
          <w:sz w:val="24"/>
          <w:highlight w:val="none"/>
        </w:rPr>
      </w:pPr>
    </w:p>
    <w:p w14:paraId="7005865A">
      <w:pPr>
        <w:spacing w:before="120" w:line="22" w:lineRule="atLeast"/>
        <w:ind w:left="960" w:firstLine="1140"/>
        <w:rPr>
          <w:rFonts w:hint="eastAsia" w:ascii="宋体" w:hAnsi="宋体" w:cs="宋体"/>
          <w:sz w:val="24"/>
          <w:highlight w:val="none"/>
          <w:u w:val="single"/>
        </w:rPr>
      </w:pPr>
      <w:r>
        <w:rPr>
          <w:rFonts w:hint="eastAsia" w:ascii="宋体" w:hAnsi="宋体" w:cs="宋体"/>
          <w:sz w:val="24"/>
          <w:highlight w:val="none"/>
        </w:rPr>
        <w:t>乙方：</w:t>
      </w:r>
      <w:r>
        <w:rPr>
          <w:rFonts w:hint="eastAsia" w:ascii="宋体" w:hAnsi="宋体" w:cs="宋体"/>
          <w:sz w:val="24"/>
          <w:highlight w:val="none"/>
          <w:u w:val="single"/>
        </w:rPr>
        <w:t xml:space="preserve">                                       </w:t>
      </w:r>
    </w:p>
    <w:p w14:paraId="794C08EB">
      <w:pPr>
        <w:spacing w:before="120" w:line="22" w:lineRule="atLeast"/>
        <w:ind w:left="960" w:firstLine="1140"/>
        <w:rPr>
          <w:rFonts w:hint="eastAsia" w:ascii="宋体" w:hAnsi="宋体" w:cs="宋体"/>
          <w:sz w:val="24"/>
          <w:highlight w:val="none"/>
        </w:rPr>
      </w:pPr>
    </w:p>
    <w:p w14:paraId="6F72141A">
      <w:pPr>
        <w:spacing w:before="120" w:line="22" w:lineRule="atLeast"/>
        <w:ind w:left="960" w:firstLine="1140"/>
        <w:rPr>
          <w:rFonts w:hint="eastAsia" w:ascii="宋体" w:hAnsi="宋体" w:cs="宋体"/>
          <w:sz w:val="24"/>
          <w:highlight w:val="none"/>
          <w:u w:val="single"/>
        </w:rPr>
      </w:pPr>
      <w:r>
        <w:rPr>
          <w:rFonts w:hint="eastAsia" w:ascii="宋体" w:hAnsi="宋体" w:cs="宋体"/>
          <w:sz w:val="24"/>
          <w:highlight w:val="none"/>
        </w:rPr>
        <w:t>签订地：</w:t>
      </w:r>
      <w:r>
        <w:rPr>
          <w:rFonts w:hint="eastAsia" w:ascii="宋体" w:hAnsi="宋体" w:cs="宋体"/>
          <w:sz w:val="24"/>
          <w:highlight w:val="none"/>
          <w:u w:val="single"/>
        </w:rPr>
        <w:t xml:space="preserve">                                     </w:t>
      </w:r>
    </w:p>
    <w:p w14:paraId="04DD9AC5">
      <w:pPr>
        <w:spacing w:before="120" w:line="22" w:lineRule="atLeast"/>
        <w:ind w:left="960" w:firstLine="1140"/>
        <w:rPr>
          <w:rFonts w:hint="eastAsia" w:ascii="宋体" w:hAnsi="宋体" w:cs="宋体"/>
          <w:sz w:val="24"/>
          <w:highlight w:val="none"/>
        </w:rPr>
      </w:pPr>
    </w:p>
    <w:p w14:paraId="0C248F22">
      <w:pPr>
        <w:spacing w:before="120" w:line="22" w:lineRule="atLeast"/>
        <w:ind w:left="960" w:firstLine="1140"/>
        <w:rPr>
          <w:rFonts w:hint="eastAsia" w:ascii="宋体" w:hAnsi="宋体" w:cs="宋体"/>
          <w:sz w:val="24"/>
          <w:highlight w:val="none"/>
          <w:u w:val="single"/>
        </w:rPr>
      </w:pPr>
      <w:r>
        <w:rPr>
          <w:rFonts w:hint="eastAsia" w:ascii="宋体" w:hAnsi="宋体" w:cs="宋体"/>
          <w:sz w:val="24"/>
          <w:highlight w:val="none"/>
        </w:rPr>
        <w:t>签订日期：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2FA18A3">
      <w:pPr>
        <w:ind w:left="960" w:firstLine="630"/>
        <w:rPr>
          <w:rFonts w:hint="eastAsia"/>
          <w:highlight w:val="none"/>
        </w:rPr>
      </w:pPr>
    </w:p>
    <w:p w14:paraId="42783E82">
      <w:pPr>
        <w:pStyle w:val="191"/>
        <w:rPr>
          <w:highlight w:val="none"/>
        </w:rPr>
      </w:pPr>
    </w:p>
    <w:p w14:paraId="49A517F9">
      <w:pPr>
        <w:pStyle w:val="191"/>
        <w:rPr>
          <w:highlight w:val="none"/>
        </w:rPr>
      </w:pPr>
    </w:p>
    <w:p w14:paraId="283905CF">
      <w:pPr>
        <w:pStyle w:val="191"/>
        <w:rPr>
          <w:highlight w:val="none"/>
        </w:rPr>
      </w:pPr>
    </w:p>
    <w:p w14:paraId="493717B7">
      <w:pPr>
        <w:pStyle w:val="191"/>
        <w:rPr>
          <w:highlight w:val="none"/>
        </w:rPr>
      </w:pPr>
    </w:p>
    <w:p w14:paraId="15613C43">
      <w:pPr>
        <w:pStyle w:val="191"/>
        <w:rPr>
          <w:highlight w:val="none"/>
        </w:rPr>
      </w:pPr>
    </w:p>
    <w:p w14:paraId="408B7C86">
      <w:pPr>
        <w:pStyle w:val="191"/>
        <w:rPr>
          <w:highlight w:val="none"/>
        </w:rPr>
      </w:pPr>
    </w:p>
    <w:p w14:paraId="2BABF835">
      <w:pPr>
        <w:pStyle w:val="191"/>
        <w:rPr>
          <w:highlight w:val="none"/>
        </w:rPr>
      </w:pPr>
    </w:p>
    <w:p w14:paraId="441126BC">
      <w:pPr>
        <w:pStyle w:val="191"/>
        <w:rPr>
          <w:highlight w:val="none"/>
        </w:rPr>
      </w:pPr>
    </w:p>
    <w:p w14:paraId="3A7212E6">
      <w:pPr>
        <w:pStyle w:val="191"/>
        <w:rPr>
          <w:highlight w:val="none"/>
        </w:rPr>
      </w:pPr>
    </w:p>
    <w:p w14:paraId="7E706150">
      <w:pPr>
        <w:pStyle w:val="191"/>
        <w:rPr>
          <w:highlight w:val="none"/>
        </w:rPr>
      </w:pPr>
    </w:p>
    <w:p w14:paraId="2719BB87">
      <w:pPr>
        <w:pStyle w:val="191"/>
        <w:rPr>
          <w:highlight w:val="none"/>
        </w:rPr>
      </w:pPr>
    </w:p>
    <w:p w14:paraId="655DCEA7">
      <w:pPr>
        <w:pStyle w:val="191"/>
        <w:rPr>
          <w:highlight w:val="none"/>
        </w:rPr>
      </w:pPr>
    </w:p>
    <w:p w14:paraId="460A2CE8">
      <w:pPr>
        <w:pStyle w:val="191"/>
        <w:rPr>
          <w:highlight w:val="none"/>
        </w:rPr>
        <w:sectPr>
          <w:footerReference r:id="rId7" w:type="default"/>
          <w:pgSz w:w="11906" w:h="16838"/>
          <w:pgMar w:top="1134" w:right="1134" w:bottom="1134" w:left="1134" w:header="851" w:footer="992" w:gutter="0"/>
          <w:cols w:space="1701" w:num="1"/>
          <w:docGrid w:linePitch="360" w:charSpace="0"/>
        </w:sectPr>
      </w:pPr>
    </w:p>
    <w:p w14:paraId="5C7495C3">
      <w:pPr>
        <w:spacing w:line="560" w:lineRule="exact"/>
        <w:ind w:firstLine="480"/>
        <w:rPr>
          <w:rStyle w:val="231"/>
          <w:rFonts w:ascii="宋体" w:hAnsi="宋体"/>
          <w:sz w:val="24"/>
          <w:szCs w:val="24"/>
          <w:highlight w:val="none"/>
        </w:rPr>
      </w:pPr>
      <w:bookmarkStart w:id="98" w:name="_Toc26088"/>
      <w:r>
        <w:rPr>
          <w:rStyle w:val="231"/>
          <w:rFonts w:ascii="宋体" w:hAnsi="宋体"/>
          <w:sz w:val="24"/>
          <w:highlight w:val="none"/>
          <w:u w:val="single"/>
          <w:lang w:val="zh-CN"/>
        </w:rPr>
        <w:t xml:space="preserve"> </w:t>
      </w:r>
      <w:r>
        <w:rPr>
          <w:rStyle w:val="231"/>
          <w:rFonts w:hint="eastAsia" w:ascii="宋体" w:hAnsi="宋体"/>
          <w:sz w:val="24"/>
          <w:highlight w:val="none"/>
          <w:u w:val="single"/>
          <w:lang w:val="en-US" w:eastAsia="zh-CN"/>
        </w:rPr>
        <w:t xml:space="preserve"> </w:t>
      </w:r>
      <w:r>
        <w:rPr>
          <w:rStyle w:val="231"/>
          <w:rFonts w:ascii="宋体" w:hAnsi="宋体"/>
          <w:sz w:val="24"/>
          <w:highlight w:val="none"/>
          <w:u w:val="single"/>
          <w:lang w:val="zh-CN"/>
        </w:rPr>
        <w:t xml:space="preserve"> </w:t>
      </w:r>
      <w:r>
        <w:rPr>
          <w:rStyle w:val="231"/>
          <w:rFonts w:ascii="宋体" w:hAnsi="宋体"/>
          <w:sz w:val="24"/>
          <w:highlight w:val="none"/>
          <w:u w:val="none"/>
          <w:lang w:val="zh-CN"/>
        </w:rPr>
        <w:t>年</w:t>
      </w:r>
      <w:r>
        <w:rPr>
          <w:rStyle w:val="231"/>
          <w:rFonts w:ascii="宋体" w:hAnsi="宋体"/>
          <w:sz w:val="24"/>
          <w:highlight w:val="none"/>
          <w:u w:val="single"/>
          <w:lang w:val="zh-CN"/>
        </w:rPr>
        <w:t xml:space="preserve"> </w:t>
      </w:r>
      <w:r>
        <w:rPr>
          <w:rStyle w:val="231"/>
          <w:rFonts w:hint="eastAsia" w:ascii="宋体" w:hAnsi="宋体"/>
          <w:sz w:val="24"/>
          <w:highlight w:val="none"/>
          <w:u w:val="single"/>
          <w:lang w:val="en-US" w:eastAsia="zh-CN"/>
        </w:rPr>
        <w:t xml:space="preserve"> </w:t>
      </w:r>
      <w:r>
        <w:rPr>
          <w:rStyle w:val="231"/>
          <w:rFonts w:ascii="宋体" w:hAnsi="宋体"/>
          <w:sz w:val="24"/>
          <w:highlight w:val="none"/>
          <w:u w:val="single"/>
          <w:lang w:val="zh-CN"/>
        </w:rPr>
        <w:t xml:space="preserve"> </w:t>
      </w:r>
      <w:r>
        <w:rPr>
          <w:rStyle w:val="231"/>
          <w:rFonts w:ascii="宋体" w:hAnsi="宋体"/>
          <w:sz w:val="24"/>
          <w:highlight w:val="none"/>
          <w:u w:val="none"/>
          <w:lang w:val="zh-CN"/>
        </w:rPr>
        <w:t>月</w:t>
      </w:r>
      <w:r>
        <w:rPr>
          <w:rStyle w:val="231"/>
          <w:rFonts w:ascii="宋体" w:hAnsi="宋体"/>
          <w:sz w:val="24"/>
          <w:highlight w:val="none"/>
          <w:u w:val="single"/>
          <w:lang w:val="zh-CN"/>
        </w:rPr>
        <w:t xml:space="preserve"> </w:t>
      </w:r>
      <w:r>
        <w:rPr>
          <w:rStyle w:val="231"/>
          <w:rFonts w:hint="eastAsia" w:ascii="宋体" w:hAnsi="宋体"/>
          <w:sz w:val="24"/>
          <w:highlight w:val="none"/>
          <w:u w:val="single"/>
          <w:lang w:val="en-US" w:eastAsia="zh-CN"/>
        </w:rPr>
        <w:t xml:space="preserve"> </w:t>
      </w:r>
      <w:r>
        <w:rPr>
          <w:rStyle w:val="231"/>
          <w:rFonts w:ascii="宋体" w:hAnsi="宋体"/>
          <w:sz w:val="24"/>
          <w:highlight w:val="none"/>
          <w:u w:val="single"/>
          <w:lang w:val="zh-CN"/>
        </w:rPr>
        <w:t xml:space="preserve"> </w:t>
      </w:r>
      <w:r>
        <w:rPr>
          <w:rStyle w:val="231"/>
          <w:rFonts w:ascii="宋体" w:hAnsi="宋体"/>
          <w:sz w:val="24"/>
          <w:highlight w:val="none"/>
          <w:lang w:val="zh-CN"/>
        </w:rPr>
        <w:t>日</w:t>
      </w:r>
      <w:r>
        <w:rPr>
          <w:rStyle w:val="231"/>
          <w:rFonts w:ascii="宋体" w:hAnsi="宋体"/>
          <w:sz w:val="24"/>
          <w:highlight w:val="none"/>
        </w:rPr>
        <w:t>，</w:t>
      </w:r>
      <w:r>
        <w:rPr>
          <w:rStyle w:val="231"/>
          <w:rFonts w:hint="eastAsia" w:ascii="宋体" w:hAnsi="宋体" w:cs="Times New Roman"/>
          <w:sz w:val="24"/>
          <w:highlight w:val="none"/>
          <w:u w:val="single"/>
          <w:lang w:eastAsia="zh-CN"/>
        </w:rPr>
        <w:t>江苏省宜兴第一中学周铁分校</w:t>
      </w:r>
      <w:r>
        <w:rPr>
          <w:rStyle w:val="231"/>
          <w:rFonts w:ascii="宋体" w:hAnsi="宋体"/>
          <w:sz w:val="24"/>
          <w:highlight w:val="none"/>
        </w:rPr>
        <w:t>以</w:t>
      </w:r>
      <w:r>
        <w:rPr>
          <w:rStyle w:val="231"/>
          <w:rFonts w:hint="eastAsia" w:ascii="宋体" w:hAnsi="宋体"/>
          <w:sz w:val="24"/>
          <w:highlight w:val="none"/>
          <w:u w:val="single"/>
          <w:lang w:val="en-US" w:eastAsia="zh-CN"/>
        </w:rPr>
        <w:t>公开招标</w:t>
      </w:r>
      <w:r>
        <w:rPr>
          <w:rStyle w:val="231"/>
          <w:rFonts w:hint="eastAsia" w:ascii="宋体" w:hAnsi="宋体"/>
          <w:sz w:val="24"/>
          <w:highlight w:val="none"/>
          <w:u w:val="none"/>
          <w:lang w:val="en-US" w:eastAsia="zh-CN"/>
        </w:rPr>
        <w:t>采购方式</w:t>
      </w:r>
      <w:r>
        <w:rPr>
          <w:rStyle w:val="231"/>
          <w:rFonts w:ascii="宋体" w:hAnsi="宋体"/>
          <w:sz w:val="24"/>
          <w:highlight w:val="none"/>
        </w:rPr>
        <w:t>对</w:t>
      </w:r>
      <w:r>
        <w:rPr>
          <w:rStyle w:val="231"/>
          <w:rFonts w:hint="eastAsia" w:ascii="宋体" w:hAnsi="宋体"/>
          <w:sz w:val="24"/>
          <w:highlight w:val="none"/>
          <w:u w:val="single"/>
          <w:lang w:eastAsia="zh-CN"/>
        </w:rPr>
        <w:t>理化生实验室设备采购(第二批)</w:t>
      </w:r>
      <w:r>
        <w:rPr>
          <w:rStyle w:val="231"/>
          <w:rFonts w:ascii="宋体" w:hAnsi="宋体"/>
          <w:sz w:val="24"/>
          <w:highlight w:val="none"/>
        </w:rPr>
        <w:t>进行了采购。经</w:t>
      </w:r>
      <w:r>
        <w:rPr>
          <w:rStyle w:val="231"/>
          <w:rFonts w:hint="eastAsia" w:ascii="宋体" w:hAnsi="宋体"/>
          <w:sz w:val="24"/>
          <w:highlight w:val="none"/>
          <w:lang w:val="en-US" w:eastAsia="zh-CN"/>
        </w:rPr>
        <w:t>评标委员会</w:t>
      </w:r>
      <w:r>
        <w:rPr>
          <w:rStyle w:val="231"/>
          <w:rFonts w:ascii="宋体" w:hAnsi="宋体"/>
          <w:sz w:val="24"/>
          <w:highlight w:val="none"/>
        </w:rPr>
        <w:t xml:space="preserve">评审，确定 </w:t>
      </w:r>
      <w:r>
        <w:rPr>
          <w:rStyle w:val="231"/>
          <w:rFonts w:ascii="宋体" w:hAnsi="宋体"/>
          <w:sz w:val="24"/>
          <w:highlight w:val="none"/>
          <w:u w:val="single"/>
        </w:rPr>
        <w:t>（</w:t>
      </w:r>
      <w:r>
        <w:rPr>
          <w:rStyle w:val="231"/>
          <w:rFonts w:hint="eastAsia" w:ascii="宋体" w:hAnsi="宋体"/>
          <w:sz w:val="24"/>
          <w:highlight w:val="none"/>
          <w:u w:val="single"/>
          <w:lang w:val="en-US" w:eastAsia="zh-CN"/>
        </w:rPr>
        <w:t>中标</w:t>
      </w:r>
      <w:r>
        <w:rPr>
          <w:rStyle w:val="231"/>
          <w:rFonts w:ascii="宋体" w:hAnsi="宋体"/>
          <w:sz w:val="24"/>
          <w:highlight w:val="none"/>
          <w:u w:val="single"/>
        </w:rPr>
        <w:t>供应商名称）</w:t>
      </w:r>
      <w:r>
        <w:rPr>
          <w:rStyle w:val="231"/>
          <w:rFonts w:ascii="宋体" w:hAnsi="宋体"/>
          <w:sz w:val="24"/>
          <w:highlight w:val="none"/>
        </w:rPr>
        <w:t>为该项目</w:t>
      </w:r>
      <w:r>
        <w:rPr>
          <w:rStyle w:val="231"/>
          <w:rFonts w:hint="eastAsia" w:ascii="宋体" w:hAnsi="宋体"/>
          <w:sz w:val="24"/>
          <w:highlight w:val="none"/>
          <w:lang w:eastAsia="zh-CN"/>
        </w:rPr>
        <w:t>中标</w:t>
      </w:r>
      <w:r>
        <w:rPr>
          <w:rStyle w:val="231"/>
          <w:rFonts w:ascii="宋体" w:hAnsi="宋体"/>
          <w:sz w:val="24"/>
          <w:highlight w:val="none"/>
        </w:rPr>
        <w:t>供应商。现于</w:t>
      </w:r>
      <w:r>
        <w:rPr>
          <w:rStyle w:val="231"/>
          <w:rFonts w:hint="eastAsia" w:ascii="宋体" w:hAnsi="宋体"/>
          <w:sz w:val="24"/>
          <w:highlight w:val="none"/>
          <w:lang w:eastAsia="zh-CN"/>
        </w:rPr>
        <w:t>中标</w:t>
      </w:r>
      <w:r>
        <w:rPr>
          <w:rStyle w:val="231"/>
          <w:rFonts w:ascii="宋体" w:hAnsi="宋体"/>
          <w:sz w:val="24"/>
          <w:highlight w:val="none"/>
        </w:rPr>
        <w:t>通知书发出之日起三十日内，按照采购文件确定的事项签订本合同。</w:t>
      </w:r>
    </w:p>
    <w:p w14:paraId="42EA1376">
      <w:pPr>
        <w:spacing w:line="560" w:lineRule="exact"/>
        <w:ind w:firstLine="480"/>
        <w:rPr>
          <w:rStyle w:val="231"/>
          <w:rFonts w:ascii="宋体" w:hAnsi="宋体"/>
          <w:sz w:val="24"/>
          <w:szCs w:val="24"/>
          <w:highlight w:val="none"/>
        </w:rPr>
      </w:pPr>
      <w:r>
        <w:rPr>
          <w:rStyle w:val="231"/>
          <w:rFonts w:ascii="宋体" w:hAnsi="宋体"/>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000000"/>
          <w:sz w:val="24"/>
          <w:szCs w:val="24"/>
          <w:highlight w:val="none"/>
          <w:u w:val="single"/>
          <w:lang w:eastAsia="zh-CN"/>
        </w:rPr>
        <w:t>江苏省宜兴第一中学周铁分校</w:t>
      </w:r>
      <w:r>
        <w:rPr>
          <w:rStyle w:val="231"/>
          <w:rFonts w:ascii="宋体" w:hAnsi="宋体"/>
          <w:sz w:val="24"/>
          <w:highlight w:val="none"/>
          <w:lang w:val="zh-CN"/>
        </w:rPr>
        <w:t>(以下简称：甲方)和</w:t>
      </w:r>
      <w:r>
        <w:rPr>
          <w:rStyle w:val="231"/>
          <w:rFonts w:ascii="宋体" w:hAnsi="宋体"/>
          <w:sz w:val="24"/>
          <w:highlight w:val="none"/>
          <w:u w:val="single"/>
        </w:rPr>
        <w:t xml:space="preserve"> （</w:t>
      </w:r>
      <w:r>
        <w:rPr>
          <w:rStyle w:val="231"/>
          <w:rFonts w:hint="eastAsia" w:ascii="宋体" w:hAnsi="宋体"/>
          <w:sz w:val="24"/>
          <w:highlight w:val="none"/>
          <w:u w:val="single"/>
          <w:lang w:val="en-US" w:eastAsia="zh-CN"/>
        </w:rPr>
        <w:t>中标</w:t>
      </w:r>
      <w:r>
        <w:rPr>
          <w:rStyle w:val="231"/>
          <w:rFonts w:ascii="宋体" w:hAnsi="宋体"/>
          <w:sz w:val="24"/>
          <w:highlight w:val="none"/>
          <w:u w:val="single"/>
        </w:rPr>
        <w:t>供应商名称）</w:t>
      </w:r>
      <w:r>
        <w:rPr>
          <w:rStyle w:val="231"/>
          <w:rFonts w:ascii="宋体" w:hAnsi="宋体"/>
          <w:sz w:val="24"/>
          <w:highlight w:val="none"/>
          <w:lang w:val="zh-CN"/>
        </w:rPr>
        <w:t>(以下简称：乙方)协商一致，约定以下合同</w:t>
      </w:r>
      <w:r>
        <w:rPr>
          <w:rStyle w:val="231"/>
          <w:rFonts w:ascii="宋体" w:hAnsi="宋体"/>
          <w:sz w:val="24"/>
          <w:highlight w:val="none"/>
        </w:rPr>
        <w:t>条款，以兹共同遵守、全面履行。</w:t>
      </w:r>
    </w:p>
    <w:p w14:paraId="3F901A62">
      <w:pPr>
        <w:spacing w:line="560" w:lineRule="exact"/>
        <w:ind w:firstLine="482"/>
        <w:rPr>
          <w:rStyle w:val="231"/>
          <w:rFonts w:ascii="宋体" w:hAnsi="宋体"/>
          <w:sz w:val="24"/>
          <w:szCs w:val="24"/>
          <w:highlight w:val="none"/>
        </w:rPr>
      </w:pPr>
      <w:r>
        <w:rPr>
          <w:rStyle w:val="231"/>
          <w:rFonts w:ascii="宋体" w:hAnsi="宋体"/>
          <w:b/>
          <w:sz w:val="24"/>
          <w:szCs w:val="24"/>
          <w:highlight w:val="none"/>
        </w:rPr>
        <w:t>1.1 合同组成部分</w:t>
      </w:r>
    </w:p>
    <w:p w14:paraId="2F480929">
      <w:pPr>
        <w:spacing w:line="560" w:lineRule="exact"/>
        <w:ind w:firstLine="480"/>
        <w:rPr>
          <w:rStyle w:val="231"/>
          <w:rFonts w:ascii="宋体" w:hAnsi="宋体"/>
          <w:sz w:val="24"/>
          <w:szCs w:val="24"/>
          <w:highlight w:val="none"/>
        </w:rPr>
      </w:pPr>
      <w:r>
        <w:rPr>
          <w:rStyle w:val="231"/>
          <w:rFonts w:ascii="宋体" w:hAnsi="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6462C29">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1.1.1 本合同及其补充合同、变更协议；</w:t>
      </w:r>
    </w:p>
    <w:p w14:paraId="70DB781A">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1.1.2 中标通知书；</w:t>
      </w:r>
    </w:p>
    <w:p w14:paraId="23B6353C">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1.1.3 投标文件（含澄清或者说明文件）；</w:t>
      </w:r>
    </w:p>
    <w:p w14:paraId="122DF100">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1.1.4 招标文件（含澄清或者修改文件）；</w:t>
      </w:r>
    </w:p>
    <w:p w14:paraId="3334DA5F">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1.1.5 其他相关采购文件。</w:t>
      </w:r>
    </w:p>
    <w:p w14:paraId="6CAC21CA">
      <w:pPr>
        <w:spacing w:line="560" w:lineRule="exact"/>
        <w:ind w:firstLine="482"/>
        <w:rPr>
          <w:rFonts w:hint="eastAsia" w:ascii="宋体" w:hAnsi="宋体" w:cs="宋体"/>
          <w:b/>
          <w:color w:val="000000"/>
          <w:sz w:val="24"/>
          <w:highlight w:val="none"/>
        </w:rPr>
      </w:pPr>
      <w:bookmarkStart w:id="99" w:name="_Toc24300"/>
      <w:bookmarkStart w:id="100" w:name="_Toc21295"/>
      <w:bookmarkStart w:id="101" w:name="_Toc27126"/>
      <w:r>
        <w:rPr>
          <w:rFonts w:hint="eastAsia" w:ascii="宋体" w:hAnsi="宋体" w:cs="宋体"/>
          <w:b/>
          <w:color w:val="000000"/>
          <w:sz w:val="24"/>
          <w:highlight w:val="none"/>
        </w:rPr>
        <w:t>1.2 货物</w:t>
      </w:r>
      <w:bookmarkEnd w:id="99"/>
      <w:bookmarkEnd w:id="100"/>
      <w:bookmarkEnd w:id="101"/>
    </w:p>
    <w:p w14:paraId="7C76CC66">
      <w:pPr>
        <w:spacing w:line="560" w:lineRule="exact"/>
        <w:ind w:firstLine="480"/>
        <w:rPr>
          <w:rFonts w:hint="eastAsia" w:ascii="宋体" w:hAnsi="宋体" w:cs="宋体"/>
          <w:color w:val="000000"/>
          <w:sz w:val="24"/>
          <w:highlight w:val="none"/>
          <w:u w:val="single"/>
        </w:rPr>
      </w:pPr>
      <w:r>
        <w:rPr>
          <w:rFonts w:hint="eastAsia" w:ascii="宋体" w:hAnsi="宋体" w:cs="宋体"/>
          <w:color w:val="000000"/>
          <w:sz w:val="24"/>
          <w:highlight w:val="none"/>
        </w:rPr>
        <w:t>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559E0693">
      <w:pPr>
        <w:spacing w:line="560" w:lineRule="exact"/>
        <w:ind w:firstLine="480"/>
        <w:rPr>
          <w:rFonts w:hint="eastAsia" w:ascii="宋体" w:hAnsi="宋体" w:cs="宋体"/>
          <w:color w:val="000000"/>
          <w:sz w:val="24"/>
          <w:highlight w:val="none"/>
          <w:u w:val="single"/>
        </w:rPr>
      </w:pPr>
      <w:r>
        <w:rPr>
          <w:rFonts w:hint="eastAsia" w:ascii="宋体" w:hAnsi="宋体" w:cs="宋体"/>
          <w:color w:val="000000"/>
          <w:sz w:val="24"/>
          <w:highlight w:val="none"/>
        </w:rPr>
        <w:t>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00B65462">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45369698">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1.3 价款</w:t>
      </w:r>
    </w:p>
    <w:p w14:paraId="48AC835A">
      <w:pPr>
        <w:spacing w:line="560" w:lineRule="exact"/>
        <w:ind w:firstLine="480"/>
        <w:rPr>
          <w:rStyle w:val="231"/>
          <w:rFonts w:ascii="宋体" w:hAnsi="宋体"/>
          <w:sz w:val="24"/>
          <w:szCs w:val="24"/>
          <w:highlight w:val="none"/>
        </w:rPr>
      </w:pPr>
      <w:r>
        <w:rPr>
          <w:rStyle w:val="231"/>
          <w:rFonts w:ascii="宋体" w:hAnsi="宋体"/>
          <w:sz w:val="24"/>
          <w:szCs w:val="24"/>
          <w:highlight w:val="none"/>
        </w:rPr>
        <w:t>本合同总价为：￥元（大写：元人民币）。</w:t>
      </w:r>
    </w:p>
    <w:p w14:paraId="44C0762E">
      <w:pPr>
        <w:spacing w:line="560" w:lineRule="exact"/>
        <w:ind w:firstLine="480"/>
        <w:rPr>
          <w:rStyle w:val="231"/>
          <w:rFonts w:ascii="宋体" w:hAnsi="宋体"/>
          <w:sz w:val="24"/>
          <w:szCs w:val="24"/>
          <w:highlight w:val="none"/>
        </w:rPr>
      </w:pPr>
      <w:r>
        <w:rPr>
          <w:rStyle w:val="231"/>
          <w:rFonts w:ascii="宋体" w:hAnsi="宋体"/>
          <w:sz w:val="24"/>
          <w:szCs w:val="24"/>
          <w:highlight w:val="none"/>
        </w:rPr>
        <w:t>分项价格：</w:t>
      </w:r>
    </w:p>
    <w:p w14:paraId="5AC785C0">
      <w:pPr>
        <w:rPr>
          <w:rStyle w:val="231"/>
          <w:sz w:val="20"/>
          <w:highlight w:val="none"/>
        </w:rPr>
      </w:pPr>
    </w:p>
    <w:tbl>
      <w:tblPr>
        <w:tblStyle w:val="33"/>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1"/>
        <w:gridCol w:w="3402"/>
        <w:gridCol w:w="2552"/>
      </w:tblGrid>
      <w:tr w14:paraId="53142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201" w:type="dxa"/>
            <w:noWrap w:val="0"/>
            <w:vAlign w:val="center"/>
          </w:tcPr>
          <w:p w14:paraId="3DAE8515">
            <w:pPr>
              <w:spacing w:line="560" w:lineRule="exact"/>
              <w:jc w:val="center"/>
              <w:rPr>
                <w:rStyle w:val="231"/>
                <w:rFonts w:ascii="宋体" w:hAnsi="宋体"/>
                <w:sz w:val="24"/>
                <w:szCs w:val="24"/>
                <w:highlight w:val="none"/>
              </w:rPr>
            </w:pPr>
            <w:r>
              <w:rPr>
                <w:rStyle w:val="231"/>
                <w:rFonts w:ascii="宋体" w:hAnsi="宋体"/>
                <w:sz w:val="24"/>
                <w:szCs w:val="24"/>
                <w:highlight w:val="none"/>
              </w:rPr>
              <w:t>序号</w:t>
            </w:r>
          </w:p>
        </w:tc>
        <w:tc>
          <w:tcPr>
            <w:tcW w:w="3402" w:type="dxa"/>
            <w:noWrap w:val="0"/>
            <w:vAlign w:val="center"/>
          </w:tcPr>
          <w:p w14:paraId="40B526D8">
            <w:pPr>
              <w:spacing w:line="560" w:lineRule="exact"/>
              <w:ind w:firstLine="200"/>
              <w:jc w:val="center"/>
              <w:rPr>
                <w:rStyle w:val="231"/>
                <w:rFonts w:ascii="宋体" w:hAnsi="宋体"/>
                <w:sz w:val="24"/>
                <w:szCs w:val="24"/>
                <w:highlight w:val="none"/>
              </w:rPr>
            </w:pPr>
            <w:r>
              <w:rPr>
                <w:rStyle w:val="231"/>
                <w:rFonts w:ascii="宋体" w:hAnsi="宋体"/>
                <w:sz w:val="24"/>
                <w:szCs w:val="24"/>
                <w:highlight w:val="none"/>
              </w:rPr>
              <w:t>分项名称</w:t>
            </w:r>
          </w:p>
        </w:tc>
        <w:tc>
          <w:tcPr>
            <w:tcW w:w="2552" w:type="dxa"/>
            <w:noWrap w:val="0"/>
            <w:vAlign w:val="center"/>
          </w:tcPr>
          <w:p w14:paraId="3117845E">
            <w:pPr>
              <w:spacing w:line="560" w:lineRule="exact"/>
              <w:jc w:val="center"/>
              <w:rPr>
                <w:rStyle w:val="231"/>
                <w:rFonts w:ascii="宋体" w:hAnsi="宋体"/>
                <w:sz w:val="24"/>
                <w:szCs w:val="24"/>
                <w:highlight w:val="none"/>
              </w:rPr>
            </w:pPr>
            <w:r>
              <w:rPr>
                <w:rStyle w:val="231"/>
                <w:rFonts w:ascii="宋体" w:hAnsi="宋体"/>
                <w:sz w:val="24"/>
                <w:szCs w:val="24"/>
                <w:highlight w:val="none"/>
              </w:rPr>
              <w:t>分项价格</w:t>
            </w:r>
          </w:p>
        </w:tc>
      </w:tr>
      <w:tr w14:paraId="42FD5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201" w:type="dxa"/>
            <w:noWrap w:val="0"/>
            <w:vAlign w:val="center"/>
          </w:tcPr>
          <w:p w14:paraId="2F5CEEE7">
            <w:pPr>
              <w:spacing w:line="560" w:lineRule="exact"/>
              <w:ind w:firstLine="200"/>
              <w:jc w:val="center"/>
              <w:rPr>
                <w:rStyle w:val="231"/>
                <w:rFonts w:ascii="宋体" w:hAnsi="宋体"/>
                <w:sz w:val="24"/>
                <w:szCs w:val="24"/>
                <w:highlight w:val="none"/>
              </w:rPr>
            </w:pPr>
          </w:p>
        </w:tc>
        <w:tc>
          <w:tcPr>
            <w:tcW w:w="3402" w:type="dxa"/>
            <w:noWrap w:val="0"/>
            <w:vAlign w:val="center"/>
          </w:tcPr>
          <w:p w14:paraId="49890A33">
            <w:pPr>
              <w:spacing w:line="560" w:lineRule="exact"/>
              <w:ind w:firstLine="200"/>
              <w:jc w:val="center"/>
              <w:rPr>
                <w:rStyle w:val="231"/>
                <w:rFonts w:ascii="宋体" w:hAnsi="宋体"/>
                <w:sz w:val="24"/>
                <w:szCs w:val="24"/>
                <w:highlight w:val="none"/>
              </w:rPr>
            </w:pPr>
          </w:p>
        </w:tc>
        <w:tc>
          <w:tcPr>
            <w:tcW w:w="2552" w:type="dxa"/>
            <w:noWrap w:val="0"/>
            <w:vAlign w:val="center"/>
          </w:tcPr>
          <w:p w14:paraId="63DD1ED7">
            <w:pPr>
              <w:spacing w:line="560" w:lineRule="exact"/>
              <w:ind w:firstLine="200"/>
              <w:jc w:val="center"/>
              <w:rPr>
                <w:rStyle w:val="231"/>
                <w:rFonts w:ascii="宋体" w:hAnsi="宋体"/>
                <w:sz w:val="24"/>
                <w:szCs w:val="24"/>
                <w:highlight w:val="none"/>
              </w:rPr>
            </w:pPr>
          </w:p>
        </w:tc>
      </w:tr>
      <w:tr w14:paraId="09878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201" w:type="dxa"/>
            <w:noWrap w:val="0"/>
            <w:vAlign w:val="center"/>
          </w:tcPr>
          <w:p w14:paraId="7533F0ED">
            <w:pPr>
              <w:spacing w:line="560" w:lineRule="exact"/>
              <w:ind w:firstLine="200"/>
              <w:jc w:val="center"/>
              <w:rPr>
                <w:rStyle w:val="231"/>
                <w:rFonts w:ascii="宋体" w:hAnsi="宋体"/>
                <w:sz w:val="24"/>
                <w:szCs w:val="24"/>
                <w:highlight w:val="none"/>
              </w:rPr>
            </w:pPr>
          </w:p>
        </w:tc>
        <w:tc>
          <w:tcPr>
            <w:tcW w:w="3402" w:type="dxa"/>
            <w:noWrap w:val="0"/>
            <w:vAlign w:val="center"/>
          </w:tcPr>
          <w:p w14:paraId="59B8D59A">
            <w:pPr>
              <w:spacing w:line="560" w:lineRule="exact"/>
              <w:ind w:firstLine="200"/>
              <w:jc w:val="center"/>
              <w:rPr>
                <w:rStyle w:val="231"/>
                <w:rFonts w:ascii="宋体" w:hAnsi="宋体"/>
                <w:sz w:val="24"/>
                <w:szCs w:val="24"/>
                <w:highlight w:val="none"/>
              </w:rPr>
            </w:pPr>
          </w:p>
        </w:tc>
        <w:tc>
          <w:tcPr>
            <w:tcW w:w="2552" w:type="dxa"/>
            <w:noWrap w:val="0"/>
            <w:vAlign w:val="center"/>
          </w:tcPr>
          <w:p w14:paraId="31CE2E4E">
            <w:pPr>
              <w:spacing w:line="560" w:lineRule="exact"/>
              <w:ind w:firstLine="200"/>
              <w:jc w:val="center"/>
              <w:rPr>
                <w:rStyle w:val="231"/>
                <w:rFonts w:ascii="宋体" w:hAnsi="宋体"/>
                <w:sz w:val="24"/>
                <w:szCs w:val="24"/>
                <w:highlight w:val="none"/>
              </w:rPr>
            </w:pPr>
          </w:p>
        </w:tc>
      </w:tr>
      <w:tr w14:paraId="7964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201" w:type="dxa"/>
            <w:noWrap w:val="0"/>
            <w:vAlign w:val="center"/>
          </w:tcPr>
          <w:p w14:paraId="6ABB8352">
            <w:pPr>
              <w:spacing w:line="560" w:lineRule="exact"/>
              <w:ind w:firstLine="200"/>
              <w:jc w:val="center"/>
              <w:rPr>
                <w:rStyle w:val="231"/>
                <w:rFonts w:ascii="宋体" w:hAnsi="宋体"/>
                <w:sz w:val="24"/>
                <w:szCs w:val="24"/>
                <w:highlight w:val="none"/>
              </w:rPr>
            </w:pPr>
          </w:p>
        </w:tc>
        <w:tc>
          <w:tcPr>
            <w:tcW w:w="3402" w:type="dxa"/>
            <w:noWrap w:val="0"/>
            <w:vAlign w:val="center"/>
          </w:tcPr>
          <w:p w14:paraId="1E987F72">
            <w:pPr>
              <w:spacing w:line="560" w:lineRule="exact"/>
              <w:ind w:firstLine="200"/>
              <w:jc w:val="center"/>
              <w:rPr>
                <w:rStyle w:val="231"/>
                <w:rFonts w:ascii="宋体" w:hAnsi="宋体"/>
                <w:sz w:val="24"/>
                <w:szCs w:val="24"/>
                <w:highlight w:val="none"/>
              </w:rPr>
            </w:pPr>
          </w:p>
        </w:tc>
        <w:tc>
          <w:tcPr>
            <w:tcW w:w="2552" w:type="dxa"/>
            <w:noWrap w:val="0"/>
            <w:vAlign w:val="center"/>
          </w:tcPr>
          <w:p w14:paraId="38E3F8CA">
            <w:pPr>
              <w:spacing w:line="560" w:lineRule="exact"/>
              <w:ind w:firstLine="200"/>
              <w:jc w:val="center"/>
              <w:rPr>
                <w:rStyle w:val="231"/>
                <w:rFonts w:ascii="宋体" w:hAnsi="宋体"/>
                <w:sz w:val="24"/>
                <w:szCs w:val="24"/>
                <w:highlight w:val="none"/>
              </w:rPr>
            </w:pPr>
          </w:p>
        </w:tc>
      </w:tr>
      <w:tr w14:paraId="16F89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201" w:type="dxa"/>
            <w:noWrap w:val="0"/>
            <w:vAlign w:val="center"/>
          </w:tcPr>
          <w:p w14:paraId="19532E63">
            <w:pPr>
              <w:spacing w:line="560" w:lineRule="exact"/>
              <w:ind w:firstLine="200"/>
              <w:jc w:val="center"/>
              <w:rPr>
                <w:rStyle w:val="231"/>
                <w:rFonts w:ascii="宋体" w:hAnsi="宋体"/>
                <w:sz w:val="24"/>
                <w:szCs w:val="24"/>
                <w:highlight w:val="none"/>
              </w:rPr>
            </w:pPr>
          </w:p>
        </w:tc>
        <w:tc>
          <w:tcPr>
            <w:tcW w:w="3402" w:type="dxa"/>
            <w:noWrap w:val="0"/>
            <w:vAlign w:val="center"/>
          </w:tcPr>
          <w:p w14:paraId="545101D8">
            <w:pPr>
              <w:spacing w:line="560" w:lineRule="exact"/>
              <w:ind w:firstLine="200"/>
              <w:jc w:val="center"/>
              <w:rPr>
                <w:rStyle w:val="231"/>
                <w:rFonts w:ascii="宋体" w:hAnsi="宋体"/>
                <w:sz w:val="24"/>
                <w:szCs w:val="24"/>
                <w:highlight w:val="none"/>
              </w:rPr>
            </w:pPr>
          </w:p>
        </w:tc>
        <w:tc>
          <w:tcPr>
            <w:tcW w:w="2552" w:type="dxa"/>
            <w:noWrap w:val="0"/>
            <w:vAlign w:val="center"/>
          </w:tcPr>
          <w:p w14:paraId="6039AC77">
            <w:pPr>
              <w:spacing w:line="560" w:lineRule="exact"/>
              <w:ind w:firstLine="200"/>
              <w:jc w:val="center"/>
              <w:rPr>
                <w:rStyle w:val="231"/>
                <w:rFonts w:ascii="宋体" w:hAnsi="宋体"/>
                <w:sz w:val="24"/>
                <w:szCs w:val="24"/>
                <w:highlight w:val="none"/>
              </w:rPr>
            </w:pPr>
          </w:p>
        </w:tc>
      </w:tr>
      <w:tr w14:paraId="51776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4603" w:type="dxa"/>
            <w:gridSpan w:val="2"/>
            <w:noWrap w:val="0"/>
            <w:vAlign w:val="center"/>
          </w:tcPr>
          <w:p w14:paraId="2117B6A2">
            <w:pPr>
              <w:spacing w:line="560" w:lineRule="exact"/>
              <w:ind w:firstLine="200"/>
              <w:jc w:val="center"/>
              <w:rPr>
                <w:rStyle w:val="231"/>
                <w:rFonts w:ascii="宋体" w:hAnsi="宋体"/>
                <w:sz w:val="24"/>
                <w:szCs w:val="24"/>
                <w:highlight w:val="none"/>
              </w:rPr>
            </w:pPr>
            <w:r>
              <w:rPr>
                <w:rStyle w:val="231"/>
                <w:rFonts w:ascii="宋体" w:hAnsi="宋体"/>
                <w:sz w:val="24"/>
                <w:szCs w:val="24"/>
                <w:highlight w:val="none"/>
              </w:rPr>
              <w:t>总价</w:t>
            </w:r>
          </w:p>
        </w:tc>
        <w:tc>
          <w:tcPr>
            <w:tcW w:w="2552" w:type="dxa"/>
            <w:noWrap w:val="0"/>
            <w:vAlign w:val="center"/>
          </w:tcPr>
          <w:p w14:paraId="0D09614D">
            <w:pPr>
              <w:spacing w:line="560" w:lineRule="exact"/>
              <w:ind w:firstLine="200"/>
              <w:jc w:val="center"/>
              <w:rPr>
                <w:rStyle w:val="231"/>
                <w:rFonts w:ascii="宋体" w:hAnsi="宋体"/>
                <w:sz w:val="24"/>
                <w:szCs w:val="24"/>
                <w:highlight w:val="none"/>
              </w:rPr>
            </w:pPr>
          </w:p>
        </w:tc>
      </w:tr>
    </w:tbl>
    <w:p w14:paraId="4552C06D">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1.4 付款方式和发票开具方式</w:t>
      </w:r>
    </w:p>
    <w:p w14:paraId="749FFBEB">
      <w:pPr>
        <w:spacing w:line="560" w:lineRule="exact"/>
        <w:ind w:firstLine="480"/>
        <w:rPr>
          <w:rStyle w:val="231"/>
          <w:rFonts w:ascii="宋体" w:hAnsi="宋体"/>
          <w:sz w:val="24"/>
          <w:szCs w:val="24"/>
          <w:highlight w:val="none"/>
        </w:rPr>
      </w:pPr>
      <w:r>
        <w:rPr>
          <w:rStyle w:val="231"/>
          <w:rFonts w:ascii="宋体" w:hAnsi="宋体"/>
          <w:sz w:val="24"/>
          <w:szCs w:val="24"/>
          <w:highlight w:val="none"/>
        </w:rPr>
        <w:t>1.4.1付款方式：</w:t>
      </w:r>
      <w:r>
        <w:rPr>
          <w:rStyle w:val="231"/>
          <w:rFonts w:hint="eastAsia" w:ascii="宋体" w:hAnsi="宋体"/>
          <w:sz w:val="24"/>
          <w:szCs w:val="24"/>
          <w:highlight w:val="none"/>
          <w:u w:val="single"/>
          <w:lang w:val="en-US"/>
        </w:rPr>
        <w:t xml:space="preserve">                        </w:t>
      </w:r>
      <w:r>
        <w:rPr>
          <w:rStyle w:val="231"/>
          <w:rFonts w:ascii="宋体" w:hAnsi="宋体"/>
          <w:sz w:val="24"/>
          <w:szCs w:val="24"/>
          <w:highlight w:val="none"/>
        </w:rPr>
        <w:t>；</w:t>
      </w:r>
    </w:p>
    <w:p w14:paraId="3805EACA">
      <w:pPr>
        <w:spacing w:line="560" w:lineRule="exact"/>
        <w:ind w:firstLine="480"/>
        <w:rPr>
          <w:rStyle w:val="231"/>
          <w:rFonts w:ascii="宋体" w:hAnsi="宋体"/>
          <w:sz w:val="24"/>
          <w:szCs w:val="24"/>
          <w:highlight w:val="none"/>
        </w:rPr>
      </w:pPr>
      <w:r>
        <w:rPr>
          <w:rStyle w:val="231"/>
          <w:rFonts w:ascii="宋体" w:hAnsi="宋体"/>
          <w:sz w:val="24"/>
          <w:szCs w:val="24"/>
          <w:highlight w:val="none"/>
        </w:rPr>
        <w:t>1.4.2 发票开具方式：</w:t>
      </w:r>
      <w:r>
        <w:rPr>
          <w:rStyle w:val="231"/>
          <w:rFonts w:hint="eastAsia" w:ascii="宋体" w:hAnsi="宋体"/>
          <w:sz w:val="24"/>
          <w:szCs w:val="24"/>
          <w:highlight w:val="none"/>
          <w:u w:val="single"/>
          <w:lang w:val="en-US"/>
        </w:rPr>
        <w:t xml:space="preserve">                   </w:t>
      </w:r>
      <w:r>
        <w:rPr>
          <w:rStyle w:val="231"/>
          <w:rFonts w:ascii="宋体" w:hAnsi="宋体"/>
          <w:sz w:val="24"/>
          <w:szCs w:val="24"/>
          <w:highlight w:val="none"/>
        </w:rPr>
        <w:t>。</w:t>
      </w:r>
    </w:p>
    <w:p w14:paraId="3960F8E4">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1.5 履行期限、地点和方式</w:t>
      </w:r>
    </w:p>
    <w:p w14:paraId="1694AC77">
      <w:pPr>
        <w:spacing w:line="560" w:lineRule="exact"/>
        <w:ind w:firstLine="480"/>
        <w:rPr>
          <w:rStyle w:val="231"/>
          <w:rFonts w:ascii="宋体" w:hAnsi="宋体"/>
          <w:sz w:val="24"/>
          <w:szCs w:val="24"/>
          <w:highlight w:val="none"/>
          <w:u w:val="single"/>
        </w:rPr>
      </w:pPr>
      <w:r>
        <w:rPr>
          <w:rStyle w:val="231"/>
          <w:rFonts w:ascii="宋体" w:hAnsi="宋体"/>
          <w:sz w:val="24"/>
          <w:szCs w:val="24"/>
          <w:highlight w:val="none"/>
        </w:rPr>
        <w:t>1.5.1 履行期限：</w:t>
      </w:r>
      <w:r>
        <w:rPr>
          <w:rStyle w:val="231"/>
          <w:rFonts w:hint="eastAsia" w:ascii="宋体" w:hAnsi="宋体"/>
          <w:sz w:val="24"/>
          <w:szCs w:val="24"/>
          <w:highlight w:val="none"/>
          <w:u w:val="single"/>
          <w:lang w:val="en-US"/>
        </w:rPr>
        <w:t xml:space="preserve">                      </w:t>
      </w:r>
      <w:r>
        <w:rPr>
          <w:rStyle w:val="231"/>
          <w:rFonts w:ascii="宋体" w:hAnsi="宋体"/>
          <w:sz w:val="24"/>
          <w:szCs w:val="24"/>
          <w:highlight w:val="none"/>
        </w:rPr>
        <w:t>；</w:t>
      </w:r>
    </w:p>
    <w:p w14:paraId="15C66B46">
      <w:pPr>
        <w:spacing w:line="560" w:lineRule="exact"/>
        <w:ind w:firstLine="480"/>
        <w:rPr>
          <w:rStyle w:val="231"/>
          <w:rFonts w:ascii="宋体" w:hAnsi="宋体"/>
          <w:sz w:val="24"/>
          <w:szCs w:val="24"/>
          <w:highlight w:val="none"/>
        </w:rPr>
      </w:pPr>
      <w:r>
        <w:rPr>
          <w:rStyle w:val="231"/>
          <w:rFonts w:ascii="宋体" w:hAnsi="宋体"/>
          <w:sz w:val="24"/>
          <w:szCs w:val="24"/>
          <w:highlight w:val="none"/>
        </w:rPr>
        <w:t>1.5.2 履行地点：</w:t>
      </w:r>
      <w:r>
        <w:rPr>
          <w:rStyle w:val="231"/>
          <w:rFonts w:hint="eastAsia" w:ascii="宋体" w:hAnsi="宋体"/>
          <w:sz w:val="24"/>
          <w:szCs w:val="24"/>
          <w:highlight w:val="none"/>
          <w:u w:val="single"/>
          <w:lang w:val="en-US"/>
        </w:rPr>
        <w:t xml:space="preserve">                      </w:t>
      </w:r>
      <w:r>
        <w:rPr>
          <w:rStyle w:val="231"/>
          <w:rFonts w:ascii="宋体" w:hAnsi="宋体"/>
          <w:sz w:val="24"/>
          <w:szCs w:val="24"/>
          <w:highlight w:val="none"/>
        </w:rPr>
        <w:t>；</w:t>
      </w:r>
    </w:p>
    <w:p w14:paraId="552BA55E">
      <w:pPr>
        <w:spacing w:line="560" w:lineRule="exact"/>
        <w:ind w:firstLine="480"/>
        <w:rPr>
          <w:rStyle w:val="231"/>
          <w:rFonts w:ascii="宋体" w:hAnsi="宋体"/>
          <w:sz w:val="24"/>
          <w:szCs w:val="24"/>
          <w:highlight w:val="none"/>
        </w:rPr>
      </w:pPr>
      <w:r>
        <w:rPr>
          <w:rStyle w:val="231"/>
          <w:rFonts w:ascii="宋体" w:hAnsi="宋体"/>
          <w:sz w:val="24"/>
          <w:szCs w:val="24"/>
          <w:highlight w:val="none"/>
        </w:rPr>
        <w:t>1.5.3 履行方式：</w:t>
      </w:r>
      <w:r>
        <w:rPr>
          <w:rStyle w:val="231"/>
          <w:rFonts w:ascii="宋体" w:hAnsi="宋体"/>
          <w:sz w:val="24"/>
          <w:szCs w:val="24"/>
          <w:highlight w:val="none"/>
          <w:u w:val="single"/>
        </w:rPr>
        <w:t xml:space="preserve">　　　　　　　　　    </w:t>
      </w:r>
      <w:r>
        <w:rPr>
          <w:rStyle w:val="231"/>
          <w:rFonts w:ascii="宋体" w:hAnsi="宋体"/>
          <w:sz w:val="24"/>
          <w:szCs w:val="24"/>
          <w:highlight w:val="none"/>
        </w:rPr>
        <w:t>。</w:t>
      </w:r>
    </w:p>
    <w:p w14:paraId="262DBDDB">
      <w:pPr>
        <w:spacing w:line="560" w:lineRule="exact"/>
        <w:ind w:firstLine="482"/>
        <w:rPr>
          <w:rStyle w:val="231"/>
          <w:rFonts w:ascii="宋体" w:hAnsi="宋体"/>
          <w:sz w:val="24"/>
          <w:szCs w:val="24"/>
          <w:highlight w:val="none"/>
          <w:u w:val="single"/>
        </w:rPr>
      </w:pPr>
      <w:r>
        <w:rPr>
          <w:rStyle w:val="231"/>
          <w:rFonts w:ascii="宋体" w:hAnsi="宋体"/>
          <w:b/>
          <w:sz w:val="24"/>
          <w:szCs w:val="24"/>
          <w:highlight w:val="none"/>
        </w:rPr>
        <w:t>1.6 违约责任</w:t>
      </w:r>
    </w:p>
    <w:p w14:paraId="7841591C">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%；迟延交付货物的违约金计算数额达到前述最高限额之日起，甲方有权在要求乙方支付违约金的同时，书面通知乙方解除本合同；</w:t>
      </w:r>
    </w:p>
    <w:p w14:paraId="24AE36A1">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%；迟延付款的违约金计算数额达到前述最高限额之日起，乙方有权在要求甲方支付违约金的同时，书面通知甲方解除本合同；</w:t>
      </w:r>
    </w:p>
    <w:p w14:paraId="6973B515">
      <w:pPr>
        <w:spacing w:line="560" w:lineRule="exact"/>
        <w:ind w:firstLine="480"/>
        <w:rPr>
          <w:rStyle w:val="231"/>
          <w:rFonts w:ascii="宋体" w:hAnsi="宋体"/>
          <w:sz w:val="24"/>
          <w:szCs w:val="24"/>
          <w:highlight w:val="none"/>
        </w:rPr>
      </w:pPr>
      <w:r>
        <w:rPr>
          <w:rStyle w:val="231"/>
          <w:rFonts w:ascii="宋体" w:hAnsi="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w:t>
      </w:r>
      <w:r>
        <w:rPr>
          <w:rStyle w:val="231"/>
          <w:rFonts w:ascii="宋体" w:hAnsi="宋体"/>
          <w:color w:val="000000" w:themeColor="text1"/>
          <w:sz w:val="24"/>
          <w:szCs w:val="24"/>
          <w:highlight w:val="none"/>
          <w14:textFill>
            <w14:solidFill>
              <w14:schemeClr w14:val="tx1"/>
            </w14:solidFill>
          </w14:textFill>
        </w:rPr>
        <w:t>行为（</w:t>
      </w:r>
      <w:r>
        <w:rPr>
          <w:rStyle w:val="231"/>
          <w:rFonts w:hint="eastAsia" w:ascii="宋体" w:hAnsi="宋体"/>
          <w:color w:val="000000" w:themeColor="text1"/>
          <w:sz w:val="24"/>
          <w:szCs w:val="24"/>
          <w:highlight w:val="none"/>
          <w:lang w:val="en-US" w:eastAsia="zh-CN"/>
          <w14:textFill>
            <w14:solidFill>
              <w14:schemeClr w14:val="tx1"/>
            </w14:solidFill>
          </w14:textFill>
        </w:rPr>
        <w:t>包括但不限于</w:t>
      </w:r>
      <w:r>
        <w:rPr>
          <w:rStyle w:val="231"/>
          <w:rFonts w:ascii="宋体" w:hAnsi="宋体"/>
          <w:color w:val="000000" w:themeColor="text1"/>
          <w:sz w:val="24"/>
          <w:szCs w:val="24"/>
          <w:highlight w:val="none"/>
          <w14:textFill>
            <w14:solidFill>
              <w14:schemeClr w14:val="tx1"/>
            </w14:solidFill>
          </w14:textFill>
        </w:rPr>
        <w:t>提供或给予或接受或索取任何财物或其他好处或者采取其他不正当手段来影响对方当事人在合同签订、履行过程中的行为）或者欺诈行为（</w:t>
      </w:r>
      <w:r>
        <w:rPr>
          <w:rStyle w:val="231"/>
          <w:rFonts w:hint="eastAsia" w:ascii="宋体" w:hAnsi="宋体"/>
          <w:color w:val="000000" w:themeColor="text1"/>
          <w:sz w:val="24"/>
          <w:szCs w:val="24"/>
          <w:highlight w:val="none"/>
          <w:lang w:val="en-US" w:eastAsia="zh-CN"/>
          <w14:textFill>
            <w14:solidFill>
              <w14:schemeClr w14:val="tx1"/>
            </w14:solidFill>
          </w14:textFill>
        </w:rPr>
        <w:t>包括但不限于</w:t>
      </w:r>
      <w:r>
        <w:rPr>
          <w:rStyle w:val="231"/>
          <w:rFonts w:ascii="宋体" w:hAnsi="宋体"/>
          <w:color w:val="000000" w:themeColor="text1"/>
          <w:sz w:val="24"/>
          <w:szCs w:val="24"/>
          <w:highlight w:val="none"/>
          <w14:textFill>
            <w14:solidFill>
              <w14:schemeClr w14:val="tx1"/>
            </w14:solidFill>
          </w14:textFill>
        </w:rPr>
        <w:t>以谎报事实或隐瞒真相的方法来影响对方当事人在合同签订、履行过程中的行为）的，对方当</w:t>
      </w:r>
      <w:r>
        <w:rPr>
          <w:rStyle w:val="231"/>
          <w:rFonts w:ascii="宋体" w:hAnsi="宋体"/>
          <w:sz w:val="24"/>
          <w:szCs w:val="24"/>
          <w:highlight w:val="none"/>
        </w:rPr>
        <w:t>事人可以书面通知违约方解除本合同；</w:t>
      </w:r>
    </w:p>
    <w:p w14:paraId="0940435C">
      <w:pPr>
        <w:spacing w:line="560" w:lineRule="exact"/>
        <w:ind w:firstLine="480"/>
        <w:rPr>
          <w:rStyle w:val="231"/>
          <w:rFonts w:ascii="宋体" w:hAnsi="宋体"/>
          <w:sz w:val="24"/>
          <w:szCs w:val="24"/>
          <w:highlight w:val="none"/>
        </w:rPr>
      </w:pPr>
      <w:r>
        <w:rPr>
          <w:rStyle w:val="231"/>
          <w:rFonts w:ascii="宋体" w:hAnsi="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DD1A70D">
      <w:pPr>
        <w:spacing w:line="560" w:lineRule="exact"/>
        <w:ind w:firstLine="480"/>
        <w:rPr>
          <w:rStyle w:val="231"/>
          <w:rFonts w:ascii="宋体" w:hAnsi="宋体"/>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52452935">
      <w:pPr>
        <w:spacing w:line="560" w:lineRule="exact"/>
        <w:ind w:firstLine="480"/>
        <w:rPr>
          <w:rStyle w:val="231"/>
          <w:rFonts w:ascii="宋体" w:hAnsi="宋体"/>
          <w:sz w:val="24"/>
          <w:szCs w:val="24"/>
          <w:highlight w:val="none"/>
        </w:rPr>
      </w:pPr>
      <w:r>
        <w:rPr>
          <w:rStyle w:val="231"/>
          <w:rFonts w:ascii="宋体" w:hAnsi="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9E59FB3">
      <w:pPr>
        <w:spacing w:line="560" w:lineRule="exact"/>
        <w:ind w:firstLine="480"/>
        <w:rPr>
          <w:rStyle w:val="231"/>
          <w:rFonts w:ascii="宋体" w:hAnsi="宋体"/>
          <w:sz w:val="24"/>
          <w:szCs w:val="24"/>
          <w:highlight w:val="none"/>
        </w:rPr>
      </w:pPr>
      <w:r>
        <w:rPr>
          <w:rStyle w:val="231"/>
          <w:rFonts w:ascii="宋体" w:hAnsi="宋体"/>
          <w:sz w:val="24"/>
          <w:szCs w:val="24"/>
          <w:highlight w:val="none"/>
        </w:rPr>
        <w:t>1.6.7 如果出现政府采购监督管理部门在处理投诉事项期间，书面通知甲方暂停采购活动的情形，或者询问或质疑事项可能影响</w:t>
      </w:r>
      <w:r>
        <w:rPr>
          <w:rStyle w:val="231"/>
          <w:rFonts w:hint="eastAsia" w:ascii="宋体" w:hAnsi="宋体"/>
          <w:sz w:val="24"/>
          <w:szCs w:val="24"/>
          <w:highlight w:val="none"/>
          <w:lang w:eastAsia="zh-CN"/>
        </w:rPr>
        <w:t>中标</w:t>
      </w:r>
      <w:r>
        <w:rPr>
          <w:rStyle w:val="231"/>
          <w:rFonts w:ascii="宋体" w:hAnsi="宋体"/>
          <w:sz w:val="24"/>
          <w:szCs w:val="24"/>
          <w:highlight w:val="none"/>
        </w:rPr>
        <w:t>结果的，导致甲方中止履行合同的情形，均不视为甲方违约。</w:t>
      </w:r>
    </w:p>
    <w:p w14:paraId="4D11C9BD">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1.7 合同争议的解决</w:t>
      </w:r>
    </w:p>
    <w:p w14:paraId="2E2F3944">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因货物的质量问题发生争议的，应当邀请国家认可的质量检测机构对货物质量进行鉴定。符合标准的，鉴定费由甲方承担；不符合质量标准的，鉴定费由乙方承担。</w:t>
      </w:r>
    </w:p>
    <w:p w14:paraId="5CF815C8">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 xml:space="preserve">1.7.2 </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325CAA9D">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1.8 合同生效</w:t>
      </w:r>
    </w:p>
    <w:p w14:paraId="0B10F3EB">
      <w:pPr>
        <w:spacing w:line="560" w:lineRule="exact"/>
        <w:ind w:firstLine="480"/>
        <w:rPr>
          <w:rStyle w:val="231"/>
          <w:rFonts w:ascii="宋体" w:hAnsi="宋体"/>
          <w:sz w:val="24"/>
          <w:highlight w:val="none"/>
        </w:rPr>
      </w:pPr>
      <w:r>
        <w:rPr>
          <w:rStyle w:val="231"/>
          <w:rFonts w:ascii="宋体" w:hAnsi="宋体"/>
          <w:sz w:val="24"/>
          <w:highlight w:val="none"/>
        </w:rPr>
        <w:t>1.8.1 本合同</w:t>
      </w:r>
      <w:r>
        <w:rPr>
          <w:rStyle w:val="231"/>
          <w:rFonts w:ascii="宋体" w:hAnsi="宋体"/>
          <w:sz w:val="24"/>
          <w:highlight w:val="none"/>
          <w:lang w:val="zh-CN"/>
        </w:rPr>
        <w:t>经甲乙双方代表签字并加盖公章（或合同章）后即生效。</w:t>
      </w:r>
    </w:p>
    <w:p w14:paraId="781BA585">
      <w:pPr>
        <w:spacing w:line="560" w:lineRule="exact"/>
        <w:ind w:firstLine="480"/>
        <w:rPr>
          <w:rStyle w:val="231"/>
          <w:rFonts w:ascii="宋体" w:hAnsi="宋体"/>
          <w:sz w:val="24"/>
          <w:highlight w:val="none"/>
        </w:rPr>
      </w:pPr>
      <w:r>
        <w:rPr>
          <w:rStyle w:val="231"/>
          <w:rFonts w:ascii="宋体" w:hAnsi="宋体"/>
          <w:sz w:val="24"/>
          <w:highlight w:val="none"/>
        </w:rPr>
        <w:t>1.8.2 本合同一式肆份，供需双方各持一份，报送财政监管部门备案、</w:t>
      </w:r>
      <w:r>
        <w:rPr>
          <w:rStyle w:val="231"/>
          <w:rFonts w:hint="eastAsia" w:ascii="宋体" w:hAnsi="宋体"/>
          <w:sz w:val="24"/>
          <w:highlight w:val="none"/>
          <w:lang w:eastAsia="zh-CN"/>
        </w:rPr>
        <w:t>江苏宏翔工程造价咨询有限公司</w:t>
      </w:r>
      <w:r>
        <w:rPr>
          <w:rStyle w:val="231"/>
          <w:rFonts w:ascii="宋体" w:hAnsi="宋体"/>
          <w:sz w:val="24"/>
          <w:highlight w:val="none"/>
        </w:rPr>
        <w:t>存档各一份。</w:t>
      </w:r>
    </w:p>
    <w:p w14:paraId="7166FE1B">
      <w:pPr>
        <w:spacing w:line="560" w:lineRule="exact"/>
        <w:ind w:firstLine="480"/>
        <w:rPr>
          <w:rStyle w:val="231"/>
          <w:rFonts w:ascii="宋体" w:hAnsi="宋体"/>
          <w:sz w:val="24"/>
          <w:highlight w:val="none"/>
          <w:lang w:val="zh-CN"/>
        </w:rPr>
      </w:pPr>
    </w:p>
    <w:tbl>
      <w:tblPr>
        <w:tblStyle w:val="33"/>
        <w:tblW w:w="9280" w:type="dxa"/>
        <w:jc w:val="center"/>
        <w:tblLayout w:type="fixed"/>
        <w:tblCellMar>
          <w:top w:w="0" w:type="dxa"/>
          <w:left w:w="0" w:type="dxa"/>
          <w:bottom w:w="0" w:type="dxa"/>
          <w:right w:w="0" w:type="dxa"/>
        </w:tblCellMar>
      </w:tblPr>
      <w:tblGrid>
        <w:gridCol w:w="4640"/>
        <w:gridCol w:w="4640"/>
      </w:tblGrid>
      <w:tr w14:paraId="7684CF2C">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639416B8">
            <w:pPr>
              <w:spacing w:line="240" w:lineRule="auto"/>
              <w:jc w:val="both"/>
              <w:rPr>
                <w:rStyle w:val="231"/>
                <w:rFonts w:ascii="宋体"/>
                <w:sz w:val="24"/>
                <w:szCs w:val="24"/>
                <w:highlight w:val="none"/>
                <w:lang w:val="zh-CN"/>
              </w:rPr>
            </w:pPr>
            <w:r>
              <w:rPr>
                <w:rStyle w:val="231"/>
                <w:rFonts w:ascii="宋体" w:hAnsi="宋体"/>
                <w:sz w:val="24"/>
                <w:szCs w:val="24"/>
                <w:highlight w:val="none"/>
                <w:lang w:val="zh-CN"/>
              </w:rPr>
              <w:t>甲方（采购人）：</w:t>
            </w:r>
            <w:r>
              <w:rPr>
                <w:rStyle w:val="231"/>
                <w:rFonts w:hint="eastAsia" w:ascii="宋体" w:hAnsi="宋体"/>
                <w:sz w:val="24"/>
                <w:szCs w:val="24"/>
                <w:highlight w:val="none"/>
                <w:lang w:val="en-US" w:eastAsia="zh-CN"/>
              </w:rPr>
              <w:t xml:space="preserve">             </w:t>
            </w:r>
            <w:r>
              <w:rPr>
                <w:rStyle w:val="231"/>
                <w:rFonts w:ascii="宋体" w:hAnsi="宋体"/>
                <w:sz w:val="24"/>
                <w:szCs w:val="24"/>
                <w:highlight w:val="none"/>
                <w:lang w:val="zh-CN"/>
              </w:rPr>
              <w:t>（盖章）</w:t>
            </w:r>
          </w:p>
        </w:tc>
        <w:tc>
          <w:tcPr>
            <w:tcW w:w="4640" w:type="dxa"/>
            <w:tcBorders>
              <w:top w:val="nil"/>
              <w:left w:val="nil"/>
              <w:bottom w:val="nil"/>
              <w:right w:val="nil"/>
            </w:tcBorders>
            <w:noWrap w:val="0"/>
            <w:vAlign w:val="center"/>
          </w:tcPr>
          <w:p w14:paraId="55297E79">
            <w:pPr>
              <w:spacing w:line="240" w:lineRule="auto"/>
              <w:jc w:val="both"/>
              <w:rPr>
                <w:rStyle w:val="231"/>
                <w:rFonts w:ascii="宋体"/>
                <w:sz w:val="24"/>
                <w:szCs w:val="24"/>
                <w:highlight w:val="none"/>
                <w:lang w:val="zh-CN"/>
              </w:rPr>
            </w:pPr>
            <w:r>
              <w:rPr>
                <w:rStyle w:val="231"/>
                <w:rFonts w:ascii="宋体" w:hAnsi="宋体"/>
                <w:sz w:val="24"/>
                <w:szCs w:val="24"/>
                <w:highlight w:val="none"/>
                <w:lang w:val="zh-CN"/>
              </w:rPr>
              <w:t>乙方（供应商）：</w:t>
            </w:r>
            <w:r>
              <w:rPr>
                <w:rStyle w:val="231"/>
                <w:rFonts w:hint="eastAsia" w:ascii="宋体" w:hAnsi="宋体"/>
                <w:sz w:val="24"/>
                <w:szCs w:val="24"/>
                <w:highlight w:val="none"/>
                <w:lang w:val="en-US" w:eastAsia="zh-CN"/>
              </w:rPr>
              <w:t xml:space="preserve">             </w:t>
            </w:r>
            <w:r>
              <w:rPr>
                <w:rStyle w:val="231"/>
                <w:rFonts w:ascii="宋体" w:hAnsi="宋体"/>
                <w:sz w:val="24"/>
                <w:szCs w:val="24"/>
                <w:highlight w:val="none"/>
                <w:lang w:val="zh-CN"/>
              </w:rPr>
              <w:t>（盖章）</w:t>
            </w:r>
          </w:p>
        </w:tc>
      </w:tr>
      <w:tr w14:paraId="2C8C3680">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36A45EFF">
            <w:pPr>
              <w:spacing w:line="240" w:lineRule="auto"/>
              <w:jc w:val="both"/>
              <w:rPr>
                <w:rStyle w:val="231"/>
                <w:rFonts w:ascii="宋体"/>
                <w:sz w:val="24"/>
                <w:szCs w:val="24"/>
                <w:highlight w:val="none"/>
                <w:lang w:val="zh-CN"/>
              </w:rPr>
            </w:pPr>
            <w:r>
              <w:rPr>
                <w:rStyle w:val="231"/>
                <w:rFonts w:hint="eastAsia" w:ascii="宋体"/>
                <w:sz w:val="24"/>
                <w:szCs w:val="24"/>
                <w:highlight w:val="none"/>
                <w:lang w:val="en-US" w:eastAsia="zh-CN"/>
              </w:rPr>
              <w:t>地址</w:t>
            </w:r>
            <w:r>
              <w:rPr>
                <w:rStyle w:val="231"/>
                <w:rFonts w:ascii="宋体"/>
                <w:sz w:val="24"/>
                <w:szCs w:val="24"/>
                <w:highlight w:val="none"/>
                <w:lang w:val="zh-CN"/>
              </w:rPr>
              <w:t>：</w:t>
            </w:r>
          </w:p>
        </w:tc>
        <w:tc>
          <w:tcPr>
            <w:tcW w:w="4640" w:type="dxa"/>
            <w:tcBorders>
              <w:top w:val="nil"/>
              <w:left w:val="nil"/>
              <w:bottom w:val="nil"/>
              <w:right w:val="nil"/>
            </w:tcBorders>
            <w:noWrap w:val="0"/>
            <w:vAlign w:val="center"/>
          </w:tcPr>
          <w:p w14:paraId="5C031544">
            <w:pPr>
              <w:spacing w:line="240" w:lineRule="auto"/>
              <w:jc w:val="both"/>
              <w:rPr>
                <w:rStyle w:val="231"/>
                <w:rFonts w:ascii="宋体"/>
                <w:sz w:val="24"/>
                <w:szCs w:val="24"/>
                <w:highlight w:val="none"/>
                <w:lang w:val="zh-CN"/>
              </w:rPr>
            </w:pPr>
            <w:r>
              <w:rPr>
                <w:rStyle w:val="231"/>
                <w:rFonts w:hint="eastAsia" w:ascii="宋体"/>
                <w:sz w:val="24"/>
                <w:szCs w:val="24"/>
                <w:highlight w:val="none"/>
                <w:lang w:val="en-US" w:eastAsia="zh-CN"/>
              </w:rPr>
              <w:t>地址</w:t>
            </w:r>
            <w:r>
              <w:rPr>
                <w:rStyle w:val="231"/>
                <w:rFonts w:ascii="宋体"/>
                <w:sz w:val="24"/>
                <w:szCs w:val="24"/>
                <w:highlight w:val="none"/>
                <w:lang w:val="zh-CN"/>
              </w:rPr>
              <w:t>：</w:t>
            </w:r>
          </w:p>
        </w:tc>
      </w:tr>
      <w:tr w14:paraId="6B3173ED">
        <w:tblPrEx>
          <w:tblCellMar>
            <w:top w:w="0" w:type="dxa"/>
            <w:left w:w="0" w:type="dxa"/>
            <w:bottom w:w="0" w:type="dxa"/>
            <w:right w:w="0" w:type="dxa"/>
          </w:tblCellMar>
        </w:tblPrEx>
        <w:trPr>
          <w:trHeight w:val="937" w:hRule="atLeast"/>
          <w:jc w:val="center"/>
        </w:trPr>
        <w:tc>
          <w:tcPr>
            <w:tcW w:w="4640" w:type="dxa"/>
            <w:tcBorders>
              <w:top w:val="nil"/>
              <w:left w:val="nil"/>
              <w:bottom w:val="nil"/>
              <w:right w:val="nil"/>
            </w:tcBorders>
            <w:noWrap w:val="0"/>
            <w:vAlign w:val="center"/>
          </w:tcPr>
          <w:p w14:paraId="5FA35CF1">
            <w:pPr>
              <w:spacing w:line="240" w:lineRule="auto"/>
              <w:jc w:val="both"/>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w:t>
            </w:r>
          </w:p>
          <w:p w14:paraId="1C22D10B">
            <w:pPr>
              <w:spacing w:line="240" w:lineRule="auto"/>
              <w:jc w:val="both"/>
              <w:rPr>
                <w:rStyle w:val="231"/>
                <w:rFonts w:ascii="宋体"/>
                <w:sz w:val="24"/>
                <w:szCs w:val="24"/>
                <w:highlight w:val="none"/>
              </w:rPr>
            </w:pPr>
            <w:r>
              <w:rPr>
                <w:rFonts w:hint="eastAsia" w:ascii="宋体" w:hAnsi="宋体" w:cs="宋体"/>
                <w:color w:val="auto"/>
                <w:sz w:val="24"/>
                <w:szCs w:val="24"/>
                <w:highlight w:val="none"/>
                <w:lang w:val="zh-CN"/>
              </w:rPr>
              <w:t>授权代表（签字）</w:t>
            </w:r>
            <w:r>
              <w:rPr>
                <w:rStyle w:val="231"/>
                <w:rFonts w:ascii="宋体" w:hAnsi="宋体"/>
                <w:sz w:val="24"/>
                <w:szCs w:val="24"/>
                <w:highlight w:val="none"/>
                <w:lang w:val="zh-CN"/>
              </w:rPr>
              <w:t>：</w:t>
            </w:r>
          </w:p>
        </w:tc>
        <w:tc>
          <w:tcPr>
            <w:tcW w:w="4640" w:type="dxa"/>
            <w:tcBorders>
              <w:top w:val="nil"/>
              <w:left w:val="nil"/>
              <w:bottom w:val="nil"/>
              <w:right w:val="nil"/>
            </w:tcBorders>
            <w:noWrap w:val="0"/>
            <w:vAlign w:val="center"/>
          </w:tcPr>
          <w:p w14:paraId="5FBF2C77">
            <w:pPr>
              <w:spacing w:line="240" w:lineRule="auto"/>
              <w:jc w:val="both"/>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w:t>
            </w:r>
          </w:p>
          <w:p w14:paraId="236D65C4">
            <w:pPr>
              <w:spacing w:line="240" w:lineRule="auto"/>
              <w:jc w:val="both"/>
              <w:rPr>
                <w:rStyle w:val="231"/>
                <w:rFonts w:ascii="宋体"/>
                <w:sz w:val="24"/>
                <w:szCs w:val="24"/>
                <w:highlight w:val="none"/>
              </w:rPr>
            </w:pPr>
            <w:r>
              <w:rPr>
                <w:rFonts w:hint="eastAsia" w:ascii="宋体" w:hAnsi="宋体" w:cs="宋体"/>
                <w:color w:val="auto"/>
                <w:sz w:val="24"/>
                <w:szCs w:val="24"/>
                <w:highlight w:val="none"/>
                <w:lang w:val="zh-CN"/>
              </w:rPr>
              <w:t>授权代表（签字）</w:t>
            </w:r>
            <w:r>
              <w:rPr>
                <w:rStyle w:val="231"/>
                <w:rFonts w:ascii="宋体" w:hAnsi="宋体"/>
                <w:sz w:val="24"/>
                <w:szCs w:val="24"/>
                <w:highlight w:val="none"/>
                <w:lang w:val="zh-CN"/>
              </w:rPr>
              <w:t>：</w:t>
            </w:r>
          </w:p>
        </w:tc>
      </w:tr>
      <w:tr w14:paraId="5F01496A">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56037EF9">
            <w:pPr>
              <w:spacing w:line="240" w:lineRule="auto"/>
              <w:jc w:val="both"/>
              <w:rPr>
                <w:rStyle w:val="231"/>
                <w:rFonts w:ascii="宋体" w:hAnsi="宋体"/>
                <w:sz w:val="24"/>
                <w:szCs w:val="24"/>
                <w:highlight w:val="none"/>
                <w:lang w:val="zh-CN"/>
              </w:rPr>
            </w:pPr>
            <w:r>
              <w:rPr>
                <w:rFonts w:hint="eastAsia" w:ascii="宋体" w:hAnsi="宋体" w:cs="宋体"/>
                <w:color w:val="auto"/>
                <w:sz w:val="24"/>
                <w:szCs w:val="24"/>
                <w:highlight w:val="none"/>
                <w:lang w:val="zh-CN"/>
              </w:rPr>
              <w:t xml:space="preserve">联系人：  </w:t>
            </w:r>
          </w:p>
        </w:tc>
        <w:tc>
          <w:tcPr>
            <w:tcW w:w="4640" w:type="dxa"/>
            <w:tcBorders>
              <w:top w:val="nil"/>
              <w:left w:val="nil"/>
              <w:bottom w:val="nil"/>
              <w:right w:val="nil"/>
            </w:tcBorders>
            <w:noWrap w:val="0"/>
            <w:vAlign w:val="center"/>
          </w:tcPr>
          <w:p w14:paraId="29802741">
            <w:pPr>
              <w:spacing w:line="240" w:lineRule="auto"/>
              <w:jc w:val="both"/>
              <w:rPr>
                <w:rStyle w:val="231"/>
                <w:rFonts w:ascii="宋体" w:hAnsi="宋体"/>
                <w:sz w:val="24"/>
                <w:szCs w:val="24"/>
                <w:highlight w:val="none"/>
                <w:lang w:val="zh-CN"/>
              </w:rPr>
            </w:pPr>
            <w:r>
              <w:rPr>
                <w:rFonts w:hint="eastAsia" w:ascii="宋体" w:hAnsi="宋体" w:cs="宋体"/>
                <w:color w:val="auto"/>
                <w:sz w:val="24"/>
                <w:szCs w:val="24"/>
                <w:highlight w:val="none"/>
                <w:lang w:val="zh-CN"/>
              </w:rPr>
              <w:t xml:space="preserve">联系人：  </w:t>
            </w:r>
          </w:p>
        </w:tc>
      </w:tr>
      <w:tr w14:paraId="40E0541A">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51B006FC">
            <w:pPr>
              <w:spacing w:line="240" w:lineRule="auto"/>
              <w:jc w:val="both"/>
              <w:rPr>
                <w:rStyle w:val="231"/>
                <w:rFonts w:ascii="宋体"/>
                <w:sz w:val="24"/>
                <w:szCs w:val="24"/>
                <w:highlight w:val="none"/>
              </w:rPr>
            </w:pPr>
            <w:r>
              <w:rPr>
                <w:rStyle w:val="231"/>
                <w:rFonts w:ascii="宋体" w:hAnsi="宋体"/>
                <w:sz w:val="24"/>
                <w:szCs w:val="24"/>
                <w:highlight w:val="none"/>
                <w:lang w:val="zh-CN"/>
              </w:rPr>
              <w:t>电话：</w:t>
            </w:r>
          </w:p>
        </w:tc>
        <w:tc>
          <w:tcPr>
            <w:tcW w:w="4640" w:type="dxa"/>
            <w:tcBorders>
              <w:top w:val="nil"/>
              <w:left w:val="nil"/>
              <w:bottom w:val="nil"/>
              <w:right w:val="nil"/>
            </w:tcBorders>
            <w:noWrap w:val="0"/>
            <w:vAlign w:val="center"/>
          </w:tcPr>
          <w:p w14:paraId="07782435">
            <w:pPr>
              <w:spacing w:line="240" w:lineRule="auto"/>
              <w:jc w:val="both"/>
              <w:rPr>
                <w:rStyle w:val="231"/>
                <w:rFonts w:ascii="宋体"/>
                <w:sz w:val="24"/>
                <w:szCs w:val="24"/>
                <w:highlight w:val="none"/>
              </w:rPr>
            </w:pPr>
            <w:r>
              <w:rPr>
                <w:rStyle w:val="231"/>
                <w:rFonts w:ascii="宋体" w:hAnsi="宋体"/>
                <w:sz w:val="24"/>
                <w:szCs w:val="24"/>
                <w:highlight w:val="none"/>
                <w:lang w:val="zh-CN"/>
              </w:rPr>
              <w:t>电话：</w:t>
            </w:r>
          </w:p>
        </w:tc>
      </w:tr>
      <w:tr w14:paraId="54B50D51">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7E4D0650">
            <w:pPr>
              <w:spacing w:line="240" w:lineRule="auto"/>
              <w:jc w:val="both"/>
              <w:rPr>
                <w:rStyle w:val="231"/>
                <w:rFonts w:ascii="宋体"/>
                <w:sz w:val="24"/>
                <w:szCs w:val="24"/>
                <w:highlight w:val="none"/>
              </w:rPr>
            </w:pPr>
            <w:r>
              <w:rPr>
                <w:rStyle w:val="231"/>
                <w:rFonts w:ascii="宋体" w:hAnsi="宋体"/>
                <w:sz w:val="24"/>
                <w:szCs w:val="24"/>
                <w:highlight w:val="none"/>
                <w:lang w:val="zh-CN"/>
              </w:rPr>
              <w:t>开户银行：</w:t>
            </w:r>
          </w:p>
        </w:tc>
        <w:tc>
          <w:tcPr>
            <w:tcW w:w="4640" w:type="dxa"/>
            <w:tcBorders>
              <w:top w:val="nil"/>
              <w:left w:val="nil"/>
              <w:bottom w:val="nil"/>
              <w:right w:val="nil"/>
            </w:tcBorders>
            <w:noWrap w:val="0"/>
            <w:vAlign w:val="center"/>
          </w:tcPr>
          <w:p w14:paraId="58FE7EFC">
            <w:pPr>
              <w:spacing w:line="240" w:lineRule="auto"/>
              <w:jc w:val="both"/>
              <w:rPr>
                <w:rStyle w:val="231"/>
                <w:rFonts w:ascii="宋体"/>
                <w:sz w:val="24"/>
                <w:szCs w:val="24"/>
                <w:highlight w:val="none"/>
              </w:rPr>
            </w:pPr>
            <w:r>
              <w:rPr>
                <w:rStyle w:val="231"/>
                <w:rFonts w:ascii="宋体" w:hAnsi="宋体"/>
                <w:sz w:val="24"/>
                <w:szCs w:val="24"/>
                <w:highlight w:val="none"/>
                <w:lang w:val="zh-CN"/>
              </w:rPr>
              <w:t>开户银行：</w:t>
            </w:r>
          </w:p>
        </w:tc>
      </w:tr>
      <w:tr w14:paraId="671EC154">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1EBF4034">
            <w:pPr>
              <w:spacing w:line="240" w:lineRule="auto"/>
              <w:jc w:val="both"/>
              <w:rPr>
                <w:rStyle w:val="231"/>
                <w:rFonts w:ascii="宋体" w:hAnsi="宋体"/>
                <w:sz w:val="24"/>
                <w:szCs w:val="24"/>
                <w:highlight w:val="none"/>
                <w:lang w:val="zh-CN"/>
              </w:rPr>
            </w:pPr>
            <w:r>
              <w:rPr>
                <w:rFonts w:hint="eastAsia" w:ascii="宋体" w:hAnsi="宋体" w:cs="宋体"/>
                <w:color w:val="auto"/>
                <w:sz w:val="24"/>
                <w:szCs w:val="24"/>
                <w:highlight w:val="none"/>
              </w:rPr>
              <w:t>开户名称：</w:t>
            </w:r>
          </w:p>
        </w:tc>
        <w:tc>
          <w:tcPr>
            <w:tcW w:w="4640" w:type="dxa"/>
            <w:tcBorders>
              <w:top w:val="nil"/>
              <w:left w:val="nil"/>
              <w:bottom w:val="nil"/>
              <w:right w:val="nil"/>
            </w:tcBorders>
            <w:noWrap w:val="0"/>
            <w:vAlign w:val="center"/>
          </w:tcPr>
          <w:p w14:paraId="05B7F855">
            <w:pPr>
              <w:spacing w:line="240" w:lineRule="auto"/>
              <w:jc w:val="both"/>
              <w:rPr>
                <w:rStyle w:val="231"/>
                <w:rFonts w:ascii="宋体" w:hAnsi="宋体"/>
                <w:sz w:val="24"/>
                <w:szCs w:val="24"/>
                <w:highlight w:val="none"/>
                <w:lang w:val="zh-CN"/>
              </w:rPr>
            </w:pPr>
            <w:r>
              <w:rPr>
                <w:rFonts w:hint="eastAsia" w:ascii="宋体" w:hAnsi="宋体" w:cs="宋体"/>
                <w:color w:val="auto"/>
                <w:sz w:val="24"/>
                <w:szCs w:val="24"/>
                <w:highlight w:val="none"/>
              </w:rPr>
              <w:t>开户名称：</w:t>
            </w:r>
          </w:p>
        </w:tc>
      </w:tr>
      <w:tr w14:paraId="705F8C1D">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5634D49B">
            <w:pPr>
              <w:spacing w:line="240" w:lineRule="auto"/>
              <w:jc w:val="both"/>
              <w:rPr>
                <w:rStyle w:val="231"/>
                <w:rFonts w:ascii="宋体"/>
                <w:sz w:val="24"/>
                <w:szCs w:val="24"/>
                <w:highlight w:val="none"/>
              </w:rPr>
            </w:pPr>
            <w:r>
              <w:rPr>
                <w:rStyle w:val="231"/>
                <w:rFonts w:ascii="宋体" w:hAnsi="宋体"/>
                <w:sz w:val="24"/>
                <w:szCs w:val="24"/>
                <w:highlight w:val="none"/>
                <w:lang w:val="zh-CN"/>
              </w:rPr>
              <w:t>账号：</w:t>
            </w:r>
          </w:p>
        </w:tc>
        <w:tc>
          <w:tcPr>
            <w:tcW w:w="4640" w:type="dxa"/>
            <w:tcBorders>
              <w:top w:val="nil"/>
              <w:left w:val="nil"/>
              <w:bottom w:val="nil"/>
              <w:right w:val="nil"/>
            </w:tcBorders>
            <w:noWrap w:val="0"/>
            <w:vAlign w:val="center"/>
          </w:tcPr>
          <w:p w14:paraId="069C1503">
            <w:pPr>
              <w:spacing w:line="240" w:lineRule="auto"/>
              <w:jc w:val="both"/>
              <w:rPr>
                <w:rStyle w:val="231"/>
                <w:rFonts w:ascii="宋体" w:hAnsi="宋体"/>
                <w:sz w:val="24"/>
                <w:szCs w:val="24"/>
                <w:highlight w:val="none"/>
                <w:lang w:val="zh-CN"/>
              </w:rPr>
            </w:pPr>
            <w:r>
              <w:rPr>
                <w:rStyle w:val="231"/>
                <w:rFonts w:ascii="宋体" w:hAnsi="宋体"/>
                <w:sz w:val="24"/>
                <w:szCs w:val="24"/>
                <w:highlight w:val="none"/>
                <w:lang w:val="zh-CN"/>
              </w:rPr>
              <w:t>账号：</w:t>
            </w:r>
          </w:p>
        </w:tc>
      </w:tr>
      <w:tr w14:paraId="2CA06F2D">
        <w:tblPrEx>
          <w:tblCellMar>
            <w:top w:w="0" w:type="dxa"/>
            <w:left w:w="0" w:type="dxa"/>
            <w:bottom w:w="0" w:type="dxa"/>
            <w:right w:w="0" w:type="dxa"/>
          </w:tblCellMar>
        </w:tblPrEx>
        <w:trPr>
          <w:trHeight w:val="622" w:hRule="atLeast"/>
          <w:jc w:val="center"/>
        </w:trPr>
        <w:tc>
          <w:tcPr>
            <w:tcW w:w="4640" w:type="dxa"/>
            <w:tcBorders>
              <w:top w:val="nil"/>
              <w:left w:val="nil"/>
              <w:bottom w:val="nil"/>
              <w:right w:val="nil"/>
            </w:tcBorders>
            <w:noWrap w:val="0"/>
            <w:vAlign w:val="center"/>
          </w:tcPr>
          <w:p w14:paraId="518CC005">
            <w:pPr>
              <w:spacing w:line="240" w:lineRule="auto"/>
              <w:jc w:val="both"/>
              <w:rPr>
                <w:rStyle w:val="231"/>
                <w:rFonts w:ascii="宋体" w:hAnsi="宋体"/>
                <w:sz w:val="24"/>
                <w:szCs w:val="24"/>
                <w:highlight w:val="none"/>
                <w:lang w:val="zh-CN"/>
              </w:rPr>
            </w:pPr>
            <w:r>
              <w:rPr>
                <w:rStyle w:val="231"/>
                <w:rFonts w:ascii="宋体"/>
                <w:sz w:val="24"/>
                <w:szCs w:val="24"/>
                <w:highlight w:val="none"/>
                <w:lang w:val="zh-CN"/>
              </w:rPr>
              <w:t>日期：</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年</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月</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日</w:t>
            </w:r>
          </w:p>
        </w:tc>
        <w:tc>
          <w:tcPr>
            <w:tcW w:w="4640" w:type="dxa"/>
            <w:tcBorders>
              <w:top w:val="nil"/>
              <w:left w:val="nil"/>
              <w:bottom w:val="nil"/>
              <w:right w:val="nil"/>
            </w:tcBorders>
            <w:noWrap w:val="0"/>
            <w:vAlign w:val="center"/>
          </w:tcPr>
          <w:p w14:paraId="27717F1A">
            <w:pPr>
              <w:spacing w:line="240" w:lineRule="auto"/>
              <w:jc w:val="both"/>
              <w:rPr>
                <w:rStyle w:val="231"/>
                <w:rFonts w:ascii="宋体" w:hAnsi="宋体"/>
                <w:sz w:val="24"/>
                <w:szCs w:val="24"/>
                <w:highlight w:val="none"/>
                <w:lang w:val="zh-CN"/>
              </w:rPr>
            </w:pPr>
            <w:r>
              <w:rPr>
                <w:rStyle w:val="231"/>
                <w:rFonts w:ascii="宋体"/>
                <w:sz w:val="24"/>
                <w:szCs w:val="24"/>
                <w:highlight w:val="none"/>
                <w:lang w:val="zh-CN"/>
              </w:rPr>
              <w:t>日期：</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年</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月</w:t>
            </w:r>
            <w:r>
              <w:rPr>
                <w:rStyle w:val="231"/>
                <w:rFonts w:hint="eastAsia" w:ascii="宋体"/>
                <w:sz w:val="24"/>
                <w:szCs w:val="24"/>
                <w:highlight w:val="none"/>
                <w:lang w:val="en-US" w:eastAsia="zh-CN"/>
              </w:rPr>
              <w:t xml:space="preserve">    </w:t>
            </w:r>
            <w:r>
              <w:rPr>
                <w:rStyle w:val="231"/>
                <w:rFonts w:ascii="宋体"/>
                <w:sz w:val="24"/>
                <w:szCs w:val="24"/>
                <w:highlight w:val="none"/>
                <w:lang w:val="zh-CN"/>
              </w:rPr>
              <w:t>日</w:t>
            </w:r>
          </w:p>
        </w:tc>
      </w:tr>
    </w:tbl>
    <w:p w14:paraId="6C2F9A04">
      <w:pPr>
        <w:spacing w:line="560" w:lineRule="exact"/>
        <w:jc w:val="left"/>
        <w:rPr>
          <w:rStyle w:val="231"/>
          <w:rFonts w:ascii="宋体" w:hAnsi="宋体"/>
          <w:b/>
          <w:sz w:val="24"/>
          <w:szCs w:val="24"/>
          <w:highlight w:val="none"/>
        </w:rPr>
      </w:pPr>
    </w:p>
    <w:p w14:paraId="7A0BD4D7">
      <w:pPr>
        <w:spacing w:line="560" w:lineRule="exact"/>
        <w:jc w:val="left"/>
        <w:rPr>
          <w:rStyle w:val="231"/>
          <w:rFonts w:ascii="宋体" w:hAnsi="宋体"/>
          <w:b/>
          <w:sz w:val="24"/>
          <w:szCs w:val="24"/>
          <w:highlight w:val="none"/>
        </w:rPr>
      </w:pPr>
    </w:p>
    <w:p w14:paraId="48F0560B">
      <w:pPr>
        <w:spacing w:line="560" w:lineRule="exact"/>
        <w:jc w:val="left"/>
        <w:rPr>
          <w:rStyle w:val="231"/>
          <w:rFonts w:ascii="宋体" w:hAnsi="宋体"/>
          <w:b/>
          <w:sz w:val="24"/>
          <w:szCs w:val="24"/>
          <w:highlight w:val="none"/>
        </w:rPr>
      </w:pPr>
    </w:p>
    <w:p w14:paraId="562200BA">
      <w:pPr>
        <w:spacing w:line="560" w:lineRule="exact"/>
        <w:jc w:val="left"/>
        <w:rPr>
          <w:rStyle w:val="231"/>
          <w:rFonts w:ascii="宋体" w:hAnsi="宋体"/>
          <w:b/>
          <w:sz w:val="24"/>
          <w:szCs w:val="24"/>
          <w:highlight w:val="none"/>
        </w:rPr>
      </w:pPr>
    </w:p>
    <w:p w14:paraId="24B3399A">
      <w:pPr>
        <w:spacing w:line="560" w:lineRule="exact"/>
        <w:jc w:val="left"/>
        <w:rPr>
          <w:rStyle w:val="231"/>
          <w:rFonts w:ascii="宋体" w:hAnsi="宋体"/>
          <w:b/>
          <w:sz w:val="24"/>
          <w:szCs w:val="24"/>
          <w:highlight w:val="none"/>
        </w:rPr>
      </w:pPr>
    </w:p>
    <w:p w14:paraId="0FA33735">
      <w:pPr>
        <w:spacing w:line="560" w:lineRule="exact"/>
        <w:jc w:val="left"/>
        <w:rPr>
          <w:rStyle w:val="231"/>
          <w:rFonts w:ascii="宋体" w:hAnsi="宋体"/>
          <w:b/>
          <w:sz w:val="24"/>
          <w:szCs w:val="24"/>
          <w:highlight w:val="none"/>
        </w:rPr>
      </w:pPr>
    </w:p>
    <w:p w14:paraId="3EAE405C">
      <w:pPr>
        <w:spacing w:line="560" w:lineRule="exact"/>
        <w:jc w:val="left"/>
        <w:rPr>
          <w:rStyle w:val="231"/>
          <w:rFonts w:ascii="宋体" w:hAnsi="宋体"/>
          <w:b/>
          <w:sz w:val="24"/>
          <w:szCs w:val="24"/>
          <w:highlight w:val="none"/>
        </w:rPr>
      </w:pPr>
    </w:p>
    <w:p w14:paraId="410B228E">
      <w:pPr>
        <w:spacing w:line="560" w:lineRule="exact"/>
        <w:jc w:val="left"/>
        <w:rPr>
          <w:rStyle w:val="231"/>
          <w:rFonts w:ascii="宋体" w:hAnsi="宋体"/>
          <w:b/>
          <w:sz w:val="24"/>
          <w:szCs w:val="24"/>
          <w:highlight w:val="none"/>
        </w:rPr>
      </w:pPr>
    </w:p>
    <w:p w14:paraId="59263D69">
      <w:pPr>
        <w:spacing w:line="560" w:lineRule="exact"/>
        <w:jc w:val="left"/>
        <w:rPr>
          <w:rStyle w:val="231"/>
          <w:rFonts w:ascii="宋体" w:hAnsi="宋体"/>
          <w:b/>
          <w:sz w:val="24"/>
          <w:szCs w:val="24"/>
          <w:highlight w:val="none"/>
        </w:rPr>
      </w:pPr>
    </w:p>
    <w:p w14:paraId="296AD308">
      <w:pPr>
        <w:spacing w:line="560" w:lineRule="exact"/>
        <w:jc w:val="left"/>
        <w:rPr>
          <w:rStyle w:val="231"/>
          <w:rFonts w:ascii="宋体" w:hAnsi="宋体"/>
          <w:b/>
          <w:sz w:val="24"/>
          <w:szCs w:val="24"/>
          <w:highlight w:val="none"/>
        </w:rPr>
      </w:pPr>
    </w:p>
    <w:p w14:paraId="640CF0C5">
      <w:pPr>
        <w:spacing w:line="560" w:lineRule="exact"/>
        <w:jc w:val="left"/>
        <w:rPr>
          <w:rStyle w:val="231"/>
          <w:rFonts w:ascii="宋体" w:hAnsi="宋体"/>
          <w:b/>
          <w:sz w:val="24"/>
          <w:szCs w:val="24"/>
          <w:highlight w:val="none"/>
        </w:rPr>
      </w:pPr>
    </w:p>
    <w:p w14:paraId="78BF446A">
      <w:pPr>
        <w:spacing w:line="560" w:lineRule="exact"/>
        <w:jc w:val="left"/>
        <w:rPr>
          <w:rStyle w:val="231"/>
          <w:rFonts w:ascii="宋体" w:hAnsi="宋体"/>
          <w:b/>
          <w:sz w:val="24"/>
          <w:szCs w:val="24"/>
          <w:highlight w:val="none"/>
        </w:rPr>
      </w:pPr>
    </w:p>
    <w:p w14:paraId="3BC24D24">
      <w:pPr>
        <w:spacing w:line="560" w:lineRule="exact"/>
        <w:jc w:val="left"/>
        <w:rPr>
          <w:rStyle w:val="231"/>
          <w:rFonts w:ascii="宋体" w:hAnsi="宋体"/>
          <w:b/>
          <w:sz w:val="24"/>
          <w:szCs w:val="24"/>
          <w:highlight w:val="none"/>
        </w:rPr>
      </w:pPr>
    </w:p>
    <w:p w14:paraId="03B192DD">
      <w:pPr>
        <w:spacing w:line="560" w:lineRule="exact"/>
        <w:jc w:val="left"/>
        <w:rPr>
          <w:rStyle w:val="231"/>
          <w:rFonts w:ascii="宋体" w:hAnsi="宋体"/>
          <w:b/>
          <w:sz w:val="24"/>
          <w:szCs w:val="24"/>
          <w:highlight w:val="none"/>
        </w:rPr>
      </w:pPr>
    </w:p>
    <w:p w14:paraId="2D99FEDE">
      <w:pPr>
        <w:rPr>
          <w:rStyle w:val="231"/>
          <w:sz w:val="20"/>
          <w:highlight w:val="none"/>
        </w:rPr>
      </w:pPr>
    </w:p>
    <w:p w14:paraId="179094B0">
      <w:pPr>
        <w:spacing w:line="560" w:lineRule="exact"/>
        <w:ind w:firstLine="200"/>
        <w:jc w:val="center"/>
        <w:rPr>
          <w:rStyle w:val="231"/>
          <w:rFonts w:ascii="宋体" w:hAnsi="宋体"/>
          <w:b/>
          <w:sz w:val="24"/>
          <w:szCs w:val="24"/>
          <w:highlight w:val="none"/>
        </w:rPr>
      </w:pPr>
      <w:r>
        <w:rPr>
          <w:rStyle w:val="231"/>
          <w:rFonts w:ascii="宋体" w:hAnsi="宋体"/>
          <w:b/>
          <w:sz w:val="24"/>
          <w:szCs w:val="24"/>
          <w:highlight w:val="none"/>
        </w:rPr>
        <w:t>第二部分 合同一般条款</w:t>
      </w:r>
    </w:p>
    <w:p w14:paraId="443CC5D9">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 定义</w:t>
      </w:r>
    </w:p>
    <w:p w14:paraId="052CA9BB">
      <w:pPr>
        <w:spacing w:line="560" w:lineRule="exact"/>
        <w:ind w:firstLine="480"/>
        <w:rPr>
          <w:rStyle w:val="231"/>
          <w:rFonts w:ascii="宋体" w:hAnsi="宋体"/>
          <w:sz w:val="24"/>
          <w:szCs w:val="24"/>
          <w:highlight w:val="none"/>
        </w:rPr>
      </w:pPr>
      <w:r>
        <w:rPr>
          <w:rStyle w:val="231"/>
          <w:rFonts w:ascii="宋体" w:hAnsi="宋体"/>
          <w:sz w:val="24"/>
          <w:szCs w:val="24"/>
          <w:highlight w:val="none"/>
        </w:rPr>
        <w:t>本合同中的下列词语应按以下内容进行解释：</w:t>
      </w:r>
    </w:p>
    <w:p w14:paraId="56750488">
      <w:pPr>
        <w:spacing w:line="560" w:lineRule="exact"/>
        <w:ind w:firstLine="480"/>
        <w:rPr>
          <w:rStyle w:val="231"/>
          <w:rFonts w:ascii="宋体" w:hAnsi="宋体"/>
          <w:sz w:val="24"/>
          <w:szCs w:val="24"/>
          <w:highlight w:val="none"/>
        </w:rPr>
      </w:pPr>
      <w:r>
        <w:rPr>
          <w:rStyle w:val="231"/>
          <w:rFonts w:ascii="宋体" w:hAnsi="宋体"/>
          <w:sz w:val="24"/>
          <w:szCs w:val="24"/>
          <w:highlight w:val="none"/>
        </w:rPr>
        <w:t>2.1.1 “合同”系指采购人和</w:t>
      </w:r>
      <w:r>
        <w:rPr>
          <w:rStyle w:val="231"/>
          <w:rFonts w:hint="eastAsia" w:ascii="宋体" w:hAnsi="宋体"/>
          <w:sz w:val="24"/>
          <w:szCs w:val="24"/>
          <w:highlight w:val="none"/>
          <w:lang w:val="en-US" w:eastAsia="zh-CN"/>
        </w:rPr>
        <w:t>中标</w:t>
      </w:r>
      <w:r>
        <w:rPr>
          <w:rStyle w:val="231"/>
          <w:rFonts w:ascii="宋体" w:hAnsi="宋体"/>
          <w:sz w:val="24"/>
          <w:szCs w:val="24"/>
          <w:highlight w:val="none"/>
        </w:rPr>
        <w:t>供应商签订的载明双方当事人所达成的协议，并包括所有的附件、附录和构成合同的其他文件。</w:t>
      </w:r>
    </w:p>
    <w:p w14:paraId="350F5665">
      <w:pPr>
        <w:spacing w:line="560" w:lineRule="exact"/>
        <w:ind w:firstLine="480"/>
        <w:rPr>
          <w:rStyle w:val="231"/>
          <w:rFonts w:ascii="宋体" w:hAnsi="宋体"/>
          <w:sz w:val="24"/>
          <w:szCs w:val="24"/>
          <w:highlight w:val="none"/>
        </w:rPr>
      </w:pPr>
      <w:r>
        <w:rPr>
          <w:rStyle w:val="231"/>
          <w:rFonts w:ascii="宋体" w:hAnsi="宋体"/>
          <w:sz w:val="24"/>
          <w:szCs w:val="24"/>
          <w:highlight w:val="none"/>
        </w:rPr>
        <w:t>2.1.2 “合同价”系指根据合同约定，</w:t>
      </w:r>
      <w:r>
        <w:rPr>
          <w:rStyle w:val="231"/>
          <w:rFonts w:hint="eastAsia" w:ascii="宋体" w:hAnsi="宋体"/>
          <w:sz w:val="24"/>
          <w:szCs w:val="24"/>
          <w:highlight w:val="none"/>
          <w:lang w:val="en-US" w:eastAsia="zh-CN"/>
        </w:rPr>
        <w:t>中标</w:t>
      </w:r>
      <w:r>
        <w:rPr>
          <w:rStyle w:val="231"/>
          <w:rFonts w:ascii="宋体" w:hAnsi="宋体"/>
          <w:sz w:val="24"/>
          <w:szCs w:val="24"/>
          <w:highlight w:val="none"/>
        </w:rPr>
        <w:t>供应商在完全履行合同义务后，采购人应支付给</w:t>
      </w:r>
      <w:r>
        <w:rPr>
          <w:rStyle w:val="231"/>
          <w:rFonts w:hint="eastAsia" w:ascii="宋体" w:hAnsi="宋体"/>
          <w:sz w:val="24"/>
          <w:szCs w:val="24"/>
          <w:highlight w:val="none"/>
          <w:lang w:val="en-US" w:eastAsia="zh-CN"/>
        </w:rPr>
        <w:t>中标</w:t>
      </w:r>
      <w:r>
        <w:rPr>
          <w:rStyle w:val="231"/>
          <w:rFonts w:ascii="宋体" w:hAnsi="宋体"/>
          <w:sz w:val="24"/>
          <w:szCs w:val="24"/>
          <w:highlight w:val="none"/>
        </w:rPr>
        <w:t>供应商的价格。</w:t>
      </w:r>
    </w:p>
    <w:p w14:paraId="40ED3F37">
      <w:pPr>
        <w:spacing w:line="560" w:lineRule="exact"/>
        <w:ind w:firstLine="480"/>
        <w:rPr>
          <w:rStyle w:val="231"/>
          <w:rFonts w:ascii="宋体" w:hAnsi="宋体"/>
          <w:sz w:val="24"/>
          <w:szCs w:val="24"/>
          <w:highlight w:val="none"/>
        </w:rPr>
      </w:pPr>
      <w:r>
        <w:rPr>
          <w:rStyle w:val="231"/>
          <w:rFonts w:ascii="宋体" w:hAnsi="宋体"/>
          <w:sz w:val="24"/>
          <w:szCs w:val="24"/>
          <w:highlight w:val="none"/>
        </w:rPr>
        <w:t xml:space="preserve">2.1.3 </w:t>
      </w:r>
      <w:r>
        <w:rPr>
          <w:rFonts w:hint="eastAsia" w:ascii="宋体" w:hAnsi="宋体" w:cs="宋体"/>
          <w:color w:val="000000"/>
          <w:sz w:val="24"/>
          <w:highlight w:val="none"/>
        </w:rPr>
        <w:t>“货物”系指中标供应商根据合同约定应向采购人交付的一切各种形态和种类的物品，包括原材料、燃料、设备、机械、仪表、备件、计算机软件、产品等，并包括工具、手册等其他相关资料。</w:t>
      </w:r>
    </w:p>
    <w:p w14:paraId="28D46941">
      <w:pPr>
        <w:spacing w:line="560" w:lineRule="exact"/>
        <w:ind w:firstLine="480"/>
        <w:rPr>
          <w:rStyle w:val="231"/>
          <w:rFonts w:ascii="宋体" w:hAnsi="宋体"/>
          <w:sz w:val="24"/>
          <w:szCs w:val="24"/>
          <w:highlight w:val="none"/>
        </w:rPr>
      </w:pPr>
      <w:r>
        <w:rPr>
          <w:rStyle w:val="231"/>
          <w:rFonts w:ascii="宋体" w:hAnsi="宋体"/>
          <w:sz w:val="24"/>
          <w:szCs w:val="24"/>
          <w:highlight w:val="none"/>
        </w:rPr>
        <w:t>2.1.4 “甲方”系指与</w:t>
      </w:r>
      <w:r>
        <w:rPr>
          <w:rStyle w:val="231"/>
          <w:rFonts w:hint="eastAsia" w:ascii="宋体" w:hAnsi="宋体"/>
          <w:sz w:val="24"/>
          <w:szCs w:val="24"/>
          <w:highlight w:val="none"/>
          <w:lang w:eastAsia="zh-CN"/>
        </w:rPr>
        <w:t>中标</w:t>
      </w:r>
      <w:r>
        <w:rPr>
          <w:rStyle w:val="231"/>
          <w:rFonts w:ascii="宋体" w:hAnsi="宋体"/>
          <w:sz w:val="24"/>
          <w:szCs w:val="24"/>
          <w:highlight w:val="none"/>
        </w:rPr>
        <w:t>供应商签署合同的采购人；采购人委托采购代理机构代表其与乙方签订合同的，采购人的授权委托书作为合同附件。</w:t>
      </w:r>
    </w:p>
    <w:p w14:paraId="3984CFCA">
      <w:pPr>
        <w:spacing w:line="560" w:lineRule="exact"/>
        <w:ind w:firstLine="480"/>
        <w:rPr>
          <w:rStyle w:val="231"/>
          <w:rFonts w:ascii="宋体" w:hAnsi="宋体"/>
          <w:sz w:val="24"/>
          <w:szCs w:val="24"/>
          <w:highlight w:val="none"/>
        </w:rPr>
      </w:pPr>
      <w:r>
        <w:rPr>
          <w:rStyle w:val="231"/>
          <w:rFonts w:ascii="宋体" w:hAnsi="宋体"/>
          <w:sz w:val="24"/>
          <w:szCs w:val="24"/>
          <w:highlight w:val="none"/>
        </w:rPr>
        <w:t>2.1.5 “乙方”系指根据合同约定提供服务的</w:t>
      </w:r>
      <w:r>
        <w:rPr>
          <w:rStyle w:val="231"/>
          <w:rFonts w:hint="eastAsia" w:ascii="宋体" w:hAnsi="宋体"/>
          <w:sz w:val="24"/>
          <w:szCs w:val="24"/>
          <w:highlight w:val="none"/>
          <w:lang w:eastAsia="zh-CN"/>
        </w:rPr>
        <w:t>中标</w:t>
      </w:r>
      <w:r>
        <w:rPr>
          <w:rStyle w:val="231"/>
          <w:rFonts w:ascii="宋体" w:hAnsi="宋体"/>
          <w:sz w:val="24"/>
          <w:szCs w:val="24"/>
          <w:highlight w:val="none"/>
        </w:rPr>
        <w:t>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017716E7">
      <w:pPr>
        <w:spacing w:line="560" w:lineRule="exact"/>
        <w:ind w:firstLine="480"/>
        <w:rPr>
          <w:rStyle w:val="231"/>
          <w:rFonts w:ascii="宋体" w:hAnsi="宋体"/>
          <w:sz w:val="24"/>
          <w:szCs w:val="24"/>
          <w:highlight w:val="none"/>
        </w:rPr>
      </w:pPr>
      <w:r>
        <w:rPr>
          <w:rStyle w:val="231"/>
          <w:rFonts w:ascii="宋体" w:hAnsi="宋体"/>
          <w:sz w:val="24"/>
          <w:szCs w:val="24"/>
          <w:highlight w:val="none"/>
        </w:rPr>
        <w:t>2.1.6 “现场”系指合同约定提供服务的地点。</w:t>
      </w:r>
    </w:p>
    <w:p w14:paraId="09FD7E35">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2.2 技术规范</w:t>
      </w:r>
    </w:p>
    <w:p w14:paraId="10F136CE">
      <w:pPr>
        <w:spacing w:line="560" w:lineRule="exact"/>
        <w:ind w:firstLine="480"/>
        <w:rPr>
          <w:rStyle w:val="231"/>
          <w:rFonts w:ascii="宋体" w:hAnsi="宋体"/>
          <w:sz w:val="24"/>
          <w:szCs w:val="24"/>
          <w:highlight w:val="none"/>
        </w:rPr>
      </w:pPr>
      <w:r>
        <w:rPr>
          <w:rStyle w:val="231"/>
          <w:rFonts w:ascii="宋体" w:hAnsi="宋体"/>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95CC4AA">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2.3 知识产权</w:t>
      </w:r>
    </w:p>
    <w:p w14:paraId="6FDD6890">
      <w:pPr>
        <w:spacing w:line="560" w:lineRule="exact"/>
        <w:ind w:firstLine="480"/>
        <w:rPr>
          <w:rStyle w:val="231"/>
          <w:rFonts w:ascii="宋体" w:hAnsi="宋体"/>
          <w:sz w:val="24"/>
          <w:szCs w:val="24"/>
          <w:highlight w:val="none"/>
        </w:rPr>
      </w:pPr>
      <w:r>
        <w:rPr>
          <w:rStyle w:val="231"/>
          <w:rFonts w:ascii="宋体" w:hAnsi="宋体"/>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FE90F40">
      <w:pPr>
        <w:spacing w:line="560" w:lineRule="exact"/>
        <w:ind w:firstLine="480"/>
        <w:rPr>
          <w:rStyle w:val="231"/>
          <w:rFonts w:ascii="宋体" w:hAnsi="宋体"/>
          <w:sz w:val="24"/>
          <w:szCs w:val="24"/>
          <w:highlight w:val="none"/>
        </w:rPr>
      </w:pPr>
      <w:r>
        <w:rPr>
          <w:rStyle w:val="231"/>
          <w:rFonts w:ascii="宋体" w:hAnsi="宋体"/>
          <w:sz w:val="24"/>
          <w:szCs w:val="24"/>
          <w:highlight w:val="none"/>
        </w:rPr>
        <w:t>2.3.2 技术成果归属甲方。</w:t>
      </w:r>
    </w:p>
    <w:p w14:paraId="46AEF6BC">
      <w:pPr>
        <w:spacing w:line="560" w:lineRule="exact"/>
        <w:ind w:firstLine="482"/>
        <w:rPr>
          <w:rFonts w:ascii="宋体" w:hAnsi="宋体" w:cs="宋体"/>
          <w:b/>
          <w:color w:val="auto"/>
          <w:sz w:val="24"/>
          <w:highlight w:val="none"/>
        </w:rPr>
      </w:pPr>
      <w:bookmarkStart w:id="102" w:name="_Toc11932"/>
      <w:bookmarkStart w:id="103" w:name="_Toc29149"/>
      <w:bookmarkStart w:id="104" w:name="_Toc4194"/>
      <w:r>
        <w:rPr>
          <w:rFonts w:hint="eastAsia" w:ascii="宋体" w:hAnsi="宋体" w:cs="宋体"/>
          <w:b/>
          <w:color w:val="auto"/>
          <w:sz w:val="24"/>
          <w:highlight w:val="none"/>
        </w:rPr>
        <w:t>2.4 包装和装运</w:t>
      </w:r>
      <w:bookmarkEnd w:id="102"/>
      <w:bookmarkEnd w:id="103"/>
      <w:bookmarkEnd w:id="104"/>
    </w:p>
    <w:p w14:paraId="43E9C45D">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DCEBFAA">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2.4.2 装运货物的要求应按国家有关规定或本行业通用标准执行。如因乙方包装或运输不当等原因造成损坏或丢失，应由乙方负责调换或补缺，如因此导致乙方逾期交付货物的，乙方还应承担逾期交付的违约责任。</w:t>
      </w:r>
    </w:p>
    <w:p w14:paraId="13030BAA">
      <w:pPr>
        <w:spacing w:line="560" w:lineRule="exact"/>
        <w:ind w:firstLine="480"/>
        <w:rPr>
          <w:rStyle w:val="231"/>
          <w:rFonts w:ascii="宋体" w:hAnsi="宋体"/>
          <w:sz w:val="24"/>
          <w:szCs w:val="24"/>
          <w:highlight w:val="none"/>
        </w:rPr>
      </w:pPr>
      <w:r>
        <w:rPr>
          <w:rFonts w:hint="eastAsia" w:ascii="宋体" w:hAnsi="宋体" w:cs="宋体"/>
          <w:color w:val="auto"/>
          <w:sz w:val="24"/>
          <w:highlight w:val="none"/>
        </w:rPr>
        <w:t>2.4.3 货到甲方指定地址后，由于甲方保管不善造成的质量问题，乙方应负责修理，但有关费用甲方承担。</w:t>
      </w:r>
    </w:p>
    <w:p w14:paraId="6D998E18">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5</w:t>
      </w:r>
      <w:r>
        <w:rPr>
          <w:rStyle w:val="231"/>
          <w:rFonts w:ascii="宋体" w:hAnsi="宋体"/>
          <w:b/>
          <w:sz w:val="24"/>
          <w:szCs w:val="24"/>
          <w:highlight w:val="none"/>
        </w:rPr>
        <w:t xml:space="preserve"> 履约检查和问题反馈</w:t>
      </w:r>
    </w:p>
    <w:p w14:paraId="02EB879A">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5</w:t>
      </w:r>
      <w:r>
        <w:rPr>
          <w:rStyle w:val="231"/>
          <w:rFonts w:ascii="宋体" w:hAnsi="宋体"/>
          <w:sz w:val="24"/>
          <w:szCs w:val="24"/>
          <w:highlight w:val="none"/>
        </w:rPr>
        <w:t>.1甲方有权在其认为必要时，对乙方是否能够按照合同约定提供服务进行履约检查，以确保乙方所提供的服务能够依约满足甲方之项目需求，但不得因履约检查妨碍乙方的正常工作，乙方应予积极配合；</w:t>
      </w:r>
    </w:p>
    <w:p w14:paraId="3CC77265">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5</w:t>
      </w:r>
      <w:r>
        <w:rPr>
          <w:rStyle w:val="231"/>
          <w:rFonts w:ascii="宋体" w:hAnsi="宋体"/>
          <w:sz w:val="24"/>
          <w:szCs w:val="24"/>
          <w:highlight w:val="none"/>
        </w:rPr>
        <w:t>.2 合同履行期间，甲方有权将履行过程中出现的问题反馈给乙方，双方当事人应以书面形式约定需要完善和改进的内容。</w:t>
      </w:r>
    </w:p>
    <w:p w14:paraId="7C4BCC15">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6</w:t>
      </w:r>
      <w:r>
        <w:rPr>
          <w:rStyle w:val="231"/>
          <w:rFonts w:ascii="宋体" w:hAnsi="宋体"/>
          <w:b/>
          <w:sz w:val="24"/>
          <w:szCs w:val="24"/>
          <w:highlight w:val="none"/>
        </w:rPr>
        <w:t xml:space="preserve"> 技术资料和保密义务</w:t>
      </w:r>
    </w:p>
    <w:p w14:paraId="2480469B">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6</w:t>
      </w:r>
      <w:r>
        <w:rPr>
          <w:rStyle w:val="231"/>
          <w:rFonts w:ascii="宋体" w:hAnsi="宋体"/>
          <w:sz w:val="24"/>
          <w:szCs w:val="24"/>
          <w:highlight w:val="none"/>
        </w:rPr>
        <w:t>.1 乙方有权依据合同约定和项目需要，向甲方了解有关情况，调阅有关资料等，甲方应予积极配合；</w:t>
      </w:r>
    </w:p>
    <w:p w14:paraId="0C4A052D">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6</w:t>
      </w:r>
      <w:r>
        <w:rPr>
          <w:rStyle w:val="231"/>
          <w:rFonts w:ascii="宋体" w:hAnsi="宋体"/>
          <w:sz w:val="24"/>
          <w:szCs w:val="24"/>
          <w:highlight w:val="none"/>
        </w:rPr>
        <w:t>.2 乙方有义务妥善保管和保护由甲方提供的前款信息和资料等；</w:t>
      </w:r>
    </w:p>
    <w:p w14:paraId="12D8ACAA">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6</w:t>
      </w:r>
      <w:r>
        <w:rPr>
          <w:rStyle w:val="231"/>
          <w:rFonts w:ascii="宋体" w:hAnsi="宋体"/>
          <w:sz w:val="24"/>
          <w:szCs w:val="24"/>
          <w:highlight w:val="none"/>
        </w:rPr>
        <w:t>.3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58D40F5">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7</w:t>
      </w:r>
      <w:r>
        <w:rPr>
          <w:rStyle w:val="231"/>
          <w:rFonts w:ascii="宋体" w:hAnsi="宋体"/>
          <w:b/>
          <w:sz w:val="24"/>
          <w:szCs w:val="24"/>
          <w:highlight w:val="none"/>
        </w:rPr>
        <w:t xml:space="preserve"> 质量保证</w:t>
      </w:r>
    </w:p>
    <w:p w14:paraId="017EC45E">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7</w:t>
      </w:r>
      <w:r>
        <w:rPr>
          <w:rStyle w:val="231"/>
          <w:rFonts w:ascii="宋体" w:hAnsi="宋体"/>
          <w:sz w:val="24"/>
          <w:szCs w:val="24"/>
          <w:highlight w:val="none"/>
        </w:rPr>
        <w:t>.1 乙方应建立和完善履行合同的内部质量保证体系，并提供相关内部规章制度给甲方，以便甲方进行监督检查；</w:t>
      </w:r>
    </w:p>
    <w:p w14:paraId="5640BCDF">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7</w:t>
      </w:r>
      <w:r>
        <w:rPr>
          <w:rStyle w:val="231"/>
          <w:rFonts w:ascii="宋体" w:hAnsi="宋体"/>
          <w:sz w:val="24"/>
          <w:szCs w:val="24"/>
          <w:highlight w:val="none"/>
        </w:rPr>
        <w:t>.2 乙方应保证履行合同的人员数量和素质、软件和硬件设备的配置、场地、环境和设施等满足全面履行合同的要求，并应接受甲方的监督检查。</w:t>
      </w:r>
    </w:p>
    <w:p w14:paraId="27230EAE">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8</w:t>
      </w:r>
      <w:r>
        <w:rPr>
          <w:rStyle w:val="231"/>
          <w:rFonts w:ascii="宋体" w:hAnsi="宋体"/>
          <w:b/>
          <w:sz w:val="24"/>
          <w:szCs w:val="24"/>
          <w:highlight w:val="none"/>
        </w:rPr>
        <w:t xml:space="preserve"> 延迟履行</w:t>
      </w:r>
    </w:p>
    <w:p w14:paraId="3648023A">
      <w:pPr>
        <w:spacing w:line="560" w:lineRule="exact"/>
        <w:ind w:firstLine="480"/>
        <w:rPr>
          <w:rStyle w:val="231"/>
          <w:rFonts w:ascii="宋体" w:hAnsi="宋体"/>
          <w:sz w:val="24"/>
          <w:szCs w:val="24"/>
          <w:highlight w:val="none"/>
        </w:rPr>
      </w:pPr>
      <w:r>
        <w:rPr>
          <w:rStyle w:val="231"/>
          <w:rFonts w:ascii="宋体" w:hAnsi="宋体"/>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5A0350F">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9</w:t>
      </w:r>
      <w:r>
        <w:rPr>
          <w:rStyle w:val="231"/>
          <w:rFonts w:ascii="宋体" w:hAnsi="宋体"/>
          <w:b/>
          <w:sz w:val="24"/>
          <w:szCs w:val="24"/>
          <w:highlight w:val="none"/>
        </w:rPr>
        <w:t xml:space="preserve"> 合同变更</w:t>
      </w:r>
    </w:p>
    <w:p w14:paraId="6DF4E8A5">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9</w:t>
      </w:r>
      <w:r>
        <w:rPr>
          <w:rStyle w:val="231"/>
          <w:rFonts w:ascii="宋体" w:hAnsi="宋体"/>
          <w:sz w:val="24"/>
          <w:szCs w:val="24"/>
          <w:highlight w:val="none"/>
        </w:rPr>
        <w:t>.1 双方当事人协商一致，可以签订书面补充合同的形式变更合同，但不得违背采购文件确定的事项，且如果系追加与合同标的相同的服务的，那么所有补充合同的采购金额不得超过原合同价的10%；</w:t>
      </w:r>
    </w:p>
    <w:p w14:paraId="581DCB7B">
      <w:pPr>
        <w:spacing w:line="560" w:lineRule="exact"/>
        <w:ind w:firstLine="480"/>
        <w:rPr>
          <w:rStyle w:val="231"/>
          <w:rFonts w:ascii="宋体" w:hAnsi="宋体"/>
          <w:sz w:val="24"/>
          <w:szCs w:val="24"/>
          <w:highlight w:val="none"/>
        </w:rPr>
      </w:pPr>
      <w:r>
        <w:rPr>
          <w:rStyle w:val="231"/>
          <w:rFonts w:ascii="宋体" w:hAnsi="宋体"/>
          <w:sz w:val="24"/>
          <w:szCs w:val="24"/>
          <w:highlight w:val="none"/>
        </w:rPr>
        <w:t>2.</w:t>
      </w:r>
      <w:r>
        <w:rPr>
          <w:rStyle w:val="231"/>
          <w:rFonts w:hint="eastAsia" w:ascii="宋体" w:hAnsi="宋体"/>
          <w:sz w:val="24"/>
          <w:szCs w:val="24"/>
          <w:highlight w:val="none"/>
          <w:lang w:val="en-US" w:eastAsia="zh-CN"/>
        </w:rPr>
        <w:t>9</w:t>
      </w:r>
      <w:r>
        <w:rPr>
          <w:rStyle w:val="231"/>
          <w:rFonts w:ascii="宋体" w:hAnsi="宋体"/>
          <w:sz w:val="24"/>
          <w:szCs w:val="24"/>
          <w:highlight w:val="none"/>
        </w:rPr>
        <w:t>.2 合同继续履行将损害国家利益和社会公共利益的，双方当事人应当以书面形式变更合同。有过错的一方应当承担赔偿责任，双方当事人都有过错的，各自承担相应的责任。</w:t>
      </w:r>
    </w:p>
    <w:p w14:paraId="723297A5">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w:t>
      </w:r>
      <w:r>
        <w:rPr>
          <w:rStyle w:val="231"/>
          <w:rFonts w:hint="eastAsia" w:ascii="宋体" w:hAnsi="宋体"/>
          <w:b/>
          <w:sz w:val="24"/>
          <w:szCs w:val="24"/>
          <w:highlight w:val="none"/>
          <w:lang w:val="en-US" w:eastAsia="zh-CN"/>
        </w:rPr>
        <w:t>10</w:t>
      </w:r>
      <w:r>
        <w:rPr>
          <w:rStyle w:val="231"/>
          <w:rFonts w:ascii="宋体" w:hAnsi="宋体"/>
          <w:b/>
          <w:sz w:val="24"/>
          <w:szCs w:val="24"/>
          <w:highlight w:val="none"/>
        </w:rPr>
        <w:t xml:space="preserve"> 合同转让和分包</w:t>
      </w:r>
    </w:p>
    <w:p w14:paraId="7FDB9BC6">
      <w:pPr>
        <w:spacing w:line="560" w:lineRule="exact"/>
        <w:ind w:firstLine="480"/>
        <w:rPr>
          <w:rStyle w:val="231"/>
          <w:rFonts w:ascii="宋体" w:hAnsi="宋体"/>
          <w:sz w:val="24"/>
          <w:szCs w:val="24"/>
          <w:highlight w:val="none"/>
        </w:rPr>
      </w:pPr>
      <w:r>
        <w:rPr>
          <w:rStyle w:val="231"/>
          <w:rFonts w:ascii="宋体" w:hAnsi="宋体"/>
          <w:sz w:val="24"/>
          <w:highlight w:val="none"/>
        </w:rPr>
        <w:t>合同的权利义务依法不得转让，如</w:t>
      </w:r>
      <w:r>
        <w:rPr>
          <w:rStyle w:val="231"/>
          <w:rFonts w:hint="eastAsia" w:ascii="宋体" w:hAnsi="宋体"/>
          <w:sz w:val="24"/>
          <w:highlight w:val="none"/>
          <w:lang w:val="en-US" w:eastAsia="zh-CN"/>
        </w:rPr>
        <w:t>招标文件</w:t>
      </w:r>
      <w:r>
        <w:rPr>
          <w:rStyle w:val="231"/>
          <w:rFonts w:ascii="宋体" w:hAnsi="宋体"/>
          <w:sz w:val="24"/>
          <w:highlight w:val="none"/>
        </w:rPr>
        <w:t xml:space="preserve">“第一章 </w:t>
      </w:r>
      <w:r>
        <w:rPr>
          <w:rFonts w:hint="eastAsia" w:ascii="宋体" w:hAnsi="宋体" w:cs="宋体"/>
          <w:color w:val="auto"/>
          <w:sz w:val="24"/>
          <w:highlight w:val="none"/>
        </w:rPr>
        <w:t>投标邀请函</w:t>
      </w:r>
      <w:r>
        <w:rPr>
          <w:rStyle w:val="231"/>
          <w:rFonts w:ascii="宋体" w:hAnsi="宋体"/>
          <w:sz w:val="24"/>
          <w:highlight w:val="none"/>
        </w:rPr>
        <w:t>”中甲方接受</w:t>
      </w:r>
      <w:r>
        <w:rPr>
          <w:rStyle w:val="231"/>
          <w:rFonts w:hint="eastAsia" w:ascii="宋体" w:hAnsi="宋体"/>
          <w:sz w:val="24"/>
          <w:highlight w:val="none"/>
          <w:lang w:eastAsia="zh-CN"/>
        </w:rPr>
        <w:t>中标</w:t>
      </w:r>
      <w:r>
        <w:rPr>
          <w:rStyle w:val="231"/>
          <w:rFonts w:ascii="宋体" w:hAnsi="宋体"/>
          <w:sz w:val="24"/>
          <w:highlight w:val="none"/>
        </w:rPr>
        <w:t>后分包，</w:t>
      </w:r>
      <w:r>
        <w:rPr>
          <w:rStyle w:val="231"/>
          <w:rFonts w:ascii="宋体" w:hAnsi="宋体"/>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8AD3F3C">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1</w:t>
      </w:r>
      <w:r>
        <w:rPr>
          <w:rStyle w:val="231"/>
          <w:rFonts w:ascii="宋体" w:hAnsi="宋体"/>
          <w:b/>
          <w:sz w:val="24"/>
          <w:szCs w:val="24"/>
          <w:highlight w:val="none"/>
        </w:rPr>
        <w:t xml:space="preserve"> 不可抗力</w:t>
      </w:r>
    </w:p>
    <w:p w14:paraId="12667142">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1</w:t>
      </w:r>
      <w:r>
        <w:rPr>
          <w:rStyle w:val="231"/>
          <w:rFonts w:ascii="宋体" w:hAnsi="宋体"/>
          <w:sz w:val="24"/>
          <w:szCs w:val="24"/>
          <w:highlight w:val="none"/>
        </w:rPr>
        <w:t>.1如果任何一方遭遇法律规定的不可抗力，致使合同履行受阻时，履行合同的期限应予延长，延长的期限应相当于不可抗力所影响的时间；</w:t>
      </w:r>
    </w:p>
    <w:p w14:paraId="6C1C1615">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1</w:t>
      </w:r>
      <w:r>
        <w:rPr>
          <w:rStyle w:val="231"/>
          <w:rFonts w:ascii="宋体" w:hAnsi="宋体"/>
          <w:sz w:val="24"/>
          <w:szCs w:val="24"/>
          <w:highlight w:val="none"/>
        </w:rPr>
        <w:t>.2 因不可抗力致使不能实现合同目的的，当事人可以解除合同；</w:t>
      </w:r>
    </w:p>
    <w:p w14:paraId="5F9E9C53">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1</w:t>
      </w:r>
      <w:r>
        <w:rPr>
          <w:rStyle w:val="231"/>
          <w:rFonts w:ascii="宋体" w:hAnsi="宋体"/>
          <w:sz w:val="24"/>
          <w:szCs w:val="24"/>
          <w:highlight w:val="none"/>
        </w:rPr>
        <w:t>.3 因不可抗力致使合同有变更必要的，</w:t>
      </w:r>
      <w:r>
        <w:rPr>
          <w:rStyle w:val="231"/>
          <w:rFonts w:ascii="宋体" w:hAnsi="宋体"/>
          <w:sz w:val="24"/>
          <w:highlight w:val="none"/>
        </w:rPr>
        <w:t>双方当事人应在约定时间内以书面形式变更合同</w:t>
      </w:r>
      <w:r>
        <w:rPr>
          <w:rStyle w:val="231"/>
          <w:rFonts w:ascii="宋体" w:hAnsi="宋体"/>
          <w:sz w:val="24"/>
          <w:szCs w:val="24"/>
          <w:highlight w:val="none"/>
        </w:rPr>
        <w:t>；</w:t>
      </w:r>
    </w:p>
    <w:p w14:paraId="3C79D689">
      <w:pPr>
        <w:spacing w:line="560" w:lineRule="exact"/>
        <w:ind w:firstLine="480"/>
        <w:rPr>
          <w:rStyle w:val="231"/>
          <w:rFonts w:ascii="宋体" w:hAnsi="宋体" w:cs="Calibri"/>
          <w:bCs/>
          <w:sz w:val="24"/>
          <w:highlight w:val="none"/>
          <w:lang w:val="zh-CN"/>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1</w:t>
      </w:r>
      <w:r>
        <w:rPr>
          <w:rStyle w:val="231"/>
          <w:rFonts w:ascii="宋体" w:hAnsi="宋体"/>
          <w:sz w:val="24"/>
          <w:szCs w:val="24"/>
          <w:highlight w:val="none"/>
        </w:rPr>
        <w:t xml:space="preserve">.4 </w:t>
      </w:r>
      <w:r>
        <w:rPr>
          <w:rStyle w:val="231"/>
          <w:rFonts w:ascii="宋体" w:hAnsi="宋体" w:cs="Calibri"/>
          <w:bCs/>
          <w:sz w:val="24"/>
          <w:highlight w:val="none"/>
          <w:lang w:val="zh-CN"/>
        </w:rPr>
        <w:t>如遭遇不可抗力事件，遭遇不可抗力的一方应尽快以书面形式将不可抗力的情况和原因通知另一方，并</w:t>
      </w:r>
      <w:r>
        <w:rPr>
          <w:rStyle w:val="231"/>
          <w:rFonts w:ascii="宋体" w:hAnsi="宋体"/>
          <w:sz w:val="24"/>
          <w:highlight w:val="none"/>
        </w:rPr>
        <w:t>将有关部门出具的证明文件送达对方当事人，</w:t>
      </w:r>
      <w:r>
        <w:rPr>
          <w:rStyle w:val="231"/>
          <w:rFonts w:ascii="宋体" w:hAnsi="宋体" w:cs="Calibri"/>
          <w:bCs/>
          <w:sz w:val="24"/>
          <w:highlight w:val="none"/>
          <w:lang w:val="zh-CN"/>
        </w:rPr>
        <w:t>积极采取措施防止损失扩大。因不可抗力造成的损失，甲乙双方按照法律规定处理；</w:t>
      </w:r>
    </w:p>
    <w:p w14:paraId="69CB310E">
      <w:pPr>
        <w:spacing w:line="560" w:lineRule="exact"/>
        <w:ind w:firstLine="480"/>
        <w:rPr>
          <w:rStyle w:val="231"/>
          <w:rFonts w:ascii="宋体" w:hAnsi="宋体"/>
          <w:sz w:val="24"/>
          <w:szCs w:val="24"/>
          <w:highlight w:val="none"/>
        </w:rPr>
      </w:pPr>
      <w:r>
        <w:rPr>
          <w:rStyle w:val="231"/>
          <w:rFonts w:ascii="宋体" w:hAnsi="宋体"/>
          <w:sz w:val="24"/>
          <w:highlight w:val="none"/>
        </w:rPr>
        <w:t>2.1</w:t>
      </w:r>
      <w:r>
        <w:rPr>
          <w:rStyle w:val="231"/>
          <w:rFonts w:hint="eastAsia" w:ascii="宋体" w:hAnsi="宋体"/>
          <w:sz w:val="24"/>
          <w:highlight w:val="none"/>
          <w:lang w:val="en-US" w:eastAsia="zh-CN"/>
        </w:rPr>
        <w:t>1</w:t>
      </w:r>
      <w:r>
        <w:rPr>
          <w:rStyle w:val="231"/>
          <w:rFonts w:ascii="宋体" w:hAnsi="宋体"/>
          <w:sz w:val="24"/>
          <w:highlight w:val="none"/>
        </w:rPr>
        <w:t xml:space="preserve">.5 </w:t>
      </w:r>
      <w:r>
        <w:rPr>
          <w:rStyle w:val="231"/>
          <w:rFonts w:ascii="宋体" w:hAnsi="宋体" w:cs="Calibri"/>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40718C14">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2</w:t>
      </w:r>
      <w:r>
        <w:rPr>
          <w:rStyle w:val="231"/>
          <w:rFonts w:ascii="宋体" w:hAnsi="宋体"/>
          <w:b/>
          <w:sz w:val="24"/>
          <w:szCs w:val="24"/>
          <w:highlight w:val="none"/>
        </w:rPr>
        <w:t xml:space="preserve"> 税费</w:t>
      </w:r>
    </w:p>
    <w:p w14:paraId="2685AD69">
      <w:pPr>
        <w:spacing w:line="560" w:lineRule="exact"/>
        <w:ind w:firstLine="480"/>
        <w:rPr>
          <w:rStyle w:val="231"/>
          <w:rFonts w:ascii="宋体" w:hAnsi="宋体"/>
          <w:sz w:val="24"/>
          <w:szCs w:val="24"/>
          <w:highlight w:val="none"/>
        </w:rPr>
      </w:pPr>
      <w:r>
        <w:rPr>
          <w:rStyle w:val="231"/>
          <w:rFonts w:ascii="宋体" w:hAnsi="宋体"/>
          <w:sz w:val="24"/>
          <w:szCs w:val="24"/>
          <w:highlight w:val="none"/>
        </w:rPr>
        <w:t>与合同有关的一切税费，均按照中华人民共和国法律的相关规定缴纳。</w:t>
      </w:r>
    </w:p>
    <w:p w14:paraId="2C9CADA8">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3</w:t>
      </w:r>
      <w:r>
        <w:rPr>
          <w:rStyle w:val="231"/>
          <w:rFonts w:ascii="宋体" w:hAnsi="宋体"/>
          <w:b/>
          <w:sz w:val="24"/>
          <w:szCs w:val="24"/>
          <w:highlight w:val="none"/>
        </w:rPr>
        <w:t xml:space="preserve"> 乙方破产</w:t>
      </w:r>
    </w:p>
    <w:p w14:paraId="4230F11B">
      <w:pPr>
        <w:spacing w:line="560" w:lineRule="exact"/>
        <w:ind w:firstLine="480"/>
        <w:rPr>
          <w:rStyle w:val="231"/>
          <w:rFonts w:ascii="宋体" w:hAnsi="宋体"/>
          <w:sz w:val="24"/>
          <w:szCs w:val="24"/>
          <w:highlight w:val="none"/>
        </w:rPr>
      </w:pPr>
      <w:r>
        <w:rPr>
          <w:rStyle w:val="231"/>
          <w:rFonts w:ascii="宋体" w:hAnsi="宋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D8E0C53">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4</w:t>
      </w:r>
      <w:r>
        <w:rPr>
          <w:rStyle w:val="231"/>
          <w:rFonts w:ascii="宋体" w:hAnsi="宋体"/>
          <w:b/>
          <w:sz w:val="24"/>
          <w:szCs w:val="24"/>
          <w:highlight w:val="none"/>
        </w:rPr>
        <w:t xml:space="preserve"> 合同中止、终止</w:t>
      </w:r>
    </w:p>
    <w:p w14:paraId="359820E3">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4</w:t>
      </w:r>
      <w:r>
        <w:rPr>
          <w:rStyle w:val="231"/>
          <w:rFonts w:ascii="宋体" w:hAnsi="宋体"/>
          <w:sz w:val="24"/>
          <w:szCs w:val="24"/>
          <w:highlight w:val="none"/>
        </w:rPr>
        <w:t>.1 双方当事人不得擅自中止或者终止合同；</w:t>
      </w:r>
    </w:p>
    <w:p w14:paraId="49342454">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4</w:t>
      </w:r>
      <w:r>
        <w:rPr>
          <w:rStyle w:val="231"/>
          <w:rFonts w:ascii="宋体" w:hAnsi="宋体"/>
          <w:sz w:val="24"/>
          <w:szCs w:val="24"/>
          <w:highlight w:val="none"/>
        </w:rPr>
        <w:t>.2合同继续履行将损害国家利益和社会公共利益的，双方当事人应当中止或者终止合同。有过错的一方应当承担赔偿责任，双方当事人都有过错的，各自承担相应的责任。</w:t>
      </w:r>
    </w:p>
    <w:p w14:paraId="468F3B1C">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5</w:t>
      </w:r>
      <w:r>
        <w:rPr>
          <w:rStyle w:val="231"/>
          <w:rFonts w:ascii="宋体" w:hAnsi="宋体"/>
          <w:b/>
          <w:sz w:val="24"/>
          <w:szCs w:val="24"/>
          <w:highlight w:val="none"/>
        </w:rPr>
        <w:t xml:space="preserve"> 检验和验收</w:t>
      </w:r>
    </w:p>
    <w:p w14:paraId="1CE5F87D">
      <w:pPr>
        <w:tabs>
          <w:tab w:val="left" w:pos="360"/>
          <w:tab w:val="left" w:pos="540"/>
          <w:tab w:val="left" w:pos="1080"/>
        </w:tabs>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5</w:t>
      </w:r>
      <w:r>
        <w:rPr>
          <w:rStyle w:val="231"/>
          <w:rFonts w:ascii="宋体" w:hAnsi="宋体"/>
          <w:sz w:val="24"/>
          <w:szCs w:val="24"/>
          <w:highlight w:val="none"/>
        </w:rPr>
        <w:t>.1 乙方按照约定，定期提交服务报告，甲方定期进行验收；</w:t>
      </w:r>
    </w:p>
    <w:p w14:paraId="41D8C780">
      <w:pPr>
        <w:tabs>
          <w:tab w:val="left" w:pos="360"/>
          <w:tab w:val="left" w:pos="540"/>
          <w:tab w:val="left" w:pos="1080"/>
        </w:tabs>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5</w:t>
      </w:r>
      <w:r>
        <w:rPr>
          <w:rStyle w:val="231"/>
          <w:rFonts w:ascii="宋体" w:hAnsi="宋体"/>
          <w:sz w:val="24"/>
          <w:szCs w:val="24"/>
          <w:highlight w:val="none"/>
        </w:rPr>
        <w:t>.2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14:paraId="3092DD7B">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6</w:t>
      </w:r>
      <w:r>
        <w:rPr>
          <w:rStyle w:val="231"/>
          <w:rFonts w:ascii="宋体" w:hAnsi="宋体"/>
          <w:b/>
          <w:sz w:val="24"/>
          <w:szCs w:val="24"/>
          <w:highlight w:val="none"/>
        </w:rPr>
        <w:t xml:space="preserve"> 通知和送达</w:t>
      </w:r>
    </w:p>
    <w:p w14:paraId="29477D61">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6</w:t>
      </w:r>
      <w:r>
        <w:rPr>
          <w:rStyle w:val="231"/>
          <w:rFonts w:ascii="宋体" w:hAnsi="宋体"/>
          <w:sz w:val="24"/>
          <w:szCs w:val="24"/>
          <w:highlight w:val="none"/>
        </w:rPr>
        <w:t>.1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p>
    <w:p w14:paraId="0FB86BD2">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6</w:t>
      </w:r>
      <w:r>
        <w:rPr>
          <w:rStyle w:val="231"/>
          <w:rFonts w:ascii="宋体" w:hAnsi="宋体"/>
          <w:sz w:val="24"/>
          <w:szCs w:val="24"/>
          <w:highlight w:val="none"/>
        </w:rPr>
        <w:t>.2以当面交付方式送达的，交付之时视为送达；以电子邮件方式送达的，发出电子邮件之时视为送达；以传真方式送达的，发出传真之时视为送达；以邮寄方式送达的，邮件挂号寄出或者交邮之日之次日视为送达。</w:t>
      </w:r>
    </w:p>
    <w:p w14:paraId="7F18A63D">
      <w:pPr>
        <w:spacing w:line="560" w:lineRule="exact"/>
        <w:ind w:firstLine="482"/>
        <w:rPr>
          <w:rFonts w:ascii="宋体" w:hAnsi="宋体" w:cs="宋体"/>
          <w:b/>
          <w:color w:val="auto"/>
          <w:sz w:val="24"/>
          <w:highlight w:val="none"/>
        </w:rPr>
      </w:pPr>
      <w:bookmarkStart w:id="105" w:name="_Toc4355"/>
      <w:bookmarkStart w:id="106" w:name="_Toc30599"/>
      <w:bookmarkStart w:id="107" w:name="_Toc18540"/>
      <w:r>
        <w:rPr>
          <w:rFonts w:hint="eastAsia" w:ascii="宋体" w:hAnsi="宋体" w:cs="宋体"/>
          <w:b/>
          <w:color w:val="auto"/>
          <w:sz w:val="24"/>
          <w:highlight w:val="none"/>
        </w:rPr>
        <w:t>2.17 计量单位</w:t>
      </w:r>
      <w:bookmarkEnd w:id="105"/>
      <w:bookmarkEnd w:id="106"/>
      <w:bookmarkEnd w:id="107"/>
    </w:p>
    <w:p w14:paraId="40D93036">
      <w:pPr>
        <w:spacing w:line="560" w:lineRule="exact"/>
        <w:ind w:firstLine="480"/>
        <w:rPr>
          <w:rStyle w:val="231"/>
          <w:rFonts w:ascii="宋体" w:hAnsi="宋体"/>
          <w:sz w:val="24"/>
          <w:szCs w:val="24"/>
          <w:highlight w:val="none"/>
        </w:rPr>
      </w:pPr>
      <w:r>
        <w:rPr>
          <w:rFonts w:hint="eastAsia" w:ascii="宋体" w:hAnsi="宋体" w:cs="宋体"/>
          <w:color w:val="auto"/>
          <w:sz w:val="24"/>
          <w:highlight w:val="none"/>
        </w:rPr>
        <w:t>除技术规范中另有规定外,合同的计量单位均使用国家法定计量单位。</w:t>
      </w:r>
    </w:p>
    <w:p w14:paraId="2C1FCF36">
      <w:pPr>
        <w:spacing w:line="560" w:lineRule="exact"/>
        <w:ind w:firstLine="482"/>
        <w:rPr>
          <w:rStyle w:val="231"/>
          <w:rFonts w:ascii="宋体" w:hAnsi="宋体"/>
          <w:b/>
          <w:sz w:val="24"/>
          <w:szCs w:val="24"/>
          <w:highlight w:val="none"/>
        </w:rPr>
      </w:pPr>
      <w:r>
        <w:rPr>
          <w:rStyle w:val="231"/>
          <w:rFonts w:ascii="宋体" w:hAnsi="宋体"/>
          <w:b/>
          <w:sz w:val="24"/>
          <w:szCs w:val="24"/>
          <w:highlight w:val="none"/>
        </w:rPr>
        <w:t>2.1</w:t>
      </w:r>
      <w:r>
        <w:rPr>
          <w:rStyle w:val="231"/>
          <w:rFonts w:hint="eastAsia" w:ascii="宋体" w:hAnsi="宋体"/>
          <w:b/>
          <w:sz w:val="24"/>
          <w:szCs w:val="24"/>
          <w:highlight w:val="none"/>
          <w:lang w:val="en-US" w:eastAsia="zh-CN"/>
        </w:rPr>
        <w:t>8</w:t>
      </w:r>
      <w:r>
        <w:rPr>
          <w:rStyle w:val="231"/>
          <w:rFonts w:ascii="宋体" w:hAnsi="宋体"/>
          <w:b/>
          <w:sz w:val="24"/>
          <w:szCs w:val="24"/>
          <w:highlight w:val="none"/>
        </w:rPr>
        <w:t xml:space="preserve"> 合同使用的文字和适用的法律</w:t>
      </w:r>
    </w:p>
    <w:p w14:paraId="13E9BD75">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8</w:t>
      </w:r>
      <w:r>
        <w:rPr>
          <w:rStyle w:val="231"/>
          <w:rFonts w:ascii="宋体" w:hAnsi="宋体"/>
          <w:sz w:val="24"/>
          <w:szCs w:val="24"/>
          <w:highlight w:val="none"/>
        </w:rPr>
        <w:t>.1 合同使用汉语书就、变更和解释；</w:t>
      </w:r>
    </w:p>
    <w:p w14:paraId="74B21B66">
      <w:pPr>
        <w:spacing w:line="560" w:lineRule="exact"/>
        <w:ind w:firstLine="480"/>
        <w:rPr>
          <w:rStyle w:val="231"/>
          <w:rFonts w:ascii="宋体" w:hAnsi="宋体"/>
          <w:sz w:val="24"/>
          <w:szCs w:val="24"/>
          <w:highlight w:val="none"/>
        </w:rPr>
      </w:pPr>
      <w:r>
        <w:rPr>
          <w:rStyle w:val="231"/>
          <w:rFonts w:ascii="宋体" w:hAnsi="宋体"/>
          <w:sz w:val="24"/>
          <w:szCs w:val="24"/>
          <w:highlight w:val="none"/>
        </w:rPr>
        <w:t>2.1</w:t>
      </w:r>
      <w:r>
        <w:rPr>
          <w:rStyle w:val="231"/>
          <w:rFonts w:hint="eastAsia" w:ascii="宋体" w:hAnsi="宋体"/>
          <w:sz w:val="24"/>
          <w:szCs w:val="24"/>
          <w:highlight w:val="none"/>
          <w:lang w:val="en-US" w:eastAsia="zh-CN"/>
        </w:rPr>
        <w:t>8</w:t>
      </w:r>
      <w:r>
        <w:rPr>
          <w:rStyle w:val="231"/>
          <w:rFonts w:ascii="宋体" w:hAnsi="宋体"/>
          <w:sz w:val="24"/>
          <w:szCs w:val="24"/>
          <w:highlight w:val="none"/>
        </w:rPr>
        <w:t>.2 合同适用中华人民共和国法律。</w:t>
      </w:r>
    </w:p>
    <w:p w14:paraId="69E0C3A1">
      <w:pPr>
        <w:widowControl/>
        <w:spacing w:before="100" w:beforeAutospacing="1" w:after="100" w:afterAutospacing="1" w:line="440" w:lineRule="atLeast"/>
        <w:jc w:val="center"/>
        <w:rPr>
          <w:rFonts w:ascii="宋体" w:hAnsi="宋体" w:cs="宋体"/>
          <w:sz w:val="28"/>
          <w:szCs w:val="28"/>
          <w:highlight w:val="none"/>
          <w:u w:val="single"/>
        </w:rPr>
        <w:sectPr>
          <w:headerReference r:id="rId8" w:type="default"/>
          <w:footerReference r:id="rId9" w:type="default"/>
          <w:pgSz w:w="11906" w:h="16838"/>
          <w:pgMar w:top="1134" w:right="1134" w:bottom="1134" w:left="1134" w:header="851" w:footer="992" w:gutter="0"/>
          <w:cols w:space="1701" w:num="1"/>
          <w:docGrid w:linePitch="360" w:charSpace="0"/>
        </w:sectPr>
      </w:pPr>
    </w:p>
    <w:p w14:paraId="5C4090F4">
      <w:pPr>
        <w:pStyle w:val="187"/>
        <w:spacing w:line="360" w:lineRule="auto"/>
        <w:rPr>
          <w:rFonts w:hint="eastAsia"/>
          <w:highlight w:val="none"/>
        </w:rPr>
      </w:pPr>
      <w:bookmarkStart w:id="108" w:name="_Toc25903"/>
      <w:r>
        <w:rPr>
          <w:rFonts w:hint="eastAsia"/>
          <w:highlight w:val="none"/>
        </w:rPr>
        <w:t>第六章 附件（投标文件格式）</w:t>
      </w:r>
      <w:bookmarkEnd w:id="98"/>
      <w:bookmarkEnd w:id="108"/>
    </w:p>
    <w:p w14:paraId="66D1A374">
      <w:pPr>
        <w:pStyle w:val="191"/>
        <w:rPr>
          <w:rFonts w:hint="eastAsia"/>
          <w:highlight w:val="none"/>
        </w:rPr>
      </w:pPr>
    </w:p>
    <w:p w14:paraId="3A0A71D4">
      <w:pPr>
        <w:pStyle w:val="191"/>
        <w:rPr>
          <w:highlight w:val="none"/>
        </w:rPr>
      </w:pPr>
    </w:p>
    <w:p w14:paraId="093D4BF8">
      <w:pPr>
        <w:pStyle w:val="191"/>
        <w:rPr>
          <w:highlight w:val="none"/>
        </w:rPr>
      </w:pPr>
    </w:p>
    <w:p w14:paraId="7E304C29">
      <w:pPr>
        <w:pStyle w:val="191"/>
        <w:rPr>
          <w:highlight w:val="none"/>
        </w:rPr>
      </w:pPr>
    </w:p>
    <w:p w14:paraId="6933BA25">
      <w:pPr>
        <w:pStyle w:val="191"/>
        <w:rPr>
          <w:rFonts w:hint="eastAsia"/>
          <w:highlight w:val="none"/>
        </w:rPr>
      </w:pPr>
    </w:p>
    <w:p w14:paraId="3EA69AC5">
      <w:pPr>
        <w:pStyle w:val="191"/>
        <w:rPr>
          <w:highlight w:val="none"/>
        </w:rPr>
      </w:pPr>
    </w:p>
    <w:p w14:paraId="7F68FE45">
      <w:pPr>
        <w:jc w:val="center"/>
        <w:rPr>
          <w:rFonts w:hint="eastAsia" w:ascii="宋体" w:hAnsi="宋体" w:cs="宋体"/>
          <w:b/>
          <w:sz w:val="120"/>
          <w:szCs w:val="120"/>
          <w:highlight w:val="none"/>
        </w:rPr>
      </w:pPr>
      <w:bookmarkStart w:id="109" w:name="_Toc29240"/>
      <w:r>
        <w:rPr>
          <w:rFonts w:hint="eastAsia" w:ascii="宋体" w:hAnsi="宋体" w:cs="宋体"/>
          <w:b/>
          <w:sz w:val="120"/>
          <w:szCs w:val="120"/>
          <w:highlight w:val="none"/>
        </w:rPr>
        <w:t>投标文件</w:t>
      </w:r>
      <w:bookmarkEnd w:id="109"/>
    </w:p>
    <w:p w14:paraId="3D3FD066">
      <w:pPr>
        <w:jc w:val="center"/>
        <w:rPr>
          <w:rFonts w:hint="eastAsia" w:ascii="宋体" w:hAnsi="宋体" w:cs="宋体"/>
          <w:b/>
          <w:sz w:val="32"/>
          <w:szCs w:val="32"/>
          <w:highlight w:val="none"/>
        </w:rPr>
      </w:pPr>
      <w:bookmarkStart w:id="110" w:name="_Toc2400"/>
    </w:p>
    <w:p w14:paraId="6003D5AE">
      <w:pPr>
        <w:pStyle w:val="14"/>
        <w:rPr>
          <w:rFonts w:hint="eastAsia"/>
          <w:highlight w:val="none"/>
        </w:rPr>
      </w:pPr>
    </w:p>
    <w:p w14:paraId="3814F5DB">
      <w:pPr>
        <w:jc w:val="center"/>
        <w:rPr>
          <w:rFonts w:hint="eastAsia" w:ascii="宋体" w:hAnsi="宋体" w:eastAsia="宋体" w:cs="宋体"/>
          <w:b/>
          <w:sz w:val="32"/>
          <w:szCs w:val="32"/>
          <w:highlight w:val="none"/>
          <w:lang w:eastAsia="zh-CN"/>
        </w:rPr>
      </w:pPr>
      <w:r>
        <w:rPr>
          <w:rFonts w:hint="eastAsia" w:ascii="宋体" w:hAnsi="宋体" w:cs="宋体"/>
          <w:b/>
          <w:sz w:val="32"/>
          <w:szCs w:val="32"/>
          <w:highlight w:val="none"/>
        </w:rPr>
        <w:t>项目编号：</w:t>
      </w:r>
      <w:bookmarkEnd w:id="110"/>
    </w:p>
    <w:p w14:paraId="3AAE39D1">
      <w:pPr>
        <w:jc w:val="center"/>
        <w:rPr>
          <w:rFonts w:hint="eastAsia" w:ascii="宋体" w:hAnsi="宋体" w:cs="宋体"/>
          <w:b/>
          <w:sz w:val="32"/>
          <w:szCs w:val="32"/>
          <w:highlight w:val="none"/>
        </w:rPr>
      </w:pPr>
    </w:p>
    <w:p w14:paraId="0B810899">
      <w:pPr>
        <w:rPr>
          <w:rFonts w:hint="eastAsia" w:ascii="宋体" w:hAnsi="宋体" w:cs="宋体"/>
          <w:b/>
          <w:sz w:val="32"/>
          <w:szCs w:val="32"/>
          <w:highlight w:val="none"/>
        </w:rPr>
      </w:pPr>
    </w:p>
    <w:p w14:paraId="311B6EF3">
      <w:pPr>
        <w:pStyle w:val="14"/>
        <w:rPr>
          <w:rFonts w:hint="eastAsia"/>
          <w:highlight w:val="none"/>
        </w:rPr>
      </w:pPr>
    </w:p>
    <w:p w14:paraId="02507905">
      <w:pPr>
        <w:rPr>
          <w:rFonts w:hint="eastAsia" w:ascii="宋体" w:hAnsi="宋体" w:cs="宋体"/>
          <w:b/>
          <w:sz w:val="32"/>
          <w:szCs w:val="32"/>
          <w:highlight w:val="none"/>
        </w:rPr>
      </w:pPr>
    </w:p>
    <w:p w14:paraId="280F91DF">
      <w:pPr>
        <w:spacing w:line="360" w:lineRule="auto"/>
        <w:ind w:left="0" w:firstLine="842"/>
        <w:rPr>
          <w:rFonts w:hint="eastAsia" w:ascii="宋体" w:hAnsi="宋体" w:cs="宋体"/>
          <w:b/>
          <w:sz w:val="32"/>
          <w:szCs w:val="32"/>
          <w:highlight w:val="none"/>
          <w:u w:val="single"/>
        </w:rPr>
      </w:pPr>
      <w:bookmarkStart w:id="111" w:name="_Toc10010"/>
      <w:r>
        <w:rPr>
          <w:rFonts w:hint="eastAsia" w:ascii="宋体" w:hAnsi="宋体" w:cs="宋体"/>
          <w:b/>
          <w:sz w:val="32"/>
          <w:szCs w:val="32"/>
          <w:highlight w:val="none"/>
        </w:rPr>
        <w:t>项目名称：</w:t>
      </w:r>
      <w:bookmarkEnd w:id="111"/>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p>
    <w:p w14:paraId="143A4AE1">
      <w:pPr>
        <w:spacing w:line="360" w:lineRule="auto"/>
        <w:ind w:left="0" w:firstLine="842"/>
        <w:rPr>
          <w:rFonts w:hint="eastAsia" w:ascii="宋体" w:hAnsi="宋体" w:cs="宋体"/>
          <w:b/>
          <w:sz w:val="32"/>
          <w:szCs w:val="32"/>
          <w:highlight w:val="none"/>
        </w:rPr>
      </w:pPr>
      <w:bookmarkStart w:id="112" w:name="_Toc8670"/>
      <w:r>
        <w:rPr>
          <w:rFonts w:hint="eastAsia" w:ascii="宋体" w:hAnsi="宋体" w:cs="宋体"/>
          <w:b/>
          <w:sz w:val="32"/>
          <w:szCs w:val="32"/>
          <w:highlight w:val="none"/>
        </w:rPr>
        <w:t>投标人</w:t>
      </w:r>
      <w:r>
        <w:rPr>
          <w:rFonts w:hint="eastAsia" w:ascii="宋体" w:hAnsi="宋体" w:cs="宋体"/>
          <w:b/>
          <w:sz w:val="32"/>
          <w:szCs w:val="32"/>
          <w:highlight w:val="none"/>
          <w:lang w:eastAsia="zh-CN"/>
        </w:rPr>
        <w:t>（</w:t>
      </w:r>
      <w:r>
        <w:rPr>
          <w:rFonts w:hint="eastAsia" w:ascii="宋体" w:hAnsi="宋体" w:cs="宋体"/>
          <w:b/>
          <w:sz w:val="32"/>
          <w:szCs w:val="32"/>
          <w:highlight w:val="none"/>
          <w:lang w:val="en-US" w:eastAsia="zh-CN"/>
        </w:rPr>
        <w:t>电子签章</w:t>
      </w:r>
      <w:r>
        <w:rPr>
          <w:rFonts w:hint="eastAsia" w:ascii="宋体" w:hAnsi="宋体" w:cs="宋体"/>
          <w:b/>
          <w:sz w:val="32"/>
          <w:szCs w:val="32"/>
          <w:highlight w:val="none"/>
          <w:lang w:eastAsia="zh-CN"/>
        </w:rPr>
        <w:t>）</w:t>
      </w:r>
      <w:r>
        <w:rPr>
          <w:rFonts w:hint="eastAsia" w:ascii="宋体" w:hAnsi="宋体" w:cs="宋体"/>
          <w:b/>
          <w:sz w:val="32"/>
          <w:szCs w:val="32"/>
          <w:highlight w:val="none"/>
        </w:rPr>
        <w:t>：</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12"/>
    </w:p>
    <w:p w14:paraId="315DD875">
      <w:pPr>
        <w:spacing w:line="360" w:lineRule="auto"/>
        <w:ind w:left="0" w:firstLine="842"/>
        <w:rPr>
          <w:rFonts w:hint="eastAsia" w:ascii="宋体" w:hAnsi="宋体" w:cs="宋体"/>
          <w:highlight w:val="none"/>
        </w:rPr>
      </w:pPr>
      <w:bookmarkStart w:id="113" w:name="_Toc24371"/>
      <w:r>
        <w:rPr>
          <w:rFonts w:hint="eastAsia" w:ascii="宋体" w:hAnsi="宋体" w:cs="宋体"/>
          <w:b/>
          <w:sz w:val="32"/>
          <w:szCs w:val="32"/>
          <w:highlight w:val="none"/>
        </w:rPr>
        <w:t>法定代表人或其被授权代表人</w:t>
      </w:r>
      <w:r>
        <w:rPr>
          <w:rFonts w:hint="eastAsia" w:ascii="宋体" w:hAnsi="宋体" w:cs="宋体"/>
          <w:b/>
          <w:sz w:val="32"/>
          <w:szCs w:val="32"/>
          <w:highlight w:val="none"/>
          <w:u w:val="none"/>
        </w:rPr>
        <w:t>（签名）</w:t>
      </w:r>
      <w:r>
        <w:rPr>
          <w:rFonts w:hint="eastAsia" w:ascii="宋体" w:hAnsi="宋体" w:cs="宋体"/>
          <w:b/>
          <w:sz w:val="32"/>
          <w:szCs w:val="32"/>
          <w:highlight w:val="none"/>
        </w:rPr>
        <w:t>：</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 xml:space="preserve">      </w:t>
      </w:r>
      <w:bookmarkEnd w:id="113"/>
    </w:p>
    <w:p w14:paraId="6566F845">
      <w:pPr>
        <w:rPr>
          <w:rFonts w:hint="eastAsia" w:ascii="宋体" w:hAnsi="宋体" w:cs="宋体"/>
          <w:b/>
          <w:sz w:val="32"/>
          <w:szCs w:val="32"/>
          <w:highlight w:val="none"/>
        </w:rPr>
      </w:pPr>
    </w:p>
    <w:p w14:paraId="587B3C8A">
      <w:pPr>
        <w:rPr>
          <w:rFonts w:hint="eastAsia" w:ascii="宋体" w:hAnsi="宋体" w:cs="宋体"/>
          <w:b/>
          <w:sz w:val="32"/>
          <w:szCs w:val="32"/>
          <w:highlight w:val="none"/>
        </w:rPr>
      </w:pPr>
    </w:p>
    <w:p w14:paraId="7665B34C">
      <w:pPr>
        <w:rPr>
          <w:rFonts w:hint="eastAsia" w:ascii="宋体" w:hAnsi="宋体" w:cs="宋体"/>
          <w:b/>
          <w:sz w:val="32"/>
          <w:szCs w:val="32"/>
          <w:highlight w:val="none"/>
        </w:rPr>
      </w:pPr>
    </w:p>
    <w:p w14:paraId="15E2B12A">
      <w:pPr>
        <w:rPr>
          <w:rFonts w:hint="eastAsia" w:ascii="宋体" w:hAnsi="宋体" w:cs="宋体"/>
          <w:b/>
          <w:sz w:val="32"/>
          <w:szCs w:val="32"/>
          <w:highlight w:val="none"/>
        </w:rPr>
      </w:pPr>
    </w:p>
    <w:p w14:paraId="66999024">
      <w:pPr>
        <w:jc w:val="center"/>
        <w:rPr>
          <w:rFonts w:hint="eastAsia" w:ascii="宋体" w:hAnsi="宋体" w:cs="宋体"/>
          <w:b/>
          <w:sz w:val="32"/>
          <w:szCs w:val="32"/>
          <w:highlight w:val="none"/>
        </w:rPr>
      </w:pPr>
      <w:bookmarkStart w:id="114" w:name="_Toc1179"/>
      <w:r>
        <w:rPr>
          <w:rFonts w:hint="eastAsia" w:ascii="宋体" w:hAnsi="宋体" w:cs="宋体"/>
          <w:b/>
          <w:sz w:val="32"/>
          <w:szCs w:val="32"/>
          <w:highlight w:val="none"/>
        </w:rPr>
        <w:t>日期：</w:t>
      </w:r>
      <w:r>
        <w:rPr>
          <w:rFonts w:hint="eastAsia" w:ascii="宋体" w:hAnsi="宋体" w:cs="宋体"/>
          <w:b/>
          <w:sz w:val="32"/>
          <w:szCs w:val="32"/>
          <w:highlight w:val="none"/>
          <w:u w:val="single"/>
        </w:rPr>
        <w:t xml:space="preserve">      年   月  </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single"/>
        </w:rPr>
        <w:t>日</w:t>
      </w:r>
      <w:bookmarkEnd w:id="114"/>
    </w:p>
    <w:p w14:paraId="4B71100B">
      <w:pPr>
        <w:pStyle w:val="191"/>
        <w:rPr>
          <w:highlight w:val="none"/>
        </w:rPr>
      </w:pPr>
    </w:p>
    <w:p w14:paraId="3E41AE73">
      <w:pPr>
        <w:pStyle w:val="191"/>
        <w:rPr>
          <w:highlight w:val="none"/>
        </w:rPr>
      </w:pPr>
    </w:p>
    <w:p w14:paraId="016BCAB2">
      <w:pPr>
        <w:pStyle w:val="191"/>
        <w:rPr>
          <w:highlight w:val="none"/>
        </w:rPr>
      </w:pPr>
    </w:p>
    <w:p w14:paraId="04F17176">
      <w:pPr>
        <w:pStyle w:val="191"/>
        <w:rPr>
          <w:highlight w:val="none"/>
        </w:rPr>
      </w:pPr>
    </w:p>
    <w:p w14:paraId="1BD2B3B0">
      <w:pPr>
        <w:pStyle w:val="191"/>
        <w:rPr>
          <w:highlight w:val="none"/>
        </w:rPr>
      </w:pPr>
    </w:p>
    <w:p w14:paraId="1F82054F">
      <w:pPr>
        <w:pStyle w:val="191"/>
        <w:rPr>
          <w:highlight w:val="none"/>
        </w:rPr>
      </w:pPr>
    </w:p>
    <w:p w14:paraId="63629253">
      <w:pPr>
        <w:pStyle w:val="191"/>
        <w:rPr>
          <w:highlight w:val="none"/>
        </w:rPr>
      </w:pPr>
    </w:p>
    <w:p w14:paraId="47B921B4">
      <w:pPr>
        <w:pStyle w:val="191"/>
        <w:rPr>
          <w:highlight w:val="none"/>
        </w:rPr>
        <w:sectPr>
          <w:pgSz w:w="11906" w:h="16838"/>
          <w:pgMar w:top="1440" w:right="1588" w:bottom="1440" w:left="1588" w:header="851" w:footer="992" w:gutter="0"/>
          <w:cols w:space="1701" w:num="1"/>
          <w:docGrid w:linePitch="360" w:charSpace="0"/>
        </w:sectPr>
      </w:pPr>
    </w:p>
    <w:p w14:paraId="5FB4279F">
      <w:pPr>
        <w:numPr>
          <w:ilvl w:val="0"/>
          <w:numId w:val="0"/>
        </w:numPr>
        <w:spacing w:line="360" w:lineRule="auto"/>
        <w:jc w:val="left"/>
        <w:rPr>
          <w:rFonts w:hint="eastAsia" w:ascii="黑体" w:hAnsi="宋体" w:eastAsia="黑体" w:cs="Times New Roman"/>
          <w:bCs/>
          <w:color w:val="000000"/>
          <w:sz w:val="28"/>
          <w:szCs w:val="28"/>
          <w:highlight w:val="none"/>
          <w:lang w:eastAsia="zh-CN"/>
        </w:rPr>
      </w:pPr>
      <w:bookmarkStart w:id="115" w:name="_Toc29168"/>
      <w:r>
        <w:rPr>
          <w:rFonts w:hint="eastAsia" w:ascii="黑体" w:hAnsi="宋体" w:eastAsia="黑体" w:cs="Times New Roman"/>
          <w:bCs/>
          <w:color w:val="000000"/>
          <w:sz w:val="28"/>
          <w:szCs w:val="28"/>
          <w:highlight w:val="none"/>
          <w:lang w:eastAsia="zh-CN"/>
        </w:rPr>
        <w:t>（</w:t>
      </w:r>
      <w:r>
        <w:rPr>
          <w:rFonts w:hint="eastAsia" w:ascii="黑体" w:hAnsi="宋体" w:eastAsia="黑体" w:cs="Times New Roman"/>
          <w:bCs/>
          <w:color w:val="000000"/>
          <w:sz w:val="28"/>
          <w:szCs w:val="28"/>
          <w:highlight w:val="none"/>
          <w:lang w:val="en-US" w:eastAsia="zh-CN"/>
        </w:rPr>
        <w:t>一</w:t>
      </w:r>
      <w:r>
        <w:rPr>
          <w:rFonts w:hint="eastAsia" w:ascii="黑体" w:hAnsi="宋体" w:eastAsia="黑体" w:cs="Times New Roman"/>
          <w:bCs/>
          <w:color w:val="000000"/>
          <w:sz w:val="28"/>
          <w:szCs w:val="28"/>
          <w:highlight w:val="none"/>
          <w:lang w:eastAsia="zh-CN"/>
        </w:rPr>
        <w:t>）</w:t>
      </w:r>
      <w:r>
        <w:rPr>
          <w:rFonts w:hint="eastAsia" w:ascii="黑体" w:hAnsi="宋体" w:eastAsia="黑体" w:cs="Times New Roman"/>
          <w:bCs/>
          <w:color w:val="000000"/>
          <w:sz w:val="28"/>
          <w:szCs w:val="28"/>
          <w:highlight w:val="none"/>
          <w:lang w:val="en-US" w:eastAsia="zh-CN"/>
        </w:rPr>
        <w:t>开标</w:t>
      </w:r>
      <w:r>
        <w:rPr>
          <w:rFonts w:hint="eastAsia" w:ascii="黑体" w:hAnsi="宋体" w:eastAsia="黑体" w:cs="Times New Roman"/>
          <w:bCs/>
          <w:color w:val="000000"/>
          <w:sz w:val="28"/>
          <w:szCs w:val="28"/>
          <w:highlight w:val="none"/>
          <w:lang w:eastAsia="zh-CN"/>
        </w:rPr>
        <w:t>一览表</w:t>
      </w:r>
      <w:bookmarkEnd w:id="115"/>
    </w:p>
    <w:p w14:paraId="62920F9F">
      <w:pPr>
        <w:ind w:firstLine="480"/>
        <w:rPr>
          <w:rFonts w:hint="eastAsia" w:ascii="宋体" w:hAnsi="宋体"/>
          <w:sz w:val="28"/>
          <w:szCs w:val="28"/>
          <w:highlight w:val="none"/>
        </w:rPr>
      </w:pPr>
      <w:r>
        <w:rPr>
          <w:rFonts w:hint="eastAsia" w:ascii="黑体" w:hAnsi="宋体" w:eastAsia="黑体"/>
          <w:bCs/>
          <w:sz w:val="24"/>
          <w:szCs w:val="24"/>
          <w:highlight w:val="none"/>
        </w:rPr>
        <w:t>1、</w:t>
      </w:r>
      <w:r>
        <w:rPr>
          <w:rFonts w:hint="eastAsia" w:ascii="黑体" w:hAnsi="宋体" w:eastAsia="黑体"/>
          <w:bCs/>
          <w:sz w:val="24"/>
          <w:szCs w:val="24"/>
          <w:highlight w:val="none"/>
          <w:lang w:val="en-US" w:eastAsia="zh-CN"/>
        </w:rPr>
        <w:t>开标</w:t>
      </w:r>
      <w:r>
        <w:rPr>
          <w:rFonts w:hint="eastAsia" w:ascii="黑体" w:hAnsi="宋体" w:eastAsia="黑体"/>
          <w:bCs/>
          <w:sz w:val="24"/>
          <w:szCs w:val="24"/>
          <w:highlight w:val="none"/>
        </w:rPr>
        <w:t>一览表（格式）：</w:t>
      </w:r>
    </w:p>
    <w:p w14:paraId="0E6E3B4C">
      <w:pPr>
        <w:spacing w:line="240" w:lineRule="auto"/>
        <w:jc w:val="center"/>
        <w:rPr>
          <w:rFonts w:hint="eastAsia" w:ascii="宋体" w:hAnsi="宋体" w:cs="宋体"/>
          <w:sz w:val="28"/>
          <w:szCs w:val="28"/>
          <w:highlight w:val="none"/>
          <w:lang w:val="en-US" w:eastAsia="zh-CN"/>
        </w:rPr>
      </w:pPr>
    </w:p>
    <w:p w14:paraId="3AF3D1AB">
      <w:pPr>
        <w:spacing w:line="60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开标</w:t>
      </w:r>
      <w:r>
        <w:rPr>
          <w:rFonts w:hint="eastAsia" w:ascii="宋体" w:hAnsi="宋体" w:cs="宋体"/>
          <w:sz w:val="28"/>
          <w:szCs w:val="28"/>
          <w:highlight w:val="none"/>
        </w:rPr>
        <w:t>一览表</w:t>
      </w:r>
    </w:p>
    <w:p w14:paraId="66C74760">
      <w:pPr>
        <w:keepNext w:val="0"/>
        <w:keepLines w:val="0"/>
        <w:pageBreakBefore w:val="0"/>
        <w:widowControl w:val="0"/>
        <w:spacing w:line="240" w:lineRule="auto"/>
        <w:ind w:left="0" w:firstLine="4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投标人全称（</w:t>
      </w:r>
      <w:r>
        <w:rPr>
          <w:rFonts w:hint="eastAsia" w:ascii="宋体" w:hAnsi="宋体" w:eastAsia="宋体" w:cs="Times New Roman"/>
          <w:color w:val="000000"/>
          <w:sz w:val="24"/>
          <w:szCs w:val="24"/>
          <w:highlight w:val="none"/>
          <w:lang w:val="zh-CN"/>
        </w:rPr>
        <w:t>电子签章</w:t>
      </w:r>
      <w:r>
        <w:rPr>
          <w:rFonts w:hint="eastAsia" w:ascii="宋体" w:hAnsi="宋体" w:eastAsia="宋体" w:cs="Times New Roman"/>
          <w:color w:val="000000"/>
          <w:sz w:val="24"/>
          <w:szCs w:val="24"/>
          <w:highlight w:val="none"/>
        </w:rPr>
        <w:t xml:space="preserve">）：                                    </w:t>
      </w:r>
    </w:p>
    <w:p w14:paraId="2D285BE8">
      <w:pPr>
        <w:spacing w:before="156" w:after="156" w:line="240" w:lineRule="auto"/>
        <w:ind w:left="0" w:firstLine="4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项目名称：</w:t>
      </w:r>
    </w:p>
    <w:p w14:paraId="37F18D0E">
      <w:pPr>
        <w:spacing w:before="156" w:after="156" w:line="240" w:lineRule="auto"/>
        <w:ind w:left="0" w:firstLine="420"/>
        <w:rPr>
          <w:rFonts w:hint="eastAsia" w:ascii="宋体" w:hAnsi="宋体" w:eastAsia="宋体" w:cs="宋体"/>
          <w:sz w:val="24"/>
          <w:szCs w:val="24"/>
          <w:highlight w:val="none"/>
          <w:lang w:val="en-US" w:eastAsia="zh-CN"/>
        </w:rPr>
      </w:pPr>
      <w:r>
        <w:rPr>
          <w:rFonts w:hint="eastAsia" w:ascii="宋体" w:hAnsi="宋体" w:eastAsia="宋体" w:cs="Times New Roman"/>
          <w:color w:val="000000"/>
          <w:sz w:val="24"/>
          <w:szCs w:val="24"/>
          <w:highlight w:val="none"/>
        </w:rPr>
        <w:t xml:space="preserve">项目编号： </w:t>
      </w:r>
      <w:r>
        <w:rPr>
          <w:rFonts w:hint="eastAsia" w:ascii="宋体" w:hAnsi="宋体" w:cs="宋体"/>
          <w:sz w:val="24"/>
          <w:szCs w:val="24"/>
          <w:highlight w:val="none"/>
        </w:rPr>
        <w:t xml:space="preserve">                          </w:t>
      </w:r>
    </w:p>
    <w:tbl>
      <w:tblPr>
        <w:tblStyle w:val="33"/>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8"/>
        <w:gridCol w:w="5772"/>
      </w:tblGrid>
      <w:tr w14:paraId="687F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28" w:type="dxa"/>
            <w:noWrap/>
            <w:vAlign w:val="center"/>
          </w:tcPr>
          <w:p w14:paraId="2294BC9F">
            <w:pPr>
              <w:jc w:val="center"/>
              <w:rPr>
                <w:rFonts w:ascii="宋体" w:hAnsi="宋体"/>
                <w:b/>
                <w:bCs/>
                <w:sz w:val="24"/>
                <w:szCs w:val="24"/>
              </w:rPr>
            </w:pPr>
            <w:r>
              <w:rPr>
                <w:rFonts w:hint="eastAsia" w:ascii="宋体" w:hAnsi="宋体"/>
                <w:b/>
                <w:bCs/>
                <w:sz w:val="24"/>
                <w:szCs w:val="24"/>
              </w:rPr>
              <w:t>项目名称</w:t>
            </w:r>
          </w:p>
        </w:tc>
        <w:tc>
          <w:tcPr>
            <w:tcW w:w="5772" w:type="dxa"/>
            <w:noWrap/>
            <w:vAlign w:val="center"/>
          </w:tcPr>
          <w:p w14:paraId="23FD19EF">
            <w:pPr>
              <w:jc w:val="center"/>
              <w:rPr>
                <w:rFonts w:ascii="宋体" w:hAnsi="宋体"/>
                <w:b/>
                <w:bCs/>
                <w:sz w:val="24"/>
                <w:szCs w:val="24"/>
              </w:rPr>
            </w:pPr>
            <w:r>
              <w:rPr>
                <w:rFonts w:hint="eastAsia" w:ascii="宋体" w:hAnsi="宋体"/>
                <w:b/>
                <w:bCs/>
                <w:sz w:val="24"/>
                <w:szCs w:val="24"/>
              </w:rPr>
              <w:t>总价（小写）</w:t>
            </w:r>
          </w:p>
        </w:tc>
      </w:tr>
      <w:tr w14:paraId="3B9E4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3828" w:type="dxa"/>
            <w:noWrap/>
            <w:vAlign w:val="center"/>
          </w:tcPr>
          <w:p w14:paraId="25F6DA49">
            <w:pPr>
              <w:pStyle w:val="211"/>
              <w:spacing w:line="400" w:lineRule="exact"/>
              <w:jc w:val="center"/>
              <w:rPr>
                <w:rFonts w:hAnsi="宋体"/>
                <w:bCs/>
                <w:szCs w:val="24"/>
              </w:rPr>
            </w:pPr>
            <w:r>
              <w:rPr>
                <w:rFonts w:hint="eastAsia" w:cs="Times New Roman"/>
                <w:sz w:val="24"/>
                <w:szCs w:val="24"/>
                <w:highlight w:val="none"/>
                <w:lang w:val="en-US" w:eastAsia="zh-CN"/>
              </w:rPr>
              <w:t>理化生实验室设备采购(第二批)</w:t>
            </w:r>
          </w:p>
        </w:tc>
        <w:tc>
          <w:tcPr>
            <w:tcW w:w="5772" w:type="dxa"/>
            <w:noWrap/>
            <w:vAlign w:val="center"/>
          </w:tcPr>
          <w:p w14:paraId="5F2B930F">
            <w:pPr>
              <w:pStyle w:val="211"/>
              <w:ind w:firstLine="960"/>
              <w:rPr>
                <w:rFonts w:hAnsi="宋体"/>
                <w:b/>
                <w:szCs w:val="24"/>
              </w:rPr>
            </w:pPr>
          </w:p>
        </w:tc>
      </w:tr>
    </w:tbl>
    <w:p w14:paraId="3D488889">
      <w:pPr>
        <w:ind w:left="1"/>
        <w:jc w:val="right"/>
        <w:rPr>
          <w:rFonts w:ascii="宋体" w:hAnsi="宋体" w:cs="宋体"/>
          <w:sz w:val="24"/>
          <w:szCs w:val="24"/>
        </w:rPr>
      </w:pPr>
      <w:r>
        <w:rPr>
          <w:rFonts w:hint="eastAsia" w:ascii="宋体" w:hAnsi="宋体" w:cs="宋体"/>
          <w:sz w:val="24"/>
          <w:szCs w:val="24"/>
        </w:rPr>
        <w:t>                                     </w:t>
      </w:r>
    </w:p>
    <w:p w14:paraId="266C0F21">
      <w:pPr>
        <w:ind w:left="1"/>
        <w:jc w:val="right"/>
        <w:rPr>
          <w:rFonts w:ascii="宋体" w:hAnsi="宋体" w:cs="宋体"/>
          <w:sz w:val="24"/>
          <w:szCs w:val="24"/>
        </w:rPr>
      </w:pPr>
      <w:r>
        <w:rPr>
          <w:rFonts w:ascii="宋体" w:hAnsi="宋体" w:cs="宋体"/>
          <w:sz w:val="24"/>
          <w:szCs w:val="24"/>
        </w:rPr>
        <w:t> </w:t>
      </w:r>
    </w:p>
    <w:p w14:paraId="33FB66DF">
      <w:pPr>
        <w:ind w:left="1"/>
        <w:rPr>
          <w:rFonts w:ascii="宋体" w:hAnsi="宋体" w:cs="宋体"/>
          <w:sz w:val="24"/>
          <w:szCs w:val="24"/>
        </w:rPr>
      </w:pPr>
      <w:r>
        <w:rPr>
          <w:rFonts w:ascii="宋体" w:hAnsi="宋体" w:cs="宋体"/>
          <w:sz w:val="24"/>
          <w:szCs w:val="24"/>
        </w:rPr>
        <w:t> </w:t>
      </w:r>
    </w:p>
    <w:p w14:paraId="5AF9D5BD">
      <w:pPr>
        <w:widowControl/>
        <w:spacing w:before="100" w:after="100"/>
        <w:jc w:val="right"/>
        <w:rPr>
          <w:rFonts w:ascii="宋体" w:hAnsi="宋体" w:cs="宋体"/>
          <w:sz w:val="24"/>
          <w:szCs w:val="24"/>
        </w:rPr>
      </w:pPr>
      <w:r>
        <w:rPr>
          <w:rFonts w:hint="eastAsia" w:ascii="宋体" w:hAnsi="宋体" w:cs="宋体"/>
          <w:sz w:val="24"/>
          <w:szCs w:val="24"/>
        </w:rPr>
        <w:t>                            年  月  日</w:t>
      </w:r>
    </w:p>
    <w:p w14:paraId="076ED9C1">
      <w:pPr>
        <w:numPr>
          <w:ilvl w:val="0"/>
          <w:numId w:val="0"/>
        </w:numPr>
        <w:spacing w:line="360" w:lineRule="auto"/>
        <w:ind w:left="0" w:firstLine="480"/>
        <w:jc w:val="left"/>
        <w:rPr>
          <w:rFonts w:hint="eastAsia"/>
          <w:highlight w:val="none"/>
          <w:lang w:val="zh-CN"/>
        </w:rPr>
      </w:pPr>
    </w:p>
    <w:p w14:paraId="533A22AA">
      <w:pPr>
        <w:numPr>
          <w:ilvl w:val="0"/>
          <w:numId w:val="0"/>
        </w:numPr>
        <w:spacing w:line="360" w:lineRule="auto"/>
        <w:jc w:val="left"/>
        <w:rPr>
          <w:rFonts w:hint="eastAsia" w:ascii="黑体" w:hAnsi="宋体" w:eastAsia="黑体" w:cs="Times New Roman"/>
          <w:bCs/>
          <w:color w:val="000000"/>
          <w:sz w:val="28"/>
          <w:szCs w:val="28"/>
          <w:highlight w:val="none"/>
          <w:lang w:eastAsia="zh-CN"/>
        </w:rPr>
      </w:pPr>
      <w:r>
        <w:rPr>
          <w:rFonts w:hint="eastAsia" w:ascii="宋体" w:hAnsi="宋体"/>
          <w:sz w:val="28"/>
          <w:szCs w:val="28"/>
          <w:highlight w:val="none"/>
        </w:rPr>
        <w:br w:type="page" w:clear="all"/>
      </w:r>
      <w:r>
        <w:rPr>
          <w:rFonts w:hint="eastAsia" w:ascii="黑体" w:hAnsi="宋体" w:eastAsia="黑体" w:cs="Times New Roman"/>
          <w:bCs/>
          <w:color w:val="000000"/>
          <w:sz w:val="28"/>
          <w:szCs w:val="28"/>
          <w:highlight w:val="none"/>
          <w:lang w:eastAsia="zh-CN"/>
        </w:rPr>
        <w:t>（</w:t>
      </w:r>
      <w:r>
        <w:rPr>
          <w:rFonts w:hint="eastAsia" w:ascii="黑体" w:hAnsi="宋体" w:eastAsia="黑体" w:cs="Times New Roman"/>
          <w:bCs/>
          <w:color w:val="000000"/>
          <w:sz w:val="28"/>
          <w:szCs w:val="28"/>
          <w:highlight w:val="none"/>
          <w:lang w:val="en-US" w:eastAsia="zh-CN"/>
        </w:rPr>
        <w:t>二</w:t>
      </w:r>
      <w:r>
        <w:rPr>
          <w:rFonts w:hint="eastAsia" w:ascii="黑体" w:hAnsi="宋体" w:eastAsia="黑体" w:cs="Times New Roman"/>
          <w:bCs/>
          <w:color w:val="000000"/>
          <w:sz w:val="28"/>
          <w:szCs w:val="28"/>
          <w:highlight w:val="none"/>
          <w:lang w:eastAsia="zh-CN"/>
        </w:rPr>
        <w:t>）资格证明文件</w:t>
      </w:r>
    </w:p>
    <w:p w14:paraId="75DF43A9">
      <w:pPr>
        <w:spacing w:before="156" w:after="156"/>
        <w:ind w:firstLine="480"/>
        <w:jc w:val="both"/>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1、关于资格的声明函（格式）：</w:t>
      </w:r>
    </w:p>
    <w:p w14:paraId="3D57F7C9">
      <w:pPr>
        <w:spacing w:before="156" w:after="156" w:line="240" w:lineRule="auto"/>
        <w:jc w:val="center"/>
        <w:rPr>
          <w:rFonts w:hint="eastAsia" w:ascii="黑体" w:hAnsi="Times New Roman" w:eastAsia="黑体" w:cs="Times New Roman"/>
          <w:bCs/>
          <w:color w:val="auto"/>
          <w:sz w:val="28"/>
          <w:szCs w:val="28"/>
          <w:highlight w:val="none"/>
        </w:rPr>
      </w:pPr>
      <w:bookmarkStart w:id="116" w:name="报价方关于资格的声明函（格式）"/>
      <w:bookmarkEnd w:id="116"/>
      <w:bookmarkStart w:id="117" w:name="_Toc24943"/>
    </w:p>
    <w:p w14:paraId="7743E038">
      <w:pPr>
        <w:spacing w:before="156" w:after="156"/>
        <w:jc w:val="center"/>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关于资格的声明函</w:t>
      </w:r>
      <w:bookmarkEnd w:id="117"/>
    </w:p>
    <w:p w14:paraId="25173239">
      <w:pPr>
        <w:spacing w:line="480" w:lineRule="auto"/>
        <w:jc w:val="center"/>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30"/>
          <w:highlight w:val="none"/>
          <w:lang w:val="en-US" w:eastAsia="zh-CN"/>
        </w:rPr>
        <w:t xml:space="preserve">        </w:t>
      </w:r>
      <w:r>
        <w:rPr>
          <w:rFonts w:hint="eastAsia" w:ascii="宋体" w:hAnsi="宋体" w:cs="宋体"/>
          <w:bCs/>
          <w:sz w:val="30"/>
          <w:highlight w:val="none"/>
        </w:rPr>
        <w:t xml:space="preserve"> </w:t>
      </w:r>
      <w:bookmarkStart w:id="118" w:name="OLE_LINK80"/>
      <w:r>
        <w:rPr>
          <w:rFonts w:hint="eastAsia" w:ascii="宋体" w:hAnsi="宋体" w:cs="宋体"/>
          <w:bCs/>
          <w:sz w:val="24"/>
          <w:szCs w:val="24"/>
          <w:highlight w:val="none"/>
        </w:rPr>
        <w:t>项目编号：</w:t>
      </w:r>
    </w:p>
    <w:p w14:paraId="1C9210C2">
      <w:pPr>
        <w:tabs>
          <w:tab w:val="left" w:pos="6300"/>
        </w:tabs>
        <w:spacing w:line="480" w:lineRule="auto"/>
        <w:jc w:val="center"/>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 日期：</w:t>
      </w:r>
      <w:bookmarkEnd w:id="118"/>
    </w:p>
    <w:p w14:paraId="79096EAE">
      <w:pPr>
        <w:spacing w:line="48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江苏省宜兴第一中学周铁分校</w:t>
      </w:r>
      <w:r>
        <w:rPr>
          <w:rFonts w:hint="eastAsia" w:ascii="宋体" w:hAnsi="宋体" w:cs="宋体"/>
          <w:bCs/>
          <w:sz w:val="24"/>
          <w:szCs w:val="24"/>
          <w:highlight w:val="none"/>
        </w:rPr>
        <w:t>：</w:t>
      </w:r>
    </w:p>
    <w:p w14:paraId="3D9A283C">
      <w:pPr>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    我公司（单位）参加本次项目（</w:t>
      </w:r>
      <w:r>
        <w:rPr>
          <w:rFonts w:hint="eastAsia" w:ascii="宋体" w:hAnsi="宋体"/>
          <w:bCs/>
          <w:sz w:val="24"/>
          <w:szCs w:val="24"/>
          <w:highlight w:val="none"/>
        </w:rPr>
        <w:t>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w:t>
      </w:r>
      <w:bookmarkStart w:id="119" w:name="OLE_LINK243"/>
      <w:r>
        <w:rPr>
          <w:rFonts w:hint="eastAsia" w:ascii="宋体" w:hAnsi="宋体" w:cs="宋体"/>
          <w:bCs/>
          <w:sz w:val="24"/>
          <w:szCs w:val="24"/>
          <w:highlight w:val="none"/>
        </w:rPr>
        <w:t>政府采购活动前三年内在经营活动中没有重大违法记录；</w:t>
      </w:r>
      <w:r>
        <w:rPr>
          <w:rFonts w:hint="eastAsia" w:ascii="宋体" w:hAnsi="宋体" w:cs="宋体"/>
          <w:sz w:val="24"/>
          <w:szCs w:val="24"/>
          <w:highlight w:val="none"/>
          <w:lang w:bidi="ar"/>
        </w:rPr>
        <w:t>同时，投标时不存在</w:t>
      </w:r>
      <w:bookmarkStart w:id="120" w:name="OLE_LINK242"/>
      <w:r>
        <w:rPr>
          <w:rFonts w:hint="eastAsia" w:ascii="宋体" w:hAnsi="宋体" w:cs="宋体"/>
          <w:sz w:val="24"/>
          <w:szCs w:val="24"/>
          <w:highlight w:val="none"/>
          <w:lang w:bidi="ar"/>
        </w:rPr>
        <w:t>有效期限</w:t>
      </w:r>
      <w:bookmarkEnd w:id="120"/>
      <w:r>
        <w:rPr>
          <w:rFonts w:hint="eastAsia" w:ascii="宋体" w:hAnsi="宋体" w:cs="宋体"/>
          <w:sz w:val="24"/>
          <w:szCs w:val="24"/>
          <w:highlight w:val="none"/>
          <w:lang w:bidi="ar"/>
        </w:rPr>
        <w:t>内的政府采购严重违法失信行为的处罚记录，未被列入失信名单或重大税收违法案件当事人名单；</w:t>
      </w:r>
      <w:r>
        <w:rPr>
          <w:rFonts w:hint="eastAsia" w:ascii="宋体" w:hAnsi="宋体" w:cs="宋体"/>
          <w:bCs/>
          <w:sz w:val="24"/>
          <w:szCs w:val="24"/>
          <w:highlight w:val="none"/>
        </w:rPr>
        <w:t>且具备履行合同所必需的设备和专业技术能力。</w:t>
      </w:r>
      <w:bookmarkEnd w:id="119"/>
      <w:r>
        <w:rPr>
          <w:rFonts w:hint="eastAsia" w:ascii="宋体" w:hAnsi="宋体" w:cs="宋体"/>
          <w:bCs/>
          <w:sz w:val="24"/>
          <w:szCs w:val="24"/>
          <w:highlight w:val="none"/>
        </w:rPr>
        <w:t>我公司（单位）愿针对本次项目（</w:t>
      </w:r>
      <w:r>
        <w:rPr>
          <w:rFonts w:hint="eastAsia" w:ascii="宋体" w:hAnsi="宋体"/>
          <w:bCs/>
          <w:sz w:val="24"/>
          <w:szCs w:val="24"/>
          <w:highlight w:val="none"/>
        </w:rPr>
        <w:t>项目编号：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）进行投标，</w:t>
      </w:r>
      <w:r>
        <w:rPr>
          <w:rFonts w:hint="eastAsia" w:ascii="宋体" w:hAnsi="宋体" w:cs="宋体"/>
          <w:sz w:val="24"/>
          <w:szCs w:val="24"/>
          <w:highlight w:val="none"/>
        </w:rPr>
        <w:t>所提供的货物均为原厂全新合格品，</w:t>
      </w:r>
      <w:r>
        <w:rPr>
          <w:rFonts w:hint="eastAsia" w:ascii="宋体" w:hAnsi="宋体" w:cs="宋体"/>
          <w:bCs/>
          <w:sz w:val="24"/>
          <w:szCs w:val="24"/>
          <w:highlight w:val="none"/>
        </w:rPr>
        <w:t>投标文件中所有关于投标资格的文件、证明、陈述均是真实的、准确的。若有违背，我公司（单位）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同意监管部门做出的相关决定并承担由此而产生的一切后果。</w:t>
      </w:r>
    </w:p>
    <w:p w14:paraId="219392E8">
      <w:pPr>
        <w:rPr>
          <w:rFonts w:hint="eastAsia" w:ascii="宋体" w:hAnsi="宋体" w:cs="宋体"/>
          <w:sz w:val="24"/>
          <w:szCs w:val="28"/>
          <w:highlight w:val="none"/>
        </w:rPr>
      </w:pPr>
      <w:r>
        <w:rPr>
          <w:rFonts w:hint="eastAsia" w:ascii="宋体" w:hAnsi="宋体" w:cs="宋体"/>
          <w:bCs/>
          <w:sz w:val="24"/>
          <w:szCs w:val="24"/>
          <w:highlight w:val="none"/>
        </w:rPr>
        <w:t xml:space="preserve">                                    </w:t>
      </w:r>
      <w:bookmarkStart w:id="121" w:name="OLE_LINK81"/>
    </w:p>
    <w:p w14:paraId="186035F4">
      <w:pPr>
        <w:spacing w:line="360" w:lineRule="auto"/>
        <w:jc w:val="center"/>
        <w:rPr>
          <w:rFonts w:hint="eastAsia" w:ascii="宋体" w:hAnsi="宋体"/>
          <w:bCs/>
          <w:color w:val="000000"/>
          <w:sz w:val="24"/>
          <w:highlight w:val="none"/>
          <w:lang w:val="zh-CN"/>
        </w:rPr>
      </w:pPr>
      <w:r>
        <w:rPr>
          <w:rFonts w:hint="eastAsia" w:ascii="宋体" w:hAnsi="宋体" w:cs="宋体"/>
          <w:bCs/>
          <w:sz w:val="24"/>
          <w:highlight w:val="none"/>
        </w:rPr>
        <w:t xml:space="preserve">       </w:t>
      </w:r>
      <w:r>
        <w:rPr>
          <w:rFonts w:hint="eastAsia" w:ascii="宋体" w:hAnsi="宋体"/>
          <w:bCs/>
          <w:color w:val="000000"/>
          <w:sz w:val="24"/>
          <w:highlight w:val="none"/>
        </w:rPr>
        <w:t xml:space="preserve"> 投标人（电子签章）：</w:t>
      </w:r>
      <w:bookmarkEnd w:id="121"/>
    </w:p>
    <w:p w14:paraId="3D020E32">
      <w:pPr>
        <w:spacing w:line="360" w:lineRule="auto"/>
        <w:rPr>
          <w:rFonts w:hint="eastAsia" w:ascii="宋体" w:hAnsi="宋体" w:cs="宋体"/>
          <w:bCs/>
          <w:sz w:val="28"/>
          <w:szCs w:val="28"/>
          <w:highlight w:val="none"/>
        </w:rPr>
      </w:pPr>
      <w:bookmarkStart w:id="122" w:name="OLE_LINK36"/>
    </w:p>
    <w:bookmarkEnd w:id="122"/>
    <w:p w14:paraId="296DFD02">
      <w:pPr>
        <w:spacing w:line="360" w:lineRule="auto"/>
        <w:rPr>
          <w:rFonts w:hint="eastAsia" w:ascii="宋体" w:hAnsi="宋体" w:cs="宋体"/>
          <w:bCs/>
          <w:sz w:val="28"/>
          <w:szCs w:val="28"/>
          <w:highlight w:val="none"/>
        </w:rPr>
      </w:pPr>
    </w:p>
    <w:p w14:paraId="5EDF9B2C">
      <w:pPr>
        <w:spacing w:line="360" w:lineRule="auto"/>
        <w:jc w:val="center"/>
        <w:rPr>
          <w:rFonts w:hint="eastAsia" w:ascii="宋体" w:hAnsi="宋体" w:cs="宋体"/>
          <w:bCs/>
          <w:sz w:val="28"/>
          <w:szCs w:val="28"/>
          <w:highlight w:val="none"/>
        </w:rPr>
      </w:pPr>
    </w:p>
    <w:p w14:paraId="6FF80602">
      <w:pPr>
        <w:spacing w:line="360" w:lineRule="auto"/>
        <w:jc w:val="center"/>
        <w:rPr>
          <w:rFonts w:hint="eastAsia" w:ascii="宋体" w:hAnsi="宋体" w:cs="宋体"/>
          <w:bCs/>
          <w:sz w:val="28"/>
          <w:szCs w:val="28"/>
          <w:highlight w:val="none"/>
        </w:rPr>
      </w:pPr>
    </w:p>
    <w:p w14:paraId="38490F69">
      <w:pPr>
        <w:pStyle w:val="191"/>
        <w:rPr>
          <w:rFonts w:ascii="宋体" w:hAnsi="宋体" w:cs="宋体"/>
          <w:bCs/>
          <w:sz w:val="24"/>
          <w:szCs w:val="24"/>
          <w:highlight w:val="none"/>
        </w:rPr>
      </w:pPr>
    </w:p>
    <w:p w14:paraId="48BBB59A">
      <w:pPr>
        <w:outlineLvl w:val="0"/>
        <w:rPr>
          <w:rFonts w:hint="eastAsia"/>
          <w:color w:val="000000"/>
          <w:highlight w:val="none"/>
        </w:rPr>
      </w:pPr>
      <w:bookmarkStart w:id="123" w:name="_Hlk131928408"/>
    </w:p>
    <w:p w14:paraId="10F6574D">
      <w:pPr>
        <w:ind w:firstLine="420"/>
        <w:outlineLvl w:val="0"/>
        <w:rPr>
          <w:rFonts w:hint="eastAsia"/>
          <w:color w:val="000000"/>
          <w:highlight w:val="none"/>
        </w:rPr>
      </w:pPr>
    </w:p>
    <w:p w14:paraId="2237456C">
      <w:pPr>
        <w:rPr>
          <w:highlight w:val="none"/>
        </w:rPr>
      </w:pPr>
      <w:r>
        <w:rPr>
          <w:rFonts w:hint="eastAsia"/>
          <w:highlight w:val="none"/>
        </w:rPr>
        <w:t>注：上述所称“重大违法记录”,是指供应商因违法经营受到刑事处罚或者责令停产停业、吊销许可证或者执照、较大数额罚款等行政处罚。</w:t>
      </w:r>
      <w:bookmarkEnd w:id="123"/>
    </w:p>
    <w:p w14:paraId="04A0EE25">
      <w:pPr>
        <w:rPr>
          <w:rFonts w:hint="eastAsia"/>
          <w:highlight w:val="none"/>
        </w:rPr>
        <w:sectPr>
          <w:footerReference r:id="rId10" w:type="default"/>
          <w:pgSz w:w="11906" w:h="16838"/>
          <w:pgMar w:top="1440" w:right="1078" w:bottom="1440" w:left="1168" w:header="851" w:footer="992" w:gutter="0"/>
          <w:cols w:space="1701" w:num="1"/>
          <w:docGrid w:linePitch="360" w:charSpace="0"/>
        </w:sectPr>
      </w:pPr>
    </w:p>
    <w:p w14:paraId="65706DD1">
      <w:pPr>
        <w:spacing w:before="156" w:after="156"/>
        <w:ind w:firstLine="480"/>
        <w:jc w:val="both"/>
        <w:rPr>
          <w:rFonts w:hint="eastAsia" w:ascii="黑体" w:hAnsi="黑体" w:eastAsia="黑体"/>
          <w:sz w:val="28"/>
          <w:szCs w:val="28"/>
          <w:highlight w:val="none"/>
        </w:rPr>
      </w:pPr>
      <w:r>
        <w:rPr>
          <w:rFonts w:hint="eastAsia" w:ascii="黑体" w:hAnsi="宋体" w:eastAsia="黑体"/>
          <w:bCs/>
          <w:color w:val="000000"/>
          <w:sz w:val="24"/>
          <w:szCs w:val="24"/>
          <w:highlight w:val="none"/>
        </w:rPr>
        <w:t>2、</w:t>
      </w:r>
      <w:r>
        <w:rPr>
          <w:rFonts w:hint="eastAsia" w:ascii="黑体" w:hAnsi="宋体" w:eastAsia="黑体"/>
          <w:bCs/>
          <w:color w:val="000000"/>
          <w:sz w:val="24"/>
          <w:szCs w:val="24"/>
          <w:highlight w:val="none"/>
          <w:lang w:val="zh-CN"/>
        </w:rPr>
        <w:t>被授权代表身份证明</w:t>
      </w:r>
      <w:r>
        <w:rPr>
          <w:rFonts w:hint="eastAsia" w:ascii="黑体" w:hAnsi="宋体" w:eastAsia="黑体"/>
          <w:bCs/>
          <w:color w:val="000000"/>
          <w:sz w:val="24"/>
          <w:szCs w:val="24"/>
          <w:highlight w:val="none"/>
        </w:rPr>
        <w:t>1（格式）：</w:t>
      </w:r>
      <w:r>
        <w:rPr>
          <w:rFonts w:hint="eastAsia" w:ascii="宋体" w:hAnsi="宋体"/>
          <w:color w:val="000000"/>
          <w:sz w:val="24"/>
          <w:szCs w:val="28"/>
          <w:highlight w:val="none"/>
        </w:rPr>
        <w:t xml:space="preserve"> </w:t>
      </w:r>
    </w:p>
    <w:p w14:paraId="416B2003">
      <w:pPr>
        <w:spacing w:before="156" w:after="156"/>
        <w:jc w:val="center"/>
        <w:rPr>
          <w:rFonts w:hint="eastAsia" w:ascii="宋体" w:hAnsi="宋体" w:cs="宋体"/>
          <w:sz w:val="28"/>
          <w:szCs w:val="28"/>
          <w:highlight w:val="none"/>
        </w:rPr>
      </w:pPr>
      <w:r>
        <w:rPr>
          <w:rFonts w:hint="eastAsia" w:ascii="黑体" w:hAnsi="黑体" w:eastAsia="黑体"/>
          <w:sz w:val="28"/>
          <w:szCs w:val="28"/>
          <w:highlight w:val="none"/>
        </w:rPr>
        <w:t>法定代表人授权委托书</w:t>
      </w:r>
    </w:p>
    <w:p w14:paraId="4CB594CA">
      <w:pPr>
        <w:tabs>
          <w:tab w:val="left" w:pos="255"/>
        </w:tabs>
        <w:spacing w:line="360" w:lineRule="auto"/>
        <w:ind w:left="420"/>
        <w:rPr>
          <w:rFonts w:hint="eastAsia" w:ascii="宋体" w:hAnsi="宋体" w:cs="宋体"/>
          <w:sz w:val="24"/>
          <w:szCs w:val="21"/>
          <w:highlight w:val="none"/>
          <w:lang w:val="zh-CN"/>
        </w:rPr>
      </w:pP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1"/>
          <w:highlight w:val="none"/>
          <w:lang w:val="zh-CN"/>
        </w:rPr>
        <w:t xml:space="preserve">项目编号： </w:t>
      </w:r>
    </w:p>
    <w:p w14:paraId="71D70E19">
      <w:pPr>
        <w:tabs>
          <w:tab w:val="left" w:pos="255"/>
        </w:tabs>
        <w:spacing w:line="360" w:lineRule="auto"/>
        <w:ind w:left="420"/>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  日期：</w:t>
      </w:r>
    </w:p>
    <w:p w14:paraId="2423486A">
      <w:pPr>
        <w:tabs>
          <w:tab w:val="left" w:pos="255"/>
        </w:tabs>
        <w:spacing w:line="360" w:lineRule="auto"/>
        <w:ind w:left="420"/>
        <w:rPr>
          <w:rFonts w:hint="eastAsia" w:ascii="宋体" w:hAnsi="宋体" w:cs="宋体"/>
          <w:sz w:val="24"/>
          <w:szCs w:val="21"/>
          <w:highlight w:val="none"/>
          <w:lang w:val="zh-CN"/>
        </w:rPr>
      </w:pPr>
      <w:r>
        <w:rPr>
          <w:rFonts w:hint="eastAsia" w:ascii="宋体" w:hAnsi="宋体" w:cs="宋体"/>
          <w:bCs/>
          <w:sz w:val="24"/>
          <w:szCs w:val="24"/>
          <w:highlight w:val="none"/>
          <w:lang w:eastAsia="zh-CN"/>
        </w:rPr>
        <w:t>江苏省宜兴第一中学周铁分校</w:t>
      </w:r>
      <w:r>
        <w:rPr>
          <w:rFonts w:hint="eastAsia" w:ascii="宋体" w:hAnsi="宋体" w:cs="宋体"/>
          <w:bCs/>
          <w:sz w:val="24"/>
          <w:szCs w:val="24"/>
          <w:highlight w:val="none"/>
        </w:rPr>
        <w:t>、</w:t>
      </w:r>
      <w:r>
        <w:rPr>
          <w:rFonts w:hint="eastAsia" w:ascii="宋体" w:hAnsi="宋体" w:cs="宋体"/>
          <w:sz w:val="24"/>
          <w:szCs w:val="21"/>
          <w:highlight w:val="none"/>
          <w:lang w:val="zh-CN"/>
        </w:rPr>
        <w:t>江苏宏翔工程造价咨询有限公司：</w:t>
      </w:r>
    </w:p>
    <w:p w14:paraId="4B2AB0C9">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w:t>
      </w:r>
      <w:r>
        <w:rPr>
          <w:rFonts w:hint="eastAsia" w:ascii="宋体" w:hAnsi="宋体"/>
          <w:bCs/>
          <w:sz w:val="24"/>
          <w:szCs w:val="24"/>
          <w:highlight w:val="none"/>
        </w:rPr>
        <w:t>（项目编号：</w:t>
      </w:r>
      <w:r>
        <w:rPr>
          <w:rFonts w:hint="eastAsia" w:ascii="宋体" w:hAnsi="宋体" w:cs="宋体"/>
          <w:sz w:val="24"/>
          <w:szCs w:val="21"/>
          <w:highlight w:val="none"/>
          <w:u w:val="single"/>
          <w:lang w:val="en-US" w:eastAsia="zh-CN"/>
        </w:rPr>
        <w:t xml:space="preserve">       </w:t>
      </w:r>
      <w:r>
        <w:rPr>
          <w:rFonts w:hint="eastAsia" w:ascii="宋体" w:hAnsi="宋体"/>
          <w:bCs/>
          <w:sz w:val="24"/>
          <w:szCs w:val="24"/>
          <w:highlight w:val="none"/>
        </w:rPr>
        <w:t>）</w:t>
      </w:r>
      <w:r>
        <w:rPr>
          <w:rFonts w:hint="eastAsia" w:ascii="宋体" w:hAnsi="宋体"/>
          <w:sz w:val="24"/>
          <w:szCs w:val="21"/>
          <w:highlight w:val="none"/>
          <w:lang w:val="zh-CN"/>
        </w:rPr>
        <w:t>的响应报价，以我方名义签署、确认、澄清、提交、撤回、修改相关文件和处理有关事宜，其法律后果由我方承担。</w:t>
      </w:r>
    </w:p>
    <w:p w14:paraId="28BC70E2">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6D187FB6">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14:paraId="0B3D1A98">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委托期限：自本授权委托书签署之日起至响应有效期届满之日止。</w:t>
      </w:r>
    </w:p>
    <w:p w14:paraId="3CB0FC9F">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被授权代表无转委托权。</w:t>
      </w:r>
    </w:p>
    <w:p w14:paraId="37A777DD">
      <w:pPr>
        <w:tabs>
          <w:tab w:val="left" w:pos="255"/>
        </w:tabs>
        <w:spacing w:line="360" w:lineRule="auto"/>
        <w:ind w:left="420" w:firstLine="480"/>
        <w:rPr>
          <w:rFonts w:hint="eastAsia" w:ascii="宋体" w:hAnsi="宋体"/>
          <w:sz w:val="24"/>
          <w:szCs w:val="21"/>
          <w:highlight w:val="none"/>
          <w:lang w:val="zh-CN"/>
        </w:rPr>
      </w:pPr>
    </w:p>
    <w:p w14:paraId="7356634D">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14:paraId="2413ACA3">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14:paraId="338CC48B">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14:paraId="1F604816">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14:paraId="2B69DFDD">
      <w:pPr>
        <w:tabs>
          <w:tab w:val="left" w:pos="255"/>
        </w:tabs>
        <w:spacing w:line="360" w:lineRule="auto"/>
        <w:ind w:left="420" w:firstLine="480"/>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p>
    <w:p w14:paraId="7EDC7D65">
      <w:pPr>
        <w:tabs>
          <w:tab w:val="left" w:pos="255"/>
        </w:tabs>
        <w:spacing w:line="360" w:lineRule="auto"/>
        <w:ind w:left="420" w:firstLine="480"/>
        <w:rPr>
          <w:rFonts w:hint="eastAsia" w:ascii="宋体" w:hAnsi="宋体" w:cs="宋体"/>
          <w:sz w:val="24"/>
          <w:szCs w:val="21"/>
          <w:highlight w:val="none"/>
          <w:lang w:val="zh-CN"/>
        </w:rPr>
      </w:pPr>
    </w:p>
    <w:p w14:paraId="5D9DDE79">
      <w:pPr>
        <w:tabs>
          <w:tab w:val="left" w:pos="255"/>
        </w:tabs>
        <w:spacing w:line="360" w:lineRule="auto"/>
        <w:ind w:left="420" w:firstLine="480"/>
        <w:rPr>
          <w:rFonts w:hint="eastAsia" w:ascii="宋体" w:hAnsi="宋体" w:cs="宋体"/>
          <w:sz w:val="24"/>
          <w:szCs w:val="21"/>
          <w:highlight w:val="none"/>
          <w:lang w:val="zh-CN"/>
        </w:rPr>
      </w:pPr>
    </w:p>
    <w:p w14:paraId="227BD784">
      <w:pPr>
        <w:tabs>
          <w:tab w:val="left" w:pos="255"/>
        </w:tabs>
        <w:spacing w:line="360" w:lineRule="auto"/>
        <w:ind w:left="420" w:firstLine="480"/>
        <w:rPr>
          <w:rFonts w:hint="eastAsia" w:ascii="宋体" w:hAnsi="宋体" w:cs="宋体"/>
          <w:sz w:val="24"/>
          <w:szCs w:val="21"/>
          <w:highlight w:val="none"/>
          <w:lang w:val="zh-CN"/>
        </w:rPr>
      </w:pPr>
    </w:p>
    <w:p w14:paraId="36447E7C">
      <w:pPr>
        <w:spacing w:line="360" w:lineRule="auto"/>
        <w:jc w:val="right"/>
        <w:rPr>
          <w:sz w:val="24"/>
          <w:szCs w:val="24"/>
          <w:highlight w:val="none"/>
        </w:rPr>
      </w:pPr>
      <w:r>
        <w:rPr>
          <w:rFonts w:hint="eastAsia" w:ascii="宋体" w:hAnsi="宋体" w:cs="宋体"/>
          <w:sz w:val="24"/>
          <w:szCs w:val="21"/>
          <w:highlight w:val="none"/>
          <w:lang w:val="zh-CN"/>
        </w:rPr>
        <w:t xml:space="preserve">                                    </w:t>
      </w:r>
      <w:r>
        <w:rPr>
          <w:rFonts w:hint="eastAsia" w:ascii="宋体" w:hAnsi="宋体"/>
          <w:bCs/>
          <w:color w:val="000000"/>
          <w:sz w:val="24"/>
          <w:highlight w:val="none"/>
        </w:rPr>
        <w:t xml:space="preserve"> </w:t>
      </w:r>
      <w:r>
        <w:rPr>
          <w:rFonts w:hint="eastAsia"/>
          <w:sz w:val="24"/>
          <w:szCs w:val="24"/>
          <w:highlight w:val="none"/>
        </w:rPr>
        <w:t>供应商</w:t>
      </w:r>
      <w:r>
        <w:rPr>
          <w:sz w:val="24"/>
          <w:szCs w:val="24"/>
          <w:highlight w:val="none"/>
        </w:rPr>
        <w:t>（电子签章）：</w:t>
      </w:r>
    </w:p>
    <w:p w14:paraId="5FF65489">
      <w:pPr>
        <w:spacing w:line="360" w:lineRule="auto"/>
        <w:jc w:val="right"/>
        <w:rPr>
          <w:rFonts w:hint="eastAsia" w:ascii="宋体" w:hAnsi="宋体"/>
          <w:sz w:val="24"/>
          <w:szCs w:val="24"/>
          <w:highlight w:val="none"/>
        </w:rPr>
      </w:pPr>
      <w:r>
        <w:rPr>
          <w:rFonts w:hint="eastAsia" w:ascii="宋体" w:hAnsi="宋体"/>
          <w:sz w:val="24"/>
          <w:szCs w:val="24"/>
          <w:highlight w:val="none"/>
        </w:rPr>
        <w:t>日期：___年___月__日</w:t>
      </w:r>
    </w:p>
    <w:p w14:paraId="259A75B8">
      <w:pPr>
        <w:tabs>
          <w:tab w:val="left" w:pos="255"/>
        </w:tabs>
        <w:spacing w:line="360" w:lineRule="auto"/>
        <w:ind w:left="420" w:firstLine="480"/>
        <w:rPr>
          <w:rFonts w:hint="eastAsia" w:ascii="宋体" w:hAnsi="宋体" w:cs="宋体"/>
          <w:sz w:val="24"/>
          <w:szCs w:val="21"/>
          <w:highlight w:val="none"/>
          <w:lang w:val="zh-CN"/>
        </w:rPr>
      </w:pPr>
    </w:p>
    <w:p w14:paraId="04F4541B">
      <w:pPr>
        <w:spacing w:line="360" w:lineRule="auto"/>
        <w:rPr>
          <w:rFonts w:hint="eastAsia" w:ascii="宋体" w:hAnsi="宋体" w:cs="宋体"/>
          <w:bCs/>
          <w:sz w:val="28"/>
          <w:szCs w:val="28"/>
          <w:highlight w:val="none"/>
        </w:rPr>
      </w:pPr>
    </w:p>
    <w:p w14:paraId="7D3D7176">
      <w:pPr>
        <w:pStyle w:val="191"/>
        <w:rPr>
          <w:rFonts w:ascii="宋体" w:hAnsi="宋体" w:cs="宋体"/>
          <w:bCs/>
          <w:sz w:val="24"/>
          <w:szCs w:val="24"/>
          <w:highlight w:val="none"/>
        </w:rPr>
      </w:pPr>
    </w:p>
    <w:p w14:paraId="2D3E0F2E">
      <w:pPr>
        <w:ind w:firstLine="480"/>
        <w:rPr>
          <w:rFonts w:hint="eastAsia" w:ascii="宋体" w:hAnsi="宋体" w:cs="宋体"/>
          <w:bCs/>
          <w:sz w:val="24"/>
          <w:szCs w:val="24"/>
          <w:highlight w:val="none"/>
        </w:rPr>
      </w:pPr>
    </w:p>
    <w:p w14:paraId="0D02B493">
      <w:pPr>
        <w:ind w:firstLine="480"/>
        <w:rPr>
          <w:rFonts w:hint="eastAsia" w:ascii="宋体" w:hAnsi="宋体" w:cs="宋体"/>
          <w:bCs/>
          <w:sz w:val="24"/>
          <w:szCs w:val="24"/>
          <w:highlight w:val="none"/>
        </w:rPr>
        <w:sectPr>
          <w:pgSz w:w="11906" w:h="16838"/>
          <w:pgMar w:top="1440" w:right="1078" w:bottom="1440" w:left="1168" w:header="851" w:footer="992" w:gutter="0"/>
          <w:cols w:space="1701" w:num="1"/>
          <w:docGrid w:linePitch="360" w:charSpace="0"/>
        </w:sectPr>
      </w:pPr>
    </w:p>
    <w:p w14:paraId="3B3471C7">
      <w:pPr>
        <w:spacing w:line="360" w:lineRule="auto"/>
        <w:ind w:firstLine="480"/>
        <w:rPr>
          <w:color w:val="000000"/>
          <w:sz w:val="24"/>
          <w:szCs w:val="24"/>
          <w:highlight w:val="none"/>
        </w:rPr>
      </w:pPr>
      <w:r>
        <w:rPr>
          <w:rFonts w:hint="eastAsia" w:ascii="黑体" w:hAnsi="宋体" w:eastAsia="黑体"/>
          <w:bCs/>
          <w:color w:val="000000"/>
          <w:sz w:val="24"/>
          <w:szCs w:val="24"/>
          <w:highlight w:val="none"/>
        </w:rPr>
        <w:t>3、被授权代表身份证明2：</w:t>
      </w:r>
      <w:bookmarkStart w:id="124" w:name="_Hlk151362709"/>
      <w:r>
        <w:rPr>
          <w:rFonts w:hint="eastAsia" w:ascii="宋体" w:hAnsi="宋体"/>
          <w:color w:val="000000"/>
          <w:sz w:val="24"/>
          <w:szCs w:val="21"/>
          <w:highlight w:val="none"/>
          <w:lang w:val="zh-CN"/>
        </w:rPr>
        <w:t>详见第二章投标人须知相关要求</w:t>
      </w:r>
      <w:bookmarkEnd w:id="124"/>
    </w:p>
    <w:p w14:paraId="6C03AFB4">
      <w:pPr>
        <w:jc w:val="left"/>
        <w:rPr>
          <w:color w:val="000000"/>
          <w:sz w:val="24"/>
          <w:szCs w:val="24"/>
          <w:highlight w:val="none"/>
        </w:rPr>
      </w:pPr>
    </w:p>
    <w:p w14:paraId="71078773">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4、具有独立承担民事责任的能力：</w:t>
      </w:r>
      <w:r>
        <w:rPr>
          <w:rFonts w:hint="eastAsia" w:ascii="宋体" w:hAnsi="宋体"/>
          <w:color w:val="000000"/>
          <w:sz w:val="24"/>
          <w:szCs w:val="21"/>
          <w:highlight w:val="none"/>
          <w:lang w:val="zh-CN"/>
        </w:rPr>
        <w:t>按第二章投标人须知要求提供相关证明材料</w:t>
      </w:r>
    </w:p>
    <w:p w14:paraId="27608421">
      <w:pPr>
        <w:jc w:val="left"/>
        <w:rPr>
          <w:color w:val="000000"/>
          <w:sz w:val="24"/>
          <w:szCs w:val="24"/>
          <w:highlight w:val="none"/>
        </w:rPr>
      </w:pPr>
    </w:p>
    <w:p w14:paraId="0D6933A0">
      <w:pPr>
        <w:spacing w:line="360" w:lineRule="auto"/>
        <w:ind w:firstLine="480"/>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rPr>
        <w:t>5、具有良好的商业信誉和健全的财务会计制度：</w:t>
      </w:r>
      <w:r>
        <w:rPr>
          <w:rFonts w:hint="eastAsia" w:ascii="宋体" w:hAnsi="宋体"/>
          <w:color w:val="000000"/>
          <w:sz w:val="24"/>
          <w:szCs w:val="21"/>
          <w:highlight w:val="none"/>
          <w:lang w:val="zh-CN"/>
        </w:rPr>
        <w:t>按第二章投标人须知要求提供相关证明材料</w:t>
      </w:r>
    </w:p>
    <w:p w14:paraId="098B063E">
      <w:pPr>
        <w:jc w:val="left"/>
        <w:rPr>
          <w:color w:val="000000"/>
          <w:sz w:val="24"/>
          <w:szCs w:val="24"/>
          <w:highlight w:val="none"/>
        </w:rPr>
      </w:pPr>
    </w:p>
    <w:p w14:paraId="6AB80329">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6、有依法缴纳税收的良好记录：</w:t>
      </w:r>
      <w:r>
        <w:rPr>
          <w:rFonts w:hint="eastAsia" w:ascii="宋体" w:hAnsi="宋体"/>
          <w:color w:val="000000"/>
          <w:sz w:val="24"/>
          <w:szCs w:val="21"/>
          <w:highlight w:val="none"/>
          <w:lang w:val="zh-CN"/>
        </w:rPr>
        <w:t>按第二章投标人须知要求提供相关证明材料</w:t>
      </w:r>
    </w:p>
    <w:p w14:paraId="6DD8B55F">
      <w:pPr>
        <w:jc w:val="left"/>
        <w:rPr>
          <w:color w:val="000000"/>
          <w:sz w:val="24"/>
          <w:szCs w:val="24"/>
          <w:highlight w:val="none"/>
        </w:rPr>
      </w:pPr>
    </w:p>
    <w:p w14:paraId="32DFCDBF">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7、有依法缴纳社会保障资金的良好记录：</w:t>
      </w:r>
      <w:r>
        <w:rPr>
          <w:rFonts w:hint="eastAsia" w:ascii="宋体" w:hAnsi="宋体"/>
          <w:color w:val="000000"/>
          <w:sz w:val="24"/>
          <w:szCs w:val="21"/>
          <w:highlight w:val="none"/>
          <w:lang w:val="zh-CN"/>
        </w:rPr>
        <w:t>按第二章投标人须知要求提供相关证明材料</w:t>
      </w:r>
    </w:p>
    <w:p w14:paraId="70559B99">
      <w:pPr>
        <w:jc w:val="left"/>
        <w:rPr>
          <w:color w:val="000000"/>
          <w:sz w:val="24"/>
          <w:szCs w:val="24"/>
          <w:highlight w:val="none"/>
        </w:rPr>
      </w:pPr>
    </w:p>
    <w:p w14:paraId="1B5D0EDD">
      <w:pPr>
        <w:numPr>
          <w:ilvl w:val="0"/>
          <w:numId w:val="0"/>
        </w:numPr>
        <w:spacing w:line="360" w:lineRule="auto"/>
        <w:ind w:firstLine="480"/>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lang w:val="zh-CN" w:eastAsia="zh-CN"/>
        </w:rPr>
        <w:t>8、</w:t>
      </w:r>
      <w:r>
        <w:rPr>
          <w:rFonts w:hint="eastAsia" w:ascii="黑体" w:hAnsi="宋体" w:eastAsia="黑体"/>
          <w:bCs/>
          <w:color w:val="000000"/>
          <w:sz w:val="24"/>
          <w:szCs w:val="24"/>
          <w:highlight w:val="none"/>
        </w:rPr>
        <w:t>无不良信用记录：</w:t>
      </w:r>
      <w:r>
        <w:rPr>
          <w:rFonts w:hint="eastAsia" w:ascii="宋体" w:hAnsi="宋体"/>
          <w:color w:val="000000"/>
          <w:sz w:val="24"/>
          <w:szCs w:val="21"/>
          <w:highlight w:val="none"/>
          <w:lang w:val="zh-CN"/>
        </w:rPr>
        <w:t>详见第二章投标人须知相关要求</w:t>
      </w:r>
    </w:p>
    <w:p w14:paraId="3A09A757">
      <w:pPr>
        <w:numPr>
          <w:ilvl w:val="0"/>
          <w:numId w:val="0"/>
        </w:numPr>
        <w:spacing w:line="360" w:lineRule="auto"/>
        <w:rPr>
          <w:rFonts w:hint="eastAsia" w:ascii="宋体" w:hAnsi="宋体"/>
          <w:color w:val="000000"/>
          <w:sz w:val="24"/>
          <w:szCs w:val="21"/>
          <w:highlight w:val="none"/>
          <w:lang w:val="zh-CN"/>
        </w:rPr>
      </w:pPr>
    </w:p>
    <w:p w14:paraId="4B0C7DA2">
      <w:pPr>
        <w:tabs>
          <w:tab w:val="left" w:pos="255"/>
        </w:tabs>
        <w:spacing w:line="360" w:lineRule="auto"/>
        <w:ind w:firstLine="480"/>
        <w:jc w:val="left"/>
        <w:rPr>
          <w:rFonts w:ascii="黑体" w:hAnsi="宋体" w:eastAsia="黑体"/>
          <w:bCs/>
          <w:color w:val="000000"/>
          <w:sz w:val="24"/>
          <w:szCs w:val="24"/>
          <w:highlight w:val="none"/>
        </w:rPr>
      </w:pPr>
      <w:bookmarkStart w:id="125" w:name="_Hlk151563619"/>
      <w:r>
        <w:rPr>
          <w:rFonts w:hint="eastAsia" w:ascii="黑体" w:hAnsi="宋体" w:eastAsia="黑体"/>
          <w:bCs/>
          <w:color w:val="000000"/>
          <w:sz w:val="24"/>
          <w:szCs w:val="24"/>
          <w:highlight w:val="none"/>
          <w:lang w:val="en-US" w:eastAsia="zh-CN"/>
        </w:rPr>
        <w:t>9</w:t>
      </w:r>
      <w:r>
        <w:rPr>
          <w:rFonts w:hint="eastAsia" w:ascii="黑体" w:hAnsi="宋体" w:eastAsia="黑体"/>
          <w:bCs/>
          <w:color w:val="000000"/>
          <w:sz w:val="24"/>
          <w:szCs w:val="24"/>
          <w:highlight w:val="none"/>
        </w:rPr>
        <w:t>、中小企业声明</w:t>
      </w:r>
    </w:p>
    <w:p w14:paraId="18522314">
      <w:pPr>
        <w:tabs>
          <w:tab w:val="left" w:pos="0"/>
          <w:tab w:val="left" w:pos="255"/>
        </w:tabs>
        <w:spacing w:line="360" w:lineRule="auto"/>
        <w:ind w:firstLine="480"/>
        <w:rPr>
          <w:rFonts w:ascii="宋体" w:hAnsi="宋体"/>
          <w:b/>
          <w:color w:val="000000"/>
          <w:sz w:val="24"/>
          <w:szCs w:val="24"/>
          <w:highlight w:val="none"/>
        </w:rPr>
      </w:pPr>
      <w:bookmarkStart w:id="126" w:name="_Hlk151451145"/>
      <w:bookmarkStart w:id="127" w:name="_Hlk151458964"/>
      <w:r>
        <w:rPr>
          <w:rFonts w:hint="eastAsia" w:ascii="宋体" w:hAnsi="宋体"/>
          <w:bCs/>
          <w:color w:val="000000"/>
          <w:sz w:val="24"/>
          <w:szCs w:val="24"/>
          <w:highlight w:val="none"/>
        </w:rPr>
        <w:t>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2</w:t>
      </w:r>
      <w:r>
        <w:rPr>
          <w:rFonts w:hint="eastAsia" w:ascii="宋体" w:hAnsi="宋体"/>
          <w:bCs/>
          <w:color w:val="000000"/>
          <w:sz w:val="24"/>
          <w:szCs w:val="24"/>
          <w:highlight w:val="none"/>
        </w:rPr>
        <w:t>），或监狱企业的证明文件；否则无需提供。</w:t>
      </w:r>
      <w:bookmarkEnd w:id="126"/>
      <w:bookmarkEnd w:id="127"/>
      <w:bookmarkStart w:id="128" w:name="_Hlk151458994"/>
    </w:p>
    <w:p w14:paraId="4BBD05C9">
      <w:pPr>
        <w:tabs>
          <w:tab w:val="left" w:pos="0"/>
          <w:tab w:val="left" w:pos="255"/>
        </w:tabs>
        <w:spacing w:line="360" w:lineRule="auto"/>
        <w:ind w:firstLine="482"/>
        <w:rPr>
          <w:rFonts w:ascii="宋体" w:hAnsi="宋体"/>
          <w:b/>
          <w:color w:val="000000"/>
          <w:sz w:val="24"/>
          <w:szCs w:val="24"/>
          <w:highlight w:val="none"/>
          <w:lang w:val="zh-CN"/>
        </w:rPr>
      </w:pPr>
    </w:p>
    <w:p w14:paraId="2FA85E47">
      <w:pPr>
        <w:tabs>
          <w:tab w:val="left" w:pos="255"/>
        </w:tabs>
        <w:spacing w:line="360" w:lineRule="auto"/>
        <w:ind w:firstLine="480"/>
        <w:jc w:val="left"/>
        <w:rPr>
          <w:rFonts w:hint="eastAsia" w:ascii="黑体" w:hAnsi="宋体" w:eastAsia="黑体"/>
          <w:bCs/>
          <w:color w:val="000000"/>
          <w:sz w:val="24"/>
          <w:szCs w:val="24"/>
          <w:highlight w:val="none"/>
          <w:lang w:val="zh-CN" w:eastAsia="zh-CN"/>
        </w:rPr>
      </w:pPr>
      <w:r>
        <w:rPr>
          <w:rFonts w:hint="eastAsia" w:ascii="黑体" w:hAnsi="宋体" w:eastAsia="黑体"/>
          <w:bCs/>
          <w:color w:val="000000"/>
          <w:sz w:val="24"/>
          <w:szCs w:val="24"/>
          <w:highlight w:val="none"/>
          <w:lang w:val="en-US" w:eastAsia="zh-CN"/>
        </w:rPr>
        <w:t>10、特定资格要求</w:t>
      </w:r>
      <w:r>
        <w:rPr>
          <w:rFonts w:hint="eastAsia" w:ascii="黑体" w:hAnsi="宋体" w:eastAsia="黑体"/>
          <w:bCs/>
          <w:color w:val="000000"/>
          <w:sz w:val="24"/>
          <w:szCs w:val="24"/>
          <w:highlight w:val="none"/>
          <w:lang w:val="zh-CN" w:eastAsia="zh-CN"/>
        </w:rPr>
        <w:t>：无。</w:t>
      </w:r>
    </w:p>
    <w:p w14:paraId="718BF28C">
      <w:pPr>
        <w:tabs>
          <w:tab w:val="left" w:pos="0"/>
          <w:tab w:val="left" w:pos="2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注：如本项目有特定资格要求的，按招标文件要求提供证明材料，否则无需提供。</w:t>
      </w:r>
    </w:p>
    <w:bookmarkEnd w:id="128"/>
    <w:p w14:paraId="34FD636D">
      <w:pPr>
        <w:tabs>
          <w:tab w:val="left" w:pos="0"/>
          <w:tab w:val="left" w:pos="255"/>
        </w:tabs>
        <w:spacing w:line="360" w:lineRule="auto"/>
        <w:ind w:firstLine="482"/>
        <w:rPr>
          <w:rFonts w:ascii="宋体" w:hAnsi="宋体"/>
          <w:b/>
          <w:color w:val="000000"/>
          <w:sz w:val="24"/>
          <w:szCs w:val="24"/>
          <w:highlight w:val="none"/>
          <w:lang w:val="zh-CN"/>
        </w:rPr>
      </w:pPr>
    </w:p>
    <w:bookmarkEnd w:id="125"/>
    <w:p w14:paraId="08558056">
      <w:pPr>
        <w:tabs>
          <w:tab w:val="left" w:pos="0"/>
          <w:tab w:val="left" w:pos="255"/>
        </w:tabs>
        <w:spacing w:line="360" w:lineRule="auto"/>
        <w:ind w:firstLine="482"/>
        <w:rPr>
          <w:rFonts w:ascii="宋体" w:hAnsi="宋体"/>
          <w:b/>
          <w:color w:val="000000"/>
          <w:sz w:val="24"/>
          <w:szCs w:val="24"/>
          <w:highlight w:val="none"/>
          <w:lang w:val="zh-CN"/>
        </w:rPr>
      </w:pPr>
    </w:p>
    <w:p w14:paraId="25639AA2">
      <w:pPr>
        <w:tabs>
          <w:tab w:val="left" w:pos="0"/>
          <w:tab w:val="left" w:pos="255"/>
        </w:tabs>
        <w:spacing w:line="360" w:lineRule="auto"/>
        <w:ind w:firstLine="482"/>
        <w:rPr>
          <w:rFonts w:ascii="宋体" w:hAnsi="宋体"/>
          <w:b/>
          <w:color w:val="000000"/>
          <w:sz w:val="24"/>
          <w:szCs w:val="24"/>
          <w:highlight w:val="none"/>
          <w:lang w:val="zh-CN"/>
        </w:rPr>
      </w:pPr>
    </w:p>
    <w:p w14:paraId="216A2978">
      <w:pPr>
        <w:tabs>
          <w:tab w:val="left" w:pos="0"/>
          <w:tab w:val="left" w:pos="255"/>
        </w:tabs>
        <w:spacing w:line="360" w:lineRule="auto"/>
        <w:ind w:firstLine="482"/>
        <w:rPr>
          <w:rFonts w:ascii="宋体" w:hAnsi="宋体"/>
          <w:b/>
          <w:color w:val="000000"/>
          <w:sz w:val="24"/>
          <w:szCs w:val="24"/>
          <w:highlight w:val="none"/>
          <w:lang w:val="zh-CN"/>
        </w:rPr>
      </w:pPr>
    </w:p>
    <w:p w14:paraId="31E75DCA">
      <w:pPr>
        <w:tabs>
          <w:tab w:val="left" w:pos="0"/>
          <w:tab w:val="left" w:pos="255"/>
        </w:tabs>
        <w:spacing w:line="360" w:lineRule="auto"/>
        <w:ind w:firstLine="482"/>
        <w:rPr>
          <w:rFonts w:ascii="宋体" w:hAnsi="宋体"/>
          <w:b/>
          <w:color w:val="000000"/>
          <w:sz w:val="24"/>
          <w:szCs w:val="24"/>
          <w:highlight w:val="none"/>
          <w:lang w:val="zh-CN"/>
        </w:rPr>
      </w:pPr>
    </w:p>
    <w:p w14:paraId="585639DA">
      <w:pPr>
        <w:pStyle w:val="200"/>
        <w:rPr>
          <w:rFonts w:hint="eastAsia"/>
          <w:highlight w:val="none"/>
        </w:rPr>
        <w:sectPr>
          <w:pgSz w:w="11906" w:h="16838"/>
          <w:pgMar w:top="1440" w:right="1417" w:bottom="1440" w:left="1417" w:header="851" w:footer="992" w:gutter="0"/>
          <w:cols w:space="1701" w:num="1"/>
          <w:docGrid w:linePitch="360" w:charSpace="0"/>
        </w:sectPr>
      </w:pPr>
    </w:p>
    <w:p w14:paraId="6D2E3B16">
      <w:pPr>
        <w:spacing w:after="156"/>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lang w:eastAsia="zh-CN"/>
        </w:rPr>
        <w:t>（</w:t>
      </w:r>
      <w:r>
        <w:rPr>
          <w:rFonts w:hint="eastAsia" w:ascii="黑体" w:hAnsi="宋体" w:eastAsia="黑体" w:cs="Times New Roman"/>
          <w:bCs/>
          <w:color w:val="000000"/>
          <w:sz w:val="28"/>
          <w:szCs w:val="28"/>
          <w:highlight w:val="none"/>
          <w:lang w:val="en-US" w:eastAsia="zh-CN"/>
        </w:rPr>
        <w:t>三</w:t>
      </w:r>
      <w:r>
        <w:rPr>
          <w:rFonts w:hint="eastAsia" w:ascii="黑体" w:hAnsi="宋体" w:eastAsia="黑体" w:cs="Times New Roman"/>
          <w:bCs/>
          <w:color w:val="000000"/>
          <w:sz w:val="28"/>
          <w:szCs w:val="28"/>
          <w:highlight w:val="none"/>
          <w:lang w:eastAsia="zh-CN"/>
        </w:rPr>
        <w:t>）</w:t>
      </w:r>
      <w:r>
        <w:rPr>
          <w:rFonts w:hint="eastAsia" w:ascii="黑体" w:hAnsi="宋体" w:eastAsia="黑体" w:cs="Times New Roman"/>
          <w:bCs/>
          <w:color w:val="000000"/>
          <w:sz w:val="28"/>
          <w:szCs w:val="28"/>
          <w:highlight w:val="none"/>
        </w:rPr>
        <w:t>符合条件</w:t>
      </w:r>
    </w:p>
    <w:p w14:paraId="7BD11FCB">
      <w:pPr>
        <w:ind w:firstLine="560"/>
        <w:rPr>
          <w:rFonts w:ascii="宋体"/>
          <w:b/>
          <w:bCs/>
          <w:color w:val="000000"/>
          <w:sz w:val="24"/>
          <w:szCs w:val="24"/>
          <w:highlight w:val="none"/>
        </w:rPr>
      </w:pPr>
      <w:r>
        <w:rPr>
          <w:rFonts w:hint="eastAsia" w:ascii="黑体" w:hAnsi="宋体" w:eastAsia="黑体"/>
          <w:bCs/>
          <w:color w:val="000000"/>
          <w:sz w:val="24"/>
          <w:szCs w:val="24"/>
          <w:highlight w:val="none"/>
          <w:lang w:val="en-US" w:eastAsia="zh-CN"/>
        </w:rPr>
        <w:t>1</w:t>
      </w:r>
      <w:r>
        <w:rPr>
          <w:rFonts w:hint="eastAsia" w:ascii="黑体" w:hAnsi="宋体" w:eastAsia="黑体"/>
          <w:bCs/>
          <w:color w:val="000000"/>
          <w:sz w:val="24"/>
          <w:szCs w:val="24"/>
          <w:highlight w:val="none"/>
        </w:rPr>
        <w:t>、投标函（格式）：</w:t>
      </w:r>
    </w:p>
    <w:p w14:paraId="57A070C1">
      <w:pPr>
        <w:spacing w:before="156" w:after="156" w:line="360" w:lineRule="auto"/>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投标函</w:t>
      </w:r>
    </w:p>
    <w:p w14:paraId="37C29F6F">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致江苏省宜兴第一中学周铁分校、</w:t>
      </w:r>
      <w:r>
        <w:rPr>
          <w:rFonts w:hint="eastAsia" w:ascii="宋体" w:hAnsi="宋体"/>
          <w:bCs/>
          <w:color w:val="000000"/>
          <w:sz w:val="24"/>
          <w:highlight w:val="none"/>
          <w:lang w:val="en-US" w:eastAsia="zh-CN"/>
        </w:rPr>
        <w:t>江苏宏翔工程造价咨询有限公司</w:t>
      </w:r>
      <w:r>
        <w:rPr>
          <w:rFonts w:hint="eastAsia" w:ascii="宋体" w:hAnsi="宋体"/>
          <w:bCs/>
          <w:color w:val="000000"/>
          <w:sz w:val="24"/>
          <w:highlight w:val="none"/>
          <w:lang w:val="zh-CN"/>
        </w:rPr>
        <w:t>：</w:t>
      </w:r>
    </w:p>
    <w:p w14:paraId="13982E0B">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我方收到你们</w:t>
      </w:r>
      <w:r>
        <w:rPr>
          <w:rFonts w:hint="eastAsia" w:ascii="宋体" w:hAnsi="宋体"/>
          <w:bCs/>
          <w:color w:val="000000"/>
          <w:sz w:val="24"/>
          <w:highlight w:val="none"/>
          <w:u w:val="none"/>
          <w:lang w:val="en-US" w:eastAsia="zh-CN"/>
        </w:rPr>
        <w:t>（项目编号：</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none"/>
          <w:lang w:val="en-US" w:eastAsia="zh-CN"/>
        </w:rPr>
        <w:t>）</w:t>
      </w:r>
      <w:r>
        <w:rPr>
          <w:rFonts w:hint="eastAsia" w:ascii="宋体" w:hAnsi="宋体"/>
          <w:bCs/>
          <w:color w:val="000000"/>
          <w:sz w:val="24"/>
          <w:highlight w:val="none"/>
          <w:lang w:val="zh-CN"/>
        </w:rPr>
        <w:t xml:space="preserve"> 招标文件，经仔细阅读和研究，我方决定参加投标。</w:t>
      </w:r>
    </w:p>
    <w:p w14:paraId="2FBFC596">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我方愿意按照招标文件的一切要求，提供投标产品，投标总价详见《开标一览表》。</w:t>
      </w:r>
    </w:p>
    <w:p w14:paraId="677ACA8F">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auto"/>
          <w:sz w:val="24"/>
          <w:highlight w:val="none"/>
          <w:lang w:val="zh-CN"/>
        </w:rPr>
        <w:t>我方已对照招标产品的技术参数要求，填写了投标</w:t>
      </w:r>
      <w:bookmarkStart w:id="129" w:name="_Hlk160091917"/>
      <w:r>
        <w:rPr>
          <w:rFonts w:hint="eastAsia" w:ascii="宋体" w:hAnsi="宋体"/>
          <w:bCs/>
          <w:color w:val="auto"/>
          <w:sz w:val="24"/>
          <w:highlight w:val="none"/>
          <w:lang w:val="zh-CN"/>
        </w:rPr>
        <w:t>产品的技术参数</w:t>
      </w:r>
      <w:bookmarkEnd w:id="129"/>
      <w:r>
        <w:rPr>
          <w:rFonts w:hint="eastAsia" w:ascii="宋体" w:hAnsi="宋体"/>
          <w:bCs/>
          <w:color w:val="auto"/>
          <w:sz w:val="24"/>
          <w:highlight w:val="none"/>
          <w:lang w:val="zh-CN"/>
        </w:rPr>
        <w:t>，详见《</w:t>
      </w:r>
      <w:bookmarkStart w:id="130" w:name="_Hlk160091504"/>
      <w:r>
        <w:rPr>
          <w:rFonts w:hint="eastAsia" w:ascii="宋体" w:hAnsi="宋体"/>
          <w:bCs/>
          <w:color w:val="auto"/>
          <w:sz w:val="24"/>
          <w:highlight w:val="none"/>
          <w:lang w:val="zh-CN"/>
        </w:rPr>
        <w:t>项目技术要求偏离表</w:t>
      </w:r>
      <w:bookmarkEnd w:id="130"/>
      <w:r>
        <w:rPr>
          <w:rFonts w:hint="eastAsia" w:ascii="宋体" w:hAnsi="宋体"/>
          <w:bCs/>
          <w:color w:val="auto"/>
          <w:sz w:val="24"/>
          <w:highlight w:val="none"/>
          <w:lang w:val="zh-CN"/>
        </w:rPr>
        <w:t>》</w:t>
      </w:r>
      <w:r>
        <w:rPr>
          <w:rFonts w:hint="eastAsia" w:ascii="宋体" w:hAnsi="宋体"/>
          <w:bCs/>
          <w:color w:val="000000"/>
          <w:sz w:val="24"/>
          <w:highlight w:val="none"/>
          <w:lang w:val="zh-CN"/>
        </w:rPr>
        <w:t>。</w:t>
      </w:r>
    </w:p>
    <w:p w14:paraId="6BF525BB">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auto"/>
          <w:sz w:val="24"/>
          <w:highlight w:val="none"/>
          <w:lang w:val="zh-CN"/>
        </w:rPr>
        <w:t>我方承诺本次采购项目清单中，若涉及到强制采购节能产品或信息安全产品的，将按照招标文件及法律法规要求提供相关产品</w:t>
      </w:r>
      <w:r>
        <w:rPr>
          <w:rFonts w:hint="eastAsia" w:ascii="宋体" w:hAnsi="宋体"/>
          <w:bCs/>
          <w:color w:val="000000"/>
          <w:sz w:val="24"/>
          <w:highlight w:val="none"/>
          <w:lang w:val="zh-CN"/>
        </w:rPr>
        <w:t>。</w:t>
      </w:r>
    </w:p>
    <w:p w14:paraId="6C35062F">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w:t>
      </w:r>
    </w:p>
    <w:p w14:paraId="2C5500B4">
      <w:pPr>
        <w:numPr>
          <w:ilvl w:val="0"/>
          <w:numId w:val="11"/>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如果我方的投标文件被接受，我方将履行招投标文件中规定的每一项要求，按期、按质、按量、按地点，完成</w:t>
      </w:r>
      <w:r>
        <w:rPr>
          <w:rFonts w:hint="eastAsia" w:ascii="宋体" w:hAnsi="宋体"/>
          <w:bCs/>
          <w:color w:val="000000"/>
          <w:sz w:val="24"/>
          <w:highlight w:val="none"/>
          <w:lang w:val="en-US" w:eastAsia="zh-CN"/>
        </w:rPr>
        <w:t>交货</w:t>
      </w:r>
      <w:r>
        <w:rPr>
          <w:rFonts w:hint="eastAsia" w:ascii="宋体" w:hAnsi="宋体"/>
          <w:bCs/>
          <w:color w:val="000000"/>
          <w:sz w:val="24"/>
          <w:highlight w:val="none"/>
          <w:lang w:val="zh-CN"/>
        </w:rPr>
        <w:t>任务。</w:t>
      </w:r>
    </w:p>
    <w:p w14:paraId="284F369C">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r>
        <w:rPr>
          <w:rFonts w:hint="eastAsia" w:ascii="宋体" w:hAnsi="宋体"/>
          <w:bCs/>
          <w:color w:val="auto"/>
          <w:sz w:val="24"/>
          <w:highlight w:val="none"/>
        </w:rPr>
        <w:t>并保证我方已提供和将要提供的资料是真实的、准确的</w:t>
      </w:r>
      <w:r>
        <w:rPr>
          <w:rFonts w:hint="eastAsia" w:ascii="宋体" w:hAnsi="宋体"/>
          <w:bCs/>
          <w:color w:val="000000"/>
          <w:sz w:val="24"/>
          <w:highlight w:val="none"/>
          <w:lang w:val="zh-CN"/>
        </w:rPr>
        <w:t>。</w:t>
      </w:r>
    </w:p>
    <w:p w14:paraId="640A1373">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我方认为采购人有权确定中标供应商。</w:t>
      </w:r>
      <w:r>
        <w:rPr>
          <w:rFonts w:hint="eastAsia" w:ascii="宋体" w:hAnsi="宋体"/>
          <w:bCs/>
          <w:color w:val="000000"/>
          <w:sz w:val="24"/>
          <w:szCs w:val="24"/>
          <w:highlight w:val="none"/>
          <w:lang w:val="zh-CN"/>
        </w:rPr>
        <w:t>除因不可抗力或招标文件认可的情形以外，我方绝不放弃中标资格</w:t>
      </w:r>
      <w:r>
        <w:rPr>
          <w:rFonts w:hint="eastAsia" w:ascii="宋体" w:hAnsi="宋体"/>
          <w:bCs/>
          <w:color w:val="000000"/>
          <w:sz w:val="24"/>
          <w:highlight w:val="none"/>
          <w:lang w:val="zh-CN"/>
        </w:rPr>
        <w:t>。</w:t>
      </w:r>
    </w:p>
    <w:p w14:paraId="79C57357">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我方愿意按</w:t>
      </w:r>
      <w:r>
        <w:rPr>
          <w:rFonts w:hint="eastAsia" w:ascii="宋体" w:hAnsi="宋体" w:cs="宋体"/>
          <w:color w:val="000000"/>
          <w:sz w:val="24"/>
          <w:highlight w:val="none"/>
          <w:lang w:val="zh-CN"/>
        </w:rPr>
        <w:t>《中华人民共和国民法典》</w:t>
      </w:r>
      <w:r>
        <w:rPr>
          <w:rFonts w:hint="eastAsia" w:ascii="宋体" w:hAnsi="宋体"/>
          <w:bCs/>
          <w:color w:val="000000"/>
          <w:sz w:val="24"/>
          <w:highlight w:val="none"/>
          <w:lang w:val="zh-CN"/>
        </w:rPr>
        <w:t>和合同条款履行自己的全部责任。</w:t>
      </w:r>
    </w:p>
    <w:p w14:paraId="68BA0C31">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如果我方中标，我方愿意遵守招标文件和中标通知书的规定，在指定时间和地点与采购人签订合同，并在签订合同前按招标文件的规定交纳履约保证金。</w:t>
      </w:r>
    </w:p>
    <w:p w14:paraId="3A7C9F19">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我方决不提供虚假材料谋取中标，决不采取不正当手段诋毁、排挤其他投标人，决不与采购人、其它投标人或者</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机构恶意串通，决不向采购人、</w:t>
      </w:r>
      <w:r>
        <w:rPr>
          <w:rFonts w:hint="eastAsia" w:ascii="宋体" w:hAnsi="宋体"/>
          <w:bCs/>
          <w:color w:val="000000"/>
          <w:sz w:val="24"/>
          <w:szCs w:val="24"/>
          <w:highlight w:val="none"/>
          <w:lang w:val="en-US" w:eastAsia="zh-CN"/>
        </w:rPr>
        <w:t>采购代理</w:t>
      </w:r>
      <w:r>
        <w:rPr>
          <w:rFonts w:hint="eastAsia" w:ascii="宋体" w:hAnsi="宋体"/>
          <w:bCs/>
          <w:color w:val="000000"/>
          <w:sz w:val="24"/>
          <w:szCs w:val="24"/>
          <w:highlight w:val="none"/>
        </w:rPr>
        <w:t>机构工作人员和评委进行商业贿赂，决不在采购过程中与采购人进行协商谈判，决不拒绝有关部门监督检查，如有违反，无条件接受相关管理部门的处罚。</w:t>
      </w:r>
    </w:p>
    <w:p w14:paraId="375909F4">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我方不是为本项目</w:t>
      </w:r>
      <w:r>
        <w:rPr>
          <w:rFonts w:ascii="宋体" w:hAnsi="宋体"/>
          <w:bCs/>
          <w:color w:val="000000"/>
          <w:sz w:val="24"/>
          <w:szCs w:val="24"/>
          <w:highlight w:val="none"/>
        </w:rPr>
        <w:t>提供整体设计、规范编制或者项目管理、监理、检测等服务的供应商</w:t>
      </w:r>
      <w:r>
        <w:rPr>
          <w:rFonts w:hint="eastAsia" w:ascii="宋体" w:hAnsi="宋体"/>
          <w:bCs/>
          <w:color w:val="000000"/>
          <w:sz w:val="24"/>
          <w:szCs w:val="24"/>
          <w:highlight w:val="none"/>
        </w:rPr>
        <w:t>。</w:t>
      </w:r>
    </w:p>
    <w:p w14:paraId="6EF5ECC9">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关联单位情况说明：</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38"/>
        <w:gridCol w:w="4449"/>
      </w:tblGrid>
      <w:tr w14:paraId="59E0D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938" w:type="dxa"/>
            <w:noWrap w:val="0"/>
            <w:vAlign w:val="center"/>
          </w:tcPr>
          <w:p w14:paraId="643C10B5">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单位负责人为同一人的其他单位</w:t>
            </w:r>
          </w:p>
        </w:tc>
        <w:tc>
          <w:tcPr>
            <w:tcW w:w="4449" w:type="dxa"/>
            <w:noWrap w:val="0"/>
            <w:vAlign w:val="center"/>
          </w:tcPr>
          <w:p w14:paraId="5B229535">
            <w:pPr>
              <w:spacing w:line="240" w:lineRule="auto"/>
              <w:rPr>
                <w:rFonts w:hint="eastAsia" w:ascii="宋体" w:hAnsi="宋体"/>
                <w:bCs/>
                <w:color w:val="000000"/>
                <w:sz w:val="24"/>
                <w:highlight w:val="none"/>
                <w:lang w:val="zh-CN"/>
              </w:rPr>
            </w:pPr>
          </w:p>
        </w:tc>
      </w:tr>
      <w:tr w14:paraId="4EC53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938" w:type="dxa"/>
            <w:noWrap w:val="0"/>
            <w:vAlign w:val="center"/>
          </w:tcPr>
          <w:p w14:paraId="6101172A">
            <w:pPr>
              <w:spacing w:line="24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存在直接控股、管理关系的其他单位</w:t>
            </w:r>
          </w:p>
        </w:tc>
        <w:tc>
          <w:tcPr>
            <w:tcW w:w="4449" w:type="dxa"/>
            <w:noWrap w:val="0"/>
            <w:vAlign w:val="center"/>
          </w:tcPr>
          <w:p w14:paraId="6C89E76D">
            <w:pPr>
              <w:spacing w:line="240" w:lineRule="auto"/>
              <w:rPr>
                <w:rFonts w:hint="eastAsia" w:ascii="宋体" w:hAnsi="宋体"/>
                <w:bCs/>
                <w:color w:val="000000"/>
                <w:sz w:val="24"/>
                <w:highlight w:val="none"/>
                <w:lang w:val="zh-CN"/>
              </w:rPr>
            </w:pPr>
          </w:p>
        </w:tc>
      </w:tr>
    </w:tbl>
    <w:p w14:paraId="220F76DD">
      <w:pPr>
        <w:spacing w:line="360" w:lineRule="auto"/>
        <w:ind w:left="480"/>
        <w:rPr>
          <w:rFonts w:hint="eastAsia" w:ascii="宋体" w:hAnsi="宋体"/>
          <w:bCs/>
          <w:color w:val="000000"/>
          <w:sz w:val="24"/>
          <w:highlight w:val="none"/>
          <w:lang w:val="zh-CN"/>
        </w:rPr>
      </w:pPr>
      <w:r>
        <w:rPr>
          <w:rFonts w:hint="eastAsia" w:ascii="宋体" w:hAnsi="宋体"/>
          <w:bCs/>
          <w:color w:val="000000"/>
          <w:sz w:val="24"/>
          <w:highlight w:val="none"/>
          <w:lang w:val="zh-CN"/>
        </w:rPr>
        <w:t>注：没有请填无。</w:t>
      </w:r>
    </w:p>
    <w:p w14:paraId="5AC88836">
      <w:pPr>
        <w:numPr>
          <w:ilvl w:val="0"/>
          <w:numId w:val="11"/>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与本投标有关的一切正式往来函电，请联系：</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6"/>
      </w:tblGrid>
      <w:tr w14:paraId="15559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jc w:val="center"/>
        </w:trPr>
        <w:tc>
          <w:tcPr>
            <w:tcW w:w="1587" w:type="dxa"/>
            <w:noWrap w:val="0"/>
            <w:vAlign w:val="center"/>
          </w:tcPr>
          <w:p w14:paraId="71A4F4DE">
            <w:pPr>
              <w:spacing w:line="24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地址</w:t>
            </w:r>
          </w:p>
        </w:tc>
        <w:tc>
          <w:tcPr>
            <w:tcW w:w="2823" w:type="dxa"/>
            <w:noWrap w:val="0"/>
            <w:vAlign w:val="center"/>
          </w:tcPr>
          <w:p w14:paraId="69B79649">
            <w:pPr>
              <w:spacing w:line="240" w:lineRule="auto"/>
              <w:jc w:val="center"/>
              <w:rPr>
                <w:rFonts w:hint="eastAsia" w:ascii="宋体" w:hAnsi="宋体"/>
                <w:bCs/>
                <w:color w:val="000000"/>
                <w:sz w:val="24"/>
                <w:highlight w:val="none"/>
                <w:lang w:val="zh-CN"/>
              </w:rPr>
            </w:pPr>
          </w:p>
        </w:tc>
        <w:tc>
          <w:tcPr>
            <w:tcW w:w="1252" w:type="dxa"/>
            <w:noWrap w:val="0"/>
            <w:vAlign w:val="center"/>
          </w:tcPr>
          <w:p w14:paraId="38194FBA">
            <w:pPr>
              <w:spacing w:line="24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邮编</w:t>
            </w:r>
          </w:p>
        </w:tc>
        <w:tc>
          <w:tcPr>
            <w:tcW w:w="3676" w:type="dxa"/>
            <w:noWrap w:val="0"/>
            <w:vAlign w:val="center"/>
          </w:tcPr>
          <w:p w14:paraId="5CC19ED4">
            <w:pPr>
              <w:spacing w:line="240" w:lineRule="auto"/>
              <w:jc w:val="center"/>
              <w:rPr>
                <w:rFonts w:hint="eastAsia" w:ascii="宋体" w:hAnsi="宋体"/>
                <w:bCs/>
                <w:color w:val="000000"/>
                <w:sz w:val="24"/>
                <w:highlight w:val="none"/>
                <w:lang w:val="zh-CN"/>
              </w:rPr>
            </w:pPr>
          </w:p>
        </w:tc>
      </w:tr>
      <w:tr w14:paraId="575B3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jc w:val="center"/>
        </w:trPr>
        <w:tc>
          <w:tcPr>
            <w:tcW w:w="1587" w:type="dxa"/>
            <w:noWrap w:val="0"/>
            <w:vAlign w:val="center"/>
          </w:tcPr>
          <w:p w14:paraId="0D390911">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传真</w:t>
            </w:r>
          </w:p>
        </w:tc>
        <w:tc>
          <w:tcPr>
            <w:tcW w:w="2823" w:type="dxa"/>
            <w:noWrap w:val="0"/>
            <w:vAlign w:val="center"/>
          </w:tcPr>
          <w:p w14:paraId="0A3A6C9A">
            <w:pPr>
              <w:spacing w:line="240" w:lineRule="auto"/>
              <w:jc w:val="center"/>
              <w:rPr>
                <w:rFonts w:hint="eastAsia" w:ascii="宋体" w:hAnsi="宋体"/>
                <w:bCs/>
                <w:color w:val="000000"/>
                <w:sz w:val="24"/>
                <w:highlight w:val="none"/>
                <w:lang w:val="zh-CN"/>
              </w:rPr>
            </w:pPr>
          </w:p>
        </w:tc>
        <w:tc>
          <w:tcPr>
            <w:tcW w:w="1252" w:type="dxa"/>
            <w:noWrap w:val="0"/>
            <w:vAlign w:val="center"/>
          </w:tcPr>
          <w:p w14:paraId="1B175747">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办公电话</w:t>
            </w:r>
          </w:p>
        </w:tc>
        <w:tc>
          <w:tcPr>
            <w:tcW w:w="3676" w:type="dxa"/>
            <w:noWrap w:val="0"/>
            <w:vAlign w:val="center"/>
          </w:tcPr>
          <w:p w14:paraId="6C9D4A3E">
            <w:pPr>
              <w:spacing w:line="240" w:lineRule="auto"/>
              <w:jc w:val="center"/>
              <w:rPr>
                <w:rFonts w:hint="eastAsia" w:ascii="宋体" w:hAnsi="宋体"/>
                <w:bCs/>
                <w:color w:val="000000"/>
                <w:sz w:val="24"/>
                <w:highlight w:val="none"/>
                <w:lang w:val="zh-CN"/>
              </w:rPr>
            </w:pPr>
          </w:p>
        </w:tc>
      </w:tr>
      <w:tr w14:paraId="66F41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jc w:val="center"/>
        </w:trPr>
        <w:tc>
          <w:tcPr>
            <w:tcW w:w="1587" w:type="dxa"/>
            <w:noWrap w:val="0"/>
            <w:vAlign w:val="center"/>
          </w:tcPr>
          <w:p w14:paraId="4697B19A">
            <w:pPr>
              <w:spacing w:line="240" w:lineRule="auto"/>
              <w:jc w:val="center"/>
              <w:rPr>
                <w:rFonts w:hint="eastAsia" w:ascii="宋体" w:hAnsi="宋体"/>
                <w:bCs/>
                <w:color w:val="000000"/>
                <w:sz w:val="24"/>
                <w:highlight w:val="none"/>
              </w:rPr>
            </w:pPr>
            <w:r>
              <w:rPr>
                <w:rFonts w:hint="eastAsia" w:ascii="宋体" w:hAnsi="宋体"/>
                <w:bCs/>
                <w:color w:val="000000"/>
                <w:sz w:val="24"/>
                <w:highlight w:val="none"/>
              </w:rPr>
              <w:t>法定代表人</w:t>
            </w:r>
          </w:p>
        </w:tc>
        <w:tc>
          <w:tcPr>
            <w:tcW w:w="2823" w:type="dxa"/>
            <w:noWrap w:val="0"/>
            <w:vAlign w:val="center"/>
          </w:tcPr>
          <w:p w14:paraId="501905E9">
            <w:pPr>
              <w:spacing w:line="240" w:lineRule="auto"/>
              <w:jc w:val="center"/>
              <w:rPr>
                <w:rFonts w:hint="eastAsia" w:ascii="宋体" w:hAnsi="宋体"/>
                <w:bCs/>
                <w:color w:val="000000"/>
                <w:sz w:val="24"/>
                <w:highlight w:val="none"/>
                <w:lang w:val="zh-CN"/>
              </w:rPr>
            </w:pPr>
          </w:p>
        </w:tc>
        <w:tc>
          <w:tcPr>
            <w:tcW w:w="1252" w:type="dxa"/>
            <w:noWrap w:val="0"/>
            <w:vAlign w:val="center"/>
          </w:tcPr>
          <w:p w14:paraId="311530F7">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6" w:type="dxa"/>
            <w:noWrap w:val="0"/>
            <w:vAlign w:val="center"/>
          </w:tcPr>
          <w:p w14:paraId="190AF032">
            <w:pPr>
              <w:spacing w:line="240" w:lineRule="auto"/>
              <w:jc w:val="center"/>
              <w:rPr>
                <w:rFonts w:hint="eastAsia" w:ascii="宋体" w:hAnsi="宋体"/>
                <w:bCs/>
                <w:color w:val="000000"/>
                <w:sz w:val="24"/>
                <w:highlight w:val="none"/>
                <w:lang w:val="zh-CN"/>
              </w:rPr>
            </w:pPr>
          </w:p>
        </w:tc>
      </w:tr>
      <w:tr w14:paraId="7BEF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jc w:val="center"/>
        </w:trPr>
        <w:tc>
          <w:tcPr>
            <w:tcW w:w="1587" w:type="dxa"/>
            <w:noWrap w:val="0"/>
            <w:vAlign w:val="center"/>
          </w:tcPr>
          <w:p w14:paraId="27958BBE">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联系人</w:t>
            </w:r>
          </w:p>
        </w:tc>
        <w:tc>
          <w:tcPr>
            <w:tcW w:w="2823" w:type="dxa"/>
            <w:noWrap w:val="0"/>
            <w:vAlign w:val="center"/>
          </w:tcPr>
          <w:p w14:paraId="28B8D2B8">
            <w:pPr>
              <w:spacing w:line="240" w:lineRule="auto"/>
              <w:jc w:val="center"/>
              <w:rPr>
                <w:rFonts w:hint="eastAsia" w:ascii="宋体" w:hAnsi="宋体"/>
                <w:bCs/>
                <w:color w:val="000000"/>
                <w:sz w:val="24"/>
                <w:highlight w:val="none"/>
                <w:lang w:val="zh-CN"/>
              </w:rPr>
            </w:pPr>
          </w:p>
        </w:tc>
        <w:tc>
          <w:tcPr>
            <w:tcW w:w="1252" w:type="dxa"/>
            <w:noWrap w:val="0"/>
            <w:vAlign w:val="center"/>
          </w:tcPr>
          <w:p w14:paraId="061FB5A5">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6" w:type="dxa"/>
            <w:noWrap w:val="0"/>
            <w:vAlign w:val="center"/>
          </w:tcPr>
          <w:p w14:paraId="18339B73">
            <w:pPr>
              <w:spacing w:line="240" w:lineRule="auto"/>
              <w:jc w:val="center"/>
              <w:rPr>
                <w:rFonts w:hint="eastAsia" w:ascii="宋体" w:hAnsi="宋体"/>
                <w:bCs/>
                <w:color w:val="000000"/>
                <w:sz w:val="24"/>
                <w:highlight w:val="none"/>
                <w:lang w:val="zh-CN"/>
              </w:rPr>
            </w:pPr>
          </w:p>
        </w:tc>
      </w:tr>
      <w:tr w14:paraId="3B4A5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jc w:val="center"/>
        </w:trPr>
        <w:tc>
          <w:tcPr>
            <w:tcW w:w="1587" w:type="dxa"/>
            <w:noWrap w:val="0"/>
            <w:vAlign w:val="center"/>
          </w:tcPr>
          <w:p w14:paraId="446A090E">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开户名称</w:t>
            </w:r>
          </w:p>
        </w:tc>
        <w:tc>
          <w:tcPr>
            <w:tcW w:w="7751" w:type="dxa"/>
            <w:gridSpan w:val="3"/>
            <w:noWrap w:val="0"/>
            <w:vAlign w:val="center"/>
          </w:tcPr>
          <w:p w14:paraId="05483FFB">
            <w:pPr>
              <w:spacing w:line="240" w:lineRule="auto"/>
              <w:jc w:val="center"/>
              <w:rPr>
                <w:rFonts w:hint="eastAsia" w:ascii="宋体" w:hAnsi="宋体"/>
                <w:bCs/>
                <w:color w:val="000000"/>
                <w:sz w:val="24"/>
                <w:highlight w:val="none"/>
                <w:lang w:val="zh-CN"/>
              </w:rPr>
            </w:pPr>
          </w:p>
        </w:tc>
      </w:tr>
      <w:tr w14:paraId="7321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jc w:val="center"/>
        </w:trPr>
        <w:tc>
          <w:tcPr>
            <w:tcW w:w="1587" w:type="dxa"/>
            <w:noWrap w:val="0"/>
            <w:vAlign w:val="center"/>
          </w:tcPr>
          <w:p w14:paraId="3C037364">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开户银行</w:t>
            </w:r>
          </w:p>
        </w:tc>
        <w:tc>
          <w:tcPr>
            <w:tcW w:w="2823" w:type="dxa"/>
            <w:noWrap w:val="0"/>
            <w:vAlign w:val="center"/>
          </w:tcPr>
          <w:p w14:paraId="5DD2AA87">
            <w:pPr>
              <w:spacing w:line="240" w:lineRule="auto"/>
              <w:jc w:val="center"/>
              <w:rPr>
                <w:rFonts w:hint="eastAsia" w:ascii="宋体" w:hAnsi="宋体"/>
                <w:bCs/>
                <w:color w:val="000000"/>
                <w:sz w:val="24"/>
                <w:highlight w:val="none"/>
                <w:lang w:val="zh-CN"/>
              </w:rPr>
            </w:pPr>
          </w:p>
        </w:tc>
        <w:tc>
          <w:tcPr>
            <w:tcW w:w="1252" w:type="dxa"/>
            <w:noWrap w:val="0"/>
            <w:vAlign w:val="center"/>
          </w:tcPr>
          <w:p w14:paraId="754FB5D8">
            <w:pPr>
              <w:spacing w:line="24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开户账号</w:t>
            </w:r>
          </w:p>
        </w:tc>
        <w:tc>
          <w:tcPr>
            <w:tcW w:w="3676" w:type="dxa"/>
            <w:noWrap w:val="0"/>
            <w:vAlign w:val="center"/>
          </w:tcPr>
          <w:p w14:paraId="78C09F50">
            <w:pPr>
              <w:spacing w:line="240" w:lineRule="auto"/>
              <w:jc w:val="center"/>
              <w:rPr>
                <w:rFonts w:hint="eastAsia" w:ascii="宋体" w:hAnsi="宋体"/>
                <w:bCs/>
                <w:color w:val="000000"/>
                <w:sz w:val="24"/>
                <w:highlight w:val="none"/>
                <w:lang w:val="zh-CN"/>
              </w:rPr>
            </w:pPr>
          </w:p>
        </w:tc>
      </w:tr>
    </w:tbl>
    <w:p w14:paraId="12B6E892">
      <w:pPr>
        <w:jc w:val="center"/>
        <w:rPr>
          <w:rFonts w:hint="eastAsia" w:ascii="宋体" w:hAnsi="宋体"/>
          <w:color w:val="000000"/>
          <w:sz w:val="28"/>
          <w:szCs w:val="28"/>
          <w:highlight w:val="none"/>
        </w:rPr>
      </w:pPr>
    </w:p>
    <w:p w14:paraId="6862A744">
      <w:pPr>
        <w:jc w:val="center"/>
        <w:rPr>
          <w:rFonts w:hint="eastAsia" w:ascii="宋体" w:hAnsi="宋体"/>
          <w:color w:val="000000"/>
          <w:sz w:val="28"/>
          <w:szCs w:val="28"/>
          <w:highlight w:val="none"/>
        </w:rPr>
      </w:pPr>
    </w:p>
    <w:p w14:paraId="58D4842F">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rPr>
        <w:t xml:space="preserve">                            投标人（电子签章）：</w:t>
      </w:r>
    </w:p>
    <w:p w14:paraId="2C0589E1">
      <w:pPr>
        <w:pStyle w:val="207"/>
        <w:numPr>
          <w:ilvl w:val="0"/>
          <w:numId w:val="0"/>
        </w:numPr>
        <w:rPr>
          <w:rFonts w:hint="eastAsia"/>
          <w:highlight w:val="none"/>
        </w:rPr>
      </w:pPr>
      <w:r>
        <w:rPr>
          <w:rFonts w:ascii="黑体" w:hAnsi="宋体" w:eastAsia="黑体"/>
          <w:bCs/>
          <w:color w:val="000000"/>
          <w:sz w:val="24"/>
          <w:szCs w:val="24"/>
          <w:highlight w:val="none"/>
        </w:rPr>
        <w:br w:type="page" w:clear="all"/>
      </w:r>
    </w:p>
    <w:p w14:paraId="4B3130F1">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2</w:t>
      </w:r>
      <w:r>
        <w:rPr>
          <w:rFonts w:hint="eastAsia" w:ascii="黑体" w:hAnsi="宋体" w:eastAsia="黑体"/>
          <w:bCs/>
          <w:color w:val="000000"/>
          <w:sz w:val="24"/>
          <w:szCs w:val="24"/>
          <w:highlight w:val="none"/>
        </w:rPr>
        <w:t>、明细报价表（格式）：</w:t>
      </w:r>
    </w:p>
    <w:p w14:paraId="7B2D1754">
      <w:pPr>
        <w:keepNext w:val="0"/>
        <w:keepLines w:val="0"/>
        <w:widowControl/>
        <w:suppressLineNumbers w:val="0"/>
        <w:spacing w:line="360" w:lineRule="auto"/>
        <w:jc w:val="center"/>
        <w:rPr>
          <w:rStyle w:val="221"/>
          <w:rFonts w:hint="eastAsia" w:ascii="宋体" w:hAnsi="宋体" w:eastAsia="宋体" w:cs="宋体"/>
          <w:b/>
          <w:bCs/>
          <w:i w:val="0"/>
          <w:iCs w:val="0"/>
          <w:sz w:val="24"/>
          <w:szCs w:val="24"/>
          <w:highlight w:val="none"/>
          <w:lang w:val="en-US" w:eastAsia="zh-CN" w:bidi="ar"/>
        </w:rPr>
      </w:pPr>
      <w:bookmarkStart w:id="131" w:name="OLE_LINK3"/>
      <w:r>
        <w:rPr>
          <w:rStyle w:val="221"/>
          <w:rFonts w:hint="eastAsia" w:ascii="宋体" w:hAnsi="宋体" w:eastAsia="宋体" w:cs="宋体"/>
          <w:b/>
          <w:bCs/>
          <w:i w:val="0"/>
          <w:iCs w:val="0"/>
          <w:sz w:val="24"/>
          <w:szCs w:val="24"/>
          <w:highlight w:val="none"/>
          <w:lang w:val="en-US" w:eastAsia="zh-CN" w:bidi="ar"/>
        </w:rPr>
        <w:t>明细报价表</w:t>
      </w:r>
      <w:bookmarkEnd w:id="131"/>
    </w:p>
    <w:p w14:paraId="1B3B62FC">
      <w:pPr>
        <w:pStyle w:val="236"/>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                         </w:t>
      </w:r>
    </w:p>
    <w:p w14:paraId="330D55B8">
      <w:pPr>
        <w:pStyle w:val="236"/>
        <w:rPr>
          <w:rFonts w:hint="eastAsia" w:ascii="宋体" w:hAnsi="宋体"/>
          <w:sz w:val="24"/>
          <w:szCs w:val="24"/>
          <w:highlight w:val="none"/>
          <w:lang w:val="en-US" w:eastAsia="zh-CN"/>
        </w:rPr>
      </w:pPr>
      <w:r>
        <w:rPr>
          <w:rFonts w:hint="eastAsia" w:ascii="宋体" w:hAnsi="宋体"/>
          <w:color w:val="000000"/>
          <w:sz w:val="24"/>
          <w:szCs w:val="21"/>
          <w:highlight w:val="none"/>
          <w:lang w:val="zh-CN"/>
        </w:rPr>
        <w:t>项目编号：</w:t>
      </w:r>
      <w:r>
        <w:rPr>
          <w:rFonts w:hint="eastAsia" w:ascii="宋体" w:hAnsi="宋体"/>
          <w:sz w:val="24"/>
          <w:szCs w:val="24"/>
          <w:highlight w:val="none"/>
        </w:rPr>
        <w:t xml:space="preserve">              </w:t>
      </w:r>
    </w:p>
    <w:tbl>
      <w:tblPr>
        <w:tblStyle w:val="33"/>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2"/>
        <w:gridCol w:w="1258"/>
        <w:gridCol w:w="1450"/>
        <w:gridCol w:w="958"/>
        <w:gridCol w:w="756"/>
        <w:gridCol w:w="799"/>
        <w:gridCol w:w="389"/>
        <w:gridCol w:w="316"/>
        <w:gridCol w:w="854"/>
        <w:gridCol w:w="1134"/>
        <w:gridCol w:w="1194"/>
        <w:gridCol w:w="11"/>
      </w:tblGrid>
      <w:tr w14:paraId="5F6B7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771" w:hRule="atLeast"/>
          <w:jc w:val="center"/>
        </w:trPr>
        <w:tc>
          <w:tcPr>
            <w:tcW w:w="652" w:type="dxa"/>
            <w:noWrap w:val="0"/>
            <w:vAlign w:val="center"/>
          </w:tcPr>
          <w:p w14:paraId="66471C12">
            <w:pPr>
              <w:spacing w:before="5"/>
              <w:jc w:val="center"/>
              <w:rPr>
                <w:rFonts w:hint="eastAsia"/>
                <w:color w:val="auto"/>
                <w:sz w:val="24"/>
                <w:szCs w:val="24"/>
                <w:highlight w:val="none"/>
              </w:rPr>
            </w:pPr>
            <w:r>
              <w:rPr>
                <w:rFonts w:hint="eastAsia"/>
                <w:color w:val="auto"/>
                <w:sz w:val="24"/>
                <w:szCs w:val="24"/>
                <w:highlight w:val="none"/>
              </w:rPr>
              <w:t>序号</w:t>
            </w:r>
          </w:p>
        </w:tc>
        <w:tc>
          <w:tcPr>
            <w:tcW w:w="1258" w:type="dxa"/>
            <w:noWrap w:val="0"/>
            <w:vAlign w:val="center"/>
          </w:tcPr>
          <w:p w14:paraId="5B3E152C">
            <w:pPr>
              <w:spacing w:before="5"/>
              <w:jc w:val="center"/>
              <w:rPr>
                <w:rFonts w:hint="eastAsia"/>
                <w:color w:val="auto"/>
                <w:sz w:val="24"/>
                <w:szCs w:val="24"/>
                <w:highlight w:val="none"/>
              </w:rPr>
            </w:pPr>
            <w:r>
              <w:rPr>
                <w:rFonts w:hint="eastAsia"/>
                <w:color w:val="auto"/>
                <w:sz w:val="24"/>
                <w:szCs w:val="24"/>
                <w:highlight w:val="none"/>
              </w:rPr>
              <w:t>货物名称</w:t>
            </w:r>
          </w:p>
        </w:tc>
        <w:tc>
          <w:tcPr>
            <w:tcW w:w="1450" w:type="dxa"/>
            <w:noWrap w:val="0"/>
            <w:vAlign w:val="center"/>
          </w:tcPr>
          <w:p w14:paraId="3DB25A9D">
            <w:pPr>
              <w:spacing w:before="5"/>
              <w:jc w:val="center"/>
              <w:rPr>
                <w:rFonts w:hint="eastAsia"/>
                <w:color w:val="auto"/>
                <w:sz w:val="24"/>
                <w:szCs w:val="24"/>
                <w:highlight w:val="none"/>
              </w:rPr>
            </w:pPr>
            <w:r>
              <w:rPr>
                <w:rFonts w:hint="eastAsia"/>
                <w:color w:val="auto"/>
                <w:sz w:val="24"/>
                <w:szCs w:val="24"/>
                <w:highlight w:val="none"/>
              </w:rPr>
              <w:t>品牌型号</w:t>
            </w:r>
          </w:p>
        </w:tc>
        <w:tc>
          <w:tcPr>
            <w:tcW w:w="1714" w:type="dxa"/>
            <w:gridSpan w:val="2"/>
            <w:noWrap w:val="0"/>
            <w:vAlign w:val="center"/>
          </w:tcPr>
          <w:p w14:paraId="19F2A902">
            <w:pPr>
              <w:spacing w:before="5"/>
              <w:jc w:val="center"/>
              <w:rPr>
                <w:rFonts w:hint="eastAsia"/>
                <w:color w:val="auto"/>
                <w:sz w:val="24"/>
                <w:szCs w:val="24"/>
                <w:highlight w:val="none"/>
              </w:rPr>
            </w:pPr>
            <w:r>
              <w:rPr>
                <w:rFonts w:hint="eastAsia"/>
                <w:color w:val="auto"/>
                <w:sz w:val="24"/>
                <w:szCs w:val="24"/>
                <w:highlight w:val="none"/>
              </w:rPr>
              <w:t>生产厂家</w:t>
            </w:r>
          </w:p>
        </w:tc>
        <w:tc>
          <w:tcPr>
            <w:tcW w:w="799" w:type="dxa"/>
            <w:noWrap w:val="0"/>
            <w:vAlign w:val="center"/>
          </w:tcPr>
          <w:p w14:paraId="0E58D3AF">
            <w:pPr>
              <w:spacing w:before="5"/>
              <w:jc w:val="center"/>
              <w:rPr>
                <w:rFonts w:hint="eastAsia"/>
                <w:color w:val="auto"/>
                <w:sz w:val="24"/>
                <w:szCs w:val="24"/>
                <w:highlight w:val="none"/>
              </w:rPr>
            </w:pPr>
            <w:r>
              <w:rPr>
                <w:rFonts w:hint="eastAsia"/>
                <w:color w:val="auto"/>
                <w:sz w:val="24"/>
                <w:szCs w:val="24"/>
                <w:highlight w:val="none"/>
              </w:rPr>
              <w:t>质保期</w:t>
            </w:r>
          </w:p>
        </w:tc>
        <w:tc>
          <w:tcPr>
            <w:tcW w:w="705" w:type="dxa"/>
            <w:gridSpan w:val="2"/>
            <w:noWrap w:val="0"/>
            <w:vAlign w:val="center"/>
          </w:tcPr>
          <w:p w14:paraId="0D047753">
            <w:pPr>
              <w:spacing w:before="5"/>
              <w:jc w:val="center"/>
              <w:rPr>
                <w:rFonts w:hint="eastAsia"/>
                <w:color w:val="auto"/>
                <w:sz w:val="24"/>
                <w:szCs w:val="24"/>
                <w:highlight w:val="none"/>
              </w:rPr>
            </w:pPr>
            <w:r>
              <w:rPr>
                <w:rFonts w:hint="eastAsia"/>
                <w:color w:val="auto"/>
                <w:sz w:val="24"/>
                <w:szCs w:val="24"/>
                <w:highlight w:val="none"/>
              </w:rPr>
              <w:t>数量</w:t>
            </w:r>
          </w:p>
        </w:tc>
        <w:tc>
          <w:tcPr>
            <w:tcW w:w="854" w:type="dxa"/>
            <w:noWrap w:val="0"/>
            <w:vAlign w:val="center"/>
          </w:tcPr>
          <w:p w14:paraId="3ECA78B7">
            <w:pPr>
              <w:spacing w:before="5"/>
              <w:jc w:val="center"/>
              <w:rPr>
                <w:rFonts w:hint="eastAsia" w:eastAsia="宋体"/>
                <w:color w:val="auto"/>
                <w:sz w:val="24"/>
                <w:szCs w:val="24"/>
                <w:highlight w:val="none"/>
                <w:lang w:eastAsia="zh-CN"/>
              </w:rPr>
            </w:pPr>
            <w:r>
              <w:rPr>
                <w:rFonts w:hint="eastAsia"/>
                <w:color w:val="auto"/>
                <w:sz w:val="24"/>
                <w:szCs w:val="24"/>
                <w:highlight w:val="none"/>
                <w:lang w:val="en-US" w:eastAsia="zh-CN"/>
              </w:rPr>
              <w:t>单项报价</w:t>
            </w:r>
          </w:p>
          <w:p w14:paraId="5D6CAA71">
            <w:pPr>
              <w:spacing w:before="5"/>
              <w:jc w:val="center"/>
              <w:rPr>
                <w:rFonts w:hint="eastAsia"/>
                <w:color w:val="auto"/>
                <w:sz w:val="24"/>
                <w:szCs w:val="24"/>
                <w:highlight w:val="none"/>
              </w:rPr>
            </w:pPr>
            <w:r>
              <w:rPr>
                <w:rFonts w:hint="eastAsia" w:ascii="宋体" w:hAnsi="宋体"/>
                <w:color w:val="auto"/>
                <w:sz w:val="24"/>
                <w:szCs w:val="24"/>
                <w:highlight w:val="none"/>
              </w:rPr>
              <w:t>(元)</w:t>
            </w:r>
          </w:p>
        </w:tc>
        <w:tc>
          <w:tcPr>
            <w:tcW w:w="1134" w:type="dxa"/>
            <w:noWrap w:val="0"/>
            <w:vAlign w:val="center"/>
          </w:tcPr>
          <w:p w14:paraId="0CBE7179">
            <w:pPr>
              <w:spacing w:before="5"/>
              <w:jc w:val="center"/>
              <w:rPr>
                <w:rFonts w:hint="eastAsia"/>
                <w:color w:val="auto"/>
                <w:sz w:val="24"/>
                <w:szCs w:val="24"/>
                <w:highlight w:val="none"/>
              </w:rPr>
            </w:pPr>
            <w:r>
              <w:rPr>
                <w:rFonts w:hint="eastAsia"/>
                <w:color w:val="auto"/>
                <w:sz w:val="24"/>
                <w:szCs w:val="24"/>
                <w:highlight w:val="none"/>
              </w:rPr>
              <w:t>合计</w:t>
            </w:r>
          </w:p>
          <w:p w14:paraId="2D430FD4">
            <w:pPr>
              <w:spacing w:before="5"/>
              <w:jc w:val="center"/>
              <w:rPr>
                <w:color w:val="auto"/>
                <w:sz w:val="24"/>
                <w:szCs w:val="24"/>
                <w:highlight w:val="none"/>
              </w:rPr>
            </w:pPr>
            <w:r>
              <w:rPr>
                <w:rFonts w:hint="eastAsia"/>
                <w:color w:val="auto"/>
                <w:sz w:val="24"/>
                <w:szCs w:val="24"/>
                <w:highlight w:val="none"/>
              </w:rPr>
              <w:t>报价</w:t>
            </w:r>
          </w:p>
          <w:p w14:paraId="3C3D394F">
            <w:pPr>
              <w:spacing w:before="5"/>
              <w:jc w:val="center"/>
              <w:rPr>
                <w:rFonts w:hint="eastAsia"/>
                <w:color w:val="auto"/>
                <w:sz w:val="24"/>
                <w:szCs w:val="24"/>
                <w:highlight w:val="none"/>
              </w:rPr>
            </w:pPr>
            <w:r>
              <w:rPr>
                <w:rFonts w:hint="eastAsia" w:ascii="宋体" w:hAnsi="宋体"/>
                <w:color w:val="auto"/>
                <w:sz w:val="24"/>
                <w:szCs w:val="24"/>
                <w:highlight w:val="none"/>
              </w:rPr>
              <w:t>(元)</w:t>
            </w:r>
          </w:p>
        </w:tc>
        <w:tc>
          <w:tcPr>
            <w:tcW w:w="1194" w:type="dxa"/>
            <w:noWrap w:val="0"/>
            <w:vAlign w:val="center"/>
          </w:tcPr>
          <w:p w14:paraId="1D69D2E4">
            <w:pPr>
              <w:spacing w:before="5"/>
              <w:jc w:val="center"/>
              <w:rPr>
                <w:rFonts w:hint="eastAsia"/>
                <w:color w:val="auto"/>
                <w:sz w:val="24"/>
                <w:szCs w:val="24"/>
                <w:highlight w:val="none"/>
              </w:rPr>
            </w:pPr>
            <w:r>
              <w:rPr>
                <w:rFonts w:hint="eastAsia"/>
                <w:color w:val="auto"/>
                <w:sz w:val="24"/>
                <w:szCs w:val="24"/>
                <w:highlight w:val="none"/>
              </w:rPr>
              <w:t>产品</w:t>
            </w:r>
          </w:p>
          <w:p w14:paraId="67585531">
            <w:pPr>
              <w:spacing w:before="5"/>
              <w:jc w:val="center"/>
              <w:rPr>
                <w:rFonts w:hint="eastAsia"/>
                <w:color w:val="auto"/>
                <w:sz w:val="24"/>
                <w:szCs w:val="24"/>
                <w:highlight w:val="none"/>
              </w:rPr>
            </w:pPr>
            <w:r>
              <w:rPr>
                <w:rFonts w:hint="eastAsia"/>
                <w:color w:val="auto"/>
                <w:sz w:val="24"/>
                <w:szCs w:val="24"/>
                <w:highlight w:val="none"/>
              </w:rPr>
              <w:t>类别</w:t>
            </w:r>
          </w:p>
        </w:tc>
      </w:tr>
      <w:tr w14:paraId="3E970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0D3A15FC">
            <w:pPr>
              <w:spacing w:before="5"/>
              <w:jc w:val="center"/>
              <w:rPr>
                <w:rFonts w:hint="eastAsia"/>
                <w:color w:val="auto"/>
                <w:sz w:val="24"/>
                <w:szCs w:val="24"/>
                <w:highlight w:val="none"/>
              </w:rPr>
            </w:pPr>
            <w:r>
              <w:rPr>
                <w:rFonts w:hint="eastAsia"/>
                <w:color w:val="auto"/>
                <w:sz w:val="24"/>
                <w:szCs w:val="24"/>
                <w:highlight w:val="none"/>
              </w:rPr>
              <w:t>1</w:t>
            </w:r>
          </w:p>
        </w:tc>
        <w:tc>
          <w:tcPr>
            <w:tcW w:w="1258" w:type="dxa"/>
            <w:noWrap w:val="0"/>
            <w:vAlign w:val="center"/>
          </w:tcPr>
          <w:p w14:paraId="3EE504DC">
            <w:pPr>
              <w:pStyle w:val="239"/>
              <w:spacing w:line="240" w:lineRule="atLeast"/>
              <w:jc w:val="center"/>
              <w:rPr>
                <w:rFonts w:ascii="Calibri" w:hAnsi="Calibri"/>
                <w:color w:val="auto"/>
                <w:sz w:val="24"/>
                <w:szCs w:val="24"/>
                <w:highlight w:val="none"/>
              </w:rPr>
            </w:pPr>
          </w:p>
        </w:tc>
        <w:tc>
          <w:tcPr>
            <w:tcW w:w="1450" w:type="dxa"/>
            <w:noWrap w:val="0"/>
            <w:vAlign w:val="center"/>
          </w:tcPr>
          <w:p w14:paraId="480B2236">
            <w:pPr>
              <w:spacing w:before="5"/>
              <w:jc w:val="center"/>
              <w:rPr>
                <w:rFonts w:hint="eastAsia"/>
                <w:color w:val="auto"/>
                <w:sz w:val="24"/>
                <w:szCs w:val="24"/>
                <w:highlight w:val="none"/>
              </w:rPr>
            </w:pPr>
          </w:p>
        </w:tc>
        <w:tc>
          <w:tcPr>
            <w:tcW w:w="1714" w:type="dxa"/>
            <w:gridSpan w:val="2"/>
            <w:noWrap w:val="0"/>
            <w:vAlign w:val="center"/>
          </w:tcPr>
          <w:p w14:paraId="61E17686">
            <w:pPr>
              <w:spacing w:before="5"/>
              <w:jc w:val="center"/>
              <w:rPr>
                <w:rFonts w:hint="eastAsia"/>
                <w:color w:val="auto"/>
                <w:sz w:val="24"/>
                <w:szCs w:val="24"/>
                <w:highlight w:val="none"/>
              </w:rPr>
            </w:pPr>
          </w:p>
        </w:tc>
        <w:tc>
          <w:tcPr>
            <w:tcW w:w="799" w:type="dxa"/>
            <w:noWrap w:val="0"/>
            <w:vAlign w:val="center"/>
          </w:tcPr>
          <w:p w14:paraId="0674B1E1">
            <w:pPr>
              <w:spacing w:before="5"/>
              <w:jc w:val="center"/>
              <w:rPr>
                <w:rFonts w:hint="eastAsia"/>
                <w:color w:val="auto"/>
                <w:sz w:val="24"/>
                <w:szCs w:val="24"/>
                <w:highlight w:val="none"/>
              </w:rPr>
            </w:pPr>
          </w:p>
        </w:tc>
        <w:tc>
          <w:tcPr>
            <w:tcW w:w="705" w:type="dxa"/>
            <w:gridSpan w:val="2"/>
            <w:noWrap w:val="0"/>
            <w:vAlign w:val="center"/>
          </w:tcPr>
          <w:p w14:paraId="4AF7CAB7">
            <w:pPr>
              <w:spacing w:before="5"/>
              <w:jc w:val="center"/>
              <w:rPr>
                <w:rFonts w:hint="eastAsia"/>
                <w:color w:val="auto"/>
                <w:sz w:val="24"/>
                <w:szCs w:val="24"/>
                <w:highlight w:val="none"/>
              </w:rPr>
            </w:pPr>
          </w:p>
        </w:tc>
        <w:tc>
          <w:tcPr>
            <w:tcW w:w="854" w:type="dxa"/>
            <w:noWrap w:val="0"/>
            <w:vAlign w:val="center"/>
          </w:tcPr>
          <w:p w14:paraId="20C957D4">
            <w:pPr>
              <w:spacing w:before="5"/>
              <w:jc w:val="center"/>
              <w:rPr>
                <w:rFonts w:hint="eastAsia"/>
                <w:color w:val="auto"/>
                <w:sz w:val="24"/>
                <w:szCs w:val="24"/>
                <w:highlight w:val="none"/>
              </w:rPr>
            </w:pPr>
          </w:p>
        </w:tc>
        <w:tc>
          <w:tcPr>
            <w:tcW w:w="1134" w:type="dxa"/>
            <w:noWrap w:val="0"/>
            <w:vAlign w:val="center"/>
          </w:tcPr>
          <w:p w14:paraId="48C1F79B">
            <w:pPr>
              <w:spacing w:before="5"/>
              <w:jc w:val="center"/>
              <w:rPr>
                <w:rFonts w:hint="eastAsia"/>
                <w:color w:val="auto"/>
                <w:sz w:val="24"/>
                <w:szCs w:val="24"/>
                <w:highlight w:val="none"/>
              </w:rPr>
            </w:pPr>
          </w:p>
        </w:tc>
        <w:tc>
          <w:tcPr>
            <w:tcW w:w="1194" w:type="dxa"/>
            <w:noWrap w:val="0"/>
            <w:vAlign w:val="center"/>
          </w:tcPr>
          <w:p w14:paraId="6372556D">
            <w:pPr>
              <w:spacing w:before="5"/>
              <w:jc w:val="center"/>
              <w:rPr>
                <w:rFonts w:hint="eastAsia"/>
                <w:color w:val="auto"/>
                <w:sz w:val="24"/>
                <w:szCs w:val="24"/>
                <w:highlight w:val="none"/>
              </w:rPr>
            </w:pPr>
          </w:p>
        </w:tc>
      </w:tr>
      <w:tr w14:paraId="6C11F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07DC52C5">
            <w:pPr>
              <w:spacing w:before="5"/>
              <w:jc w:val="center"/>
              <w:rPr>
                <w:rFonts w:hint="eastAsia"/>
                <w:color w:val="auto"/>
                <w:sz w:val="24"/>
                <w:szCs w:val="24"/>
                <w:highlight w:val="none"/>
              </w:rPr>
            </w:pPr>
            <w:r>
              <w:rPr>
                <w:rFonts w:hint="eastAsia"/>
                <w:color w:val="auto"/>
                <w:sz w:val="24"/>
                <w:szCs w:val="24"/>
                <w:highlight w:val="none"/>
              </w:rPr>
              <w:t>2</w:t>
            </w:r>
          </w:p>
        </w:tc>
        <w:tc>
          <w:tcPr>
            <w:tcW w:w="1258" w:type="dxa"/>
            <w:noWrap w:val="0"/>
            <w:vAlign w:val="center"/>
          </w:tcPr>
          <w:p w14:paraId="4F6D9A74">
            <w:pPr>
              <w:pStyle w:val="239"/>
              <w:spacing w:line="240" w:lineRule="atLeast"/>
              <w:jc w:val="center"/>
              <w:rPr>
                <w:rFonts w:hint="eastAsia" w:ascii="Calibri" w:hAnsi="Calibri"/>
                <w:color w:val="auto"/>
                <w:sz w:val="24"/>
                <w:szCs w:val="24"/>
                <w:highlight w:val="none"/>
              </w:rPr>
            </w:pPr>
          </w:p>
        </w:tc>
        <w:tc>
          <w:tcPr>
            <w:tcW w:w="1450" w:type="dxa"/>
            <w:noWrap w:val="0"/>
            <w:vAlign w:val="center"/>
          </w:tcPr>
          <w:p w14:paraId="6881D1B8">
            <w:pPr>
              <w:spacing w:before="5"/>
              <w:jc w:val="center"/>
              <w:rPr>
                <w:rFonts w:hint="eastAsia"/>
                <w:color w:val="auto"/>
                <w:sz w:val="24"/>
                <w:szCs w:val="24"/>
                <w:highlight w:val="none"/>
              </w:rPr>
            </w:pPr>
          </w:p>
        </w:tc>
        <w:tc>
          <w:tcPr>
            <w:tcW w:w="1714" w:type="dxa"/>
            <w:gridSpan w:val="2"/>
            <w:noWrap w:val="0"/>
            <w:vAlign w:val="center"/>
          </w:tcPr>
          <w:p w14:paraId="52483BD7">
            <w:pPr>
              <w:spacing w:before="5"/>
              <w:jc w:val="center"/>
              <w:rPr>
                <w:rFonts w:hint="eastAsia"/>
                <w:color w:val="auto"/>
                <w:sz w:val="24"/>
                <w:szCs w:val="24"/>
                <w:highlight w:val="none"/>
              </w:rPr>
            </w:pPr>
          </w:p>
        </w:tc>
        <w:tc>
          <w:tcPr>
            <w:tcW w:w="799" w:type="dxa"/>
            <w:noWrap w:val="0"/>
            <w:vAlign w:val="center"/>
          </w:tcPr>
          <w:p w14:paraId="20CE4F22">
            <w:pPr>
              <w:spacing w:before="5"/>
              <w:jc w:val="center"/>
              <w:rPr>
                <w:rFonts w:hint="eastAsia"/>
                <w:color w:val="auto"/>
                <w:sz w:val="24"/>
                <w:szCs w:val="24"/>
                <w:highlight w:val="none"/>
              </w:rPr>
            </w:pPr>
          </w:p>
        </w:tc>
        <w:tc>
          <w:tcPr>
            <w:tcW w:w="705" w:type="dxa"/>
            <w:gridSpan w:val="2"/>
            <w:noWrap w:val="0"/>
            <w:vAlign w:val="center"/>
          </w:tcPr>
          <w:p w14:paraId="0CD3F089">
            <w:pPr>
              <w:spacing w:before="5"/>
              <w:jc w:val="center"/>
              <w:rPr>
                <w:rFonts w:hint="eastAsia"/>
                <w:color w:val="auto"/>
                <w:sz w:val="24"/>
                <w:szCs w:val="24"/>
                <w:highlight w:val="none"/>
              </w:rPr>
            </w:pPr>
          </w:p>
        </w:tc>
        <w:tc>
          <w:tcPr>
            <w:tcW w:w="854" w:type="dxa"/>
            <w:noWrap w:val="0"/>
            <w:vAlign w:val="center"/>
          </w:tcPr>
          <w:p w14:paraId="6864C7CA">
            <w:pPr>
              <w:spacing w:before="5"/>
              <w:jc w:val="center"/>
              <w:rPr>
                <w:rFonts w:hint="eastAsia"/>
                <w:color w:val="auto"/>
                <w:sz w:val="24"/>
                <w:szCs w:val="24"/>
                <w:highlight w:val="none"/>
              </w:rPr>
            </w:pPr>
          </w:p>
        </w:tc>
        <w:tc>
          <w:tcPr>
            <w:tcW w:w="1134" w:type="dxa"/>
            <w:noWrap w:val="0"/>
            <w:vAlign w:val="center"/>
          </w:tcPr>
          <w:p w14:paraId="2DB06C7C">
            <w:pPr>
              <w:spacing w:before="5"/>
              <w:jc w:val="center"/>
              <w:rPr>
                <w:rFonts w:hint="eastAsia"/>
                <w:color w:val="auto"/>
                <w:sz w:val="24"/>
                <w:szCs w:val="24"/>
                <w:highlight w:val="none"/>
              </w:rPr>
            </w:pPr>
          </w:p>
        </w:tc>
        <w:tc>
          <w:tcPr>
            <w:tcW w:w="1194" w:type="dxa"/>
            <w:noWrap w:val="0"/>
            <w:vAlign w:val="center"/>
          </w:tcPr>
          <w:p w14:paraId="1E99110A">
            <w:pPr>
              <w:spacing w:before="5"/>
              <w:jc w:val="center"/>
              <w:rPr>
                <w:rFonts w:hint="eastAsia"/>
                <w:color w:val="auto"/>
                <w:sz w:val="24"/>
                <w:szCs w:val="24"/>
                <w:highlight w:val="none"/>
              </w:rPr>
            </w:pPr>
          </w:p>
        </w:tc>
      </w:tr>
      <w:tr w14:paraId="43324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217DA665">
            <w:pPr>
              <w:spacing w:before="5"/>
              <w:jc w:val="center"/>
              <w:rPr>
                <w:rFonts w:hint="eastAsia"/>
                <w:color w:val="auto"/>
                <w:sz w:val="24"/>
                <w:szCs w:val="24"/>
                <w:highlight w:val="none"/>
              </w:rPr>
            </w:pPr>
            <w:r>
              <w:rPr>
                <w:rFonts w:hint="eastAsia"/>
                <w:color w:val="auto"/>
                <w:sz w:val="24"/>
                <w:szCs w:val="24"/>
                <w:highlight w:val="none"/>
              </w:rPr>
              <w:t>.....</w:t>
            </w:r>
          </w:p>
        </w:tc>
        <w:tc>
          <w:tcPr>
            <w:tcW w:w="1258" w:type="dxa"/>
            <w:noWrap w:val="0"/>
            <w:vAlign w:val="center"/>
          </w:tcPr>
          <w:p w14:paraId="6B18FBAE">
            <w:pPr>
              <w:pStyle w:val="239"/>
              <w:spacing w:line="240" w:lineRule="atLeast"/>
              <w:jc w:val="center"/>
              <w:rPr>
                <w:rFonts w:hint="eastAsia" w:ascii="Calibri" w:hAnsi="Calibri"/>
                <w:color w:val="auto"/>
                <w:sz w:val="24"/>
                <w:szCs w:val="24"/>
                <w:highlight w:val="none"/>
              </w:rPr>
            </w:pPr>
          </w:p>
        </w:tc>
        <w:tc>
          <w:tcPr>
            <w:tcW w:w="1450" w:type="dxa"/>
            <w:noWrap w:val="0"/>
            <w:vAlign w:val="center"/>
          </w:tcPr>
          <w:p w14:paraId="30A5E76B">
            <w:pPr>
              <w:spacing w:before="5"/>
              <w:jc w:val="center"/>
              <w:rPr>
                <w:rFonts w:hint="eastAsia"/>
                <w:color w:val="auto"/>
                <w:sz w:val="24"/>
                <w:szCs w:val="24"/>
                <w:highlight w:val="none"/>
              </w:rPr>
            </w:pPr>
          </w:p>
        </w:tc>
        <w:tc>
          <w:tcPr>
            <w:tcW w:w="1714" w:type="dxa"/>
            <w:gridSpan w:val="2"/>
            <w:noWrap w:val="0"/>
            <w:vAlign w:val="center"/>
          </w:tcPr>
          <w:p w14:paraId="4C44BE0C">
            <w:pPr>
              <w:spacing w:before="5"/>
              <w:jc w:val="center"/>
              <w:rPr>
                <w:rFonts w:hint="eastAsia"/>
                <w:color w:val="auto"/>
                <w:sz w:val="24"/>
                <w:szCs w:val="24"/>
                <w:highlight w:val="none"/>
              </w:rPr>
            </w:pPr>
          </w:p>
        </w:tc>
        <w:tc>
          <w:tcPr>
            <w:tcW w:w="799" w:type="dxa"/>
            <w:noWrap w:val="0"/>
            <w:vAlign w:val="center"/>
          </w:tcPr>
          <w:p w14:paraId="0A5D9430">
            <w:pPr>
              <w:spacing w:before="5"/>
              <w:jc w:val="center"/>
              <w:rPr>
                <w:rFonts w:hint="eastAsia"/>
                <w:color w:val="auto"/>
                <w:sz w:val="24"/>
                <w:szCs w:val="24"/>
                <w:highlight w:val="none"/>
              </w:rPr>
            </w:pPr>
          </w:p>
        </w:tc>
        <w:tc>
          <w:tcPr>
            <w:tcW w:w="705" w:type="dxa"/>
            <w:gridSpan w:val="2"/>
            <w:noWrap w:val="0"/>
            <w:vAlign w:val="center"/>
          </w:tcPr>
          <w:p w14:paraId="16B99439">
            <w:pPr>
              <w:spacing w:before="5"/>
              <w:jc w:val="center"/>
              <w:rPr>
                <w:rFonts w:hint="eastAsia"/>
                <w:color w:val="auto"/>
                <w:sz w:val="24"/>
                <w:szCs w:val="24"/>
                <w:highlight w:val="none"/>
              </w:rPr>
            </w:pPr>
          </w:p>
        </w:tc>
        <w:tc>
          <w:tcPr>
            <w:tcW w:w="854" w:type="dxa"/>
            <w:noWrap w:val="0"/>
            <w:vAlign w:val="center"/>
          </w:tcPr>
          <w:p w14:paraId="1A4484A4">
            <w:pPr>
              <w:spacing w:before="5"/>
              <w:jc w:val="center"/>
              <w:rPr>
                <w:rFonts w:hint="eastAsia"/>
                <w:color w:val="auto"/>
                <w:sz w:val="24"/>
                <w:szCs w:val="24"/>
                <w:highlight w:val="none"/>
              </w:rPr>
            </w:pPr>
          </w:p>
        </w:tc>
        <w:tc>
          <w:tcPr>
            <w:tcW w:w="1134" w:type="dxa"/>
            <w:noWrap w:val="0"/>
            <w:vAlign w:val="center"/>
          </w:tcPr>
          <w:p w14:paraId="3ED20E2E">
            <w:pPr>
              <w:spacing w:before="5"/>
              <w:jc w:val="center"/>
              <w:rPr>
                <w:rFonts w:hint="eastAsia"/>
                <w:color w:val="auto"/>
                <w:sz w:val="24"/>
                <w:szCs w:val="24"/>
                <w:highlight w:val="none"/>
              </w:rPr>
            </w:pPr>
          </w:p>
        </w:tc>
        <w:tc>
          <w:tcPr>
            <w:tcW w:w="1194" w:type="dxa"/>
            <w:noWrap w:val="0"/>
            <w:vAlign w:val="center"/>
          </w:tcPr>
          <w:p w14:paraId="25CD771E">
            <w:pPr>
              <w:spacing w:before="5"/>
              <w:jc w:val="center"/>
              <w:rPr>
                <w:rFonts w:hint="eastAsia"/>
                <w:color w:val="auto"/>
                <w:sz w:val="24"/>
                <w:szCs w:val="24"/>
                <w:highlight w:val="none"/>
              </w:rPr>
            </w:pPr>
          </w:p>
        </w:tc>
      </w:tr>
      <w:tr w14:paraId="79420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6149AE29">
            <w:pPr>
              <w:spacing w:before="5"/>
              <w:jc w:val="center"/>
              <w:rPr>
                <w:rFonts w:hint="eastAsia"/>
                <w:color w:val="auto"/>
                <w:sz w:val="24"/>
                <w:szCs w:val="24"/>
                <w:highlight w:val="none"/>
              </w:rPr>
            </w:pPr>
          </w:p>
        </w:tc>
        <w:tc>
          <w:tcPr>
            <w:tcW w:w="1258" w:type="dxa"/>
            <w:noWrap w:val="0"/>
            <w:vAlign w:val="center"/>
          </w:tcPr>
          <w:p w14:paraId="7C785A90">
            <w:pPr>
              <w:pStyle w:val="239"/>
              <w:spacing w:line="240" w:lineRule="atLeast"/>
              <w:jc w:val="center"/>
              <w:rPr>
                <w:rFonts w:hint="eastAsia" w:ascii="Calibri" w:hAnsi="Calibri"/>
                <w:color w:val="auto"/>
                <w:sz w:val="24"/>
                <w:szCs w:val="24"/>
                <w:highlight w:val="none"/>
              </w:rPr>
            </w:pPr>
          </w:p>
        </w:tc>
        <w:tc>
          <w:tcPr>
            <w:tcW w:w="1450" w:type="dxa"/>
            <w:noWrap w:val="0"/>
            <w:vAlign w:val="center"/>
          </w:tcPr>
          <w:p w14:paraId="0AA54999">
            <w:pPr>
              <w:spacing w:before="5"/>
              <w:jc w:val="center"/>
              <w:rPr>
                <w:rFonts w:hint="eastAsia"/>
                <w:color w:val="auto"/>
                <w:sz w:val="24"/>
                <w:szCs w:val="24"/>
                <w:highlight w:val="none"/>
              </w:rPr>
            </w:pPr>
          </w:p>
        </w:tc>
        <w:tc>
          <w:tcPr>
            <w:tcW w:w="1714" w:type="dxa"/>
            <w:gridSpan w:val="2"/>
            <w:noWrap w:val="0"/>
            <w:vAlign w:val="center"/>
          </w:tcPr>
          <w:p w14:paraId="24C9C5CA">
            <w:pPr>
              <w:spacing w:before="5"/>
              <w:jc w:val="center"/>
              <w:rPr>
                <w:rFonts w:hint="eastAsia"/>
                <w:color w:val="auto"/>
                <w:sz w:val="24"/>
                <w:szCs w:val="24"/>
                <w:highlight w:val="none"/>
              </w:rPr>
            </w:pPr>
          </w:p>
        </w:tc>
        <w:tc>
          <w:tcPr>
            <w:tcW w:w="799" w:type="dxa"/>
            <w:noWrap w:val="0"/>
            <w:vAlign w:val="center"/>
          </w:tcPr>
          <w:p w14:paraId="2A072A29">
            <w:pPr>
              <w:spacing w:before="5"/>
              <w:jc w:val="center"/>
              <w:rPr>
                <w:rFonts w:hint="eastAsia"/>
                <w:color w:val="auto"/>
                <w:sz w:val="24"/>
                <w:szCs w:val="24"/>
                <w:highlight w:val="none"/>
              </w:rPr>
            </w:pPr>
          </w:p>
        </w:tc>
        <w:tc>
          <w:tcPr>
            <w:tcW w:w="705" w:type="dxa"/>
            <w:gridSpan w:val="2"/>
            <w:noWrap w:val="0"/>
            <w:vAlign w:val="center"/>
          </w:tcPr>
          <w:p w14:paraId="371B93E7">
            <w:pPr>
              <w:spacing w:before="5"/>
              <w:jc w:val="center"/>
              <w:rPr>
                <w:rFonts w:hint="eastAsia"/>
                <w:color w:val="auto"/>
                <w:sz w:val="24"/>
                <w:szCs w:val="24"/>
                <w:highlight w:val="none"/>
              </w:rPr>
            </w:pPr>
          </w:p>
        </w:tc>
        <w:tc>
          <w:tcPr>
            <w:tcW w:w="854" w:type="dxa"/>
            <w:noWrap w:val="0"/>
            <w:vAlign w:val="center"/>
          </w:tcPr>
          <w:p w14:paraId="3C257701">
            <w:pPr>
              <w:spacing w:before="5"/>
              <w:jc w:val="center"/>
              <w:rPr>
                <w:rFonts w:hint="eastAsia"/>
                <w:color w:val="auto"/>
                <w:sz w:val="24"/>
                <w:szCs w:val="24"/>
                <w:highlight w:val="none"/>
              </w:rPr>
            </w:pPr>
          </w:p>
        </w:tc>
        <w:tc>
          <w:tcPr>
            <w:tcW w:w="1134" w:type="dxa"/>
            <w:noWrap w:val="0"/>
            <w:vAlign w:val="center"/>
          </w:tcPr>
          <w:p w14:paraId="1C86C3FC">
            <w:pPr>
              <w:spacing w:before="5"/>
              <w:jc w:val="center"/>
              <w:rPr>
                <w:rFonts w:hint="eastAsia"/>
                <w:color w:val="auto"/>
                <w:sz w:val="24"/>
                <w:szCs w:val="24"/>
                <w:highlight w:val="none"/>
              </w:rPr>
            </w:pPr>
          </w:p>
        </w:tc>
        <w:tc>
          <w:tcPr>
            <w:tcW w:w="1194" w:type="dxa"/>
            <w:noWrap w:val="0"/>
            <w:vAlign w:val="center"/>
          </w:tcPr>
          <w:p w14:paraId="462CF278">
            <w:pPr>
              <w:spacing w:before="5"/>
              <w:jc w:val="center"/>
              <w:rPr>
                <w:rFonts w:hint="eastAsia"/>
                <w:color w:val="auto"/>
                <w:sz w:val="24"/>
                <w:szCs w:val="24"/>
                <w:highlight w:val="none"/>
              </w:rPr>
            </w:pPr>
          </w:p>
        </w:tc>
      </w:tr>
      <w:tr w14:paraId="3ABA9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494EEC0E">
            <w:pPr>
              <w:spacing w:before="5"/>
              <w:jc w:val="center"/>
              <w:rPr>
                <w:rFonts w:hint="eastAsia"/>
                <w:color w:val="auto"/>
                <w:sz w:val="18"/>
                <w:highlight w:val="none"/>
              </w:rPr>
            </w:pPr>
          </w:p>
        </w:tc>
        <w:tc>
          <w:tcPr>
            <w:tcW w:w="1258" w:type="dxa"/>
            <w:noWrap w:val="0"/>
            <w:vAlign w:val="center"/>
          </w:tcPr>
          <w:p w14:paraId="6ED0D636">
            <w:pPr>
              <w:pStyle w:val="239"/>
              <w:spacing w:line="240" w:lineRule="atLeast"/>
              <w:jc w:val="center"/>
              <w:rPr>
                <w:rFonts w:hint="eastAsia" w:ascii="Calibri" w:hAnsi="Calibri"/>
                <w:color w:val="auto"/>
                <w:sz w:val="18"/>
                <w:highlight w:val="none"/>
              </w:rPr>
            </w:pPr>
          </w:p>
        </w:tc>
        <w:tc>
          <w:tcPr>
            <w:tcW w:w="1450" w:type="dxa"/>
            <w:noWrap w:val="0"/>
            <w:vAlign w:val="center"/>
          </w:tcPr>
          <w:p w14:paraId="1FBCC35A">
            <w:pPr>
              <w:spacing w:before="5"/>
              <w:jc w:val="center"/>
              <w:rPr>
                <w:rFonts w:hint="eastAsia"/>
                <w:color w:val="auto"/>
                <w:sz w:val="18"/>
                <w:highlight w:val="none"/>
              </w:rPr>
            </w:pPr>
          </w:p>
        </w:tc>
        <w:tc>
          <w:tcPr>
            <w:tcW w:w="1714" w:type="dxa"/>
            <w:gridSpan w:val="2"/>
            <w:noWrap w:val="0"/>
            <w:vAlign w:val="center"/>
          </w:tcPr>
          <w:p w14:paraId="0C866A6F">
            <w:pPr>
              <w:spacing w:before="5"/>
              <w:jc w:val="center"/>
              <w:rPr>
                <w:rFonts w:hint="eastAsia"/>
                <w:color w:val="auto"/>
                <w:sz w:val="18"/>
                <w:highlight w:val="none"/>
              </w:rPr>
            </w:pPr>
          </w:p>
        </w:tc>
        <w:tc>
          <w:tcPr>
            <w:tcW w:w="799" w:type="dxa"/>
            <w:noWrap w:val="0"/>
            <w:vAlign w:val="center"/>
          </w:tcPr>
          <w:p w14:paraId="5810659C">
            <w:pPr>
              <w:spacing w:before="5"/>
              <w:jc w:val="center"/>
              <w:rPr>
                <w:rFonts w:hint="eastAsia"/>
                <w:color w:val="auto"/>
                <w:sz w:val="18"/>
                <w:highlight w:val="none"/>
              </w:rPr>
            </w:pPr>
          </w:p>
        </w:tc>
        <w:tc>
          <w:tcPr>
            <w:tcW w:w="705" w:type="dxa"/>
            <w:gridSpan w:val="2"/>
            <w:noWrap w:val="0"/>
            <w:vAlign w:val="center"/>
          </w:tcPr>
          <w:p w14:paraId="760E610C">
            <w:pPr>
              <w:spacing w:before="5"/>
              <w:jc w:val="center"/>
              <w:rPr>
                <w:rFonts w:hint="eastAsia"/>
                <w:color w:val="auto"/>
                <w:sz w:val="18"/>
                <w:highlight w:val="none"/>
              </w:rPr>
            </w:pPr>
          </w:p>
        </w:tc>
        <w:tc>
          <w:tcPr>
            <w:tcW w:w="854" w:type="dxa"/>
            <w:noWrap w:val="0"/>
            <w:vAlign w:val="center"/>
          </w:tcPr>
          <w:p w14:paraId="0FCAC7A8">
            <w:pPr>
              <w:spacing w:before="5"/>
              <w:jc w:val="center"/>
              <w:rPr>
                <w:rFonts w:hint="eastAsia"/>
                <w:color w:val="auto"/>
                <w:sz w:val="18"/>
                <w:highlight w:val="none"/>
              </w:rPr>
            </w:pPr>
          </w:p>
        </w:tc>
        <w:tc>
          <w:tcPr>
            <w:tcW w:w="1134" w:type="dxa"/>
            <w:noWrap w:val="0"/>
            <w:vAlign w:val="center"/>
          </w:tcPr>
          <w:p w14:paraId="2FE1F083">
            <w:pPr>
              <w:spacing w:before="5"/>
              <w:jc w:val="center"/>
              <w:rPr>
                <w:rFonts w:hint="eastAsia"/>
                <w:color w:val="auto"/>
                <w:sz w:val="18"/>
                <w:highlight w:val="none"/>
              </w:rPr>
            </w:pPr>
          </w:p>
        </w:tc>
        <w:tc>
          <w:tcPr>
            <w:tcW w:w="1194" w:type="dxa"/>
            <w:noWrap w:val="0"/>
            <w:vAlign w:val="center"/>
          </w:tcPr>
          <w:p w14:paraId="02A2D254">
            <w:pPr>
              <w:spacing w:before="5"/>
              <w:jc w:val="center"/>
              <w:rPr>
                <w:rFonts w:hint="eastAsia"/>
                <w:color w:val="auto"/>
                <w:sz w:val="18"/>
                <w:highlight w:val="none"/>
              </w:rPr>
            </w:pPr>
          </w:p>
        </w:tc>
      </w:tr>
      <w:tr w14:paraId="256AD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330" w:hRule="atLeast"/>
          <w:jc w:val="center"/>
        </w:trPr>
        <w:tc>
          <w:tcPr>
            <w:tcW w:w="652" w:type="dxa"/>
            <w:noWrap w:val="0"/>
            <w:vAlign w:val="center"/>
          </w:tcPr>
          <w:p w14:paraId="0D6D64CF">
            <w:pPr>
              <w:spacing w:before="5"/>
              <w:jc w:val="center"/>
              <w:rPr>
                <w:rFonts w:hint="eastAsia"/>
                <w:color w:val="auto"/>
                <w:sz w:val="18"/>
                <w:highlight w:val="none"/>
              </w:rPr>
            </w:pPr>
          </w:p>
        </w:tc>
        <w:tc>
          <w:tcPr>
            <w:tcW w:w="1258" w:type="dxa"/>
            <w:noWrap w:val="0"/>
            <w:vAlign w:val="center"/>
          </w:tcPr>
          <w:p w14:paraId="7EC3776E">
            <w:pPr>
              <w:pStyle w:val="239"/>
              <w:spacing w:line="240" w:lineRule="atLeast"/>
              <w:jc w:val="center"/>
              <w:rPr>
                <w:rFonts w:hint="eastAsia" w:ascii="Calibri" w:hAnsi="Calibri"/>
                <w:color w:val="auto"/>
                <w:sz w:val="18"/>
                <w:highlight w:val="none"/>
              </w:rPr>
            </w:pPr>
          </w:p>
        </w:tc>
        <w:tc>
          <w:tcPr>
            <w:tcW w:w="1450" w:type="dxa"/>
            <w:noWrap w:val="0"/>
            <w:vAlign w:val="center"/>
          </w:tcPr>
          <w:p w14:paraId="197D1127">
            <w:pPr>
              <w:spacing w:before="5"/>
              <w:jc w:val="center"/>
              <w:rPr>
                <w:rFonts w:hint="eastAsia"/>
                <w:color w:val="auto"/>
                <w:sz w:val="18"/>
                <w:highlight w:val="none"/>
              </w:rPr>
            </w:pPr>
          </w:p>
        </w:tc>
        <w:tc>
          <w:tcPr>
            <w:tcW w:w="1714" w:type="dxa"/>
            <w:gridSpan w:val="2"/>
            <w:noWrap w:val="0"/>
            <w:vAlign w:val="center"/>
          </w:tcPr>
          <w:p w14:paraId="6BF83853">
            <w:pPr>
              <w:spacing w:before="5"/>
              <w:jc w:val="center"/>
              <w:rPr>
                <w:rFonts w:hint="eastAsia"/>
                <w:color w:val="auto"/>
                <w:sz w:val="18"/>
                <w:highlight w:val="none"/>
              </w:rPr>
            </w:pPr>
          </w:p>
        </w:tc>
        <w:tc>
          <w:tcPr>
            <w:tcW w:w="799" w:type="dxa"/>
            <w:noWrap w:val="0"/>
            <w:vAlign w:val="center"/>
          </w:tcPr>
          <w:p w14:paraId="18CA866D">
            <w:pPr>
              <w:spacing w:before="5"/>
              <w:jc w:val="center"/>
              <w:rPr>
                <w:rFonts w:hint="eastAsia"/>
                <w:color w:val="auto"/>
                <w:sz w:val="18"/>
                <w:highlight w:val="none"/>
              </w:rPr>
            </w:pPr>
          </w:p>
        </w:tc>
        <w:tc>
          <w:tcPr>
            <w:tcW w:w="705" w:type="dxa"/>
            <w:gridSpan w:val="2"/>
            <w:noWrap w:val="0"/>
            <w:vAlign w:val="center"/>
          </w:tcPr>
          <w:p w14:paraId="6B0670DF">
            <w:pPr>
              <w:spacing w:before="5"/>
              <w:jc w:val="center"/>
              <w:rPr>
                <w:rFonts w:hint="eastAsia"/>
                <w:color w:val="auto"/>
                <w:sz w:val="18"/>
                <w:highlight w:val="none"/>
              </w:rPr>
            </w:pPr>
          </w:p>
        </w:tc>
        <w:tc>
          <w:tcPr>
            <w:tcW w:w="854" w:type="dxa"/>
            <w:noWrap w:val="0"/>
            <w:vAlign w:val="center"/>
          </w:tcPr>
          <w:p w14:paraId="28D9FD55">
            <w:pPr>
              <w:spacing w:before="5"/>
              <w:jc w:val="center"/>
              <w:rPr>
                <w:rFonts w:hint="eastAsia"/>
                <w:color w:val="auto"/>
                <w:sz w:val="18"/>
                <w:highlight w:val="none"/>
              </w:rPr>
            </w:pPr>
          </w:p>
        </w:tc>
        <w:tc>
          <w:tcPr>
            <w:tcW w:w="1134" w:type="dxa"/>
            <w:noWrap w:val="0"/>
            <w:vAlign w:val="center"/>
          </w:tcPr>
          <w:p w14:paraId="57D5BC8B">
            <w:pPr>
              <w:spacing w:before="5"/>
              <w:jc w:val="center"/>
              <w:rPr>
                <w:rFonts w:hint="eastAsia"/>
                <w:color w:val="auto"/>
                <w:sz w:val="18"/>
                <w:highlight w:val="none"/>
              </w:rPr>
            </w:pPr>
          </w:p>
        </w:tc>
        <w:tc>
          <w:tcPr>
            <w:tcW w:w="1194" w:type="dxa"/>
            <w:noWrap w:val="0"/>
            <w:vAlign w:val="center"/>
          </w:tcPr>
          <w:p w14:paraId="257676CE">
            <w:pPr>
              <w:spacing w:before="5"/>
              <w:jc w:val="center"/>
              <w:rPr>
                <w:rFonts w:hint="eastAsia"/>
                <w:color w:val="auto"/>
                <w:sz w:val="18"/>
                <w:highlight w:val="none"/>
              </w:rPr>
            </w:pPr>
          </w:p>
        </w:tc>
      </w:tr>
      <w:tr w14:paraId="395E4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910" w:type="dxa"/>
            <w:gridSpan w:val="2"/>
            <w:noWrap w:val="0"/>
            <w:vAlign w:val="center"/>
          </w:tcPr>
          <w:p w14:paraId="742B989D">
            <w:pPr>
              <w:spacing w:before="5"/>
              <w:jc w:val="center"/>
              <w:rPr>
                <w:rFonts w:hint="eastAsia"/>
                <w:color w:val="auto"/>
                <w:sz w:val="24"/>
                <w:szCs w:val="24"/>
                <w:highlight w:val="none"/>
              </w:rPr>
            </w:pPr>
            <w:bookmarkStart w:id="132" w:name="OLE_LINK148"/>
            <w:r>
              <w:rPr>
                <w:rFonts w:hint="eastAsia"/>
                <w:b/>
                <w:bCs/>
                <w:color w:val="auto"/>
                <w:sz w:val="24"/>
                <w:szCs w:val="24"/>
                <w:highlight w:val="none"/>
              </w:rPr>
              <w:t>合计总价</w:t>
            </w:r>
            <w:r>
              <w:rPr>
                <w:rFonts w:hint="eastAsia" w:ascii="Times New Roman" w:hAnsi="Times New Roman" w:eastAsia="宋体" w:cs="Times New Roman"/>
                <w:b/>
                <w:bCs/>
                <w:color w:val="auto"/>
                <w:sz w:val="24"/>
                <w:szCs w:val="24"/>
                <w:highlight w:val="none"/>
              </w:rPr>
              <w:t>(元)</w:t>
            </w:r>
          </w:p>
        </w:tc>
        <w:tc>
          <w:tcPr>
            <w:tcW w:w="7861" w:type="dxa"/>
            <w:gridSpan w:val="10"/>
            <w:noWrap w:val="0"/>
            <w:vAlign w:val="center"/>
          </w:tcPr>
          <w:p w14:paraId="79D9F1E5">
            <w:pPr>
              <w:spacing w:before="5"/>
              <w:jc w:val="center"/>
              <w:rPr>
                <w:rFonts w:hint="eastAsia"/>
                <w:color w:val="auto"/>
                <w:sz w:val="18"/>
                <w:highlight w:val="none"/>
              </w:rPr>
            </w:pPr>
          </w:p>
        </w:tc>
      </w:tr>
      <w:tr w14:paraId="29267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1910" w:type="dxa"/>
            <w:gridSpan w:val="2"/>
            <w:noWrap w:val="0"/>
            <w:vAlign w:val="center"/>
          </w:tcPr>
          <w:p w14:paraId="12BC5C3F">
            <w:pPr>
              <w:jc w:val="center"/>
              <w:rPr>
                <w:rFonts w:hint="eastAsia"/>
                <w:b/>
                <w:bCs/>
                <w:color w:val="auto"/>
                <w:sz w:val="24"/>
                <w:szCs w:val="24"/>
                <w:highlight w:val="none"/>
              </w:rPr>
            </w:pPr>
            <w:r>
              <w:rPr>
                <w:rFonts w:hint="eastAsia" w:ascii="宋体"/>
                <w:b/>
                <w:bCs/>
                <w:color w:val="auto"/>
                <w:sz w:val="24"/>
                <w:szCs w:val="22"/>
                <w:highlight w:val="none"/>
              </w:rPr>
              <w:t>核心产品</w:t>
            </w:r>
          </w:p>
        </w:tc>
        <w:tc>
          <w:tcPr>
            <w:tcW w:w="2408" w:type="dxa"/>
            <w:gridSpan w:val="2"/>
            <w:noWrap w:val="0"/>
            <w:vAlign w:val="center"/>
          </w:tcPr>
          <w:p w14:paraId="3A2F7735">
            <w:pPr>
              <w:jc w:val="left"/>
              <w:rPr>
                <w:rFonts w:hint="eastAsia"/>
                <w:color w:val="auto"/>
                <w:sz w:val="18"/>
                <w:highlight w:val="none"/>
              </w:rPr>
            </w:pPr>
          </w:p>
        </w:tc>
        <w:tc>
          <w:tcPr>
            <w:tcW w:w="1944" w:type="dxa"/>
            <w:gridSpan w:val="3"/>
            <w:noWrap w:val="0"/>
            <w:vAlign w:val="center"/>
          </w:tcPr>
          <w:p w14:paraId="779DD3FE">
            <w:pPr>
              <w:rPr>
                <w:rFonts w:hint="eastAsia"/>
                <w:color w:val="auto"/>
                <w:sz w:val="18"/>
                <w:highlight w:val="none"/>
              </w:rPr>
            </w:pPr>
            <w:r>
              <w:rPr>
                <w:rFonts w:hint="eastAsia" w:ascii="宋体"/>
                <w:b/>
                <w:bCs/>
                <w:color w:val="auto"/>
                <w:sz w:val="24"/>
                <w:szCs w:val="22"/>
                <w:highlight w:val="none"/>
              </w:rPr>
              <w:t>序号：</w:t>
            </w:r>
          </w:p>
        </w:tc>
        <w:tc>
          <w:tcPr>
            <w:tcW w:w="3509" w:type="dxa"/>
            <w:gridSpan w:val="5"/>
            <w:noWrap w:val="0"/>
            <w:vAlign w:val="center"/>
          </w:tcPr>
          <w:p w14:paraId="58EBED25">
            <w:pPr>
              <w:rPr>
                <w:rFonts w:hint="eastAsia"/>
                <w:color w:val="auto"/>
                <w:sz w:val="18"/>
                <w:highlight w:val="none"/>
              </w:rPr>
            </w:pPr>
            <w:r>
              <w:rPr>
                <w:rFonts w:hint="eastAsia" w:ascii="宋体"/>
                <w:b/>
                <w:bCs/>
                <w:color w:val="auto"/>
                <w:sz w:val="24"/>
                <w:szCs w:val="22"/>
                <w:highlight w:val="none"/>
              </w:rPr>
              <w:t>品牌：</w:t>
            </w:r>
          </w:p>
        </w:tc>
      </w:tr>
      <w:tr w14:paraId="6A81A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1910" w:type="dxa"/>
            <w:gridSpan w:val="2"/>
            <w:noWrap w:val="0"/>
            <w:vAlign w:val="center"/>
          </w:tcPr>
          <w:p w14:paraId="73EBF195">
            <w:pPr>
              <w:jc w:val="center"/>
              <w:rPr>
                <w:rFonts w:hint="eastAsia" w:ascii="宋体"/>
                <w:b/>
                <w:bCs/>
                <w:color w:val="auto"/>
                <w:sz w:val="24"/>
                <w:highlight w:val="none"/>
              </w:rPr>
            </w:pPr>
            <w:r>
              <w:rPr>
                <w:rFonts w:hint="eastAsia" w:ascii="宋体"/>
                <w:b/>
                <w:bCs/>
                <w:color w:val="auto"/>
                <w:sz w:val="24"/>
                <w:highlight w:val="none"/>
              </w:rPr>
              <w:t>完工期</w:t>
            </w:r>
          </w:p>
        </w:tc>
        <w:tc>
          <w:tcPr>
            <w:tcW w:w="7861" w:type="dxa"/>
            <w:gridSpan w:val="10"/>
            <w:noWrap w:val="0"/>
            <w:vAlign w:val="center"/>
          </w:tcPr>
          <w:p w14:paraId="5D1CB9BD">
            <w:pPr>
              <w:jc w:val="left"/>
              <w:rPr>
                <w:rFonts w:hint="eastAsia" w:ascii="宋体"/>
                <w:b/>
                <w:bCs/>
                <w:color w:val="auto"/>
                <w:sz w:val="24"/>
                <w:highlight w:val="none"/>
              </w:rPr>
            </w:pPr>
            <w:r>
              <w:rPr>
                <w:rFonts w:hint="eastAsia" w:ascii="宋体" w:hAnsi="Times New Roman" w:eastAsia="宋体" w:cs="Times New Roman"/>
                <w:b/>
                <w:bCs/>
                <w:color w:val="auto"/>
                <w:sz w:val="24"/>
                <w:highlight w:val="none"/>
              </w:rPr>
              <w:t>合同签订之日起</w:t>
            </w:r>
            <w:r>
              <w:rPr>
                <w:rFonts w:hint="eastAsia" w:ascii="宋体" w:hAnsi="Times New Roman" w:eastAsia="宋体" w:cs="Times New Roman"/>
                <w:b/>
                <w:bCs/>
                <w:color w:val="auto"/>
                <w:sz w:val="24"/>
                <w:highlight w:val="none"/>
                <w:u w:val="single"/>
                <w:lang w:val="en-US" w:eastAsia="zh-CN"/>
              </w:rPr>
              <w:t xml:space="preserve">  </w:t>
            </w:r>
            <w:r>
              <w:rPr>
                <w:rFonts w:hint="eastAsia" w:ascii="宋体" w:hAnsi="Times New Roman" w:eastAsia="宋体" w:cs="Times New Roman"/>
                <w:b/>
                <w:bCs/>
                <w:color w:val="auto"/>
                <w:sz w:val="24"/>
                <w:highlight w:val="none"/>
              </w:rPr>
              <w:t>日内完成供货及安装。</w:t>
            </w:r>
          </w:p>
        </w:tc>
      </w:tr>
      <w:tr w14:paraId="61D08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8" w:hRule="atLeast"/>
          <w:jc w:val="center"/>
        </w:trPr>
        <w:tc>
          <w:tcPr>
            <w:tcW w:w="1910" w:type="dxa"/>
            <w:gridSpan w:val="2"/>
            <w:noWrap w:val="0"/>
            <w:vAlign w:val="center"/>
          </w:tcPr>
          <w:p w14:paraId="3FC46407">
            <w:pPr>
              <w:jc w:val="center"/>
              <w:rPr>
                <w:rFonts w:hint="eastAsia" w:ascii="宋体"/>
                <w:b/>
                <w:bCs/>
                <w:color w:val="auto"/>
                <w:sz w:val="24"/>
                <w:highlight w:val="none"/>
              </w:rPr>
            </w:pPr>
            <w:r>
              <w:rPr>
                <w:rFonts w:hint="eastAsia" w:ascii="宋体"/>
                <w:b/>
                <w:bCs/>
                <w:color w:val="auto"/>
                <w:sz w:val="24"/>
                <w:highlight w:val="none"/>
              </w:rPr>
              <w:t>项目整体质保期</w:t>
            </w:r>
          </w:p>
        </w:tc>
        <w:tc>
          <w:tcPr>
            <w:tcW w:w="7861" w:type="dxa"/>
            <w:gridSpan w:val="10"/>
            <w:noWrap w:val="0"/>
            <w:vAlign w:val="center"/>
          </w:tcPr>
          <w:p w14:paraId="7813A4A9">
            <w:pPr>
              <w:jc w:val="left"/>
              <w:rPr>
                <w:rFonts w:hint="eastAsia" w:ascii="宋体"/>
                <w:b/>
                <w:bCs/>
                <w:color w:val="auto"/>
                <w:sz w:val="24"/>
                <w:highlight w:val="none"/>
              </w:rPr>
            </w:pPr>
          </w:p>
        </w:tc>
      </w:tr>
      <w:tr w14:paraId="1FDF2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24" w:hRule="atLeast"/>
          <w:jc w:val="center"/>
        </w:trPr>
        <w:tc>
          <w:tcPr>
            <w:tcW w:w="652" w:type="dxa"/>
            <w:vMerge w:val="restart"/>
            <w:noWrap w:val="0"/>
            <w:vAlign w:val="center"/>
          </w:tcPr>
          <w:p w14:paraId="449D595C">
            <w:pPr>
              <w:pStyle w:val="240"/>
              <w:spacing w:line="400" w:lineRule="exact"/>
              <w:ind w:firstLine="120"/>
              <w:rPr>
                <w:rFonts w:hint="eastAsia" w:ascii="宋体" w:hAnsi="宋体"/>
                <w:b/>
                <w:bCs/>
                <w:color w:val="auto"/>
                <w:sz w:val="24"/>
                <w:szCs w:val="24"/>
                <w:highlight w:val="none"/>
              </w:rPr>
            </w:pPr>
            <w:r>
              <w:rPr>
                <w:rFonts w:hint="eastAsia" w:ascii="宋体" w:hAnsi="宋体"/>
                <w:b/>
                <w:bCs/>
                <w:color w:val="auto"/>
                <w:sz w:val="24"/>
                <w:szCs w:val="24"/>
                <w:highlight w:val="none"/>
              </w:rPr>
              <w:t>服</w:t>
            </w:r>
          </w:p>
          <w:p w14:paraId="5343C18B">
            <w:pPr>
              <w:pStyle w:val="240"/>
              <w:spacing w:line="400" w:lineRule="exact"/>
              <w:ind w:firstLine="120"/>
              <w:rPr>
                <w:rFonts w:hint="eastAsia" w:ascii="宋体" w:hAnsi="宋体"/>
                <w:b/>
                <w:bCs/>
                <w:color w:val="auto"/>
                <w:sz w:val="24"/>
                <w:szCs w:val="24"/>
                <w:highlight w:val="none"/>
              </w:rPr>
            </w:pPr>
            <w:r>
              <w:rPr>
                <w:rFonts w:hint="eastAsia" w:ascii="宋体" w:hAnsi="宋体"/>
                <w:b/>
                <w:bCs/>
                <w:color w:val="auto"/>
                <w:sz w:val="24"/>
                <w:szCs w:val="24"/>
                <w:highlight w:val="none"/>
              </w:rPr>
              <w:t>务</w:t>
            </w:r>
          </w:p>
          <w:p w14:paraId="28CF9892">
            <w:pPr>
              <w:pStyle w:val="240"/>
              <w:spacing w:line="400" w:lineRule="exact"/>
              <w:ind w:firstLine="120"/>
              <w:rPr>
                <w:rFonts w:hint="eastAsia" w:ascii="宋体" w:hAnsi="宋体"/>
                <w:b/>
                <w:bCs/>
                <w:color w:val="auto"/>
                <w:sz w:val="24"/>
                <w:szCs w:val="24"/>
                <w:highlight w:val="none"/>
              </w:rPr>
            </w:pPr>
            <w:r>
              <w:rPr>
                <w:rFonts w:hint="eastAsia" w:ascii="宋体" w:hAnsi="宋体"/>
                <w:b/>
                <w:bCs/>
                <w:color w:val="auto"/>
                <w:sz w:val="24"/>
                <w:szCs w:val="24"/>
                <w:highlight w:val="none"/>
              </w:rPr>
              <w:t>承</w:t>
            </w:r>
          </w:p>
          <w:p w14:paraId="43CC43FC">
            <w:pPr>
              <w:spacing w:before="5"/>
              <w:jc w:val="center"/>
              <w:rPr>
                <w:rFonts w:hint="eastAsia"/>
                <w:color w:val="auto"/>
                <w:sz w:val="18"/>
                <w:highlight w:val="none"/>
              </w:rPr>
            </w:pPr>
            <w:r>
              <w:rPr>
                <w:rFonts w:hint="eastAsia" w:ascii="宋体" w:hAnsi="宋体"/>
                <w:b/>
                <w:bCs/>
                <w:color w:val="auto"/>
                <w:sz w:val="24"/>
                <w:szCs w:val="24"/>
                <w:highlight w:val="none"/>
              </w:rPr>
              <w:t>诺</w:t>
            </w:r>
          </w:p>
        </w:tc>
        <w:tc>
          <w:tcPr>
            <w:tcW w:w="9119" w:type="dxa"/>
            <w:gridSpan w:val="11"/>
            <w:noWrap w:val="0"/>
            <w:vAlign w:val="center"/>
          </w:tcPr>
          <w:p w14:paraId="3722D015">
            <w:pPr>
              <w:tabs>
                <w:tab w:val="left" w:pos="210"/>
              </w:tabs>
              <w:jc w:val="left"/>
              <w:rPr>
                <w:rFonts w:hint="eastAsia" w:ascii="宋体" w:hAnsi="宋体"/>
                <w:color w:val="auto"/>
                <w:sz w:val="24"/>
                <w:szCs w:val="24"/>
                <w:highlight w:val="none"/>
              </w:rPr>
            </w:pPr>
          </w:p>
        </w:tc>
      </w:tr>
      <w:tr w14:paraId="44770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6" w:hRule="atLeast"/>
          <w:jc w:val="center"/>
        </w:trPr>
        <w:tc>
          <w:tcPr>
            <w:tcW w:w="652" w:type="dxa"/>
            <w:vMerge w:val="continue"/>
            <w:noWrap w:val="0"/>
            <w:vAlign w:val="center"/>
          </w:tcPr>
          <w:p w14:paraId="0EDD0D87">
            <w:pPr>
              <w:spacing w:before="5"/>
              <w:jc w:val="center"/>
              <w:rPr>
                <w:rFonts w:hint="eastAsia"/>
                <w:color w:val="auto"/>
                <w:sz w:val="18"/>
                <w:highlight w:val="none"/>
              </w:rPr>
            </w:pPr>
          </w:p>
        </w:tc>
        <w:tc>
          <w:tcPr>
            <w:tcW w:w="9119" w:type="dxa"/>
            <w:gridSpan w:val="11"/>
            <w:noWrap w:val="0"/>
            <w:vAlign w:val="center"/>
          </w:tcPr>
          <w:p w14:paraId="0266A6E7">
            <w:pPr>
              <w:tabs>
                <w:tab w:val="left" w:pos="210"/>
              </w:tabs>
              <w:jc w:val="left"/>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rPr>
              <w:t>质量</w:t>
            </w:r>
            <w:r>
              <w:rPr>
                <w:rFonts w:ascii="宋体" w:hAnsi="宋体"/>
                <w:bCs/>
                <w:color w:val="auto"/>
                <w:sz w:val="24"/>
                <w:szCs w:val="24"/>
                <w:highlight w:val="none"/>
              </w:rPr>
              <w:t xml:space="preserve"> 2.</w:t>
            </w:r>
            <w:r>
              <w:rPr>
                <w:rFonts w:hint="eastAsia" w:ascii="宋体" w:hAnsi="宋体"/>
                <w:bCs/>
                <w:color w:val="auto"/>
                <w:sz w:val="24"/>
                <w:szCs w:val="24"/>
                <w:highlight w:val="none"/>
              </w:rPr>
              <w:t>安装</w:t>
            </w:r>
            <w:r>
              <w:rPr>
                <w:rFonts w:ascii="宋体" w:hAnsi="宋体"/>
                <w:bCs/>
                <w:color w:val="auto"/>
                <w:sz w:val="24"/>
                <w:szCs w:val="24"/>
                <w:highlight w:val="none"/>
              </w:rPr>
              <w:t xml:space="preserve"> </w:t>
            </w: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三包</w:t>
            </w:r>
            <w:r>
              <w:rPr>
                <w:rFonts w:ascii="宋体" w:hAnsi="宋体"/>
                <w:bCs/>
                <w:color w:val="auto"/>
                <w:sz w:val="24"/>
                <w:szCs w:val="24"/>
                <w:highlight w:val="none"/>
              </w:rPr>
              <w:t>"(</w:t>
            </w:r>
            <w:r>
              <w:rPr>
                <w:rFonts w:hint="eastAsia" w:ascii="宋体" w:hAnsi="宋体"/>
                <w:bCs/>
                <w:color w:val="auto"/>
                <w:sz w:val="24"/>
                <w:szCs w:val="24"/>
                <w:highlight w:val="none"/>
              </w:rPr>
              <w:t>包修、包退、包换)4</w:t>
            </w:r>
            <w:r>
              <w:rPr>
                <w:rFonts w:ascii="宋体" w:hAnsi="宋体"/>
                <w:bCs/>
                <w:color w:val="auto"/>
                <w:sz w:val="24"/>
                <w:szCs w:val="24"/>
                <w:highlight w:val="none"/>
              </w:rPr>
              <w:t>.</w:t>
            </w:r>
            <w:r>
              <w:rPr>
                <w:rFonts w:hint="eastAsia" w:ascii="宋体" w:hAnsi="宋体"/>
                <w:bCs/>
                <w:color w:val="auto"/>
                <w:sz w:val="24"/>
                <w:szCs w:val="24"/>
                <w:highlight w:val="none"/>
              </w:rPr>
              <w:t>其他承诺</w:t>
            </w:r>
          </w:p>
          <w:p w14:paraId="121ACF4D">
            <w:pPr>
              <w:spacing w:before="5"/>
              <w:jc w:val="left"/>
              <w:rPr>
                <w:rFonts w:hint="eastAsia"/>
                <w:color w:val="auto"/>
                <w:sz w:val="18"/>
                <w:highlight w:val="none"/>
              </w:rPr>
            </w:pPr>
            <w:r>
              <w:rPr>
                <w:rFonts w:hint="eastAsia" w:ascii="宋体" w:hAnsi="宋体"/>
                <w:bCs/>
                <w:color w:val="auto"/>
                <w:sz w:val="24"/>
                <w:szCs w:val="24"/>
                <w:highlight w:val="none"/>
              </w:rPr>
              <w:t>（以上是主要承诺，供投标人参考，投标人应在满足招标文件要求的基础上，根据自己单位的情况作出具体承诺）</w:t>
            </w:r>
            <w:bookmarkEnd w:id="132"/>
          </w:p>
        </w:tc>
      </w:tr>
    </w:tbl>
    <w:p w14:paraId="00F87AA1">
      <w:pPr>
        <w:pStyle w:val="207"/>
        <w:rPr>
          <w:rFonts w:hint="eastAsia"/>
          <w:highlight w:val="none"/>
          <w:lang w:eastAsia="zh-CN"/>
        </w:rPr>
      </w:pPr>
    </w:p>
    <w:p w14:paraId="5142474C">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bookmarkStart w:id="133" w:name="OLE_LINK149"/>
      <w:r>
        <w:rPr>
          <w:rFonts w:hint="eastAsia" w:ascii="宋体" w:hAnsi="宋体"/>
          <w:bCs/>
          <w:color w:val="000000"/>
          <w:sz w:val="24"/>
          <w:highlight w:val="none"/>
        </w:rPr>
        <w:t xml:space="preserve">                      投标人（电子签章）：</w:t>
      </w:r>
    </w:p>
    <w:p w14:paraId="7D2A2590">
      <w:pPr>
        <w:spacing w:line="360" w:lineRule="auto"/>
        <w:rPr>
          <w:rFonts w:ascii="宋体" w:hAnsi="宋体"/>
          <w:bCs/>
          <w:color w:val="000000"/>
          <w:szCs w:val="21"/>
          <w:highlight w:val="none"/>
        </w:rPr>
      </w:pPr>
      <w:r>
        <w:rPr>
          <w:rFonts w:hint="eastAsia" w:ascii="宋体" w:hAnsi="宋体"/>
          <w:bCs/>
          <w:color w:val="000000"/>
          <w:szCs w:val="21"/>
          <w:highlight w:val="none"/>
        </w:rPr>
        <w:t xml:space="preserve">注： </w:t>
      </w:r>
    </w:p>
    <w:p w14:paraId="599EE366">
      <w:pPr>
        <w:spacing w:line="360" w:lineRule="auto"/>
        <w:ind w:firstLine="421"/>
        <w:jc w:val="left"/>
        <w:rPr>
          <w:rFonts w:ascii="宋体" w:hAnsi="宋体"/>
          <w:bCs/>
          <w:color w:val="000000"/>
          <w:szCs w:val="21"/>
          <w:highlight w:val="none"/>
        </w:rPr>
      </w:pPr>
      <w:bookmarkStart w:id="134" w:name="_Hlk151710206"/>
      <w:r>
        <w:rPr>
          <w:rFonts w:hint="eastAsia" w:ascii="宋体" w:hAnsi="宋体"/>
          <w:bCs/>
          <w:color w:val="000000"/>
          <w:szCs w:val="21"/>
          <w:highlight w:val="none"/>
        </w:rPr>
        <w:t>（1）投标人应当根据“第三章 项目技术要求和有关说明”的内容详细填写明细报价表，须包括本次采购的所有细项，表格不够可自行延长；</w:t>
      </w:r>
      <w:bookmarkStart w:id="135" w:name="_Hlk160007193"/>
      <w:r>
        <w:rPr>
          <w:rFonts w:hint="eastAsia" w:ascii="宋体" w:hAnsi="宋体"/>
          <w:bCs/>
          <w:color w:val="000000"/>
          <w:szCs w:val="21"/>
          <w:highlight w:val="none"/>
        </w:rPr>
        <w:t>上述单价为综合单价，包含提供货物的一切费用；如本表单价计算的结果与总价不一致，以单价为准修正总价。</w:t>
      </w:r>
      <w:bookmarkEnd w:id="135"/>
    </w:p>
    <w:p w14:paraId="5F29A912">
      <w:pPr>
        <w:spacing w:line="360" w:lineRule="auto"/>
        <w:ind w:firstLine="421"/>
        <w:jc w:val="left"/>
        <w:rPr>
          <w:rFonts w:hint="eastAsia" w:ascii="宋体" w:hAnsi="宋体"/>
          <w:bCs/>
          <w:color w:val="000000"/>
          <w:szCs w:val="21"/>
          <w:highlight w:val="none"/>
        </w:rPr>
      </w:pPr>
      <w:bookmarkStart w:id="136" w:name="_Hlk151708861"/>
      <w:r>
        <w:rPr>
          <w:rFonts w:hint="eastAsia" w:ascii="宋体" w:hAnsi="宋体"/>
          <w:bCs/>
          <w:color w:val="000000"/>
          <w:szCs w:val="21"/>
          <w:highlight w:val="none"/>
        </w:rPr>
        <w:t>（2）</w:t>
      </w:r>
      <w:r>
        <w:rPr>
          <w:rFonts w:hint="eastAsia" w:ascii="宋体" w:hAnsi="宋体"/>
          <w:bCs/>
          <w:color w:val="auto"/>
          <w:szCs w:val="21"/>
          <w:highlight w:val="none"/>
          <w:lang w:val="zh-CN"/>
        </w:rPr>
        <w:t>核心产品：</w:t>
      </w:r>
      <w:r>
        <w:rPr>
          <w:rFonts w:hint="eastAsia" w:ascii="宋体" w:hAnsi="宋体"/>
          <w:bCs/>
          <w:color w:val="auto"/>
          <w:szCs w:val="21"/>
          <w:highlight w:val="none"/>
        </w:rPr>
        <w:t>请投</w:t>
      </w:r>
      <w:r>
        <w:rPr>
          <w:rFonts w:hint="eastAsia" w:ascii="宋体" w:hAnsi="宋体"/>
          <w:color w:val="auto"/>
          <w:szCs w:val="21"/>
          <w:highlight w:val="none"/>
        </w:rPr>
        <w:t>标人在上表中详细填写核心产品所在明细报价表中的序号及品牌，</w:t>
      </w:r>
      <w:r>
        <w:rPr>
          <w:rFonts w:hint="eastAsia" w:ascii="宋体" w:hAnsi="宋体"/>
          <w:color w:val="auto"/>
          <w:szCs w:val="21"/>
          <w:highlight w:val="none"/>
          <w:lang w:val="zh-CN"/>
        </w:rPr>
        <w:t>对</w:t>
      </w:r>
      <w:r>
        <w:rPr>
          <w:rFonts w:hint="eastAsia" w:ascii="宋体" w:hAnsi="宋体"/>
          <w:color w:val="auto"/>
          <w:szCs w:val="21"/>
          <w:highlight w:val="none"/>
        </w:rPr>
        <w:t>核心产品</w:t>
      </w:r>
      <w:r>
        <w:rPr>
          <w:rFonts w:hint="eastAsia" w:ascii="宋体" w:hAnsi="宋体"/>
          <w:color w:val="auto"/>
          <w:szCs w:val="21"/>
          <w:highlight w:val="none"/>
          <w:lang w:val="zh-CN"/>
        </w:rPr>
        <w:t>提供相同品牌产品且通过资格审查、符合性审查的不同投标人参加同一合同项下投标的，按一家投标人计算，评审后得分最高的同品牌投标人获得中标人推荐资格。评审得分相同的，由采购人代表采用随机抽取方式确定一个投标人获得中标人推荐资格，其他同品牌投标人不作为中标候选人。</w:t>
      </w:r>
    </w:p>
    <w:p w14:paraId="75BEE722">
      <w:pPr>
        <w:spacing w:line="360" w:lineRule="auto"/>
        <w:ind w:firstLine="420"/>
        <w:jc w:val="left"/>
        <w:rPr>
          <w:rFonts w:ascii="宋体" w:hAnsi="宋体"/>
          <w:bCs/>
          <w:color w:val="000000"/>
          <w:szCs w:val="21"/>
          <w:highlight w:val="none"/>
        </w:rPr>
      </w:pPr>
      <w:r>
        <w:rPr>
          <w:rFonts w:hint="eastAsia" w:ascii="宋体" w:hAnsi="宋体"/>
          <w:bCs/>
          <w:color w:val="000000"/>
          <w:szCs w:val="21"/>
          <w:highlight w:val="none"/>
        </w:rPr>
        <w:t>（3）政府采购优惠政策：</w:t>
      </w:r>
      <w:bookmarkStart w:id="137" w:name="_Hlk151708883"/>
      <w:r>
        <w:rPr>
          <w:rFonts w:hint="eastAsia" w:ascii="宋体" w:hAnsi="宋体"/>
          <w:bCs/>
          <w:color w:val="000000"/>
          <w:szCs w:val="21"/>
          <w:highlight w:val="none"/>
        </w:rPr>
        <w:t>若符合本项目小微企业报价扣除优惠政策的，投标人应在“产品类别”一栏中填入</w:t>
      </w:r>
      <w:r>
        <w:rPr>
          <w:rFonts w:hint="eastAsia" w:ascii="宋体" w:hAnsi="宋体"/>
          <w:bCs/>
          <w:color w:val="000000"/>
          <w:szCs w:val="21"/>
          <w:highlight w:val="none"/>
          <w:lang w:val="zh-CN"/>
        </w:rPr>
        <w:t>小微企业产品、残疾人福利性单位产品或监狱企业产品</w:t>
      </w:r>
      <w:r>
        <w:rPr>
          <w:rFonts w:hint="eastAsia" w:ascii="宋体" w:hAnsi="宋体"/>
          <w:color w:val="000000"/>
          <w:szCs w:val="21"/>
          <w:highlight w:val="none"/>
          <w:lang w:val="zh-CN"/>
        </w:rPr>
        <w:t>，</w:t>
      </w:r>
      <w:r>
        <w:rPr>
          <w:rFonts w:hint="eastAsia" w:ascii="宋体" w:hAnsi="宋体"/>
          <w:bCs/>
          <w:color w:val="000000"/>
          <w:szCs w:val="21"/>
          <w:highlight w:val="none"/>
          <w:lang w:val="zh-CN"/>
        </w:rPr>
        <w:t>价格扣除比例（如有）详见“投标邀请函”；</w:t>
      </w:r>
      <w:r>
        <w:rPr>
          <w:rFonts w:hint="eastAsia" w:ascii="宋体" w:hAnsi="宋体"/>
          <w:bCs/>
          <w:color w:val="000000"/>
          <w:szCs w:val="21"/>
          <w:highlight w:val="none"/>
        </w:rPr>
        <w:t>若不符合本项目政府采购优惠政策的，无需填写“产品类别”。</w:t>
      </w:r>
      <w:bookmarkEnd w:id="134"/>
      <w:bookmarkEnd w:id="136"/>
      <w:bookmarkEnd w:id="137"/>
    </w:p>
    <w:p w14:paraId="01B266D6">
      <w:pPr>
        <w:spacing w:line="360" w:lineRule="auto"/>
        <w:ind w:firstLine="421"/>
        <w:jc w:val="left"/>
        <w:rPr>
          <w:rFonts w:ascii="宋体" w:hAnsi="宋体"/>
          <w:bCs/>
          <w:color w:val="000000"/>
          <w:szCs w:val="21"/>
          <w:highlight w:val="none"/>
        </w:rPr>
      </w:pPr>
      <w:bookmarkStart w:id="138" w:name="_Hlk162944129"/>
      <w:r>
        <w:rPr>
          <w:rFonts w:hint="eastAsia" w:ascii="宋体" w:hAnsi="宋体"/>
          <w:bCs/>
          <w:color w:val="000000"/>
          <w:szCs w:val="21"/>
          <w:highlight w:val="none"/>
        </w:rPr>
        <w:t>（</w:t>
      </w:r>
      <w:r>
        <w:rPr>
          <w:rFonts w:hint="eastAsia" w:ascii="宋体" w:hAnsi="宋体"/>
          <w:bCs/>
          <w:color w:val="000000"/>
          <w:szCs w:val="21"/>
          <w:highlight w:val="none"/>
          <w:lang w:val="en-US" w:eastAsia="zh-CN"/>
        </w:rPr>
        <w:t>4</w:t>
      </w:r>
      <w:r>
        <w:rPr>
          <w:rFonts w:hint="eastAsia" w:ascii="宋体" w:hAnsi="宋体"/>
          <w:bCs/>
          <w:color w:val="000000"/>
          <w:szCs w:val="21"/>
          <w:highlight w:val="none"/>
        </w:rPr>
        <w:t>）若享受本项目政府采购相关优惠政策的，投标人必须按照本章“（四）报价折扣文件”要求提供相关证明材料，以提供的有效证明材料为准，否则不享受相关优惠。</w:t>
      </w:r>
      <w:bookmarkEnd w:id="138"/>
    </w:p>
    <w:p w14:paraId="46969CDF">
      <w:pPr>
        <w:spacing w:line="360" w:lineRule="auto"/>
        <w:ind w:firstLine="421"/>
        <w:jc w:val="left"/>
        <w:rPr>
          <w:rFonts w:hint="eastAsia" w:ascii="宋体" w:hAnsi="宋体"/>
          <w:bCs/>
          <w:color w:val="000000"/>
          <w:szCs w:val="21"/>
          <w:highlight w:val="none"/>
        </w:rPr>
      </w:pPr>
      <w:r>
        <w:rPr>
          <w:rFonts w:hint="eastAsia" w:ascii="宋体" w:hAnsi="宋体"/>
          <w:bCs/>
          <w:color w:val="000000"/>
          <w:szCs w:val="21"/>
          <w:highlight w:val="none"/>
        </w:rPr>
        <w:t>（</w:t>
      </w:r>
      <w:r>
        <w:rPr>
          <w:rFonts w:hint="eastAsia" w:ascii="宋体" w:hAnsi="宋体"/>
          <w:bCs/>
          <w:color w:val="000000"/>
          <w:szCs w:val="21"/>
          <w:highlight w:val="none"/>
          <w:lang w:val="en-US" w:eastAsia="zh-CN"/>
        </w:rPr>
        <w:t>5</w:t>
      </w:r>
      <w:r>
        <w:rPr>
          <w:rFonts w:hint="eastAsia" w:ascii="宋体" w:hAnsi="宋体"/>
          <w:bCs/>
          <w:color w:val="000000"/>
          <w:szCs w:val="21"/>
          <w:highlight w:val="none"/>
        </w:rPr>
        <w:t>）若本项目含有政府采购强制采购产品的，投标人必须按照本章“（四）报价折扣文件”提供</w:t>
      </w:r>
      <w:bookmarkStart w:id="139" w:name="_Hlk163827407"/>
      <w:r>
        <w:rPr>
          <w:rFonts w:hint="eastAsia" w:ascii="宋体" w:hAnsi="宋体"/>
          <w:bCs/>
          <w:color w:val="000000"/>
          <w:szCs w:val="21"/>
          <w:highlight w:val="none"/>
        </w:rPr>
        <w:t>有效</w:t>
      </w:r>
      <w:bookmarkEnd w:id="139"/>
      <w:r>
        <w:rPr>
          <w:rFonts w:hint="eastAsia" w:ascii="宋体" w:hAnsi="宋体"/>
          <w:bCs/>
          <w:color w:val="000000"/>
          <w:szCs w:val="21"/>
          <w:highlight w:val="none"/>
        </w:rPr>
        <w:t>证明材料，否则投标无效，详见投标人须知相关要求。</w:t>
      </w:r>
    </w:p>
    <w:p w14:paraId="4909F268">
      <w:pPr>
        <w:numPr>
          <w:ilvl w:val="0"/>
          <w:numId w:val="0"/>
        </w:numPr>
        <w:spacing w:line="360" w:lineRule="auto"/>
        <w:ind w:left="422"/>
        <w:jc w:val="left"/>
        <w:rPr>
          <w:rFonts w:hint="eastAsia" w:ascii="宋体" w:hAnsi="宋体"/>
          <w:b/>
          <w:bCs w:val="0"/>
          <w:szCs w:val="21"/>
          <w:highlight w:val="none"/>
        </w:rPr>
      </w:pPr>
      <w:r>
        <w:rPr>
          <w:rFonts w:hint="eastAsia" w:ascii="宋体" w:hAnsi="宋体"/>
          <w:bCs/>
          <w:color w:val="000000"/>
          <w:szCs w:val="21"/>
          <w:highlight w:val="none"/>
          <w:lang w:eastAsia="zh-CN"/>
        </w:rPr>
        <w:t>（</w:t>
      </w:r>
      <w:r>
        <w:rPr>
          <w:rFonts w:hint="eastAsia" w:ascii="宋体" w:hAnsi="宋体"/>
          <w:bCs/>
          <w:color w:val="000000"/>
          <w:szCs w:val="21"/>
          <w:highlight w:val="none"/>
          <w:lang w:val="en-US" w:eastAsia="zh-CN"/>
        </w:rPr>
        <w:t>6</w:t>
      </w:r>
      <w:r>
        <w:rPr>
          <w:rFonts w:hint="eastAsia" w:ascii="宋体" w:hAnsi="宋体"/>
          <w:bCs/>
          <w:color w:val="000000"/>
          <w:szCs w:val="21"/>
          <w:highlight w:val="none"/>
          <w:lang w:eastAsia="zh-CN"/>
        </w:rPr>
        <w:t>）</w:t>
      </w:r>
      <w:r>
        <w:rPr>
          <w:rFonts w:hint="eastAsia" w:ascii="宋体" w:hAnsi="宋体"/>
          <w:b/>
          <w:bCs w:val="0"/>
          <w:szCs w:val="21"/>
          <w:highlight w:val="none"/>
          <w:lang w:eastAsia="zh-CN"/>
        </w:rPr>
        <w:t>“</w:t>
      </w:r>
      <w:r>
        <w:rPr>
          <w:rFonts w:hint="eastAsia" w:ascii="宋体" w:hAnsi="宋体"/>
          <w:b/>
          <w:bCs w:val="0"/>
          <w:szCs w:val="21"/>
          <w:highlight w:val="none"/>
          <w:lang w:val="en-US" w:eastAsia="zh-CN"/>
        </w:rPr>
        <w:t>合计报价</w:t>
      </w:r>
      <w:r>
        <w:rPr>
          <w:rFonts w:hint="eastAsia" w:ascii="宋体" w:hAnsi="宋体"/>
          <w:b/>
          <w:bCs w:val="0"/>
          <w:szCs w:val="21"/>
          <w:highlight w:val="none"/>
          <w:lang w:eastAsia="zh-CN"/>
        </w:rPr>
        <w:t>”</w:t>
      </w:r>
      <w:r>
        <w:rPr>
          <w:rFonts w:hint="eastAsia" w:ascii="宋体" w:hAnsi="宋体"/>
          <w:b/>
          <w:bCs w:val="0"/>
          <w:szCs w:val="21"/>
          <w:highlight w:val="none"/>
          <w:lang w:val="en-US" w:eastAsia="zh-CN"/>
        </w:rPr>
        <w:t>不得超过“第三章 项目技术要求和有关说明”中清单中的单项限价，合计总价不得超过本项目最高限价，若存在漏项或超限价的情况，将作无效报价处理。</w:t>
      </w:r>
      <w:bookmarkEnd w:id="133"/>
    </w:p>
    <w:p w14:paraId="515359DF">
      <w:pPr>
        <w:spacing w:line="360" w:lineRule="auto"/>
        <w:ind w:firstLine="421"/>
        <w:jc w:val="left"/>
        <w:rPr>
          <w:rFonts w:hint="eastAsia" w:ascii="宋体" w:hAnsi="宋体" w:eastAsia="宋体"/>
          <w:bCs/>
          <w:color w:val="000000"/>
          <w:szCs w:val="21"/>
          <w:highlight w:val="none"/>
          <w:lang w:eastAsia="zh-CN"/>
        </w:rPr>
      </w:pPr>
    </w:p>
    <w:p w14:paraId="5682D479">
      <w:pPr>
        <w:pStyle w:val="191"/>
        <w:numPr>
          <w:ilvl w:val="0"/>
          <w:numId w:val="0"/>
        </w:numPr>
        <w:rPr>
          <w:rFonts w:hint="eastAsia"/>
          <w:highlight w:val="none"/>
        </w:rPr>
      </w:pPr>
    </w:p>
    <w:p w14:paraId="380667EE">
      <w:pPr>
        <w:ind w:firstLine="560"/>
        <w:rPr>
          <w:rFonts w:ascii="黑体" w:hAnsi="宋体" w:eastAsia="黑体"/>
          <w:bCs/>
          <w:color w:val="000000"/>
          <w:sz w:val="24"/>
          <w:szCs w:val="24"/>
          <w:highlight w:val="none"/>
        </w:rPr>
        <w:sectPr>
          <w:pgSz w:w="11906" w:h="16838"/>
          <w:pgMar w:top="1440" w:right="1078" w:bottom="1440" w:left="1168" w:header="851" w:footer="992" w:gutter="0"/>
          <w:cols w:space="1701" w:num="1"/>
          <w:docGrid w:linePitch="360" w:charSpace="0"/>
        </w:sectPr>
      </w:pPr>
    </w:p>
    <w:p w14:paraId="12957DFA">
      <w:pPr>
        <w:pStyle w:val="235"/>
        <w:ind w:firstLine="480"/>
        <w:rPr>
          <w:rFonts w:hint="eastAsia" w:ascii="黑体" w:hAnsi="宋体" w:eastAsia="黑体"/>
          <w:bCs/>
          <w:color w:val="000000"/>
          <w:sz w:val="24"/>
          <w:szCs w:val="24"/>
          <w:highlight w:val="none"/>
          <w:lang w:val="zh-CN"/>
        </w:rPr>
      </w:pPr>
      <w:r>
        <w:rPr>
          <w:rFonts w:ascii="黑体" w:hAnsi="宋体" w:eastAsia="黑体"/>
          <w:bCs/>
          <w:color w:val="000000"/>
          <w:sz w:val="24"/>
          <w:szCs w:val="24"/>
          <w:highlight w:val="none"/>
        </w:rPr>
        <w:t>3</w:t>
      </w: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zh-CN"/>
        </w:rPr>
        <w:t>项目技术要求偏离表</w:t>
      </w:r>
      <w:r>
        <w:rPr>
          <w:rFonts w:hint="eastAsia" w:ascii="黑体" w:hAnsi="宋体" w:eastAsia="黑体"/>
          <w:bCs/>
          <w:color w:val="000000"/>
          <w:sz w:val="24"/>
          <w:szCs w:val="24"/>
          <w:highlight w:val="none"/>
        </w:rPr>
        <w:t>（格式）：</w:t>
      </w:r>
    </w:p>
    <w:p w14:paraId="3164D300">
      <w:pPr>
        <w:tabs>
          <w:tab w:val="left" w:pos="255"/>
        </w:tabs>
        <w:spacing w:before="156" w:after="156" w:line="360" w:lineRule="auto"/>
        <w:jc w:val="center"/>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项目技术要求偏离表</w:t>
      </w:r>
    </w:p>
    <w:p w14:paraId="51084B94">
      <w:pPr>
        <w:pStyle w:val="236"/>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                         </w:t>
      </w:r>
    </w:p>
    <w:p w14:paraId="3298FCE9">
      <w:pPr>
        <w:pStyle w:val="236"/>
        <w:rPr>
          <w:rFonts w:ascii="宋体" w:hAnsi="宋体"/>
          <w:color w:val="000000"/>
          <w:sz w:val="24"/>
          <w:szCs w:val="21"/>
          <w:highlight w:val="none"/>
          <w:lang w:val="zh-CN"/>
        </w:rPr>
      </w:pPr>
      <w:r>
        <w:rPr>
          <w:rFonts w:hint="eastAsia" w:ascii="宋体" w:hAnsi="宋体"/>
          <w:color w:val="000000"/>
          <w:sz w:val="24"/>
          <w:szCs w:val="21"/>
          <w:highlight w:val="none"/>
          <w:lang w:val="zh-CN"/>
        </w:rPr>
        <w:t>项目编号：</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00E6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8F63E7A">
            <w:pPr>
              <w:tabs>
                <w:tab w:val="left" w:pos="255"/>
              </w:tabs>
              <w:spacing w:line="360" w:lineRule="auto"/>
              <w:jc w:val="center"/>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序号</w:t>
            </w:r>
          </w:p>
        </w:tc>
        <w:tc>
          <w:tcPr>
            <w:tcW w:w="1973" w:type="dxa"/>
            <w:noWrap w:val="0"/>
            <w:vAlign w:val="center"/>
          </w:tcPr>
          <w:p w14:paraId="4A5FA6CA">
            <w:pPr>
              <w:tabs>
                <w:tab w:val="left" w:pos="255"/>
              </w:tabs>
              <w:spacing w:line="360" w:lineRule="auto"/>
              <w:jc w:val="center"/>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项目名称</w:t>
            </w:r>
          </w:p>
        </w:tc>
        <w:tc>
          <w:tcPr>
            <w:tcW w:w="2315" w:type="dxa"/>
            <w:noWrap w:val="0"/>
            <w:vAlign w:val="center"/>
          </w:tcPr>
          <w:p w14:paraId="785C41BD">
            <w:pPr>
              <w:tabs>
                <w:tab w:val="left" w:pos="255"/>
              </w:tabs>
              <w:spacing w:line="360" w:lineRule="auto"/>
              <w:jc w:val="center"/>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采购内容</w:t>
            </w:r>
          </w:p>
        </w:tc>
        <w:tc>
          <w:tcPr>
            <w:tcW w:w="2327" w:type="dxa"/>
            <w:noWrap w:val="0"/>
            <w:vAlign w:val="center"/>
          </w:tcPr>
          <w:p w14:paraId="1638A20C">
            <w:pPr>
              <w:tabs>
                <w:tab w:val="left" w:pos="255"/>
              </w:tabs>
              <w:spacing w:line="360" w:lineRule="auto"/>
              <w:jc w:val="center"/>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报价内容</w:t>
            </w:r>
          </w:p>
        </w:tc>
        <w:tc>
          <w:tcPr>
            <w:tcW w:w="1969" w:type="dxa"/>
            <w:noWrap w:val="0"/>
            <w:vAlign w:val="center"/>
          </w:tcPr>
          <w:p w14:paraId="3FBFB5D3">
            <w:pPr>
              <w:tabs>
                <w:tab w:val="left" w:pos="255"/>
              </w:tabs>
              <w:spacing w:line="360" w:lineRule="auto"/>
              <w:jc w:val="center"/>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正偏离/负偏离</w:t>
            </w:r>
          </w:p>
        </w:tc>
      </w:tr>
      <w:tr w14:paraId="4D63E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A494615">
            <w:pPr>
              <w:tabs>
                <w:tab w:val="left" w:pos="255"/>
              </w:tabs>
              <w:spacing w:line="360" w:lineRule="auto"/>
              <w:ind w:left="420" w:firstLine="480"/>
              <w:rPr>
                <w:rFonts w:hint="eastAsia" w:ascii="宋体" w:hAnsi="宋体"/>
                <w:color w:val="000000"/>
                <w:sz w:val="24"/>
                <w:szCs w:val="21"/>
                <w:highlight w:val="none"/>
                <w:lang w:val="zh-CN"/>
              </w:rPr>
            </w:pPr>
          </w:p>
        </w:tc>
        <w:tc>
          <w:tcPr>
            <w:tcW w:w="1973" w:type="dxa"/>
            <w:noWrap w:val="0"/>
            <w:vAlign w:val="center"/>
          </w:tcPr>
          <w:p w14:paraId="10741278">
            <w:pPr>
              <w:tabs>
                <w:tab w:val="left" w:pos="255"/>
              </w:tabs>
              <w:spacing w:line="360" w:lineRule="auto"/>
              <w:ind w:left="420" w:firstLine="480"/>
              <w:rPr>
                <w:rFonts w:hint="eastAsia" w:ascii="宋体" w:hAnsi="宋体"/>
                <w:color w:val="000000"/>
                <w:sz w:val="24"/>
                <w:szCs w:val="21"/>
                <w:highlight w:val="none"/>
                <w:lang w:val="zh-CN"/>
              </w:rPr>
            </w:pPr>
          </w:p>
        </w:tc>
        <w:tc>
          <w:tcPr>
            <w:tcW w:w="2315" w:type="dxa"/>
            <w:noWrap w:val="0"/>
            <w:vAlign w:val="center"/>
          </w:tcPr>
          <w:p w14:paraId="2A636B2C">
            <w:pPr>
              <w:tabs>
                <w:tab w:val="left" w:pos="255"/>
              </w:tabs>
              <w:spacing w:line="360" w:lineRule="auto"/>
              <w:ind w:left="420" w:firstLine="480"/>
              <w:rPr>
                <w:rFonts w:hint="eastAsia" w:ascii="宋体" w:hAnsi="宋体"/>
                <w:color w:val="000000"/>
                <w:sz w:val="24"/>
                <w:szCs w:val="21"/>
                <w:highlight w:val="none"/>
                <w:lang w:val="zh-CN"/>
              </w:rPr>
            </w:pPr>
          </w:p>
        </w:tc>
        <w:tc>
          <w:tcPr>
            <w:tcW w:w="2327" w:type="dxa"/>
            <w:noWrap w:val="0"/>
            <w:vAlign w:val="center"/>
          </w:tcPr>
          <w:p w14:paraId="60A23A38">
            <w:pPr>
              <w:tabs>
                <w:tab w:val="left" w:pos="255"/>
              </w:tabs>
              <w:spacing w:line="360" w:lineRule="auto"/>
              <w:ind w:left="420" w:firstLine="480"/>
              <w:rPr>
                <w:rFonts w:hint="eastAsia" w:ascii="宋体" w:hAnsi="宋体"/>
                <w:color w:val="000000"/>
                <w:sz w:val="24"/>
                <w:szCs w:val="21"/>
                <w:highlight w:val="none"/>
                <w:lang w:val="zh-CN"/>
              </w:rPr>
            </w:pPr>
          </w:p>
        </w:tc>
        <w:tc>
          <w:tcPr>
            <w:tcW w:w="1969" w:type="dxa"/>
            <w:noWrap w:val="0"/>
            <w:vAlign w:val="center"/>
          </w:tcPr>
          <w:p w14:paraId="578322AA">
            <w:pPr>
              <w:tabs>
                <w:tab w:val="left" w:pos="255"/>
              </w:tabs>
              <w:spacing w:line="360" w:lineRule="auto"/>
              <w:ind w:left="420" w:firstLine="480"/>
              <w:rPr>
                <w:rFonts w:hint="eastAsia" w:ascii="宋体" w:hAnsi="宋体"/>
                <w:color w:val="000000"/>
                <w:sz w:val="24"/>
                <w:szCs w:val="21"/>
                <w:highlight w:val="none"/>
                <w:lang w:val="zh-CN"/>
              </w:rPr>
            </w:pPr>
          </w:p>
        </w:tc>
      </w:tr>
      <w:tr w14:paraId="40459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6493B12">
            <w:pPr>
              <w:tabs>
                <w:tab w:val="left" w:pos="255"/>
              </w:tabs>
              <w:spacing w:line="360" w:lineRule="auto"/>
              <w:ind w:left="420" w:firstLine="480"/>
              <w:rPr>
                <w:rFonts w:hint="eastAsia" w:ascii="宋体" w:hAnsi="宋体"/>
                <w:color w:val="000000"/>
                <w:sz w:val="24"/>
                <w:szCs w:val="21"/>
                <w:highlight w:val="none"/>
                <w:lang w:val="zh-CN"/>
              </w:rPr>
            </w:pPr>
          </w:p>
        </w:tc>
        <w:tc>
          <w:tcPr>
            <w:tcW w:w="1973" w:type="dxa"/>
            <w:noWrap w:val="0"/>
            <w:vAlign w:val="center"/>
          </w:tcPr>
          <w:p w14:paraId="5E53342F">
            <w:pPr>
              <w:tabs>
                <w:tab w:val="left" w:pos="255"/>
              </w:tabs>
              <w:spacing w:line="360" w:lineRule="auto"/>
              <w:ind w:left="420" w:firstLine="480"/>
              <w:rPr>
                <w:rFonts w:hint="eastAsia" w:ascii="宋体" w:hAnsi="宋体"/>
                <w:color w:val="000000"/>
                <w:sz w:val="24"/>
                <w:szCs w:val="21"/>
                <w:highlight w:val="none"/>
                <w:lang w:val="zh-CN"/>
              </w:rPr>
            </w:pPr>
          </w:p>
        </w:tc>
        <w:tc>
          <w:tcPr>
            <w:tcW w:w="2315" w:type="dxa"/>
            <w:noWrap w:val="0"/>
            <w:vAlign w:val="center"/>
          </w:tcPr>
          <w:p w14:paraId="4747183B">
            <w:pPr>
              <w:tabs>
                <w:tab w:val="left" w:pos="255"/>
              </w:tabs>
              <w:spacing w:line="360" w:lineRule="auto"/>
              <w:ind w:left="420" w:firstLine="480"/>
              <w:rPr>
                <w:rFonts w:hint="eastAsia" w:ascii="宋体" w:hAnsi="宋体"/>
                <w:color w:val="000000"/>
                <w:sz w:val="24"/>
                <w:szCs w:val="21"/>
                <w:highlight w:val="none"/>
                <w:lang w:val="zh-CN"/>
              </w:rPr>
            </w:pPr>
          </w:p>
        </w:tc>
        <w:tc>
          <w:tcPr>
            <w:tcW w:w="2327" w:type="dxa"/>
            <w:noWrap w:val="0"/>
            <w:vAlign w:val="center"/>
          </w:tcPr>
          <w:p w14:paraId="0A6497F0">
            <w:pPr>
              <w:tabs>
                <w:tab w:val="left" w:pos="255"/>
              </w:tabs>
              <w:spacing w:line="360" w:lineRule="auto"/>
              <w:ind w:left="420" w:firstLine="480"/>
              <w:rPr>
                <w:rFonts w:hint="eastAsia" w:ascii="宋体" w:hAnsi="宋体"/>
                <w:color w:val="000000"/>
                <w:sz w:val="24"/>
                <w:szCs w:val="21"/>
                <w:highlight w:val="none"/>
                <w:lang w:val="zh-CN"/>
              </w:rPr>
            </w:pPr>
          </w:p>
        </w:tc>
        <w:tc>
          <w:tcPr>
            <w:tcW w:w="1969" w:type="dxa"/>
            <w:noWrap w:val="0"/>
            <w:vAlign w:val="center"/>
          </w:tcPr>
          <w:p w14:paraId="4CACB857">
            <w:pPr>
              <w:tabs>
                <w:tab w:val="left" w:pos="255"/>
              </w:tabs>
              <w:spacing w:line="360" w:lineRule="auto"/>
              <w:ind w:left="420" w:firstLine="480"/>
              <w:rPr>
                <w:rFonts w:hint="eastAsia" w:ascii="宋体" w:hAnsi="宋体"/>
                <w:color w:val="000000"/>
                <w:sz w:val="24"/>
                <w:szCs w:val="21"/>
                <w:highlight w:val="none"/>
                <w:lang w:val="zh-CN"/>
              </w:rPr>
            </w:pPr>
          </w:p>
        </w:tc>
      </w:tr>
      <w:tr w14:paraId="3AC3B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743BA5E">
            <w:pPr>
              <w:tabs>
                <w:tab w:val="left" w:pos="255"/>
              </w:tabs>
              <w:spacing w:line="360" w:lineRule="auto"/>
              <w:ind w:left="420" w:firstLine="480"/>
              <w:rPr>
                <w:rFonts w:hint="eastAsia" w:ascii="宋体" w:hAnsi="宋体"/>
                <w:color w:val="000000"/>
                <w:sz w:val="24"/>
                <w:szCs w:val="21"/>
                <w:highlight w:val="none"/>
                <w:lang w:val="zh-CN"/>
              </w:rPr>
            </w:pPr>
          </w:p>
        </w:tc>
        <w:tc>
          <w:tcPr>
            <w:tcW w:w="1973" w:type="dxa"/>
            <w:noWrap w:val="0"/>
            <w:vAlign w:val="center"/>
          </w:tcPr>
          <w:p w14:paraId="691BE620">
            <w:pPr>
              <w:tabs>
                <w:tab w:val="left" w:pos="255"/>
              </w:tabs>
              <w:spacing w:line="360" w:lineRule="auto"/>
              <w:ind w:left="420" w:firstLine="480"/>
              <w:rPr>
                <w:rFonts w:hint="eastAsia" w:ascii="宋体" w:hAnsi="宋体"/>
                <w:color w:val="000000"/>
                <w:sz w:val="24"/>
                <w:szCs w:val="21"/>
                <w:highlight w:val="none"/>
                <w:lang w:val="zh-CN"/>
              </w:rPr>
            </w:pPr>
          </w:p>
        </w:tc>
        <w:tc>
          <w:tcPr>
            <w:tcW w:w="2315" w:type="dxa"/>
            <w:noWrap w:val="0"/>
            <w:vAlign w:val="center"/>
          </w:tcPr>
          <w:p w14:paraId="60B7562F">
            <w:pPr>
              <w:tabs>
                <w:tab w:val="left" w:pos="255"/>
              </w:tabs>
              <w:spacing w:line="360" w:lineRule="auto"/>
              <w:ind w:left="420" w:firstLine="480"/>
              <w:rPr>
                <w:rFonts w:hint="eastAsia" w:ascii="宋体" w:hAnsi="宋体"/>
                <w:color w:val="000000"/>
                <w:sz w:val="24"/>
                <w:szCs w:val="21"/>
                <w:highlight w:val="none"/>
                <w:lang w:val="zh-CN"/>
              </w:rPr>
            </w:pPr>
          </w:p>
        </w:tc>
        <w:tc>
          <w:tcPr>
            <w:tcW w:w="2327" w:type="dxa"/>
            <w:noWrap w:val="0"/>
            <w:vAlign w:val="center"/>
          </w:tcPr>
          <w:p w14:paraId="1384C91B">
            <w:pPr>
              <w:tabs>
                <w:tab w:val="left" w:pos="255"/>
              </w:tabs>
              <w:spacing w:line="360" w:lineRule="auto"/>
              <w:ind w:left="420" w:firstLine="480"/>
              <w:rPr>
                <w:rFonts w:hint="eastAsia" w:ascii="宋体" w:hAnsi="宋体"/>
                <w:color w:val="000000"/>
                <w:sz w:val="24"/>
                <w:szCs w:val="21"/>
                <w:highlight w:val="none"/>
                <w:lang w:val="zh-CN"/>
              </w:rPr>
            </w:pPr>
          </w:p>
        </w:tc>
        <w:tc>
          <w:tcPr>
            <w:tcW w:w="1969" w:type="dxa"/>
            <w:noWrap w:val="0"/>
            <w:vAlign w:val="center"/>
          </w:tcPr>
          <w:p w14:paraId="2605B400">
            <w:pPr>
              <w:tabs>
                <w:tab w:val="left" w:pos="255"/>
              </w:tabs>
              <w:spacing w:line="360" w:lineRule="auto"/>
              <w:ind w:left="420" w:firstLine="480"/>
              <w:rPr>
                <w:rFonts w:hint="eastAsia" w:ascii="宋体" w:hAnsi="宋体"/>
                <w:color w:val="000000"/>
                <w:sz w:val="24"/>
                <w:szCs w:val="21"/>
                <w:highlight w:val="none"/>
                <w:lang w:val="zh-CN"/>
              </w:rPr>
            </w:pPr>
          </w:p>
        </w:tc>
      </w:tr>
      <w:tr w14:paraId="137FD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FCE0C4C">
            <w:pPr>
              <w:tabs>
                <w:tab w:val="left" w:pos="255"/>
              </w:tabs>
              <w:spacing w:line="360" w:lineRule="auto"/>
              <w:ind w:left="420" w:firstLine="480"/>
              <w:rPr>
                <w:rFonts w:hint="eastAsia" w:ascii="宋体" w:hAnsi="宋体"/>
                <w:color w:val="000000"/>
                <w:sz w:val="24"/>
                <w:szCs w:val="21"/>
                <w:highlight w:val="none"/>
                <w:lang w:val="zh-CN"/>
              </w:rPr>
            </w:pPr>
          </w:p>
        </w:tc>
        <w:tc>
          <w:tcPr>
            <w:tcW w:w="1973" w:type="dxa"/>
            <w:noWrap w:val="0"/>
            <w:vAlign w:val="center"/>
          </w:tcPr>
          <w:p w14:paraId="159FA203">
            <w:pPr>
              <w:tabs>
                <w:tab w:val="left" w:pos="255"/>
              </w:tabs>
              <w:spacing w:line="360" w:lineRule="auto"/>
              <w:ind w:left="420" w:firstLine="480"/>
              <w:rPr>
                <w:rFonts w:hint="eastAsia" w:ascii="宋体" w:hAnsi="宋体"/>
                <w:color w:val="000000"/>
                <w:sz w:val="24"/>
                <w:szCs w:val="21"/>
                <w:highlight w:val="none"/>
                <w:lang w:val="zh-CN"/>
              </w:rPr>
            </w:pPr>
          </w:p>
        </w:tc>
        <w:tc>
          <w:tcPr>
            <w:tcW w:w="2315" w:type="dxa"/>
            <w:noWrap w:val="0"/>
            <w:vAlign w:val="center"/>
          </w:tcPr>
          <w:p w14:paraId="704539DA">
            <w:pPr>
              <w:tabs>
                <w:tab w:val="left" w:pos="255"/>
              </w:tabs>
              <w:spacing w:line="360" w:lineRule="auto"/>
              <w:ind w:left="420" w:firstLine="480"/>
              <w:rPr>
                <w:rFonts w:hint="eastAsia" w:ascii="宋体" w:hAnsi="宋体"/>
                <w:color w:val="000000"/>
                <w:sz w:val="24"/>
                <w:szCs w:val="21"/>
                <w:highlight w:val="none"/>
                <w:lang w:val="zh-CN"/>
              </w:rPr>
            </w:pPr>
          </w:p>
        </w:tc>
        <w:tc>
          <w:tcPr>
            <w:tcW w:w="2327" w:type="dxa"/>
            <w:noWrap w:val="0"/>
            <w:vAlign w:val="center"/>
          </w:tcPr>
          <w:p w14:paraId="766A8BBF">
            <w:pPr>
              <w:tabs>
                <w:tab w:val="left" w:pos="255"/>
              </w:tabs>
              <w:spacing w:line="360" w:lineRule="auto"/>
              <w:ind w:left="420" w:firstLine="480"/>
              <w:rPr>
                <w:rFonts w:hint="eastAsia" w:ascii="宋体" w:hAnsi="宋体"/>
                <w:color w:val="000000"/>
                <w:sz w:val="24"/>
                <w:szCs w:val="21"/>
                <w:highlight w:val="none"/>
                <w:lang w:val="zh-CN"/>
              </w:rPr>
            </w:pPr>
          </w:p>
        </w:tc>
        <w:tc>
          <w:tcPr>
            <w:tcW w:w="1969" w:type="dxa"/>
            <w:noWrap w:val="0"/>
            <w:vAlign w:val="center"/>
          </w:tcPr>
          <w:p w14:paraId="1F42F28B">
            <w:pPr>
              <w:tabs>
                <w:tab w:val="left" w:pos="255"/>
              </w:tabs>
              <w:spacing w:line="360" w:lineRule="auto"/>
              <w:ind w:left="420" w:firstLine="480"/>
              <w:rPr>
                <w:rFonts w:hint="eastAsia" w:ascii="宋体" w:hAnsi="宋体"/>
                <w:color w:val="000000"/>
                <w:sz w:val="24"/>
                <w:szCs w:val="21"/>
                <w:highlight w:val="none"/>
                <w:lang w:val="zh-CN"/>
              </w:rPr>
            </w:pPr>
          </w:p>
        </w:tc>
      </w:tr>
      <w:tr w14:paraId="2EF23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CD8DAAD">
            <w:pPr>
              <w:tabs>
                <w:tab w:val="left" w:pos="255"/>
              </w:tabs>
              <w:spacing w:line="360" w:lineRule="auto"/>
              <w:ind w:left="420" w:firstLine="480"/>
              <w:rPr>
                <w:rFonts w:hint="eastAsia" w:ascii="宋体" w:hAnsi="宋体"/>
                <w:color w:val="000000"/>
                <w:sz w:val="24"/>
                <w:szCs w:val="21"/>
                <w:highlight w:val="none"/>
                <w:lang w:val="zh-CN"/>
              </w:rPr>
            </w:pPr>
          </w:p>
        </w:tc>
        <w:tc>
          <w:tcPr>
            <w:tcW w:w="1973" w:type="dxa"/>
            <w:noWrap w:val="0"/>
            <w:vAlign w:val="center"/>
          </w:tcPr>
          <w:p w14:paraId="7D6E43A2">
            <w:pPr>
              <w:tabs>
                <w:tab w:val="left" w:pos="255"/>
              </w:tabs>
              <w:spacing w:line="360" w:lineRule="auto"/>
              <w:ind w:left="420" w:firstLine="480"/>
              <w:rPr>
                <w:rFonts w:hint="eastAsia" w:ascii="宋体" w:hAnsi="宋体"/>
                <w:color w:val="000000"/>
                <w:sz w:val="24"/>
                <w:szCs w:val="21"/>
                <w:highlight w:val="none"/>
                <w:lang w:val="zh-CN"/>
              </w:rPr>
            </w:pPr>
          </w:p>
        </w:tc>
        <w:tc>
          <w:tcPr>
            <w:tcW w:w="2315" w:type="dxa"/>
            <w:noWrap w:val="0"/>
            <w:vAlign w:val="center"/>
          </w:tcPr>
          <w:p w14:paraId="44A57DAF">
            <w:pPr>
              <w:tabs>
                <w:tab w:val="left" w:pos="255"/>
              </w:tabs>
              <w:spacing w:line="360" w:lineRule="auto"/>
              <w:ind w:left="420" w:firstLine="480"/>
              <w:rPr>
                <w:rFonts w:hint="eastAsia" w:ascii="宋体" w:hAnsi="宋体"/>
                <w:color w:val="000000"/>
                <w:sz w:val="24"/>
                <w:szCs w:val="21"/>
                <w:highlight w:val="none"/>
                <w:lang w:val="zh-CN"/>
              </w:rPr>
            </w:pPr>
          </w:p>
        </w:tc>
        <w:tc>
          <w:tcPr>
            <w:tcW w:w="2327" w:type="dxa"/>
            <w:noWrap w:val="0"/>
            <w:vAlign w:val="center"/>
          </w:tcPr>
          <w:p w14:paraId="389739A2">
            <w:pPr>
              <w:tabs>
                <w:tab w:val="left" w:pos="255"/>
              </w:tabs>
              <w:spacing w:line="360" w:lineRule="auto"/>
              <w:ind w:left="420" w:firstLine="480"/>
              <w:rPr>
                <w:rFonts w:hint="eastAsia" w:ascii="宋体" w:hAnsi="宋体"/>
                <w:color w:val="000000"/>
                <w:sz w:val="24"/>
                <w:szCs w:val="21"/>
                <w:highlight w:val="none"/>
                <w:lang w:val="zh-CN"/>
              </w:rPr>
            </w:pPr>
          </w:p>
        </w:tc>
        <w:tc>
          <w:tcPr>
            <w:tcW w:w="1969" w:type="dxa"/>
            <w:noWrap w:val="0"/>
            <w:vAlign w:val="center"/>
          </w:tcPr>
          <w:p w14:paraId="7BB10279">
            <w:pPr>
              <w:tabs>
                <w:tab w:val="left" w:pos="255"/>
              </w:tabs>
              <w:spacing w:line="360" w:lineRule="auto"/>
              <w:ind w:left="420" w:firstLine="480"/>
              <w:rPr>
                <w:rFonts w:hint="eastAsia" w:ascii="宋体" w:hAnsi="宋体"/>
                <w:color w:val="000000"/>
                <w:sz w:val="24"/>
                <w:szCs w:val="21"/>
                <w:highlight w:val="none"/>
                <w:lang w:val="zh-CN"/>
              </w:rPr>
            </w:pPr>
          </w:p>
        </w:tc>
      </w:tr>
    </w:tbl>
    <w:p w14:paraId="620F7945">
      <w:pPr>
        <w:rPr>
          <w:rFonts w:hint="eastAsia" w:ascii="黑体" w:hAnsi="宋体" w:eastAsia="黑体"/>
          <w:bCs/>
          <w:color w:val="000000"/>
          <w:sz w:val="28"/>
          <w:szCs w:val="28"/>
          <w:highlight w:val="none"/>
        </w:rPr>
      </w:pPr>
    </w:p>
    <w:p w14:paraId="41A25A46">
      <w:pPr>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p>
    <w:p w14:paraId="210B3C36">
      <w:pPr>
        <w:rPr>
          <w:rFonts w:hint="eastAsia" w:ascii="黑体" w:hAnsi="宋体" w:eastAsia="黑体"/>
          <w:bCs/>
          <w:color w:val="000000"/>
          <w:sz w:val="28"/>
          <w:szCs w:val="28"/>
          <w:highlight w:val="none"/>
        </w:rPr>
      </w:pPr>
    </w:p>
    <w:p w14:paraId="6CC2DBFC">
      <w:pPr>
        <w:spacing w:line="360" w:lineRule="auto"/>
        <w:ind w:left="420"/>
        <w:rPr>
          <w:rFonts w:hint="eastAsia" w:ascii="宋体" w:hAnsi="宋体"/>
          <w:bCs/>
          <w:color w:val="000000"/>
          <w:szCs w:val="21"/>
          <w:highlight w:val="none"/>
          <w:lang w:val="zh-CN"/>
        </w:rPr>
      </w:pPr>
      <w:r>
        <w:rPr>
          <w:rFonts w:hint="eastAsia" w:ascii="宋体" w:hAnsi="宋体"/>
          <w:bCs/>
          <w:color w:val="000000"/>
          <w:szCs w:val="21"/>
          <w:highlight w:val="none"/>
          <w:lang w:val="zh-CN"/>
        </w:rPr>
        <w:t>注：（</w:t>
      </w:r>
      <w:r>
        <w:rPr>
          <w:rFonts w:hint="eastAsia" w:ascii="宋体" w:hAnsi="宋体"/>
          <w:bCs/>
          <w:color w:val="000000"/>
          <w:szCs w:val="21"/>
          <w:highlight w:val="none"/>
        </w:rPr>
        <w:t>1</w:t>
      </w:r>
      <w:r>
        <w:rPr>
          <w:rFonts w:hint="eastAsia" w:ascii="宋体" w:hAnsi="宋体"/>
          <w:bCs/>
          <w:color w:val="000000"/>
          <w:szCs w:val="21"/>
          <w:highlight w:val="none"/>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7B4FA302">
      <w:pPr>
        <w:spacing w:line="360" w:lineRule="auto"/>
        <w:ind w:left="420" w:firstLine="420"/>
        <w:rPr>
          <w:rFonts w:hint="eastAsia" w:ascii="宋体" w:hAnsi="宋体"/>
          <w:bCs/>
          <w:color w:val="000000"/>
          <w:szCs w:val="21"/>
          <w:highlight w:val="none"/>
          <w:lang w:val="zh-CN"/>
        </w:rPr>
      </w:pPr>
      <w:r>
        <w:rPr>
          <w:rFonts w:hint="eastAsia" w:ascii="宋体" w:hAnsi="宋体"/>
          <w:bCs/>
          <w:color w:val="000000"/>
          <w:szCs w:val="21"/>
          <w:highlight w:val="none"/>
        </w:rPr>
        <w:t>（2）招标文件第三章“项目技术要求和有关说明”中若有要求提供相关证明材料的，</w:t>
      </w:r>
      <w:r>
        <w:rPr>
          <w:rFonts w:hint="eastAsia" w:ascii="宋体" w:hAnsi="宋体"/>
          <w:bCs/>
          <w:color w:val="000000"/>
          <w:szCs w:val="21"/>
          <w:highlight w:val="none"/>
          <w:lang w:val="zh-CN"/>
        </w:rPr>
        <w:t>请在本表后自行添加</w:t>
      </w:r>
      <w:r>
        <w:rPr>
          <w:rFonts w:hint="eastAsia" w:ascii="宋体" w:hAnsi="宋体"/>
          <w:bCs/>
          <w:color w:val="000000"/>
          <w:szCs w:val="21"/>
          <w:highlight w:val="none"/>
        </w:rPr>
        <w:t>。</w:t>
      </w:r>
    </w:p>
    <w:p w14:paraId="1695F982">
      <w:pPr>
        <w:rPr>
          <w:rFonts w:hint="eastAsia" w:ascii="黑体" w:hAnsi="宋体" w:eastAsia="黑体"/>
          <w:bCs/>
          <w:color w:val="000000"/>
          <w:sz w:val="28"/>
          <w:szCs w:val="28"/>
          <w:highlight w:val="none"/>
        </w:rPr>
      </w:pPr>
    </w:p>
    <w:p w14:paraId="4EF01329">
      <w:pPr>
        <w:rPr>
          <w:rFonts w:hint="eastAsia" w:ascii="黑体" w:hAnsi="宋体" w:eastAsia="黑体"/>
          <w:bCs/>
          <w:color w:val="000000"/>
          <w:sz w:val="28"/>
          <w:szCs w:val="28"/>
          <w:highlight w:val="none"/>
        </w:rPr>
      </w:pPr>
    </w:p>
    <w:p w14:paraId="0BCE51A1">
      <w:pPr>
        <w:tabs>
          <w:tab w:val="left" w:pos="255"/>
        </w:tabs>
        <w:spacing w:line="360" w:lineRule="auto"/>
        <w:jc w:val="left"/>
        <w:rPr>
          <w:rFonts w:hint="eastAsia" w:ascii="宋体" w:hAnsi="宋体"/>
          <w:color w:val="000000"/>
          <w:sz w:val="24"/>
          <w:szCs w:val="21"/>
          <w:highlight w:val="none"/>
          <w:lang w:val="zh-CN"/>
        </w:rPr>
      </w:pPr>
    </w:p>
    <w:p w14:paraId="23934924">
      <w:pPr>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br w:type="page" w:clear="all"/>
      </w:r>
    </w:p>
    <w:p w14:paraId="540D9A42">
      <w:pPr>
        <w:spacing w:after="156"/>
        <w:rPr>
          <w:rFonts w:hint="eastAsia" w:ascii="黑体" w:hAnsi="宋体" w:eastAsia="黑体" w:cs="Times New Roman"/>
          <w:bCs/>
          <w:color w:val="000000"/>
          <w:sz w:val="28"/>
          <w:szCs w:val="28"/>
          <w:highlight w:val="none"/>
          <w:lang w:eastAsia="zh-CN"/>
        </w:rPr>
      </w:pPr>
      <w:r>
        <w:rPr>
          <w:rFonts w:hint="eastAsia" w:ascii="黑体" w:hAnsi="宋体" w:eastAsia="黑体" w:cs="Times New Roman"/>
          <w:bCs/>
          <w:color w:val="000000"/>
          <w:sz w:val="28"/>
          <w:szCs w:val="28"/>
          <w:highlight w:val="none"/>
        </w:rPr>
        <w:t>（四）</w:t>
      </w:r>
      <w:r>
        <w:rPr>
          <w:rFonts w:hint="eastAsia" w:ascii="黑体" w:hAnsi="宋体" w:eastAsia="黑体" w:cs="Times New Roman"/>
          <w:bCs/>
          <w:color w:val="000000"/>
          <w:sz w:val="28"/>
          <w:szCs w:val="28"/>
          <w:highlight w:val="none"/>
          <w:lang w:val="en-US" w:eastAsia="zh-CN"/>
        </w:rPr>
        <w:t>价格</w:t>
      </w:r>
      <w:r>
        <w:rPr>
          <w:rFonts w:hint="eastAsia" w:ascii="黑体" w:hAnsi="宋体" w:eastAsia="黑体" w:cs="Times New Roman"/>
          <w:bCs/>
          <w:color w:val="000000"/>
          <w:sz w:val="28"/>
          <w:szCs w:val="28"/>
          <w:highlight w:val="none"/>
        </w:rPr>
        <w:t>折扣</w:t>
      </w:r>
      <w:bookmarkStart w:id="140" w:name="_Hlk131928636"/>
      <w:r>
        <w:rPr>
          <w:rFonts w:hint="eastAsia" w:ascii="黑体" w:hAnsi="宋体" w:eastAsia="黑体" w:cs="Times New Roman"/>
          <w:bCs/>
          <w:color w:val="000000"/>
          <w:sz w:val="28"/>
          <w:szCs w:val="28"/>
          <w:highlight w:val="none"/>
          <w:lang w:val="en-US" w:eastAsia="zh-CN"/>
        </w:rPr>
        <w:t>文件</w:t>
      </w:r>
    </w:p>
    <w:p w14:paraId="2A83C81E">
      <w:pPr>
        <w:spacing w:line="360" w:lineRule="auto"/>
        <w:ind w:firstLine="480"/>
        <w:jc w:val="left"/>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t>1</w:t>
      </w:r>
      <w:r>
        <w:rPr>
          <w:rFonts w:ascii="黑体" w:hAnsi="宋体" w:eastAsia="黑体"/>
          <w:bCs/>
          <w:color w:val="000000"/>
          <w:sz w:val="24"/>
          <w:szCs w:val="24"/>
          <w:highlight w:val="none"/>
          <w:lang w:val="zh-CN"/>
        </w:rPr>
        <w:t>.</w:t>
      </w:r>
      <w:r>
        <w:rPr>
          <w:rFonts w:hint="eastAsia" w:ascii="黑体" w:hAnsi="宋体" w:eastAsia="黑体"/>
          <w:bCs/>
          <w:color w:val="000000"/>
          <w:sz w:val="24"/>
          <w:szCs w:val="24"/>
          <w:highlight w:val="none"/>
          <w:lang w:val="zh-CN"/>
        </w:rPr>
        <w:t xml:space="preserve"> 企业报价折扣证明（格式）</w:t>
      </w:r>
    </w:p>
    <w:p w14:paraId="424584E0">
      <w:pPr>
        <w:tabs>
          <w:tab w:val="left" w:pos="255"/>
        </w:tabs>
        <w:spacing w:line="360" w:lineRule="auto"/>
        <w:ind w:left="420" w:firstLine="560"/>
        <w:jc w:val="center"/>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企业报价折扣证明</w:t>
      </w:r>
    </w:p>
    <w:tbl>
      <w:tblPr>
        <w:tblStyle w:val="33"/>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1465"/>
        <w:gridCol w:w="2477"/>
        <w:gridCol w:w="4317"/>
      </w:tblGrid>
      <w:tr w14:paraId="24230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jc w:val="center"/>
        </w:trPr>
        <w:tc>
          <w:tcPr>
            <w:tcW w:w="819" w:type="dxa"/>
            <w:noWrap w:val="0"/>
            <w:vAlign w:val="center"/>
          </w:tcPr>
          <w:p w14:paraId="63913068">
            <w:pPr>
              <w:spacing w:line="24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465" w:type="dxa"/>
            <w:noWrap w:val="0"/>
            <w:vAlign w:val="center"/>
          </w:tcPr>
          <w:p w14:paraId="003FEEAC">
            <w:pPr>
              <w:spacing w:line="24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企业（产品）性质</w:t>
            </w:r>
          </w:p>
        </w:tc>
        <w:tc>
          <w:tcPr>
            <w:tcW w:w="2477" w:type="dxa"/>
            <w:noWrap w:val="0"/>
            <w:vAlign w:val="center"/>
          </w:tcPr>
          <w:p w14:paraId="1B0EBB86">
            <w:pPr>
              <w:spacing w:line="24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投标产品类别</w:t>
            </w:r>
          </w:p>
        </w:tc>
        <w:tc>
          <w:tcPr>
            <w:tcW w:w="4317" w:type="dxa"/>
            <w:noWrap w:val="0"/>
            <w:vAlign w:val="center"/>
          </w:tcPr>
          <w:p w14:paraId="7A8472F7">
            <w:pPr>
              <w:spacing w:line="24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须提交的证明材料</w:t>
            </w:r>
          </w:p>
        </w:tc>
      </w:tr>
      <w:tr w14:paraId="2FB0A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jc w:val="center"/>
        </w:trPr>
        <w:tc>
          <w:tcPr>
            <w:tcW w:w="819" w:type="dxa"/>
            <w:noWrap w:val="0"/>
            <w:vAlign w:val="center"/>
          </w:tcPr>
          <w:p w14:paraId="0B4DF847">
            <w:pPr>
              <w:spacing w:line="240" w:lineRule="auto"/>
              <w:jc w:val="center"/>
              <w:rPr>
                <w:rFonts w:hint="eastAsia" w:ascii="宋体" w:hAnsi="宋体" w:cs="宋体"/>
                <w:bCs/>
                <w:color w:val="auto"/>
                <w:szCs w:val="21"/>
                <w:highlight w:val="none"/>
              </w:rPr>
            </w:pPr>
            <w:r>
              <w:rPr>
                <w:rFonts w:ascii="宋体" w:hAnsi="宋体" w:cs="宋体"/>
                <w:bCs/>
                <w:color w:val="auto"/>
                <w:szCs w:val="21"/>
                <w:highlight w:val="none"/>
              </w:rPr>
              <w:t>1</w:t>
            </w:r>
          </w:p>
        </w:tc>
        <w:tc>
          <w:tcPr>
            <w:tcW w:w="1465" w:type="dxa"/>
            <w:noWrap w:val="0"/>
            <w:vAlign w:val="center"/>
          </w:tcPr>
          <w:p w14:paraId="60FF504D">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节能</w:t>
            </w:r>
          </w:p>
        </w:tc>
        <w:tc>
          <w:tcPr>
            <w:tcW w:w="2477" w:type="dxa"/>
            <w:noWrap w:val="0"/>
            <w:vAlign w:val="center"/>
          </w:tcPr>
          <w:p w14:paraId="7E60670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强制采购节能产品</w:t>
            </w:r>
          </w:p>
        </w:tc>
        <w:tc>
          <w:tcPr>
            <w:tcW w:w="4317" w:type="dxa"/>
            <w:noWrap w:val="0"/>
            <w:vAlign w:val="center"/>
          </w:tcPr>
          <w:p w14:paraId="33B2E239">
            <w:pPr>
              <w:spacing w:line="24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由国家确定的认证机构出具的、处于有效期之内的节能产品认证证书</w:t>
            </w:r>
          </w:p>
        </w:tc>
      </w:tr>
      <w:tr w14:paraId="50321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19" w:type="dxa"/>
            <w:noWrap w:val="0"/>
            <w:vAlign w:val="center"/>
          </w:tcPr>
          <w:p w14:paraId="7B798BC5">
            <w:pPr>
              <w:spacing w:line="240" w:lineRule="auto"/>
              <w:jc w:val="center"/>
              <w:rPr>
                <w:rFonts w:hint="eastAsia" w:ascii="宋体" w:hAnsi="宋体" w:cs="宋体"/>
                <w:bCs/>
                <w:color w:val="auto"/>
                <w:szCs w:val="21"/>
                <w:highlight w:val="none"/>
              </w:rPr>
            </w:pPr>
            <w:r>
              <w:rPr>
                <w:rFonts w:ascii="宋体" w:hAnsi="宋体" w:cs="宋体"/>
                <w:bCs/>
                <w:color w:val="auto"/>
                <w:szCs w:val="21"/>
                <w:highlight w:val="none"/>
              </w:rPr>
              <w:t>2</w:t>
            </w:r>
          </w:p>
        </w:tc>
        <w:tc>
          <w:tcPr>
            <w:tcW w:w="1465" w:type="dxa"/>
            <w:noWrap w:val="0"/>
            <w:vAlign w:val="center"/>
          </w:tcPr>
          <w:p w14:paraId="4E5379B4">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信息安全</w:t>
            </w:r>
          </w:p>
        </w:tc>
        <w:tc>
          <w:tcPr>
            <w:tcW w:w="2477" w:type="dxa"/>
            <w:noWrap w:val="0"/>
            <w:vAlign w:val="center"/>
          </w:tcPr>
          <w:p w14:paraId="78631CFA">
            <w:pPr>
              <w:spacing w:line="24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强制采购</w:t>
            </w:r>
            <w:r>
              <w:rPr>
                <w:rFonts w:hint="eastAsia" w:ascii="宋体" w:hAnsi="宋体" w:cs="宋体"/>
                <w:color w:val="auto"/>
                <w:szCs w:val="21"/>
                <w:highlight w:val="none"/>
                <w:lang w:val="zh-CN"/>
              </w:rPr>
              <w:t>信息安全产品</w:t>
            </w:r>
          </w:p>
        </w:tc>
        <w:tc>
          <w:tcPr>
            <w:tcW w:w="4317" w:type="dxa"/>
            <w:noWrap w:val="0"/>
            <w:vAlign w:val="center"/>
          </w:tcPr>
          <w:p w14:paraId="01FC9732">
            <w:pPr>
              <w:spacing w:line="24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由具备资格的机构安全认证合格或者安全检测符合要求的证明材料</w:t>
            </w:r>
          </w:p>
        </w:tc>
      </w:tr>
      <w:tr w14:paraId="223C0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19" w:type="dxa"/>
            <w:noWrap w:val="0"/>
            <w:vAlign w:val="center"/>
          </w:tcPr>
          <w:p w14:paraId="163C40E3">
            <w:pPr>
              <w:spacing w:line="240" w:lineRule="auto"/>
              <w:jc w:val="center"/>
              <w:rPr>
                <w:rFonts w:hint="eastAsia" w:ascii="宋体" w:hAnsi="宋体" w:cs="宋体"/>
                <w:bCs/>
                <w:color w:val="auto"/>
                <w:szCs w:val="21"/>
                <w:highlight w:val="none"/>
              </w:rPr>
            </w:pPr>
            <w:r>
              <w:rPr>
                <w:rFonts w:ascii="宋体" w:hAnsi="宋体" w:cs="宋体"/>
                <w:color w:val="auto"/>
                <w:szCs w:val="21"/>
                <w:highlight w:val="none"/>
              </w:rPr>
              <w:t>3</w:t>
            </w:r>
          </w:p>
        </w:tc>
        <w:tc>
          <w:tcPr>
            <w:tcW w:w="1465" w:type="dxa"/>
            <w:noWrap w:val="0"/>
            <w:vAlign w:val="center"/>
          </w:tcPr>
          <w:p w14:paraId="0343DE27">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小微型</w:t>
            </w:r>
          </w:p>
          <w:p w14:paraId="65766B3F">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企业产品</w:t>
            </w:r>
          </w:p>
        </w:tc>
        <w:tc>
          <w:tcPr>
            <w:tcW w:w="2477" w:type="dxa"/>
            <w:noWrap w:val="0"/>
            <w:vAlign w:val="center"/>
          </w:tcPr>
          <w:p w14:paraId="3E20E9AB">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货物由小微企业制造</w:t>
            </w:r>
          </w:p>
        </w:tc>
        <w:tc>
          <w:tcPr>
            <w:tcW w:w="4317" w:type="dxa"/>
            <w:noWrap w:val="0"/>
            <w:vAlign w:val="center"/>
          </w:tcPr>
          <w:p w14:paraId="337CD25E">
            <w:pPr>
              <w:spacing w:line="240" w:lineRule="auto"/>
              <w:jc w:val="left"/>
              <w:rPr>
                <w:rFonts w:hint="eastAsia" w:ascii="宋体" w:hAnsi="宋体" w:cs="宋体"/>
                <w:bCs/>
                <w:color w:val="auto"/>
                <w:szCs w:val="21"/>
                <w:highlight w:val="none"/>
              </w:rPr>
            </w:pPr>
            <w:bookmarkStart w:id="141" w:name="OLE_LINK72"/>
            <w:r>
              <w:rPr>
                <w:rFonts w:hint="eastAsia" w:ascii="宋体" w:hAnsi="宋体" w:cs="宋体"/>
                <w:bCs/>
                <w:color w:val="auto"/>
                <w:szCs w:val="21"/>
                <w:highlight w:val="none"/>
              </w:rPr>
              <w:t>《中小企业声明函》</w:t>
            </w:r>
            <w:bookmarkEnd w:id="141"/>
            <w:bookmarkStart w:id="142" w:name="OLE_LINK65"/>
            <w:r>
              <w:rPr>
                <w:rFonts w:hint="eastAsia" w:ascii="宋体" w:hAnsi="宋体" w:cs="宋体"/>
                <w:bCs/>
                <w:color w:val="auto"/>
                <w:szCs w:val="21"/>
                <w:highlight w:val="none"/>
              </w:rPr>
              <w:t>（格式见附件1）</w:t>
            </w:r>
            <w:bookmarkEnd w:id="142"/>
          </w:p>
        </w:tc>
      </w:tr>
      <w:tr w14:paraId="1F2F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819" w:type="dxa"/>
            <w:noWrap w:val="0"/>
            <w:vAlign w:val="center"/>
          </w:tcPr>
          <w:p w14:paraId="57B6F1C5">
            <w:pPr>
              <w:spacing w:line="240" w:lineRule="auto"/>
              <w:jc w:val="center"/>
              <w:rPr>
                <w:rFonts w:hint="eastAsia" w:ascii="宋体" w:hAnsi="宋体" w:cs="宋体"/>
                <w:bCs/>
                <w:color w:val="auto"/>
                <w:szCs w:val="21"/>
                <w:highlight w:val="none"/>
              </w:rPr>
            </w:pPr>
            <w:r>
              <w:rPr>
                <w:rFonts w:ascii="宋体" w:hAnsi="宋体" w:cs="宋体"/>
                <w:bCs/>
                <w:color w:val="auto"/>
                <w:szCs w:val="21"/>
                <w:highlight w:val="none"/>
              </w:rPr>
              <w:t>4</w:t>
            </w:r>
          </w:p>
        </w:tc>
        <w:tc>
          <w:tcPr>
            <w:tcW w:w="1465" w:type="dxa"/>
            <w:noWrap w:val="0"/>
            <w:vAlign w:val="center"/>
          </w:tcPr>
          <w:p w14:paraId="4C77FCDC">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2477" w:type="dxa"/>
            <w:noWrap w:val="0"/>
            <w:vAlign w:val="center"/>
          </w:tcPr>
          <w:p w14:paraId="6C361690">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货物由残疾人福利性单位制造</w:t>
            </w:r>
          </w:p>
        </w:tc>
        <w:tc>
          <w:tcPr>
            <w:tcW w:w="4317" w:type="dxa"/>
            <w:noWrap w:val="0"/>
            <w:vAlign w:val="center"/>
          </w:tcPr>
          <w:p w14:paraId="566CA7E8">
            <w:pPr>
              <w:spacing w:line="240" w:lineRule="auto"/>
              <w:jc w:val="left"/>
              <w:rPr>
                <w:rFonts w:hint="eastAsia" w:ascii="宋体" w:hAnsi="宋体" w:cs="宋体"/>
                <w:bCs/>
                <w:color w:val="auto"/>
                <w:szCs w:val="21"/>
                <w:highlight w:val="none"/>
              </w:rPr>
            </w:pPr>
            <w:bookmarkStart w:id="143" w:name="OLE_LINK73"/>
            <w:r>
              <w:rPr>
                <w:rFonts w:hint="eastAsia" w:ascii="宋体" w:hAnsi="宋体" w:cs="宋体"/>
                <w:bCs/>
                <w:color w:val="auto"/>
                <w:szCs w:val="21"/>
                <w:highlight w:val="none"/>
              </w:rPr>
              <w:t>《残疾人福利性单位声明函》</w:t>
            </w:r>
            <w:bookmarkEnd w:id="143"/>
            <w:r>
              <w:rPr>
                <w:rFonts w:hint="eastAsia" w:ascii="宋体" w:hAnsi="宋体" w:cs="宋体"/>
                <w:bCs/>
                <w:color w:val="auto"/>
                <w:szCs w:val="21"/>
                <w:highlight w:val="none"/>
              </w:rPr>
              <w:t>（格式见附件2）</w:t>
            </w:r>
          </w:p>
        </w:tc>
      </w:tr>
      <w:tr w14:paraId="0A6E0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jc w:val="center"/>
        </w:trPr>
        <w:tc>
          <w:tcPr>
            <w:tcW w:w="819" w:type="dxa"/>
            <w:noWrap w:val="0"/>
            <w:vAlign w:val="center"/>
          </w:tcPr>
          <w:p w14:paraId="475108B0">
            <w:pPr>
              <w:spacing w:line="240" w:lineRule="auto"/>
              <w:jc w:val="center"/>
              <w:rPr>
                <w:rFonts w:hint="eastAsia" w:ascii="宋体" w:hAnsi="宋体" w:cs="宋体"/>
                <w:bCs/>
                <w:color w:val="auto"/>
                <w:szCs w:val="21"/>
                <w:highlight w:val="none"/>
              </w:rPr>
            </w:pPr>
            <w:r>
              <w:rPr>
                <w:rFonts w:ascii="宋体" w:hAnsi="宋体" w:cs="宋体"/>
                <w:bCs/>
                <w:color w:val="auto"/>
                <w:szCs w:val="21"/>
                <w:highlight w:val="none"/>
              </w:rPr>
              <w:t>5</w:t>
            </w:r>
          </w:p>
        </w:tc>
        <w:tc>
          <w:tcPr>
            <w:tcW w:w="1465" w:type="dxa"/>
            <w:noWrap w:val="0"/>
            <w:vAlign w:val="center"/>
          </w:tcPr>
          <w:p w14:paraId="53AD7692">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7F9EC429">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77" w:type="dxa"/>
            <w:noWrap w:val="0"/>
            <w:vAlign w:val="center"/>
          </w:tcPr>
          <w:p w14:paraId="30082973">
            <w:pPr>
              <w:spacing w:line="24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货物由监狱企业制造</w:t>
            </w:r>
          </w:p>
        </w:tc>
        <w:tc>
          <w:tcPr>
            <w:tcW w:w="4317" w:type="dxa"/>
            <w:noWrap w:val="0"/>
            <w:vAlign w:val="center"/>
          </w:tcPr>
          <w:p w14:paraId="4DA22AF4">
            <w:pPr>
              <w:spacing w:line="24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0CFB36A6">
      <w:pPr>
        <w:pStyle w:val="236"/>
        <w:rPr>
          <w:rFonts w:hint="eastAsia" w:ascii="宋体" w:hAnsi="宋体"/>
          <w:color w:val="000000"/>
          <w:sz w:val="24"/>
          <w:szCs w:val="21"/>
          <w:highlight w:val="none"/>
          <w:lang w:val="zh-CN"/>
        </w:rPr>
      </w:pPr>
    </w:p>
    <w:p w14:paraId="6D26E74E">
      <w:pPr>
        <w:spacing w:line="240" w:lineRule="atLeast"/>
        <w:jc w:val="left"/>
        <w:rPr>
          <w:rFonts w:hint="eastAsia" w:ascii="宋体" w:hAnsi="宋体" w:eastAsia="宋体" w:cs="宋体"/>
          <w:b/>
          <w:bCs/>
          <w:color w:val="000000"/>
          <w:szCs w:val="21"/>
          <w:highlight w:val="none"/>
          <w:lang w:val="zh-CN" w:eastAsia="zh-CN"/>
        </w:rPr>
      </w:pPr>
    </w:p>
    <w:p w14:paraId="1B0CDFD9">
      <w:pPr>
        <w:spacing w:line="240" w:lineRule="atLeast"/>
        <w:ind w:left="0" w:firstLine="422"/>
        <w:jc w:val="lef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注：</w:t>
      </w:r>
    </w:p>
    <w:p w14:paraId="5577371F">
      <w:pPr>
        <w:spacing w:line="240" w:lineRule="atLeast"/>
        <w:ind w:left="0" w:firstLine="422"/>
        <w:jc w:val="lef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1、投标人根据招标文件要求提供相关证明材料（如有），以提供的有效证明材料为准 。</w:t>
      </w:r>
    </w:p>
    <w:p w14:paraId="3528DDFD">
      <w:pPr>
        <w:spacing w:line="240" w:lineRule="atLeast"/>
        <w:ind w:left="0" w:firstLine="422"/>
        <w:jc w:val="lef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2、如本项目含有强制采购产品，必须提供相关证明材料，否则投标无效。</w:t>
      </w:r>
    </w:p>
    <w:p w14:paraId="42EF918E">
      <w:pPr>
        <w:spacing w:line="240" w:lineRule="atLeast"/>
        <w:ind w:left="0" w:firstLine="422"/>
        <w:jc w:val="lef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3、如本项目给予报价扣除优惠，须提供相关证明材料，否则不享受报价扣除优惠。</w:t>
      </w:r>
    </w:p>
    <w:p w14:paraId="1A25C3E2">
      <w:pPr>
        <w:spacing w:line="240" w:lineRule="atLeast"/>
        <w:ind w:left="0" w:firstLine="422"/>
        <w:jc w:val="lef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4、</w:t>
      </w:r>
      <w:r>
        <w:rPr>
          <w:rFonts w:hint="eastAsia" w:ascii="宋体" w:hAnsi="宋体" w:cs="宋体"/>
          <w:b/>
          <w:bCs/>
          <w:color w:val="000000"/>
          <w:szCs w:val="21"/>
          <w:highlight w:val="none"/>
          <w:lang w:val="zh-CN"/>
        </w:rPr>
        <w:t>相关证明材料请附在本表之后，若不享受政府采购政策优惠，附件</w:t>
      </w:r>
      <w:r>
        <w:rPr>
          <w:rFonts w:hint="eastAsia" w:ascii="宋体" w:hAnsi="宋体" w:cs="宋体"/>
          <w:b/>
          <w:bCs/>
          <w:color w:val="000000"/>
          <w:szCs w:val="21"/>
          <w:highlight w:val="none"/>
        </w:rPr>
        <w:t>1-附件</w:t>
      </w:r>
      <w:r>
        <w:rPr>
          <w:rFonts w:ascii="宋体" w:hAnsi="宋体" w:cs="宋体"/>
          <w:b/>
          <w:bCs/>
          <w:color w:val="000000"/>
          <w:szCs w:val="21"/>
          <w:highlight w:val="none"/>
        </w:rPr>
        <w:t>2</w:t>
      </w:r>
      <w:r>
        <w:rPr>
          <w:rFonts w:hint="eastAsia" w:ascii="宋体" w:hAnsi="宋体" w:cs="宋体"/>
          <w:b/>
          <w:bCs/>
          <w:color w:val="000000"/>
          <w:szCs w:val="21"/>
          <w:highlight w:val="none"/>
        </w:rPr>
        <w:t>可自行删除</w:t>
      </w:r>
      <w:r>
        <w:rPr>
          <w:rFonts w:hint="eastAsia" w:ascii="宋体" w:hAnsi="宋体" w:cs="宋体"/>
          <w:b/>
          <w:bCs/>
          <w:color w:val="000000"/>
          <w:szCs w:val="21"/>
          <w:highlight w:val="none"/>
          <w:lang w:val="zh-CN"/>
        </w:rPr>
        <w:t>；</w:t>
      </w:r>
    </w:p>
    <w:p w14:paraId="32504F15">
      <w:pPr>
        <w:ind w:firstLine="480"/>
        <w:jc w:val="left"/>
        <w:rPr>
          <w:rFonts w:ascii="黑体" w:hAnsi="宋体" w:eastAsia="黑体"/>
          <w:bCs/>
          <w:color w:val="000000"/>
          <w:sz w:val="24"/>
          <w:szCs w:val="24"/>
          <w:highlight w:val="none"/>
        </w:rPr>
      </w:pPr>
    </w:p>
    <w:p w14:paraId="35E8B686">
      <w:pPr>
        <w:pStyle w:val="235"/>
        <w:rPr>
          <w:color w:val="000000"/>
          <w:highlight w:val="none"/>
        </w:rPr>
      </w:pPr>
    </w:p>
    <w:p w14:paraId="0CF21EBA">
      <w:pPr>
        <w:pStyle w:val="236"/>
        <w:rPr>
          <w:color w:val="000000"/>
          <w:highlight w:val="none"/>
        </w:rPr>
      </w:pPr>
    </w:p>
    <w:p w14:paraId="249D08F9">
      <w:pPr>
        <w:pStyle w:val="236"/>
        <w:rPr>
          <w:color w:val="000000"/>
          <w:highlight w:val="none"/>
        </w:rPr>
      </w:pPr>
    </w:p>
    <w:p w14:paraId="27D5B837">
      <w:pPr>
        <w:pStyle w:val="236"/>
        <w:rPr>
          <w:color w:val="000000"/>
          <w:highlight w:val="none"/>
        </w:rPr>
      </w:pPr>
    </w:p>
    <w:p w14:paraId="5BE034FE">
      <w:pPr>
        <w:pStyle w:val="236"/>
        <w:rPr>
          <w:color w:val="000000"/>
          <w:highlight w:val="none"/>
        </w:rPr>
      </w:pPr>
    </w:p>
    <w:p w14:paraId="0DD6B49A">
      <w:pPr>
        <w:pStyle w:val="236"/>
        <w:rPr>
          <w:color w:val="000000"/>
          <w:highlight w:val="none"/>
        </w:rPr>
      </w:pPr>
    </w:p>
    <w:p w14:paraId="047F3FF9">
      <w:pPr>
        <w:pStyle w:val="236"/>
        <w:rPr>
          <w:color w:val="000000"/>
          <w:highlight w:val="none"/>
        </w:rPr>
      </w:pPr>
    </w:p>
    <w:p w14:paraId="54C8CE7F">
      <w:pPr>
        <w:pStyle w:val="236"/>
        <w:rPr>
          <w:color w:val="000000"/>
          <w:highlight w:val="none"/>
        </w:rPr>
      </w:pPr>
    </w:p>
    <w:p w14:paraId="035BB267">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p>
    <w:p w14:paraId="21F55D53">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附件1：中小企业声明函（格式）：</w:t>
      </w:r>
      <w:bookmarkEnd w:id="140"/>
    </w:p>
    <w:p w14:paraId="048E4A1F">
      <w:pPr>
        <w:jc w:val="center"/>
        <w:rPr>
          <w:rFonts w:hint="eastAsia" w:ascii="黑体" w:eastAsia="黑体"/>
          <w:bCs/>
          <w:color w:val="000000"/>
          <w:sz w:val="28"/>
          <w:szCs w:val="28"/>
          <w:highlight w:val="none"/>
        </w:rPr>
      </w:pPr>
    </w:p>
    <w:p w14:paraId="292E3C22">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中小企业声明函</w:t>
      </w:r>
    </w:p>
    <w:p w14:paraId="0DEF537C">
      <w:pPr>
        <w:jc w:val="center"/>
        <w:rPr>
          <w:rFonts w:hint="eastAsia" w:ascii="黑体" w:eastAsia="黑体"/>
          <w:bCs/>
          <w:color w:val="000000"/>
          <w:sz w:val="28"/>
          <w:szCs w:val="28"/>
          <w:highlight w:val="none"/>
        </w:rPr>
      </w:pPr>
    </w:p>
    <w:p w14:paraId="5FB19562">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本公司（联合体）郑重声明，根据《政府采购促进中小企业发展管理办法》（财库﹝2020﹞46 号）的规定，本公司（联合体）参加</w:t>
      </w:r>
      <w:r>
        <w:rPr>
          <w:rFonts w:hint="eastAsia" w:ascii="宋体" w:hAnsi="宋体"/>
          <w:bCs/>
          <w:color w:val="000000"/>
          <w:sz w:val="24"/>
          <w:szCs w:val="24"/>
          <w:highlight w:val="none"/>
          <w:u w:val="single"/>
        </w:rPr>
        <w:t>（单位名称）</w:t>
      </w:r>
      <w:r>
        <w:rPr>
          <w:rFonts w:hint="eastAsia" w:ascii="宋体" w:hAnsi="宋体"/>
          <w:bCs/>
          <w:color w:val="000000"/>
          <w:sz w:val="24"/>
          <w:szCs w:val="24"/>
          <w:highlight w:val="none"/>
        </w:rPr>
        <w:t>的</w:t>
      </w:r>
      <w:r>
        <w:rPr>
          <w:rFonts w:hint="eastAsia" w:ascii="宋体" w:hAnsi="宋体"/>
          <w:bCs/>
          <w:color w:val="000000"/>
          <w:sz w:val="24"/>
          <w:szCs w:val="24"/>
          <w:highlight w:val="none"/>
          <w:u w:val="single"/>
        </w:rPr>
        <w:t>（项目名称）</w:t>
      </w:r>
      <w:r>
        <w:rPr>
          <w:rFonts w:hint="eastAsia"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14:paraId="167C1C78">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u w:val="single"/>
        </w:rPr>
        <w:t>（标的名称）</w:t>
      </w:r>
      <w:r>
        <w:rPr>
          <w:rFonts w:hint="eastAsia" w:ascii="宋体" w:hAnsi="宋体"/>
          <w:bCs/>
          <w:color w:val="000000"/>
          <w:sz w:val="24"/>
          <w:szCs w:val="24"/>
          <w:highlight w:val="none"/>
        </w:rPr>
        <w:t>，属于</w:t>
      </w:r>
      <w:r>
        <w:rPr>
          <w:rFonts w:hint="eastAsia" w:ascii="宋体" w:hAnsi="宋体"/>
          <w:bCs/>
          <w:color w:val="000000"/>
          <w:sz w:val="24"/>
          <w:szCs w:val="24"/>
          <w:highlight w:val="none"/>
          <w:u w:val="single"/>
        </w:rPr>
        <w:t>（采购文件中明确的所属行业）</w:t>
      </w:r>
      <w:r>
        <w:rPr>
          <w:rFonts w:hint="eastAsia" w:ascii="宋体" w:hAnsi="宋体"/>
          <w:bCs/>
          <w:color w:val="000000"/>
          <w:sz w:val="24"/>
          <w:szCs w:val="24"/>
          <w:highlight w:val="none"/>
        </w:rPr>
        <w:t>；承接企业为</w:t>
      </w:r>
      <w:r>
        <w:rPr>
          <w:rFonts w:hint="eastAsia" w:ascii="宋体" w:hAnsi="宋体"/>
          <w:bCs/>
          <w:color w:val="000000"/>
          <w:sz w:val="24"/>
          <w:szCs w:val="24"/>
          <w:highlight w:val="none"/>
          <w:u w:val="single"/>
        </w:rPr>
        <w:t>（企业名称）</w:t>
      </w:r>
      <w:r>
        <w:rPr>
          <w:rFonts w:hint="eastAsia"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万元，属于</w:t>
      </w:r>
      <w:r>
        <w:rPr>
          <w:rFonts w:hint="eastAsia" w:ascii="宋体" w:hAnsi="宋体"/>
          <w:bCs/>
          <w:color w:val="000000"/>
          <w:sz w:val="24"/>
          <w:szCs w:val="24"/>
          <w:highlight w:val="none"/>
          <w:u w:val="single"/>
        </w:rPr>
        <w:t>（中型企业、小型企业、微型企业）</w:t>
      </w:r>
      <w:r>
        <w:rPr>
          <w:rFonts w:hint="eastAsia" w:ascii="宋体" w:hAnsi="宋体"/>
          <w:bCs/>
          <w:color w:val="000000"/>
          <w:sz w:val="24"/>
          <w:szCs w:val="24"/>
          <w:highlight w:val="none"/>
        </w:rPr>
        <w:t>；</w:t>
      </w:r>
    </w:p>
    <w:p w14:paraId="0E0FC097">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u w:val="single"/>
        </w:rPr>
        <w:t>（标的名称）</w:t>
      </w:r>
      <w:r>
        <w:rPr>
          <w:rFonts w:hint="eastAsia" w:ascii="宋体" w:hAnsi="宋体"/>
          <w:bCs/>
          <w:color w:val="000000"/>
          <w:sz w:val="24"/>
          <w:szCs w:val="24"/>
          <w:highlight w:val="none"/>
        </w:rPr>
        <w:t>，属于</w:t>
      </w:r>
      <w:r>
        <w:rPr>
          <w:rFonts w:hint="eastAsia" w:ascii="宋体" w:hAnsi="宋体"/>
          <w:bCs/>
          <w:color w:val="000000"/>
          <w:sz w:val="24"/>
          <w:szCs w:val="24"/>
          <w:highlight w:val="none"/>
          <w:u w:val="single"/>
        </w:rPr>
        <w:t>（采购文件中明确的所属行业）</w:t>
      </w:r>
      <w:r>
        <w:rPr>
          <w:rFonts w:hint="eastAsia" w:ascii="宋体" w:hAnsi="宋体"/>
          <w:bCs/>
          <w:color w:val="000000"/>
          <w:sz w:val="24"/>
          <w:szCs w:val="24"/>
          <w:highlight w:val="none"/>
        </w:rPr>
        <w:t>；承接企业为</w:t>
      </w:r>
      <w:r>
        <w:rPr>
          <w:rFonts w:hint="eastAsia" w:ascii="宋体" w:hAnsi="宋体"/>
          <w:bCs/>
          <w:color w:val="000000"/>
          <w:sz w:val="24"/>
          <w:szCs w:val="24"/>
          <w:highlight w:val="none"/>
          <w:u w:val="single"/>
        </w:rPr>
        <w:t>（企业名称）</w:t>
      </w:r>
      <w:r>
        <w:rPr>
          <w:rFonts w:hint="eastAsia"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万元，属于</w:t>
      </w:r>
      <w:r>
        <w:rPr>
          <w:rFonts w:hint="eastAsia" w:ascii="宋体" w:hAnsi="宋体"/>
          <w:bCs/>
          <w:color w:val="000000"/>
          <w:sz w:val="24"/>
          <w:szCs w:val="24"/>
          <w:highlight w:val="none"/>
          <w:u w:val="single"/>
        </w:rPr>
        <w:t>（中型企业、小型企业、微型企业）</w:t>
      </w:r>
      <w:r>
        <w:rPr>
          <w:rFonts w:hint="eastAsia" w:ascii="宋体" w:hAnsi="宋体"/>
          <w:bCs/>
          <w:color w:val="000000"/>
          <w:sz w:val="24"/>
          <w:szCs w:val="24"/>
          <w:highlight w:val="none"/>
        </w:rPr>
        <w:t>；</w:t>
      </w:r>
    </w:p>
    <w:p w14:paraId="79EDE867">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p>
    <w:p w14:paraId="7C194324">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以上企业，不属于大企业的分支机构，不存在控股股东为大企业的情形，也不存在与大企业的负责人为同一人的情形。</w:t>
      </w:r>
    </w:p>
    <w:p w14:paraId="00A17026">
      <w:pPr>
        <w:spacing w:line="580" w:lineRule="exact"/>
        <w:ind w:left="5680" w:right="960" w:hanging="5260"/>
        <w:rPr>
          <w:rFonts w:ascii="宋体" w:hAnsi="宋体"/>
          <w:bCs/>
          <w:color w:val="000000"/>
          <w:sz w:val="24"/>
          <w:szCs w:val="24"/>
          <w:highlight w:val="none"/>
        </w:rPr>
      </w:pPr>
      <w:r>
        <w:rPr>
          <w:rFonts w:hint="eastAsia" w:ascii="宋体" w:hAnsi="宋体"/>
          <w:bCs/>
          <w:color w:val="000000"/>
          <w:sz w:val="24"/>
          <w:szCs w:val="24"/>
          <w:highlight w:val="none"/>
        </w:rPr>
        <w:t>本企业对上述声明内容的真实性负责。如有虚假，将依法承担相应责任。</w:t>
      </w:r>
      <w:r>
        <w:rPr>
          <w:rFonts w:hint="eastAsia" w:ascii="宋体" w:hAnsi="宋体"/>
          <w:bCs/>
          <w:color w:val="000000"/>
          <w:sz w:val="24"/>
          <w:highlight w:val="none"/>
        </w:rPr>
        <w:t xml:space="preserve">                     </w:t>
      </w:r>
      <w:r>
        <w:rPr>
          <w:rFonts w:hint="eastAsia"/>
          <w:color w:val="000000"/>
          <w:sz w:val="24"/>
          <w:szCs w:val="24"/>
          <w:highlight w:val="none"/>
        </w:rPr>
        <w:t>投标人</w:t>
      </w:r>
      <w:r>
        <w:rPr>
          <w:color w:val="000000"/>
          <w:sz w:val="24"/>
          <w:szCs w:val="24"/>
          <w:highlight w:val="none"/>
        </w:rPr>
        <w:t>（电子签章）：</w:t>
      </w:r>
    </w:p>
    <w:p w14:paraId="1149DE29">
      <w:pPr>
        <w:spacing w:before="156" w:line="360" w:lineRule="auto"/>
        <w:ind w:left="5460" w:hanging="5460"/>
        <w:jc w:val="left"/>
        <w:rPr>
          <w:rFonts w:hint="eastAsia" w:ascii="宋体" w:hAnsi="宋体"/>
          <w:color w:val="000000"/>
          <w:sz w:val="24"/>
          <w:szCs w:val="21"/>
          <w:highlight w:val="none"/>
        </w:rPr>
      </w:pPr>
      <w:r>
        <w:rPr>
          <w:rFonts w:hint="eastAsia" w:ascii="宋体" w:hAnsi="宋体"/>
          <w:color w:val="000000"/>
          <w:sz w:val="24"/>
          <w:szCs w:val="21"/>
          <w:highlight w:val="none"/>
        </w:rPr>
        <w:t>注：</w:t>
      </w:r>
    </w:p>
    <w:p w14:paraId="7E5FE06C">
      <w:pPr>
        <w:spacing w:line="360" w:lineRule="auto"/>
        <w:ind w:firstLine="421"/>
        <w:rPr>
          <w:rFonts w:hint="eastAsia" w:ascii="宋体" w:hAnsi="宋体"/>
          <w:bCs/>
          <w:color w:val="000000"/>
          <w:szCs w:val="21"/>
          <w:highlight w:val="none"/>
        </w:rPr>
      </w:pPr>
      <w:r>
        <w:rPr>
          <w:rFonts w:hint="eastAsia" w:ascii="宋体" w:hAnsi="宋体"/>
          <w:bCs/>
          <w:color w:val="000000"/>
          <w:szCs w:val="21"/>
          <w:highlight w:val="none"/>
        </w:rPr>
        <w:t>（1）从业人员、营业收入、资产总额填报上一年度数据，无上一年度数据的新成立企业可不填报。</w:t>
      </w:r>
    </w:p>
    <w:p w14:paraId="79160C24">
      <w:pPr>
        <w:spacing w:line="360" w:lineRule="auto"/>
        <w:ind w:firstLine="421"/>
        <w:rPr>
          <w:rFonts w:ascii="宋体" w:hAnsi="宋体"/>
          <w:bCs/>
          <w:color w:val="000000"/>
          <w:szCs w:val="21"/>
          <w:highlight w:val="none"/>
        </w:rPr>
      </w:pPr>
      <w:r>
        <w:rPr>
          <w:rFonts w:hint="eastAsia" w:ascii="宋体" w:hAnsi="宋体"/>
          <w:bCs/>
          <w:color w:val="000000"/>
          <w:szCs w:val="21"/>
          <w:highlight w:val="none"/>
        </w:rPr>
        <w:t>（2）供应商按照本办法规定提供声明函内容不实的，属于提供虚假材料谋取</w:t>
      </w:r>
      <w:r>
        <w:rPr>
          <w:rFonts w:hint="eastAsia" w:ascii="宋体" w:hAnsi="宋体"/>
          <w:bCs/>
          <w:color w:val="000000"/>
          <w:szCs w:val="21"/>
          <w:highlight w:val="none"/>
          <w:lang w:eastAsia="zh-CN"/>
        </w:rPr>
        <w:t>中标</w:t>
      </w:r>
      <w:r>
        <w:rPr>
          <w:rFonts w:hint="eastAsia" w:ascii="宋体" w:hAnsi="宋体"/>
          <w:bCs/>
          <w:color w:val="000000"/>
          <w:szCs w:val="21"/>
          <w:highlight w:val="none"/>
        </w:rPr>
        <w:t>，依照《中华人民共和国政府采购法》等国家有关规定追究相应责任。</w:t>
      </w:r>
    </w:p>
    <w:p w14:paraId="35FAEF91">
      <w:pPr>
        <w:spacing w:line="360" w:lineRule="auto"/>
        <w:ind w:firstLine="421"/>
        <w:rPr>
          <w:rFonts w:hint="eastAsia" w:ascii="宋体" w:hAnsi="宋体"/>
          <w:color w:val="000000"/>
          <w:szCs w:val="21"/>
          <w:highlight w:val="none"/>
          <w:lang w:val="zh-CN"/>
        </w:rPr>
      </w:pPr>
      <w:bookmarkStart w:id="144" w:name="_Hlk131935698"/>
      <w:r>
        <w:rPr>
          <w:rFonts w:hint="eastAsia" w:ascii="宋体" w:hAnsi="宋体"/>
          <w:color w:val="000000"/>
          <w:szCs w:val="21"/>
          <w:highlight w:val="none"/>
          <w:lang w:val="zh-CN"/>
        </w:rPr>
        <w:t>（3）中标供应商《中小企业声明函》、《残疾人福利性单位声明函》，采购人将随中标公告一并公示。</w:t>
      </w:r>
      <w:bookmarkEnd w:id="144"/>
    </w:p>
    <w:p w14:paraId="595F24B1">
      <w:pPr>
        <w:jc w:val="center"/>
        <w:rPr>
          <w:rFonts w:ascii="黑体" w:eastAsia="黑体"/>
          <w:bCs/>
          <w:color w:val="000000"/>
          <w:sz w:val="28"/>
          <w:szCs w:val="28"/>
          <w:highlight w:val="none"/>
        </w:rPr>
      </w:pPr>
    </w:p>
    <w:p w14:paraId="2F9E0D81">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p>
    <w:p w14:paraId="727623D9">
      <w:pPr>
        <w:pStyle w:val="236"/>
        <w:rPr>
          <w:rFonts w:hint="eastAsia"/>
          <w:color w:val="000000"/>
          <w:highlight w:val="none"/>
        </w:rPr>
      </w:pPr>
      <w:r>
        <w:rPr>
          <w:rFonts w:hint="eastAsia" w:ascii="黑体" w:hAnsi="宋体" w:eastAsia="黑体"/>
          <w:bCs/>
          <w:color w:val="000000"/>
          <w:sz w:val="24"/>
          <w:szCs w:val="24"/>
          <w:highlight w:val="none"/>
        </w:rPr>
        <w:t>附件2：残疾人福利性单位声明函（格式）</w:t>
      </w:r>
    </w:p>
    <w:p w14:paraId="7EAB99B0">
      <w:pPr>
        <w:jc w:val="center"/>
        <w:rPr>
          <w:rFonts w:hint="eastAsia" w:ascii="黑体" w:eastAsia="黑体"/>
          <w:bCs/>
          <w:color w:val="000000"/>
          <w:sz w:val="28"/>
          <w:szCs w:val="28"/>
          <w:highlight w:val="none"/>
        </w:rPr>
      </w:pPr>
    </w:p>
    <w:p w14:paraId="0387AD43">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15DFDF5C">
      <w:pPr>
        <w:spacing w:line="588" w:lineRule="exact"/>
        <w:rPr>
          <w:rFonts w:ascii="仿宋_GB2312" w:eastAsia="仿宋_GB2312"/>
          <w:b/>
          <w:color w:val="000000"/>
          <w:spacing w:val="6"/>
          <w:sz w:val="30"/>
          <w:szCs w:val="30"/>
          <w:highlight w:val="none"/>
        </w:rPr>
      </w:pPr>
    </w:p>
    <w:p w14:paraId="12B4DA5D">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）提供本单位制造的货物，或者提供其他残疾人福利性单位制造的货物（不包括使用非残疾人福利性单位注册商标的货物）。</w:t>
      </w:r>
    </w:p>
    <w:p w14:paraId="1184CE2B">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2E395045">
      <w:pPr>
        <w:spacing w:line="580" w:lineRule="exact"/>
        <w:ind w:firstLine="480"/>
        <w:rPr>
          <w:rFonts w:hint="eastAsia" w:ascii="宋体" w:hAnsi="宋体"/>
          <w:bCs/>
          <w:color w:val="000000"/>
          <w:sz w:val="24"/>
          <w:szCs w:val="24"/>
          <w:highlight w:val="none"/>
        </w:rPr>
      </w:pPr>
    </w:p>
    <w:p w14:paraId="779669B3">
      <w:pPr>
        <w:pStyle w:val="235"/>
        <w:rPr>
          <w:rFonts w:hint="eastAsia"/>
          <w:color w:val="000000"/>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color w:val="000000"/>
          <w:sz w:val="24"/>
          <w:szCs w:val="24"/>
          <w:highlight w:val="none"/>
        </w:rPr>
        <w:t>投标人</w:t>
      </w:r>
      <w:r>
        <w:rPr>
          <w:color w:val="000000"/>
          <w:sz w:val="24"/>
          <w:szCs w:val="24"/>
          <w:highlight w:val="none"/>
        </w:rPr>
        <w:t>（电子签章）：</w:t>
      </w:r>
    </w:p>
    <w:p w14:paraId="0CA1D133">
      <w:pPr>
        <w:spacing w:line="360" w:lineRule="auto"/>
        <w:rPr>
          <w:rFonts w:ascii="宋体"/>
          <w:bCs/>
          <w:color w:val="000000"/>
          <w:sz w:val="24"/>
          <w:szCs w:val="24"/>
          <w:highlight w:val="none"/>
        </w:rPr>
      </w:pPr>
    </w:p>
    <w:p w14:paraId="023CC29D">
      <w:pPr>
        <w:pStyle w:val="236"/>
        <w:ind w:firstLine="0"/>
        <w:rPr>
          <w:rFonts w:ascii="宋体" w:hAnsi="宋体"/>
          <w:color w:val="000000"/>
          <w:sz w:val="24"/>
          <w:szCs w:val="21"/>
          <w:highlight w:val="none"/>
        </w:rPr>
      </w:pPr>
    </w:p>
    <w:p w14:paraId="4370BCED">
      <w:pPr>
        <w:pStyle w:val="236"/>
        <w:ind w:firstLine="0"/>
        <w:rPr>
          <w:rFonts w:ascii="宋体" w:hAnsi="宋体"/>
          <w:color w:val="000000"/>
          <w:sz w:val="24"/>
          <w:szCs w:val="21"/>
          <w:highlight w:val="none"/>
        </w:rPr>
      </w:pPr>
    </w:p>
    <w:p w14:paraId="380554F0">
      <w:pPr>
        <w:pStyle w:val="236"/>
        <w:ind w:firstLine="0"/>
        <w:rPr>
          <w:rFonts w:ascii="宋体" w:hAnsi="宋体"/>
          <w:color w:val="000000"/>
          <w:sz w:val="24"/>
          <w:szCs w:val="21"/>
          <w:highlight w:val="none"/>
        </w:rPr>
      </w:pPr>
    </w:p>
    <w:p w14:paraId="2EAC3317">
      <w:pPr>
        <w:pStyle w:val="236"/>
        <w:ind w:firstLine="0"/>
        <w:rPr>
          <w:rFonts w:ascii="宋体" w:hAnsi="宋体"/>
          <w:color w:val="000000"/>
          <w:sz w:val="24"/>
          <w:szCs w:val="21"/>
          <w:highlight w:val="none"/>
        </w:rPr>
      </w:pPr>
    </w:p>
    <w:p w14:paraId="3374BBA6">
      <w:pPr>
        <w:pStyle w:val="236"/>
        <w:ind w:firstLine="0"/>
        <w:rPr>
          <w:rFonts w:ascii="宋体" w:hAnsi="宋体"/>
          <w:color w:val="000000"/>
          <w:sz w:val="24"/>
          <w:szCs w:val="21"/>
          <w:highlight w:val="none"/>
        </w:rPr>
      </w:pPr>
    </w:p>
    <w:p w14:paraId="1D2490C8">
      <w:pPr>
        <w:pStyle w:val="236"/>
        <w:ind w:firstLine="0"/>
        <w:rPr>
          <w:rFonts w:ascii="宋体" w:hAnsi="宋体"/>
          <w:color w:val="000000"/>
          <w:sz w:val="24"/>
          <w:szCs w:val="21"/>
          <w:highlight w:val="none"/>
        </w:rPr>
      </w:pPr>
    </w:p>
    <w:p w14:paraId="52CB8B82">
      <w:pPr>
        <w:pStyle w:val="236"/>
        <w:ind w:firstLine="0"/>
        <w:rPr>
          <w:rFonts w:ascii="宋体" w:hAnsi="宋体"/>
          <w:color w:val="000000"/>
          <w:sz w:val="24"/>
          <w:szCs w:val="21"/>
          <w:highlight w:val="none"/>
        </w:rPr>
      </w:pPr>
    </w:p>
    <w:p w14:paraId="24EEBC99">
      <w:pPr>
        <w:pStyle w:val="236"/>
        <w:ind w:firstLine="0"/>
        <w:rPr>
          <w:rFonts w:ascii="宋体" w:hAnsi="宋体"/>
          <w:color w:val="000000"/>
          <w:sz w:val="24"/>
          <w:szCs w:val="21"/>
          <w:highlight w:val="none"/>
        </w:rPr>
      </w:pPr>
    </w:p>
    <w:p w14:paraId="32851211">
      <w:pPr>
        <w:pStyle w:val="236"/>
        <w:ind w:firstLine="0"/>
        <w:rPr>
          <w:rFonts w:ascii="宋体" w:hAnsi="宋体"/>
          <w:color w:val="000000"/>
          <w:sz w:val="24"/>
          <w:szCs w:val="21"/>
          <w:highlight w:val="none"/>
        </w:rPr>
      </w:pPr>
    </w:p>
    <w:p w14:paraId="2E01A83D">
      <w:pPr>
        <w:pStyle w:val="236"/>
        <w:ind w:firstLine="0"/>
        <w:rPr>
          <w:rFonts w:ascii="宋体" w:hAnsi="宋体"/>
          <w:color w:val="000000"/>
          <w:sz w:val="24"/>
          <w:szCs w:val="21"/>
          <w:highlight w:val="none"/>
        </w:rPr>
      </w:pPr>
    </w:p>
    <w:p w14:paraId="516AAD52">
      <w:pPr>
        <w:pStyle w:val="236"/>
        <w:ind w:firstLine="0"/>
        <w:rPr>
          <w:rFonts w:ascii="宋体" w:hAnsi="宋体"/>
          <w:color w:val="000000"/>
          <w:sz w:val="24"/>
          <w:szCs w:val="21"/>
          <w:highlight w:val="none"/>
        </w:rPr>
      </w:pPr>
    </w:p>
    <w:p w14:paraId="534C482A">
      <w:pPr>
        <w:pStyle w:val="236"/>
        <w:ind w:firstLine="0"/>
        <w:rPr>
          <w:rFonts w:hint="eastAsia" w:ascii="宋体" w:hAnsi="宋体"/>
          <w:color w:val="000000"/>
          <w:sz w:val="24"/>
          <w:szCs w:val="21"/>
          <w:highlight w:val="none"/>
        </w:rPr>
      </w:pPr>
    </w:p>
    <w:p w14:paraId="5CC296C3">
      <w:pPr>
        <w:pStyle w:val="236"/>
        <w:ind w:firstLine="0"/>
        <w:rPr>
          <w:rFonts w:ascii="宋体" w:hAnsi="宋体"/>
          <w:color w:val="000000"/>
          <w:sz w:val="24"/>
          <w:szCs w:val="21"/>
          <w:highlight w:val="none"/>
        </w:rPr>
      </w:pPr>
    </w:p>
    <w:p w14:paraId="193E358A">
      <w:pPr>
        <w:pStyle w:val="236"/>
        <w:ind w:firstLine="0"/>
        <w:rPr>
          <w:rFonts w:ascii="宋体" w:hAnsi="宋体"/>
          <w:color w:val="000000"/>
          <w:sz w:val="24"/>
          <w:szCs w:val="21"/>
          <w:highlight w:val="none"/>
        </w:rPr>
      </w:pPr>
    </w:p>
    <w:p w14:paraId="015FE3BD">
      <w:pPr>
        <w:pStyle w:val="236"/>
        <w:ind w:firstLine="0"/>
        <w:rPr>
          <w:rFonts w:ascii="宋体" w:hAnsi="宋体"/>
          <w:color w:val="000000"/>
          <w:sz w:val="24"/>
          <w:szCs w:val="21"/>
          <w:highlight w:val="none"/>
        </w:rPr>
      </w:pPr>
    </w:p>
    <w:p w14:paraId="25BABFF6">
      <w:pPr>
        <w:pStyle w:val="236"/>
        <w:ind w:firstLine="0"/>
        <w:rPr>
          <w:rFonts w:ascii="宋体" w:hAnsi="宋体"/>
          <w:color w:val="000000"/>
          <w:sz w:val="24"/>
          <w:szCs w:val="21"/>
          <w:highlight w:val="none"/>
        </w:rPr>
      </w:pPr>
    </w:p>
    <w:p w14:paraId="037D9FF9">
      <w:pPr>
        <w:pStyle w:val="236"/>
        <w:ind w:firstLine="0"/>
        <w:rPr>
          <w:rFonts w:hint="eastAsia" w:ascii="宋体" w:hAnsi="宋体"/>
          <w:color w:val="000000"/>
          <w:sz w:val="24"/>
          <w:szCs w:val="21"/>
          <w:highlight w:val="none"/>
          <w:lang w:val="zh-CN"/>
        </w:rPr>
      </w:pPr>
    </w:p>
    <w:p w14:paraId="0680C8CA">
      <w:pPr>
        <w:spacing w:after="156"/>
        <w:rPr>
          <w:rFonts w:hint="eastAsia" w:ascii="黑体" w:hAnsi="宋体" w:eastAsia="黑体"/>
          <w:bCs/>
          <w:color w:val="000000"/>
          <w:sz w:val="28"/>
          <w:szCs w:val="28"/>
          <w:highlight w:val="none"/>
        </w:rPr>
      </w:pPr>
      <w:bookmarkStart w:id="145" w:name="_Hlk151456734"/>
    </w:p>
    <w:p w14:paraId="12BE2629">
      <w:pPr>
        <w:spacing w:after="156"/>
        <w:rPr>
          <w:rFonts w:ascii="黑体" w:hAnsi="宋体" w:eastAsia="黑体"/>
          <w:bCs/>
          <w:color w:val="000000"/>
          <w:sz w:val="28"/>
          <w:szCs w:val="28"/>
          <w:highlight w:val="none"/>
        </w:rPr>
      </w:pPr>
      <w:r>
        <w:rPr>
          <w:rFonts w:hint="eastAsia" w:ascii="黑体" w:hAnsi="宋体" w:eastAsia="黑体"/>
          <w:bCs/>
          <w:color w:val="000000"/>
          <w:sz w:val="28"/>
          <w:szCs w:val="28"/>
          <w:highlight w:val="none"/>
        </w:rPr>
        <w:t>（五）其他相关材料</w:t>
      </w:r>
    </w:p>
    <w:p w14:paraId="75F46423">
      <w:pPr>
        <w:ind w:firstLine="420"/>
        <w:jc w:val="left"/>
        <w:rPr>
          <w:rFonts w:ascii="宋体" w:hAnsi="宋体" w:cs="宋体"/>
          <w:color w:val="000000"/>
          <w:szCs w:val="21"/>
          <w:highlight w:val="none"/>
          <w:lang w:val="zh-CN"/>
        </w:rPr>
      </w:pPr>
    </w:p>
    <w:p w14:paraId="1F916465">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投标人根据评标方法和标准等要求，提交认为需要提供的相关证明材料，如未提供证明材料的，相关评分项不得分。</w:t>
      </w:r>
      <w:bookmarkEnd w:id="145"/>
    </w:p>
    <w:p w14:paraId="11500D5B">
      <w:pPr>
        <w:ind w:firstLine="480"/>
        <w:jc w:val="left"/>
        <w:rPr>
          <w:rFonts w:ascii="黑体" w:hAnsi="宋体" w:eastAsia="黑体"/>
          <w:bCs/>
          <w:color w:val="000000"/>
          <w:sz w:val="24"/>
          <w:szCs w:val="24"/>
          <w:highlight w:val="none"/>
        </w:rPr>
      </w:pPr>
    </w:p>
    <w:p w14:paraId="7B3603CD">
      <w:pPr>
        <w:ind w:firstLine="480"/>
        <w:jc w:val="left"/>
        <w:rPr>
          <w:rFonts w:ascii="黑体" w:hAnsi="宋体" w:eastAsia="黑体"/>
          <w:bCs/>
          <w:color w:val="000000"/>
          <w:sz w:val="24"/>
          <w:szCs w:val="24"/>
          <w:highlight w:val="none"/>
        </w:rPr>
      </w:pPr>
    </w:p>
    <w:p w14:paraId="2256640C">
      <w:pPr>
        <w:rPr>
          <w:rFonts w:ascii="宋体" w:hAnsi="宋体"/>
          <w:b/>
          <w:bCs/>
          <w:color w:val="000000"/>
          <w:sz w:val="24"/>
          <w:szCs w:val="21"/>
          <w:highlight w:val="none"/>
        </w:rPr>
      </w:pPr>
    </w:p>
    <w:sectPr>
      <w:pgSz w:w="11906" w:h="16838"/>
      <w:pgMar w:top="1440" w:right="1078" w:bottom="1440" w:left="116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98B6E">
    <w:pPr>
      <w:pStyle w:val="19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F92EE">
    <w:pPr>
      <w:pStyle w:val="19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F57B7">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vy/g8AgAAbw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Ovy/g8AgAAbwQAAA4AAAAAAAAAAQAgAAAAHwEAAGRycy9lMm9E&#10;b2MueG1sUEsFBgAAAAAGAAYAWQEAAM0FAAAAAA==&#10;">
              <v:fill on="f" focussize="0,0"/>
              <v:stroke on="f" weight="0.5pt"/>
              <v:imagedata o:title=""/>
              <o:lock v:ext="edit" aspectratio="f"/>
              <v:textbox inset="0mm,0mm,0mm,0mm" style="mso-fit-shape-to-text:t;">
                <w:txbxContent>
                  <w:p w14:paraId="24FF57B7">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3FC85">
    <w:pPr>
      <w:pStyle w:val="19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2735" cy="208915"/>
              <wp:effectExtent l="3175" t="3175" r="3175" b="3175"/>
              <wp:wrapNone/>
              <wp:docPr id="2" name="文本框 8"/>
              <wp:cNvGraphicFramePr/>
              <a:graphic xmlns:a="http://schemas.openxmlformats.org/drawingml/2006/main">
                <a:graphicData uri="http://schemas.microsoft.com/office/word/2010/wordprocessingShape">
                  <wps:wsp>
                    <wps:cNvSpPr txBox="1"/>
                    <wps:spPr bwMode="auto">
                      <a:xfrm>
                        <a:off x="0" y="0"/>
                        <a:ext cx="292774" cy="20899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97A1CB">
                          <w:pPr>
                            <w:pStyle w:val="20"/>
                            <w:jc w:val="cente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8" o:spid="_x0000_s1026" o:spt="202" type="#_x0000_t202" style="position:absolute;left:0pt;margin-top:0pt;height:16.45pt;width:23.05pt;mso-position-horizontal:center;mso-position-horizontal-relative:margin;z-index:251660288;mso-width-relative:page;mso-height-relative:page;" filled="f" stroked="f" coordsize="21600,21600" o:gfxdata="UEsDBAoAAAAAAIdO4kAAAAAAAAAAAAAAAAAEAAAAZHJzL1BLAwQUAAAACACHTuJA9ZEOCtQAAAAD&#10;AQAADwAAAGRycy9kb3ducmV2LnhtbE2PS0/DMBCE70j8B2uRuFE7BVUQ4vTA48ajFJDg5sRLEmGv&#10;I3uTln+P4QKXlUYzmvm2Wu+9EzPGNATSUCwUCKQ22IE6DS/PtyfnIBIbssYFQg1fmGBdHx5UprRh&#10;R084b7kTuYRSaTT0zGMpZWp79CYtwoiUvY8QveEsYydtNLtc7p1cKrWS3gyUF3oz4lWP7ed28hrc&#10;W4p3jeL3+bq7582jnF5vigetj48KdQmCcc9/YfjBz+hQZ6YmTGSTcBryI/x7s3e2KkA0Gk6XFyDr&#10;Sv5nr78BUEsDBBQAAAAIAIdO4kDzDjwVQQIAAG8EAAAOAAAAZHJzL2Uyb0RvYy54bWytVM2O0zAQ&#10;viPxDpbvNG2B3TZquipbFSEVdqWCOLuO01iyPcZ2m5QHgDfgxIU7z9XnYOw0BS0c9sDFmsz/981M&#10;ZjetVuQgnJdgCjoaDCkRhkMpza6gH96vnk0o8YGZkikwoqBH4enN/OmTWWNzMYYaVCkcwSTG540t&#10;aB2CzbPM81po5gdghUFjBU6zgJ9ul5WONZhdq2w8HF5lDbjSOuDCe9QuOyM9Z3SPSQhVJblYAt9r&#10;YUKX1QnFAkLytbSezlO3VSV4uKsqLwJRBUWkIb1YBOVtfLP5jOU7x2wt+bkF9pgWHmDSTBosekm1&#10;ZIGRvZN/pdKSO/BQhQEHnXVAEiOIYjR8wM2mZlYkLEi1txfS/f9Ly98d7h2RZUHHlBimceCnb19P&#10;33+efnwhk0hPY32OXhuLfqF9BS0uTa/3Ublt3kKJcWwfIHHQVk5HLhAdQW+k+nihWrSBcFSOp+Pr&#10;6xeUcDSNh5PpNNXKWN4HW+fDawGaRKGgDieZkrPD2gdsC117l1jLwEoqlaapDGkKevX85TAFXCwY&#10;oQwGRkCx8Q5aaLftGeUWyiPicdBtibd8JbH4mvlwzxyuBSLBwwl3+FQKsAicJUpqcJ//pY/+OC20&#10;UtLgmhXUf9ozJyhRbwzOMe5kL7he2PaC2etbwM0d4UlankQMcEH1YuVAf8R7WsQqaGKGY62Chl68&#10;Dd2y4z1ysVgkp711cld3AbiFloW12Vgey3RULnCSlUwsR7I6Xs7M4R4m8s83Exf9z+/k9fs/Mf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9ZEOCtQAAAADAQAADwAAAAAAAAABACAAAAAiAAAAZHJz&#10;L2Rvd25yZXYueG1sUEsBAhQAFAAAAAgAh07iQPMOPBVBAgAAbwQAAA4AAAAAAAAAAQAgAAAAIwEA&#10;AGRycy9lMm9Eb2MueG1sUEsFBgAAAAAGAAYAWQEAANYFAAAAAA==&#10;">
              <v:fill on="f" focussize="0,0"/>
              <v:stroke on="f" weight="0.5pt"/>
              <v:imagedata o:title=""/>
              <o:lock v:ext="edit" aspectratio="f"/>
              <v:textbox inset="0mm,0mm,0mm,0mm">
                <w:txbxContent>
                  <w:p w14:paraId="4397A1CB">
                    <w:pPr>
                      <w:pStyle w:val="20"/>
                      <w:jc w:val="center"/>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76375">
    <w:pPr>
      <w:pStyle w:val="19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11785" cy="218440"/>
              <wp:effectExtent l="3175" t="3175" r="3175" b="3175"/>
              <wp:wrapNone/>
              <wp:docPr id="3" name="文本框 9"/>
              <wp:cNvGraphicFramePr/>
              <a:graphic xmlns:a="http://schemas.openxmlformats.org/drawingml/2006/main">
                <a:graphicData uri="http://schemas.microsoft.com/office/word/2010/wordprocessingShape">
                  <wps:wsp>
                    <wps:cNvSpPr txBox="1"/>
                    <wps:spPr bwMode="auto">
                      <a:xfrm>
                        <a:off x="0" y="0"/>
                        <a:ext cx="311824" cy="2185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FF6D4">
                          <w:pPr>
                            <w:pStyle w:val="2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9" o:spid="_x0000_s1026" o:spt="202" type="#_x0000_t202" style="position:absolute;left:0pt;margin-top:0pt;height:17.2pt;width:24.55pt;mso-position-horizontal:center;mso-position-horizontal-relative:margin;z-index:251661312;mso-width-relative:page;mso-height-relative:page;" filled="f" stroked="f" coordsize="21600,21600" o:gfxdata="UEsDBAoAAAAAAIdO4kAAAAAAAAAAAAAAAAAEAAAAZHJzL1BLAwQUAAAACACHTuJApIegsNIAAAAD&#10;AQAADwAAAGRycy9kb3ducmV2LnhtbE2PO0/EMBCEeyT+g7VIdJwdiBCEOFfw6HgeIEHnxEsSYa8j&#10;e5M7/j2GBpqVRjOa+bZe77wTC8Y0BtJQrBQIpC7YkXoNL883R2cgEhuyxgVCDV+YYN3s79WmsmFL&#10;T7hsuBe5hFJlNAzMUyVl6gb0Jq3ChJS9jxC94SxjL20021zunTxW6lR6M1JeGMyElwN2n5vZa3Bv&#10;Kd62it+Xq/6OHx/k/Hpd3Gt9eFCoCxCMO/4Lww9+RocmM7VhJpuE05Af4d+bvfK8ANFqOClLkE0t&#10;/7M331BLAwQUAAAACACHTuJA88RGcEICAABvBAAADgAAAGRycy9lMm9Eb2MueG1srVTNjtMwEL4j&#10;8Q6W7zT9YVclaroqWxUhFXalgji7jtNYsj3GdpuUB4A32BMX7jxXn4Ox0xS0cNgDF2syM/7G3zcz&#10;md20WpGDcF6CKehoMKREGA6lNLuCfvywejGlxAdmSqbAiIIehac38+fPZo3NxRhqUKVwBEGMzxtb&#10;0DoEm2eZ57XQzA/ACoPBCpxmAT/dLisdaxBdq2w8HF5nDbjSOuDCe/QuuyA9I7qnAEJVSS6WwPda&#10;mNChOqFYQEq+ltbTeXptVQke7qrKi0BUQZFpSCcWQXsbz2w+Y/nOMVtLfn4Ce8oTHnHSTBoseoFa&#10;ssDI3sm/oLTkDjxUYcBBZx2RpAiyGA0fabOpmRWJC0rt7UV0//9g+fvDvSOyLOiEEsM0Nvz08O30&#10;/efpx1fyKsrTWJ9j1sZiXmhfQ4tD0/t9dG6bd1DiPbYPkDRoK6ejFsiOYDZKfbxILdpAODono9F0&#10;/JISjqHxaHo1nkTMjOX9Zet8eCNAk2gU1GEnEzg7rH3oUvuUWMvASiqVuqkMaQp6PbkapguXCIIr&#10;gzUiofjwjlpot+2Z5RbKI/Jx0E2Jt3wlsfia+XDPHI4FMsHFCXd4VAqwCJwtSmpwX/7lj/nYLYxS&#10;0uCYFdR/3jMnKFFvDfYxzmRvuN7Y9obZ61vAyR3hSlqeTLzggurNyoH+hPu0iFUwxAzHWgUNvXkb&#10;umHHfeRisUhJe+vkru4u4BRaFtZmY3ks00m5wE5WMqkcxep0OSuHc5j6dN6ZOOh/fqes3/+J+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kh6Cw0gAAAAMBAAAPAAAAAAAAAAEAIAAAACIAAABkcnMv&#10;ZG93bnJldi54bWxQSwECFAAUAAAACACHTuJA88RGcEICAABvBAAADgAAAAAAAAABACAAAAAhAQAA&#10;ZHJzL2Uyb0RvYy54bWxQSwUGAAAAAAYABgBZAQAA1QUAAAAA&#10;">
              <v:fill on="f" focussize="0,0"/>
              <v:stroke on="f" weight="0.5pt"/>
              <v:imagedata o:title=""/>
              <o:lock v:ext="edit" aspectratio="f"/>
              <v:textbox inset="0mm,0mm,0mm,0mm">
                <w:txbxContent>
                  <w:p w14:paraId="2BEFF6D4">
                    <w:pPr>
                      <w:pStyle w:val="2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68E7E">
    <w:pPr>
      <w:pStyle w:val="19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4660" cy="332740"/>
              <wp:effectExtent l="3175" t="3175" r="3175" b="3175"/>
              <wp:wrapNone/>
              <wp:docPr id="4" name="文本框 10"/>
              <wp:cNvGraphicFramePr/>
              <a:graphic xmlns:a="http://schemas.openxmlformats.org/drawingml/2006/main">
                <a:graphicData uri="http://schemas.microsoft.com/office/word/2010/wordprocessingShape">
                  <wps:wsp>
                    <wps:cNvSpPr txBox="1"/>
                    <wps:spPr bwMode="auto">
                      <a:xfrm>
                        <a:off x="0" y="0"/>
                        <a:ext cx="454699" cy="3328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A266C">
                          <w:pPr>
                            <w:pStyle w:val="20"/>
                            <w:jc w:val="center"/>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0" o:spid="_x0000_s1026" o:spt="202" type="#_x0000_t202" style="position:absolute;left:0pt;margin-top:0pt;height:26.2pt;width:35.8pt;mso-position-horizontal:center;mso-position-horizontal-relative:margin;z-index:251662336;mso-width-relative:page;mso-height-relative:page;" filled="f" stroked="f" coordsize="21600,21600" o:gfxdata="UEsDBAoAAAAAAIdO4kAAAAAAAAAAAAAAAAAEAAAAZHJzL1BLAwQUAAAACACHTuJAtdrMuNQAAAAD&#10;AQAADwAAAGRycy9kb3ducmV2LnhtbE2PS0/DMBCE70j8B2uRuFE7FRQU4vTA48ajFJDg5sRLEmGv&#10;I3uTln+P4QKXlUYzmvm2Wu+9EzPGNATSUCwUCKQ22IE6DS/PtycXIBIbssYFQg1fmGBdHx5UprRh&#10;R084b7kTuYRSaTT0zGMpZWp79CYtwoiUvY8QveEsYydtNLtc7p1cKrWS3gyUF3oz4lWP7ed28hrc&#10;W4p3jeL3+bq7582jnF5vigetj48KdQmCcc9/YfjBz+hQZ6YmTGSTcBryI/x7s3derEA0Gs6WpyDr&#10;Sv5nr78BUEsDBBQAAAAIAIdO4kDpgmGEQwIAAHAEAAAOAAAAZHJzL2Uyb0RvYy54bWytVM2O0zAQ&#10;viPxDpbvNP3bardquipbFSEVdqWCOLuO01iyPcZ2m5QHgDfYExfuPFefg7HTFLRw2AMXazIz/sbf&#10;NzOZ3TZakYNwXoLJ6aDXp0QYDoU0u5x+/LB6dU2JD8wUTIEROT0KT2/nL1/MajsVQ6hAFcIRBDF+&#10;WtucViHYaZZ5XgnNfA+sMBgswWkW8NPtssKxGtG1yob9/iSrwRXWARfeo3fZBukZ0T0HEMpScrEE&#10;vtfChBbVCcUCUvKVtJ7O02vLUvBwX5ZeBKJyikxDOrEI2tt4ZvMZm+4cs5Xk5yew5zzhCSfNpMGi&#10;F6glC4zsnfwLSkvuwEMZehx01hJJiiCLQf+JNpuKWZG4oNTeXkT3/w+Wvz88OCKLnI4pMUxjw0+P&#10;307ff55+fCWDpE9t/RTTNhYTQ/MaGpyaqFv0++jc1u+gwItsHyCJ0JRORzGQHsFs1Pp40Vo0gXB0&#10;jq/Gk5sbSjiGRqPh9XAUMTM27S5b58MbAZpEI6cOW5nA2WHtQ5vapcRaBlZSqdROZUid08noqp8u&#10;XCIIrgzW6B7eUgjNtjmz2UJxRD4O2jHxlq8kFl8zHx6Yw7lAJrg54R6PUgEWgbNFSQXuy7/8MR/b&#10;hVFKapyznPrPe+YEJeqtwUbGoewM1xnbzjB7fQc4ugPcScuTiRdcUJ1ZOtCfcKEWsQqGmOFYK6eh&#10;M+9CO+24kFwsFilpb53cVe0FHEPLwtpsLI9lWikX2MlSJpWjWK0uZ+VwEFOfzksTJ/3P75T1+0cx&#10;/w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12sy41AAAAAMBAAAPAAAAAAAAAAEAIAAAACIAAABk&#10;cnMvZG93bnJldi54bWxQSwECFAAUAAAACACHTuJA6YJhhEMCAABwBAAADgAAAAAAAAABACAAAAAj&#10;AQAAZHJzL2Uyb0RvYy54bWxQSwUGAAAAAAYABgBZAQAA2AUAAAAA&#10;">
              <v:fill on="f" focussize="0,0"/>
              <v:stroke on="f" weight="0.5pt"/>
              <v:imagedata o:title=""/>
              <o:lock v:ext="edit" aspectratio="f"/>
              <v:textbox inset="0mm,0mm,0mm,0mm">
                <w:txbxContent>
                  <w:p w14:paraId="350A266C">
                    <w:pPr>
                      <w:pStyle w:val="20"/>
                      <w:jc w:val="center"/>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E4EE1">
    <w:pPr>
      <w:pStyle w:val="195"/>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16535" cy="153035"/>
              <wp:effectExtent l="3175" t="3175" r="3175" b="3175"/>
              <wp:wrapNone/>
              <wp:docPr id="5" name="文本框 11"/>
              <wp:cNvGraphicFramePr/>
              <a:graphic xmlns:a="http://schemas.openxmlformats.org/drawingml/2006/main">
                <a:graphicData uri="http://schemas.microsoft.com/office/word/2010/wordprocessingShape">
                  <wps:wsp>
                    <wps:cNvSpPr txBox="1"/>
                    <wps:spPr bwMode="auto">
                      <a:xfrm>
                        <a:off x="0" y="0"/>
                        <a:ext cx="21657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984F4">
                          <w:pPr>
                            <w:pStyle w:val="2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1" o:spid="_x0000_s1026" o:spt="202" type="#_x0000_t202" style="position:absolute;left:0pt;margin-top:0pt;height:12.05pt;width:17.05pt;mso-position-horizontal:center;mso-position-horizontal-relative:margin;z-index:251663360;mso-width-relative:page;mso-height-relative:page;" filled="f" stroked="f" coordsize="21600,21600" o:gfxdata="UEsDBAoAAAAAAIdO4kAAAAAAAAAAAAAAAAAEAAAAZHJzL1BLAwQUAAAACACHTuJAvGFb6dIAAAAD&#10;AQAADwAAAGRycy9kb3ducmV2LnhtbE2PS0/DMBCE70j8B2uRuFE7BSEU4vTA48arhUrl5sRLEuFH&#10;ZG/S8u9ZuMBlR6tZzXxbrQ7eiRlTHmLQUCwUCAxttEPoNLy93p9dgchkgjUuBtTwhRlW9fFRZUob&#10;92GN84Y6wSEhl0ZDTzSWUua2R2/yIo4Y2PuIyRviNXXSJrPncO/kUqlL6c0QuKE3I9702H5uJq/B&#10;7XJ6aBS9z7fdI708y2l7VzxpfXpSqGsQhAf6O4YffEaHmpmaOAWbhdPAj9DvZO/8ogDRaFiyyrqS&#10;/9nrb1BLAwQUAAAACACHTuJAgoqMmEMCAABwBAAADgAAAGRycy9lMm9Eb2MueG1srVTBjtMwEL0j&#10;8Q+W7zRNSwtUTVdlqyKkhV2pIM6u4zSWbI+x3SblA9g/4MSFO9/V72DsNAUtHPbAxZrMjN/4vZnJ&#10;/KrVihyE8xJMQfPBkBJhOJTS7Ar68cP62UtKfGCmZAqMKOhReHq1ePpk3tiZGEENqhSOIIjxs8YW&#10;tA7BzrLM81po5gdghcFgBU6zgJ9ul5WONYiuVTYaDqdZA660DrjwHr2rLkjPiO4xgFBVkosV8L0W&#10;JnSoTigWkJKvpfV0kV5bVYKH26ryIhBVUGQa0olF0N7GM1vM2WznmK0lPz+BPeYJDzhpJg0WvUCt&#10;WGBk7+RfUFpyBx6qMOCgs45IUgRZ5MMH2mxqZkXiglJ7exHd/z9Y/v5w54gsCzqhxDCNDT99uz99&#10;/3n68ZXkedSnsX6GaRuLiaF9DS1OTe/30blt3kGJF9k+QBKhrZyOYiA9gtmo9fGitWgD4egc5dPJ&#10;i+eUcAzlk/F4/CpiZmzWX7bOhzcCNIlGQR22MoGzw40PXWqfEmsZWEulUjuVIU1Bp+PJMF24RBBc&#10;GawRCcWHd9RCu23PLLdQHpGPg25MvOVricVvmA93zOFcIBPcnHCLR6UAi8DZoqQG9+Vf/piP7cIo&#10;JQ3OWUH95z1zghL11mAj41D2huuNbW+Yvb4GHN0cd9LyZOIFF1RvVg70J1yoZayCIWY41ipo6M3r&#10;0E07LiQXy2VK2lsnd3V3AcfQsnBjNpbHMp2US+xkJZPKUaxOl7NyOIipT+eliZP+53fK+v2jWPw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vGFb6dIAAAADAQAADwAAAAAAAAABACAAAAAiAAAAZHJz&#10;L2Rvd25yZXYueG1sUEsBAhQAFAAAAAgAh07iQIKKjJhDAgAAcAQAAA4AAAAAAAAAAQAgAAAAIQEA&#10;AGRycy9lMm9Eb2MueG1sUEsFBgAAAAAGAAYAWQEAANYFAAAAAA==&#10;">
              <v:fill on="f" focussize="0,0"/>
              <v:stroke on="f" weight="0.5pt"/>
              <v:imagedata o:title=""/>
              <o:lock v:ext="edit" aspectratio="f"/>
              <v:textbox inset="0mm,0mm,0mm,0mm">
                <w:txbxContent>
                  <w:p w14:paraId="6C5984F4">
                    <w:pPr>
                      <w:pStyle w:val="2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00682">
    <w:pPr>
      <w:pStyle w:val="196"/>
      <w:pBdr>
        <w:bottom w:val="none" w:color="auto" w:sz="0" w:space="1"/>
      </w:pBdr>
      <w:tabs>
        <w:tab w:val="left" w:pos="2689"/>
      </w:tabs>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43CB">
    <w:pPr>
      <w:pStyle w:val="19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4"/>
      <w:numFmt w:val="chineseCounting"/>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39"/>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DCABA"/>
    <w:multiLevelType w:val="multilevel"/>
    <w:tmpl w:val="59ADCABA"/>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72183CF9"/>
    <w:multiLevelType w:val="multilevel"/>
    <w:tmpl w:val="72183CF9"/>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visionView w:markup="0"/>
  <w:trackRevision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B1272F"/>
    <w:rsid w:val="596E459D"/>
    <w:rsid w:val="61083617"/>
    <w:rsid w:val="6AA51FB3"/>
    <w:rsid w:val="76D071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1"/>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0"/>
    <w:rPr>
      <w:rFonts w:cs="Times New Roman"/>
      <w:sz w:val="20"/>
      <w:szCs w:val="20"/>
    </w:rPr>
  </w:style>
  <w:style w:type="paragraph" w:styleId="15">
    <w:name w:val="Body Text Indent"/>
    <w:basedOn w:val="1"/>
    <w:qFormat/>
    <w:uiPriority w:val="0"/>
    <w:pPr>
      <w:spacing w:after="120" w:line="360" w:lineRule="auto"/>
      <w:ind w:left="420" w:firstLine="1124"/>
    </w:pPr>
    <w:rPr>
      <w:rFonts w:ascii="Calibri" w:hAnsi="Calibri"/>
      <w:sz w:val="24"/>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2"/>
    <w:basedOn w:val="15"/>
    <w:qFormat/>
    <w:uiPriority w:val="0"/>
    <w:pPr>
      <w:spacing w:line="240" w:lineRule="auto"/>
      <w:ind w:firstLine="420"/>
    </w:p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qFormat/>
    <w:uiPriority w:val="9"/>
    <w:pPr>
      <w:keepNext/>
      <w:keepLines/>
      <w:jc w:val="center"/>
      <w:outlineLvl w:val="0"/>
    </w:pPr>
    <w:rPr>
      <w:b/>
      <w:bCs/>
      <w:sz w:val="28"/>
      <w:szCs w:val="44"/>
    </w:rPr>
  </w:style>
  <w:style w:type="paragraph" w:customStyle="1" w:styleId="188">
    <w:name w:val="标题 21"/>
    <w:basedOn w:val="1"/>
    <w:next w:val="1"/>
    <w:qFormat/>
    <w:uiPriority w:val="9"/>
    <w:pPr>
      <w:widowControl/>
      <w:spacing w:before="100" w:beforeAutospacing="1" w:after="100" w:afterAutospacing="1"/>
      <w:jc w:val="left"/>
      <w:outlineLvl w:val="1"/>
    </w:pPr>
    <w:rPr>
      <w:rFonts w:ascii="宋体" w:hAnsi="宋体" w:eastAsia="宋体" w:cs="宋体"/>
      <w:b/>
      <w:bCs/>
      <w:sz w:val="36"/>
      <w:szCs w:val="36"/>
    </w:rPr>
  </w:style>
  <w:style w:type="character" w:customStyle="1" w:styleId="189">
    <w:name w:val="默认段落字体1"/>
    <w:link w:val="1"/>
    <w:semiHidden/>
    <w:qFormat/>
    <w:uiPriority w:val="0"/>
  </w:style>
  <w:style w:type="table" w:customStyle="1" w:styleId="190">
    <w:name w:val="普通表格1"/>
    <w:semiHidden/>
    <w:qFormat/>
    <w:uiPriority w:val="0"/>
  </w:style>
  <w:style w:type="paragraph" w:customStyle="1" w:styleId="191">
    <w:name w:val="正文文本11"/>
    <w:basedOn w:val="1"/>
    <w:next w:val="1"/>
    <w:qFormat/>
    <w:uiPriority w:val="0"/>
    <w:rPr>
      <w:sz w:val="20"/>
    </w:rPr>
  </w:style>
  <w:style w:type="paragraph" w:customStyle="1" w:styleId="192">
    <w:name w:val="正文文本缩进11"/>
    <w:basedOn w:val="1"/>
    <w:next w:val="193"/>
    <w:qFormat/>
    <w:uiPriority w:val="0"/>
    <w:pPr>
      <w:spacing w:line="312" w:lineRule="atLeast"/>
      <w:ind w:firstLine="574"/>
    </w:pPr>
    <w:rPr>
      <w:rFonts w:ascii="宋体"/>
      <w:sz w:val="28"/>
    </w:rPr>
  </w:style>
  <w:style w:type="paragraph" w:customStyle="1" w:styleId="193">
    <w:name w:val="寄信人地址1"/>
    <w:basedOn w:val="1"/>
    <w:qFormat/>
    <w:uiPriority w:val="0"/>
    <w:rPr>
      <w:rFonts w:ascii="Arial" w:hAnsi="Arial" w:eastAsia="宋体" w:cs="Times New Roman"/>
    </w:rPr>
  </w:style>
  <w:style w:type="paragraph" w:customStyle="1" w:styleId="194">
    <w:name w:val="纯文本111"/>
    <w:basedOn w:val="1"/>
    <w:next w:val="1"/>
    <w:qFormat/>
    <w:uiPriority w:val="0"/>
    <w:rPr>
      <w:rFonts w:ascii="宋体" w:hAnsi="Courier New"/>
    </w:rPr>
  </w:style>
  <w:style w:type="paragraph" w:customStyle="1" w:styleId="195">
    <w:name w:val="页脚1"/>
    <w:basedOn w:val="1"/>
    <w:unhideWhenUsed/>
    <w:qFormat/>
    <w:uiPriority w:val="99"/>
    <w:pPr>
      <w:tabs>
        <w:tab w:val="center" w:pos="4153"/>
        <w:tab w:val="right" w:pos="8306"/>
      </w:tabs>
      <w:jc w:val="left"/>
    </w:pPr>
    <w:rPr>
      <w:sz w:val="18"/>
      <w:szCs w:val="18"/>
    </w:rPr>
  </w:style>
  <w:style w:type="paragraph" w:customStyle="1" w:styleId="19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197">
    <w:name w:val="目录 11"/>
    <w:basedOn w:val="1"/>
    <w:next w:val="1"/>
    <w:qFormat/>
    <w:uiPriority w:val="39"/>
  </w:style>
  <w:style w:type="paragraph" w:customStyle="1" w:styleId="198">
    <w:name w:val="正文文本 211"/>
    <w:basedOn w:val="1"/>
    <w:unhideWhenUsed/>
    <w:qFormat/>
    <w:uiPriority w:val="99"/>
    <w:pPr>
      <w:spacing w:after="120" w:line="480" w:lineRule="auto"/>
    </w:pPr>
    <w:rPr>
      <w:sz w:val="20"/>
    </w:rPr>
  </w:style>
  <w:style w:type="paragraph" w:customStyle="1" w:styleId="199">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00">
    <w:name w:val="正文首行缩进1"/>
    <w:basedOn w:val="191"/>
    <w:qFormat/>
    <w:uiPriority w:val="0"/>
    <w:pPr>
      <w:spacing w:line="360" w:lineRule="auto"/>
      <w:ind w:firstLine="200"/>
    </w:pPr>
    <w:rPr>
      <w:rFonts w:ascii="仿宋_GB2312" w:eastAsia="仿宋_GB2312"/>
      <w:sz w:val="30"/>
      <w:szCs w:val="30"/>
    </w:rPr>
  </w:style>
  <w:style w:type="paragraph" w:customStyle="1" w:styleId="201">
    <w:name w:val="正文首行缩进 211"/>
    <w:basedOn w:val="192"/>
    <w:unhideWhenUsed/>
    <w:qFormat/>
    <w:uiPriority w:val="0"/>
    <w:pPr>
      <w:ind w:firstLine="420"/>
    </w:pPr>
    <w:rPr>
      <w:lang w:val="en-US" w:eastAsia="zh-CN"/>
    </w:rPr>
  </w:style>
  <w:style w:type="table" w:customStyle="1" w:styleId="202">
    <w:name w:val="网格型1"/>
    <w:basedOn w:val="190"/>
    <w:qFormat/>
    <w:uiPriority w:val="39"/>
    <w:rPr>
      <w:rFonts w:ascii="Calibri" w:hAnsi="Calibri" w:eastAsia="宋体" w:cs="Times New Roman"/>
      <w:sz w:val="21"/>
      <w:szCs w:val="22"/>
    </w:rPr>
  </w:style>
  <w:style w:type="character" w:customStyle="1" w:styleId="203">
    <w:name w:val="页码1"/>
    <w:basedOn w:val="189"/>
    <w:link w:val="1"/>
    <w:qFormat/>
    <w:uiPriority w:val="0"/>
  </w:style>
  <w:style w:type="character" w:customStyle="1" w:styleId="204">
    <w:name w:val="已访问的超链接1"/>
    <w:link w:val="1"/>
    <w:qFormat/>
    <w:uiPriority w:val="99"/>
    <w:rPr>
      <w:color w:val="000000"/>
      <w:u w:val="none"/>
    </w:rPr>
  </w:style>
  <w:style w:type="character" w:customStyle="1" w:styleId="205">
    <w:name w:val="超链接1"/>
    <w:link w:val="1"/>
    <w:unhideWhenUsed/>
    <w:qFormat/>
    <w:uiPriority w:val="99"/>
    <w:rPr>
      <w:color w:val="0000FF"/>
      <w:u w:val="single"/>
    </w:rPr>
  </w:style>
  <w:style w:type="paragraph" w:customStyle="1" w:styleId="206">
    <w:name w:val="列出段落1"/>
    <w:basedOn w:val="1"/>
    <w:qFormat/>
    <w:uiPriority w:val="34"/>
    <w:pPr>
      <w:ind w:firstLine="200"/>
    </w:pPr>
    <w:rPr>
      <w:rFonts w:ascii="Tahoma" w:hAnsi="Tahoma" w:cs="Verdana"/>
      <w:szCs w:val="22"/>
    </w:rPr>
  </w:style>
  <w:style w:type="paragraph" w:customStyle="1" w:styleId="207">
    <w:name w:val="正文首行缩进 21"/>
    <w:basedOn w:val="208"/>
    <w:qFormat/>
    <w:uiPriority w:val="0"/>
    <w:pPr>
      <w:spacing w:line="240" w:lineRule="auto"/>
      <w:ind w:firstLine="420"/>
    </w:pPr>
  </w:style>
  <w:style w:type="paragraph" w:customStyle="1" w:styleId="208">
    <w:name w:val="正文文本缩进1"/>
    <w:basedOn w:val="1"/>
    <w:qFormat/>
    <w:uiPriority w:val="0"/>
    <w:pPr>
      <w:spacing w:after="120" w:line="360" w:lineRule="auto"/>
      <w:ind w:left="420" w:firstLine="1124"/>
    </w:pPr>
    <w:rPr>
      <w:rFonts w:ascii="Calibri" w:hAnsi="Calibri"/>
      <w:sz w:val="24"/>
      <w:szCs w:val="24"/>
    </w:rPr>
  </w:style>
  <w:style w:type="paragraph" w:customStyle="1" w:styleId="209">
    <w:name w:val="首行缩进"/>
    <w:basedOn w:val="1"/>
    <w:qFormat/>
    <w:uiPriority w:val="0"/>
    <w:pPr>
      <w:ind w:firstLine="480"/>
      <w:jc w:val="left"/>
    </w:pPr>
    <w:rPr>
      <w:rFonts w:ascii="宋体" w:hAnsi="宋体" w:cs="Calibri"/>
      <w:szCs w:val="21"/>
    </w:rPr>
  </w:style>
  <w:style w:type="paragraph" w:customStyle="1" w:styleId="210">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211">
    <w:name w:val="普通文字"/>
    <w:basedOn w:val="1"/>
    <w:next w:val="1"/>
    <w:qFormat/>
    <w:uiPriority w:val="0"/>
    <w:rPr>
      <w:rFonts w:ascii="宋体"/>
      <w:sz w:val="24"/>
      <w:u w:val="none"/>
    </w:rPr>
  </w:style>
  <w:style w:type="paragraph" w:styleId="212">
    <w:name w:val="List Paragraph"/>
    <w:basedOn w:val="1"/>
    <w:qFormat/>
    <w:uiPriority w:val="99"/>
    <w:pPr>
      <w:ind w:firstLine="420"/>
    </w:pPr>
    <w:rPr>
      <w:rFonts w:ascii="Times New Roman" w:hAnsi="Times New Roman"/>
      <w:szCs w:val="20"/>
    </w:rPr>
  </w:style>
  <w:style w:type="paragraph" w:customStyle="1" w:styleId="213">
    <w:name w:val="无间隔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214">
    <w:name w:val="正文缩进1"/>
    <w:basedOn w:val="1"/>
    <w:qFormat/>
    <w:uiPriority w:val="0"/>
    <w:pPr>
      <w:ind w:firstLine="420"/>
      <w:jc w:val="left"/>
    </w:pPr>
    <w:rPr>
      <w:rFonts w:ascii="宋体" w:hAnsi="Calibri"/>
      <w:sz w:val="24"/>
      <w:szCs w:val="22"/>
    </w:rPr>
  </w:style>
  <w:style w:type="paragraph" w:customStyle="1" w:styleId="215">
    <w:name w:val="索引 11"/>
    <w:basedOn w:val="1"/>
    <w:next w:val="1"/>
    <w:qFormat/>
    <w:uiPriority w:val="0"/>
    <w:pPr>
      <w:spacing w:line="360" w:lineRule="auto"/>
    </w:pPr>
    <w:rPr>
      <w:rFonts w:ascii="仿宋_GB2312" w:eastAsia="仿宋_GB2312"/>
      <w:sz w:val="24"/>
    </w:rPr>
  </w:style>
  <w:style w:type="paragraph" w:customStyle="1" w:styleId="216">
    <w:name w:val="纯文本1"/>
    <w:basedOn w:val="1"/>
    <w:qFormat/>
    <w:uiPriority w:val="0"/>
    <w:rPr>
      <w:rFonts w:ascii="宋体" w:hAnsi="Courier New"/>
      <w:szCs w:val="22"/>
    </w:rPr>
  </w:style>
  <w:style w:type="character" w:customStyle="1" w:styleId="217">
    <w:name w:val="Hyperlink.0"/>
    <w:link w:val="1"/>
    <w:qFormat/>
    <w:uiPriority w:val="0"/>
    <w:rPr>
      <w:lang w:val="zh-TW" w:eastAsia="zh-TW"/>
    </w:rPr>
  </w:style>
  <w:style w:type="character" w:customStyle="1" w:styleId="218">
    <w:name w:val="font11"/>
    <w:basedOn w:val="35"/>
    <w:link w:val="1"/>
    <w:qFormat/>
    <w:uiPriority w:val="0"/>
    <w:rPr>
      <w:rFonts w:hint="eastAsia" w:ascii="宋体" w:hAnsi="宋体" w:eastAsia="宋体" w:cs="宋体"/>
      <w:color w:val="FF0000"/>
      <w:sz w:val="18"/>
      <w:szCs w:val="18"/>
      <w:u w:val="none"/>
    </w:rPr>
  </w:style>
  <w:style w:type="character" w:customStyle="1" w:styleId="219">
    <w:name w:val="font181"/>
    <w:basedOn w:val="189"/>
    <w:link w:val="1"/>
    <w:qFormat/>
    <w:uiPriority w:val="0"/>
    <w:rPr>
      <w:rFonts w:hint="eastAsia" w:ascii="宋体" w:hAnsi="宋体" w:eastAsia="宋体" w:cs="宋体"/>
      <w:b/>
      <w:bCs/>
      <w:color w:val="FF0000"/>
      <w:sz w:val="18"/>
      <w:szCs w:val="18"/>
      <w:u w:val="none"/>
    </w:rPr>
  </w:style>
  <w:style w:type="character" w:customStyle="1" w:styleId="220">
    <w:name w:val="font91"/>
    <w:basedOn w:val="35"/>
    <w:link w:val="1"/>
    <w:qFormat/>
    <w:uiPriority w:val="0"/>
    <w:rPr>
      <w:rFonts w:hint="eastAsia" w:ascii="宋体" w:hAnsi="宋体" w:eastAsia="宋体" w:cs="宋体"/>
      <w:b/>
      <w:bCs/>
      <w:color w:val="000000"/>
      <w:sz w:val="18"/>
      <w:szCs w:val="18"/>
      <w:u w:val="none"/>
    </w:rPr>
  </w:style>
  <w:style w:type="character" w:customStyle="1" w:styleId="221">
    <w:name w:val="font61"/>
    <w:basedOn w:val="35"/>
    <w:link w:val="1"/>
    <w:qFormat/>
    <w:uiPriority w:val="0"/>
    <w:rPr>
      <w:rFonts w:hint="eastAsia" w:ascii="宋体" w:hAnsi="宋体" w:eastAsia="宋体" w:cs="宋体"/>
      <w:color w:val="000000"/>
      <w:sz w:val="18"/>
      <w:szCs w:val="18"/>
      <w:u w:val="none"/>
    </w:rPr>
  </w:style>
  <w:style w:type="character" w:customStyle="1" w:styleId="222">
    <w:name w:val="font121"/>
    <w:basedOn w:val="189"/>
    <w:link w:val="1"/>
    <w:qFormat/>
    <w:uiPriority w:val="0"/>
    <w:rPr>
      <w:rFonts w:hint="eastAsia" w:ascii="宋体" w:hAnsi="宋体" w:eastAsia="宋体" w:cs="宋体"/>
      <w:color w:val="7030A0"/>
      <w:sz w:val="18"/>
      <w:szCs w:val="18"/>
      <w:u w:val="none"/>
    </w:rPr>
  </w:style>
  <w:style w:type="character" w:customStyle="1" w:styleId="223">
    <w:name w:val="font101"/>
    <w:basedOn w:val="189"/>
    <w:link w:val="1"/>
    <w:qFormat/>
    <w:uiPriority w:val="0"/>
    <w:rPr>
      <w:rFonts w:hint="eastAsia" w:ascii="宋体" w:hAnsi="宋体" w:eastAsia="宋体" w:cs="宋体"/>
      <w:color w:val="000000"/>
      <w:sz w:val="18"/>
      <w:szCs w:val="18"/>
      <w:u w:val="none"/>
    </w:rPr>
  </w:style>
  <w:style w:type="character" w:customStyle="1" w:styleId="224">
    <w:name w:val="font171"/>
    <w:basedOn w:val="35"/>
    <w:link w:val="1"/>
    <w:qFormat/>
    <w:uiPriority w:val="0"/>
    <w:rPr>
      <w:rFonts w:hint="eastAsia" w:ascii="宋体" w:hAnsi="宋体" w:eastAsia="宋体" w:cs="宋体"/>
      <w:color w:val="FF0000"/>
      <w:sz w:val="18"/>
      <w:szCs w:val="18"/>
      <w:u w:val="none"/>
    </w:rPr>
  </w:style>
  <w:style w:type="character" w:customStyle="1" w:styleId="225">
    <w:name w:val="font141"/>
    <w:basedOn w:val="189"/>
    <w:link w:val="1"/>
    <w:qFormat/>
    <w:uiPriority w:val="0"/>
    <w:rPr>
      <w:rFonts w:hint="eastAsia" w:ascii="宋体" w:hAnsi="宋体" w:eastAsia="宋体" w:cs="宋体"/>
      <w:b/>
      <w:bCs/>
      <w:color w:val="FF0000"/>
      <w:sz w:val="18"/>
      <w:szCs w:val="18"/>
      <w:u w:val="none"/>
    </w:rPr>
  </w:style>
  <w:style w:type="character" w:customStyle="1" w:styleId="226">
    <w:name w:val="font111"/>
    <w:basedOn w:val="189"/>
    <w:link w:val="1"/>
    <w:qFormat/>
    <w:uiPriority w:val="0"/>
    <w:rPr>
      <w:rFonts w:hint="eastAsia" w:ascii="宋体" w:hAnsi="宋体" w:eastAsia="宋体" w:cs="宋体"/>
      <w:color w:val="FF0000"/>
      <w:sz w:val="18"/>
      <w:szCs w:val="18"/>
      <w:u w:val="none"/>
    </w:rPr>
  </w:style>
  <w:style w:type="character" w:customStyle="1" w:styleId="227">
    <w:name w:val="font122"/>
    <w:basedOn w:val="189"/>
    <w:link w:val="1"/>
    <w:qFormat/>
    <w:uiPriority w:val="0"/>
    <w:rPr>
      <w:rFonts w:hint="eastAsia" w:ascii="宋体" w:hAnsi="宋体" w:eastAsia="宋体" w:cs="宋体"/>
      <w:b/>
      <w:bCs/>
      <w:color w:val="FF0000"/>
      <w:sz w:val="18"/>
      <w:szCs w:val="18"/>
      <w:u w:val="none"/>
    </w:rPr>
  </w:style>
  <w:style w:type="character" w:customStyle="1" w:styleId="228">
    <w:name w:val="font51"/>
    <w:basedOn w:val="189"/>
    <w:link w:val="1"/>
    <w:qFormat/>
    <w:uiPriority w:val="0"/>
    <w:rPr>
      <w:rFonts w:hint="eastAsia" w:ascii="宋体" w:hAnsi="宋体" w:eastAsia="宋体" w:cs="宋体"/>
      <w:color w:val="000000"/>
      <w:sz w:val="18"/>
      <w:szCs w:val="18"/>
      <w:u w:val="none"/>
    </w:rPr>
  </w:style>
  <w:style w:type="character" w:customStyle="1" w:styleId="229">
    <w:name w:val="font81"/>
    <w:basedOn w:val="189"/>
    <w:link w:val="1"/>
    <w:qFormat/>
    <w:uiPriority w:val="0"/>
    <w:rPr>
      <w:rFonts w:hint="eastAsia" w:ascii="宋体" w:hAnsi="宋体" w:eastAsia="宋体" w:cs="宋体"/>
      <w:color w:val="000000"/>
      <w:sz w:val="18"/>
      <w:szCs w:val="18"/>
      <w:u w:val="none"/>
    </w:rPr>
  </w:style>
  <w:style w:type="character" w:customStyle="1" w:styleId="230">
    <w:name w:val="font21"/>
    <w:basedOn w:val="189"/>
    <w:link w:val="1"/>
    <w:qFormat/>
    <w:uiPriority w:val="0"/>
    <w:rPr>
      <w:rFonts w:hint="eastAsia" w:ascii="宋体" w:hAnsi="宋体" w:eastAsia="宋体" w:cs="宋体"/>
      <w:color w:val="000000"/>
      <w:sz w:val="18"/>
      <w:szCs w:val="18"/>
      <w:u w:val="none"/>
    </w:rPr>
  </w:style>
  <w:style w:type="character" w:customStyle="1" w:styleId="231">
    <w:name w:val="NormalCharacter1"/>
    <w:link w:val="1"/>
    <w:qFormat/>
    <w:uiPriority w:val="0"/>
  </w:style>
  <w:style w:type="character" w:customStyle="1" w:styleId="232">
    <w:name w:val="font132"/>
    <w:basedOn w:val="189"/>
    <w:link w:val="1"/>
    <w:qFormat/>
    <w:uiPriority w:val="0"/>
    <w:rPr>
      <w:rFonts w:ascii="Times New Roman" w:hAnsi="Times New Roman" w:cs="Times New Roman"/>
      <w:color w:val="000000"/>
      <w:sz w:val="22"/>
      <w:szCs w:val="22"/>
      <w:u w:val="none"/>
    </w:rPr>
  </w:style>
  <w:style w:type="character" w:customStyle="1" w:styleId="233">
    <w:name w:val="font41"/>
    <w:basedOn w:val="189"/>
    <w:link w:val="1"/>
    <w:qFormat/>
    <w:uiPriority w:val="0"/>
    <w:rPr>
      <w:rFonts w:hint="eastAsia" w:ascii="宋体" w:hAnsi="宋体" w:eastAsia="宋体" w:cs="宋体"/>
      <w:color w:val="000000"/>
      <w:sz w:val="22"/>
      <w:szCs w:val="22"/>
      <w:u w:val="none"/>
    </w:rPr>
  </w:style>
  <w:style w:type="character" w:customStyle="1" w:styleId="234">
    <w:name w:val="font31"/>
    <w:basedOn w:val="35"/>
    <w:link w:val="1"/>
    <w:qFormat/>
    <w:uiPriority w:val="0"/>
    <w:rPr>
      <w:rFonts w:hint="eastAsia" w:ascii="宋体" w:hAnsi="宋体" w:eastAsia="宋体" w:cs="宋体"/>
      <w:color w:val="000000"/>
      <w:sz w:val="24"/>
      <w:szCs w:val="24"/>
      <w:u w:val="none"/>
    </w:rPr>
  </w:style>
  <w:style w:type="paragraph" w:customStyle="1" w:styleId="235">
    <w:name w:val="正文文本1"/>
    <w:basedOn w:val="1"/>
    <w:qFormat/>
    <w:uiPriority w:val="0"/>
    <w:rPr>
      <w:rFonts w:cs="Times New Roman"/>
      <w:sz w:val="20"/>
      <w:szCs w:val="20"/>
    </w:rPr>
  </w:style>
  <w:style w:type="paragraph" w:customStyle="1" w:styleId="236">
    <w:name w:val="正文文本首行缩进"/>
    <w:basedOn w:val="235"/>
    <w:qFormat/>
    <w:uiPriority w:val="0"/>
    <w:pPr>
      <w:tabs>
        <w:tab w:val="left" w:pos="2020"/>
        <w:tab w:val="center" w:pos="4535"/>
      </w:tabs>
      <w:spacing w:after="120"/>
      <w:ind w:firstLine="420"/>
    </w:pPr>
    <w:rPr>
      <w:rFonts w:ascii="Times New Roman"/>
      <w:sz w:val="21"/>
    </w:rPr>
  </w:style>
  <w:style w:type="character" w:customStyle="1" w:styleId="237">
    <w:name w:val="font131"/>
    <w:basedOn w:val="189"/>
    <w:link w:val="1"/>
    <w:qFormat/>
    <w:uiPriority w:val="0"/>
    <w:rPr>
      <w:rFonts w:ascii="Wingdings 2" w:hAnsi="Wingdings 2" w:eastAsia="Wingdings 2" w:cs="Wingdings 2"/>
      <w:color w:val="000000"/>
      <w:sz w:val="20"/>
      <w:szCs w:val="20"/>
      <w:u w:val="none"/>
    </w:rPr>
  </w:style>
  <w:style w:type="paragraph" w:customStyle="1" w:styleId="238">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39">
    <w:name w:val="纯文本11"/>
    <w:basedOn w:val="1"/>
    <w:qFormat/>
    <w:uiPriority w:val="0"/>
    <w:rPr>
      <w:rFonts w:ascii="宋体" w:hAnsi="Courier New"/>
    </w:rPr>
  </w:style>
  <w:style w:type="paragraph" w:customStyle="1" w:styleId="240">
    <w:name w:val="正文文本 21"/>
    <w:basedOn w:val="1"/>
    <w:qFormat/>
    <w:uiPriority w:val="0"/>
    <w:pPr>
      <w:spacing w:after="120" w:line="480" w:lineRule="auto"/>
    </w:pPr>
    <w:rPr>
      <w:rFonts w:cs="Times New Roman"/>
      <w:sz w:val="20"/>
      <w:szCs w:val="20"/>
    </w:rPr>
  </w:style>
  <w:style w:type="character" w:customStyle="1" w:styleId="241">
    <w:name w:val="font12"/>
    <w:basedOn w:val="189"/>
    <w:link w:val="1"/>
    <w:qFormat/>
    <w:uiPriority w:val="0"/>
    <w:rPr>
      <w:rFonts w:hint="eastAsia" w:ascii="宋体" w:hAnsi="宋体" w:eastAsia="宋体" w:cs="宋体"/>
      <w:color w:val="000000"/>
      <w:sz w:val="20"/>
      <w:szCs w:val="20"/>
      <w:u w:val="none"/>
    </w:rPr>
  </w:style>
  <w:style w:type="paragraph" w:customStyle="1" w:styleId="242">
    <w:name w:val="正文文本缩进 31"/>
    <w:basedOn w:val="1"/>
    <w:qFormat/>
    <w:uiPriority w:val="0"/>
    <w:pPr>
      <w:spacing w:line="360" w:lineRule="auto"/>
      <w:ind w:firstLine="698"/>
      <w:jc w:val="left"/>
    </w:pPr>
    <w:rPr>
      <w:rFonts w:ascii="仿宋_GB2312" w:eastAsia="仿宋_GB2312"/>
      <w:sz w:val="32"/>
      <w:szCs w:val="20"/>
    </w:rPr>
  </w:style>
  <w:style w:type="character" w:customStyle="1" w:styleId="243">
    <w:name w:val="font151"/>
    <w:basedOn w:val="35"/>
    <w:qFormat/>
    <w:uiPriority w:val="0"/>
    <w:rPr>
      <w:rFonts w:ascii="Arial" w:hAnsi="Arial" w:cs="Arial"/>
      <w:color w:val="000000"/>
      <w:sz w:val="20"/>
      <w:szCs w:val="20"/>
      <w:u w:val="none"/>
    </w:rPr>
  </w:style>
  <w:style w:type="character" w:customStyle="1" w:styleId="244">
    <w:name w:val="font161"/>
    <w:basedOn w:val="35"/>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numbering" Target="numbering.xml"/><Relationship Id="rId91" Type="http://schemas.openxmlformats.org/officeDocument/2006/relationships/customXml" Target="../customXml/item1.xml"/><Relationship Id="rId90" Type="http://schemas.openxmlformats.org/officeDocument/2006/relationships/image" Target="media/image79.png"/><Relationship Id="rId9" Type="http://schemas.openxmlformats.org/officeDocument/2006/relationships/footer" Target="footer5.xml"/><Relationship Id="rId89" Type="http://schemas.openxmlformats.org/officeDocument/2006/relationships/image" Target="media/image78.png"/><Relationship Id="rId88" Type="http://schemas.openxmlformats.org/officeDocument/2006/relationships/image" Target="media/image77.png"/><Relationship Id="rId87" Type="http://schemas.openxmlformats.org/officeDocument/2006/relationships/image" Target="media/image76.png"/><Relationship Id="rId86" Type="http://schemas.openxmlformats.org/officeDocument/2006/relationships/image" Target="media/image75.png"/><Relationship Id="rId85" Type="http://schemas.openxmlformats.org/officeDocument/2006/relationships/image" Target="media/image74.png"/><Relationship Id="rId84" Type="http://schemas.openxmlformats.org/officeDocument/2006/relationships/image" Target="media/image73.png"/><Relationship Id="rId83" Type="http://schemas.openxmlformats.org/officeDocument/2006/relationships/image" Target="media/image72.png"/><Relationship Id="rId82" Type="http://schemas.openxmlformats.org/officeDocument/2006/relationships/image" Target="media/image71.png"/><Relationship Id="rId81" Type="http://schemas.openxmlformats.org/officeDocument/2006/relationships/image" Target="media/image70.png"/><Relationship Id="rId80" Type="http://schemas.openxmlformats.org/officeDocument/2006/relationships/image" Target="media/image69.png"/><Relationship Id="rId8" Type="http://schemas.openxmlformats.org/officeDocument/2006/relationships/header" Target="header2.xml"/><Relationship Id="rId79" Type="http://schemas.openxmlformats.org/officeDocument/2006/relationships/image" Target="media/image68.png"/><Relationship Id="rId78" Type="http://schemas.openxmlformats.org/officeDocument/2006/relationships/image" Target="media/image67.png"/><Relationship Id="rId77" Type="http://schemas.openxmlformats.org/officeDocument/2006/relationships/image" Target="media/image66.png"/><Relationship Id="rId76" Type="http://schemas.openxmlformats.org/officeDocument/2006/relationships/image" Target="media/image65.png"/><Relationship Id="rId75" Type="http://schemas.openxmlformats.org/officeDocument/2006/relationships/image" Target="media/image64.png"/><Relationship Id="rId74" Type="http://schemas.openxmlformats.org/officeDocument/2006/relationships/image" Target="media/image63.png"/><Relationship Id="rId73" Type="http://schemas.openxmlformats.org/officeDocument/2006/relationships/image" Target="media/image62.png"/><Relationship Id="rId72" Type="http://schemas.openxmlformats.org/officeDocument/2006/relationships/image" Target="media/image61.png"/><Relationship Id="rId71" Type="http://schemas.openxmlformats.org/officeDocument/2006/relationships/image" Target="media/image60.png"/><Relationship Id="rId70" Type="http://schemas.openxmlformats.org/officeDocument/2006/relationships/image" Target="media/image59.png"/><Relationship Id="rId7" Type="http://schemas.openxmlformats.org/officeDocument/2006/relationships/footer" Target="footer4.xml"/><Relationship Id="rId69" Type="http://schemas.openxmlformats.org/officeDocument/2006/relationships/image" Target="media/image58.png"/><Relationship Id="rId68" Type="http://schemas.openxmlformats.org/officeDocument/2006/relationships/image" Target="media/image57.png"/><Relationship Id="rId67" Type="http://schemas.openxmlformats.org/officeDocument/2006/relationships/image" Target="media/image56.png"/><Relationship Id="rId66" Type="http://schemas.openxmlformats.org/officeDocument/2006/relationships/image" Target="media/image55.png"/><Relationship Id="rId65" Type="http://schemas.openxmlformats.org/officeDocument/2006/relationships/image" Target="media/image54.png"/><Relationship Id="rId64" Type="http://schemas.openxmlformats.org/officeDocument/2006/relationships/image" Target="media/image53.png"/><Relationship Id="rId63" Type="http://schemas.openxmlformats.org/officeDocument/2006/relationships/image" Target="media/image52.png"/><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footer" Target="footer3.xml"/><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header" Target="header1.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footer" Target="footer2.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er" Target="foot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22393</Words>
  <Characters>24126</Characters>
  <TotalTime>6</TotalTime>
  <ScaleCrop>false</ScaleCrop>
  <LinksUpToDate>false</LinksUpToDate>
  <CharactersWithSpaces>24349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2022-10-17T07:36:00Z</dcterms:created>
  <dc:creator>Adminis</dc:creator>
  <cp:lastModifiedBy>那时花开</cp:lastModifiedBy>
  <dcterms:modified xsi:type="dcterms:W3CDTF">2026-03-25T02:42:29Z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C24E8C29F6F645E0AFB102F01DA1895B_13</vt:lpwstr>
  </property>
  <property fmtid="{D5CDD505-2E9C-101B-9397-08002B2CF9AE}" pid="4" name="KSOTemplateDocerSaveRecord">
    <vt:lpwstr>eyJoZGlkIjoiOWZiMGE5ODRhZTM0MzhmN2M4YmE5Zjk1M2FkZDQyMTAiLCJ1c2VySWQiOiIzNDEwNTA3NjQifQ==</vt:lpwstr>
  </property>
</Properties>
</file>