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jc w:val="left"/>
        <w:spacing w:line="360" w:lineRule="auto"/>
        <w:rPr>
          <w:rFonts w:hint="eastAsia" w:ascii="宋体" w:hAnsi="宋体" w:eastAsia="宋体" w:cs="宋体"/>
          <w:b/>
          <w:bCs/>
          <w:color w:val="000000"/>
          <w:spacing w:val="80"/>
          <w:sz w:val="64"/>
          <w:szCs w:val="20"/>
          <w:highlight w:val="none"/>
        </w:rPr>
      </w:pPr>
      <w:r>
        <w:rPr>
          <w:rFonts w:hint="eastAsia" w:ascii="宋体" w:hAnsi="宋体" w:eastAsia="宋体" w:cs="宋体"/>
          <w:b/>
          <w:bCs/>
          <w:color w:val="000000"/>
          <w:spacing w:val="80"/>
          <w:sz w:val="64"/>
          <w:szCs w:val="20"/>
          <w:highlight w:val="none"/>
        </w:rPr>
      </w:r>
      <w:r/>
    </w:p>
    <w:p>
      <w:pPr>
        <w:pStyle w:val="726"/>
        <w:jc w:val="left"/>
        <w:spacing w:line="360" w:lineRule="auto"/>
        <w:rPr>
          <w:rFonts w:hint="eastAsia" w:ascii="宋体" w:hAnsi="宋体" w:eastAsia="宋体" w:cs="宋体"/>
          <w:b/>
          <w:bCs/>
          <w:color w:val="000000"/>
          <w:spacing w:val="80"/>
          <w:sz w:val="64"/>
          <w:szCs w:val="20"/>
          <w:highlight w:val="none"/>
        </w:rPr>
      </w:pPr>
      <w:r>
        <w:rPr>
          <w:rFonts w:hint="eastAsia" w:ascii="宋体" w:hAnsi="宋体" w:eastAsia="宋体" w:cs="宋体"/>
          <w:b/>
          <w:bCs/>
          <w:color w:val="000000"/>
          <w:spacing w:val="80"/>
          <w:sz w:val="64"/>
          <w:szCs w:val="20"/>
          <w:highlight w:val="none"/>
        </w:rPr>
      </w:r>
      <w:r/>
    </w:p>
    <w:p>
      <w:pPr>
        <w:pStyle w:val="72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连云港市政府采购</w:t>
      </w:r>
      <w:r>
        <w:rPr>
          <w:rFonts w:hint="eastAsia" w:ascii="宋体" w:hAnsi="宋体" w:eastAsia="宋体" w:cs="宋体"/>
          <w:b/>
          <w:bCs/>
          <w:color w:val="000000"/>
          <w:spacing w:val="80"/>
          <w:sz w:val="72"/>
          <w:szCs w:val="72"/>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jc w:val="center"/>
        <w:spacing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招标文件</w:t>
      </w:r>
      <w:r>
        <w:rPr>
          <w:rFonts w:hint="eastAsia" w:ascii="宋体" w:hAnsi="宋体" w:eastAsia="宋体" w:cs="宋体"/>
          <w:b/>
          <w:bCs/>
          <w:color w:val="000000"/>
          <w:spacing w:val="80"/>
          <w:sz w:val="72"/>
          <w:szCs w:val="72"/>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firstLine="947"/>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pStyle w:val="726"/>
        <w:ind w:left="840" w:firstLine="611"/>
        <w:spacing w:line="360" w:lineRule="auto"/>
        <w:rPr>
          <w:rFonts w:hint="eastAsia" w:ascii="宋体" w:hAnsi="宋体" w:eastAsia="宋体" w:cs="宋体"/>
          <w:b/>
          <w:bCs/>
          <w:color w:val="000000"/>
          <w:spacing w:val="16"/>
          <w:sz w:val="44"/>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lang w:eastAsia="zh-CN"/>
        </w:rPr>
        <w:t xml:space="preserve">智慧文旅综合实训基地项目（非专门面向中小企业）</w:t>
      </w:r>
      <w:r>
        <w:rPr>
          <w:rFonts w:hint="eastAsia" w:ascii="宋体" w:hAnsi="宋体" w:eastAsia="宋体" w:cs="宋体"/>
          <w:b/>
          <w:bCs/>
          <w:color w:val="000000"/>
          <w:spacing w:val="16"/>
          <w:sz w:val="44"/>
          <w:szCs w:val="24"/>
          <w:highlight w:val="none"/>
          <w:lang w:eastAsia="zh-CN"/>
        </w:rPr>
      </w:r>
      <w:r/>
    </w:p>
    <w:p>
      <w:pPr>
        <w:pStyle w:val="726"/>
        <w:ind w:left="840" w:firstLine="611"/>
        <w:spacing w:line="360" w:lineRule="auto"/>
        <w:rPr>
          <w:rFonts w:hint="eastAsia" w:ascii="宋体" w:hAnsi="宋体" w:eastAsia="宋体" w:cs="宋体"/>
          <w:b/>
          <w:bCs/>
          <w:color w:val="000000"/>
          <w:sz w:val="32"/>
          <w:szCs w:val="24"/>
          <w:highlight w:val="none"/>
          <w:lang w:val="en-US" w:eastAsia="zh-CN"/>
        </w:rPr>
      </w:pPr>
      <w:r>
        <w:rPr>
          <w:rFonts w:hint="eastAsia" w:ascii="宋体" w:hAnsi="宋体" w:eastAsia="宋体" w:cs="宋体"/>
          <w:b/>
          <w:bCs/>
          <w:color w:val="000000"/>
          <w:sz w:val="32"/>
          <w:szCs w:val="24"/>
          <w:highlight w:val="none"/>
        </w:rPr>
        <w:t xml:space="preserve">项目编号：</w:t>
      </w:r>
      <w:r>
        <w:rPr>
          <w:rFonts w:hint="eastAsia" w:ascii="宋体" w:hAnsi="宋体" w:eastAsia="宋体" w:cs="宋体"/>
          <w:b/>
          <w:bCs/>
          <w:color w:val="000000"/>
          <w:sz w:val="32"/>
          <w:szCs w:val="24"/>
          <w:highlight w:val="none"/>
          <w:lang w:eastAsia="zh-CN"/>
        </w:rPr>
        <w:t xml:space="preserve">JSZC-320700-ZHDH-G2026-0003</w:t>
      </w:r>
      <w:r>
        <w:rPr>
          <w:rFonts w:hint="eastAsia" w:ascii="宋体" w:hAnsi="宋体" w:eastAsia="宋体" w:cs="宋体"/>
          <w:b/>
          <w:bCs/>
          <w:color w:val="000000"/>
          <w:sz w:val="32"/>
          <w:szCs w:val="24"/>
          <w:highlight w:val="none"/>
          <w:lang w:val="en-US" w:eastAsia="zh-CN"/>
        </w:rPr>
      </w:r>
      <w:r/>
    </w:p>
    <w:p>
      <w:pPr>
        <w:pStyle w:val="72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right="-993"/>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ind w:left="840" w:firstLine="640"/>
        <w:spacing w:before="120" w:after="120" w:line="360" w:lineRule="auto"/>
        <w:rPr>
          <w:rFonts w:hint="eastAsia" w:ascii="宋体" w:hAnsi="宋体" w:eastAsia="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采购人：</w:t>
      </w:r>
      <w:r>
        <w:rPr>
          <w:rFonts w:hint="eastAsia" w:ascii="宋体" w:hAnsi="宋体" w:eastAsia="宋体" w:cs="宋体"/>
          <w:bCs/>
          <w:color w:val="000000"/>
          <w:sz w:val="32"/>
          <w:szCs w:val="24"/>
          <w:highlight w:val="none"/>
          <w:lang w:eastAsia="zh-CN"/>
        </w:rPr>
        <w:t xml:space="preserve">连云港职业技术学院</w:t>
      </w:r>
      <w:r>
        <w:rPr>
          <w:rFonts w:hint="eastAsia" w:ascii="宋体" w:hAnsi="宋体" w:eastAsia="宋体" w:cs="宋体"/>
          <w:bCs/>
          <w:color w:val="000000"/>
          <w:sz w:val="32"/>
          <w:szCs w:val="24"/>
          <w:highlight w:val="none"/>
          <w:lang w:eastAsia="zh-CN"/>
        </w:rPr>
      </w:r>
      <w:r/>
    </w:p>
    <w:p>
      <w:pPr>
        <w:pStyle w:val="726"/>
        <w:ind w:firstLine="1280"/>
        <w:jc w:val="left"/>
        <w:spacing w:before="120" w:after="120" w:line="360" w:lineRule="auto"/>
        <w:rPr>
          <w:rFonts w:hint="eastAsia" w:ascii="宋体" w:hAnsi="宋体" w:eastAsia="宋体" w:cs="宋体"/>
          <w:bCs/>
          <w:color w:val="000000"/>
          <w:sz w:val="32"/>
          <w:szCs w:val="24"/>
          <w:highlight w:val="none"/>
          <w:lang w:eastAsia="zh-CN"/>
        </w:rPr>
      </w:pPr>
      <w:r>
        <w:rPr>
          <w:rFonts w:hint="eastAsia" w:ascii="宋体" w:hAnsi="宋体" w:eastAsia="宋体" w:cs="宋体"/>
          <w:bCs/>
          <w:color w:val="000000"/>
          <w:sz w:val="32"/>
          <w:szCs w:val="24"/>
          <w:highlight w:val="none"/>
        </w:rPr>
        <w:t xml:space="preserve">采购代理机构：</w:t>
      </w:r>
      <w:r>
        <w:rPr>
          <w:rFonts w:hint="eastAsia" w:ascii="宋体" w:hAnsi="宋体" w:eastAsia="宋体" w:cs="宋体"/>
          <w:bCs/>
          <w:color w:val="000000"/>
          <w:sz w:val="32"/>
          <w:szCs w:val="24"/>
          <w:highlight w:val="none"/>
          <w:lang w:eastAsia="zh-CN"/>
        </w:rPr>
        <w:t xml:space="preserve">中和德汇工程技术有限公司</w:t>
      </w:r>
      <w:r>
        <w:rPr>
          <w:rFonts w:hint="eastAsia" w:ascii="宋体" w:hAnsi="宋体" w:eastAsia="宋体" w:cs="宋体"/>
          <w:bCs/>
          <w:color w:val="000000"/>
          <w:sz w:val="32"/>
          <w:szCs w:val="24"/>
          <w:highlight w:val="none"/>
          <w:lang w:eastAsia="zh-CN"/>
        </w:rPr>
      </w:r>
      <w:r/>
    </w:p>
    <w:p>
      <w:pPr>
        <w:pStyle w:val="726"/>
        <w:jc w:val="center"/>
        <w:spacing w:before="120" w:after="120"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 xml:space="preserve">202</w:t>
      </w:r>
      <w:r>
        <w:rPr>
          <w:rFonts w:hint="eastAsia" w:ascii="宋体" w:hAnsi="宋体" w:eastAsia="宋体" w:cs="宋体"/>
          <w:bCs/>
          <w:color w:val="000000"/>
          <w:sz w:val="30"/>
          <w:szCs w:val="30"/>
          <w:highlight w:val="none"/>
          <w:lang w:val="en-US" w:eastAsia="zh-CN"/>
        </w:rPr>
        <w:t xml:space="preserve">6</w:t>
      </w:r>
      <w:r>
        <w:rPr>
          <w:rFonts w:hint="eastAsia" w:ascii="宋体" w:hAnsi="宋体" w:eastAsia="宋体" w:cs="宋体"/>
          <w:bCs/>
          <w:color w:val="000000"/>
          <w:sz w:val="30"/>
          <w:szCs w:val="30"/>
          <w:highlight w:val="none"/>
          <w:lang w:eastAsia="zh-CN"/>
        </w:rPr>
        <w:t xml:space="preserve">年</w:t>
      </w:r>
      <w:r>
        <w:rPr>
          <w:rFonts w:hint="eastAsia" w:ascii="宋体" w:hAnsi="宋体" w:eastAsia="宋体" w:cs="宋体"/>
          <w:bCs/>
          <w:color w:val="000000"/>
          <w:sz w:val="30"/>
          <w:szCs w:val="30"/>
          <w:highlight w:val="none"/>
          <w:lang w:val="en-US" w:eastAsia="zh-CN"/>
        </w:rPr>
        <w:t xml:space="preserve">03</w:t>
      </w:r>
      <w:r>
        <w:rPr>
          <w:rFonts w:hint="eastAsia" w:ascii="宋体" w:hAnsi="宋体" w:eastAsia="宋体" w:cs="宋体"/>
          <w:bCs/>
          <w:color w:val="000000"/>
          <w:sz w:val="30"/>
          <w:szCs w:val="30"/>
          <w:highlight w:val="none"/>
          <w:lang w:eastAsia="zh-CN"/>
        </w:rPr>
        <w:t xml:space="preserve">月</w:t>
      </w:r>
      <w:r>
        <w:rPr>
          <w:rFonts w:hint="eastAsia" w:ascii="宋体" w:hAnsi="宋体" w:eastAsia="宋体" w:cs="宋体"/>
          <w:bCs/>
          <w:color w:val="000000"/>
          <w:sz w:val="30"/>
          <w:szCs w:val="30"/>
          <w:highlight w:val="none"/>
          <w:lang w:eastAsia="zh-CN"/>
        </w:rPr>
      </w:r>
      <w:r/>
    </w:p>
    <w:p>
      <w:pPr>
        <w:pStyle w:val="726"/>
        <w:jc w:val="center"/>
        <w:spacing w:line="360" w:lineRule="auto"/>
        <w:rPr>
          <w:rFonts w:hint="eastAsia" w:ascii="宋体" w:hAnsi="宋体" w:eastAsia="宋体" w:cs="宋体"/>
          <w:b/>
          <w:color w:val="000000"/>
          <w:sz w:val="36"/>
          <w:szCs w:val="20"/>
          <w:highlight w:val="none"/>
        </w:rPr>
      </w:pPr>
      <w:r>
        <w:rPr>
          <w:rFonts w:hint="eastAsia" w:ascii="宋体" w:hAnsi="宋体" w:eastAsia="宋体" w:cs="宋体"/>
          <w:b/>
          <w:color w:val="000000"/>
          <w:sz w:val="28"/>
          <w:szCs w:val="20"/>
          <w:highlight w:val="none"/>
        </w:rPr>
        <w:br w:type="page" w:clear="all"/>
      </w:r>
      <w:bookmarkStart w:id="0" w:name="_Toc3580"/>
      <w:r>
        <w:rPr>
          <w:rFonts w:hint="eastAsia" w:ascii="宋体" w:hAnsi="宋体" w:eastAsia="宋体" w:cs="宋体"/>
          <w:color w:val="000000"/>
          <w:sz w:val="36"/>
          <w:szCs w:val="20"/>
          <w:highlight w:val="none"/>
        </w:rPr>
        <w:t xml:space="preserve">目</w:t>
      </w:r>
      <w:r>
        <w:rPr>
          <w:rFonts w:hint="eastAsia" w:ascii="宋体" w:hAnsi="宋体" w:eastAsia="宋体" w:cs="宋体"/>
          <w:color w:val="000000"/>
          <w:sz w:val="36"/>
          <w:szCs w:val="20"/>
          <w:highlight w:val="none"/>
          <w:lang w:val="en-US" w:eastAsia="zh-CN"/>
        </w:rPr>
        <w:t xml:space="preserve"> </w:t>
      </w:r>
      <w:r>
        <w:rPr>
          <w:rFonts w:hint="eastAsia" w:ascii="宋体" w:hAnsi="宋体" w:eastAsia="宋体" w:cs="宋体"/>
          <w:color w:val="000000"/>
          <w:sz w:val="36"/>
          <w:szCs w:val="20"/>
          <w:highlight w:val="none"/>
        </w:rPr>
        <w:t xml:space="preserve">录</w:t>
      </w:r>
      <w:bookmarkEnd w:id="0"/>
      <w:r>
        <w:rPr>
          <w:rFonts w:hint="eastAsia" w:ascii="宋体" w:hAnsi="宋体" w:eastAsia="宋体" w:cs="宋体"/>
          <w:b/>
          <w:color w:val="000000"/>
          <w:sz w:val="36"/>
          <w:szCs w:val="20"/>
          <w:highlight w:val="none"/>
        </w:rPr>
      </w:r>
      <w:r/>
    </w:p>
    <w:p>
      <w:pPr>
        <w:pStyle w:val="777"/>
        <w:ind w:left="0" w:firstLine="0"/>
        <w:jc w:val="center"/>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TOC \o "1-1" \h \u </w:instrText>
      </w:r>
      <w:r>
        <w:rPr>
          <w:rFonts w:hint="eastAsia" w:ascii="宋体" w:hAnsi="宋体" w:eastAsia="宋体" w:cs="宋体"/>
          <w:b w:val="0"/>
          <w:bCs w:val="0"/>
          <w:i w:val="0"/>
          <w:color w:val="000000"/>
          <w:sz w:val="28"/>
          <w:szCs w:val="28"/>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"_Toc150765434"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第一章投标邀请</w:t>
      </w:r>
      <w:r>
        <w:rPr>
          <w:rFonts w:hint="eastAsia" w:ascii="宋体" w:hAnsi="宋体" w:eastAsia="宋体" w:cs="宋体"/>
          <w:i w:val="0"/>
          <w:color w:val="000000"/>
          <w:sz w:val="28"/>
          <w:szCs w:val="28"/>
          <w:highlight w:val="none"/>
        </w:rPr>
        <w:tab/>
      </w:r>
      <w:r>
        <w:rPr>
          <w:rFonts w:hint="eastAsia" w:ascii="宋体" w:hAnsi="宋体" w:eastAsia="宋体" w:cs="宋体"/>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 PAGEREF _Toc150765434 \h </w:instrText>
      </w:r>
      <w:r>
        <w:rPr>
          <w:rFonts w:hint="eastAsia" w:ascii="宋体" w:hAnsi="宋体" w:eastAsia="宋体" w:cs="宋体"/>
          <w:i w:val="0"/>
          <w:color w:val="000000"/>
          <w:sz w:val="28"/>
          <w:szCs w:val="28"/>
          <w:highlight w:val="none"/>
        </w:rPr>
        <w:fldChar w:fldCharType="separate"/>
      </w:r>
      <w:r>
        <w:rPr>
          <w:rFonts w:hint="eastAsia" w:ascii="宋体" w:hAnsi="宋体" w:eastAsia="宋体" w:cs="宋体"/>
          <w:i w:val="0"/>
          <w:color w:val="000000"/>
          <w:sz w:val="28"/>
          <w:szCs w:val="28"/>
          <w:highlight w:val="none"/>
        </w:rPr>
        <w:t xml:space="preserve">3</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"_Toc150765435"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第二章投标人须知</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7</w:t>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"_Toc150765436"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第三章政府采购合同格式</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2</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3</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"_Toc150765437"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第四章投标文件格式</w:t>
      </w:r>
      <w:r>
        <w:rPr>
          <w:rFonts w:hint="eastAsia" w:ascii="宋体" w:hAnsi="宋体" w:eastAsia="宋体" w:cs="宋体"/>
          <w:i w:val="0"/>
          <w:color w:val="000000"/>
          <w:sz w:val="28"/>
          <w:szCs w:val="28"/>
          <w:highlight w:val="none"/>
        </w:rPr>
        <w:tab/>
      </w:r>
      <w:r>
        <w:rPr>
          <w:rFonts w:hint="eastAsia" w:ascii="宋体" w:hAnsi="宋体" w:eastAsia="宋体" w:cs="宋体"/>
          <w:i w:val="0"/>
          <w:color w:val="000000"/>
          <w:sz w:val="28"/>
          <w:szCs w:val="28"/>
          <w:highlight w:val="none"/>
        </w:rPr>
        <w:fldChar w:fldCharType="begin"/>
      </w:r>
      <w:r>
        <w:rPr>
          <w:rFonts w:hint="eastAsia" w:ascii="宋体" w:hAnsi="宋体" w:eastAsia="宋体" w:cs="宋体"/>
          <w:i w:val="0"/>
          <w:color w:val="000000"/>
          <w:sz w:val="28"/>
          <w:szCs w:val="28"/>
          <w:highlight w:val="none"/>
        </w:rPr>
        <w:instrText xml:space="preserve"> PAGEREF _Toc150765437 \h </w:instrText>
      </w:r>
      <w:r>
        <w:rPr>
          <w:rFonts w:hint="eastAsia" w:ascii="宋体" w:hAnsi="宋体" w:eastAsia="宋体" w:cs="宋体"/>
          <w:i w:val="0"/>
          <w:color w:val="000000"/>
          <w:sz w:val="28"/>
          <w:szCs w:val="28"/>
          <w:highlight w:val="none"/>
        </w:rPr>
        <w:fldChar w:fldCharType="separate"/>
      </w:r>
      <w:r>
        <w:rPr>
          <w:rFonts w:hint="eastAsia" w:ascii="宋体" w:hAnsi="宋体" w:eastAsia="宋体" w:cs="宋体"/>
          <w:i w:val="0"/>
          <w:color w:val="000000"/>
          <w:sz w:val="28"/>
          <w:szCs w:val="28"/>
          <w:highlight w:val="none"/>
        </w:rPr>
        <w:t xml:space="preserve">29</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rPr>
        <w:fldChar w:fldCharType="end"/>
      </w:r>
      <w:r>
        <w:rPr>
          <w:rFonts w:hint="eastAsia" w:ascii="宋体" w:hAnsi="宋体" w:eastAsia="宋体" w:cs="宋体"/>
          <w:b w:val="0"/>
          <w:bCs w:val="0"/>
          <w:i w:val="0"/>
          <w:iCs w:val="0"/>
          <w:color w:val="000000"/>
          <w:sz w:val="28"/>
          <w:szCs w:val="28"/>
          <w:highlight w:val="none"/>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"_Toc150765438"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第五章合同专用条款表</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4</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7</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"_Toc150765439"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第六章项目需求</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4</w:t>
      </w:r>
      <w:r>
        <w:rPr>
          <w:rFonts w:hint="eastAsia" w:ascii="宋体" w:hAnsi="宋体" w:eastAsia="宋体" w:cs="宋体"/>
          <w:i w:val="0"/>
          <w:color w:val="000000"/>
          <w:sz w:val="28"/>
          <w:szCs w:val="28"/>
          <w:highlight w:val="none"/>
        </w:rPr>
        <w:fldChar w:fldCharType="end"/>
      </w:r>
      <w:r>
        <w:rPr>
          <w:rFonts w:hint="eastAsia" w:ascii="宋体" w:hAnsi="宋体" w:cs="宋体"/>
          <w:i w:val="0"/>
          <w:color w:val="000000"/>
          <w:sz w:val="28"/>
          <w:szCs w:val="28"/>
          <w:highlight w:val="none"/>
          <w:lang w:val="en-US" w:eastAsia="zh-CN"/>
        </w:rPr>
        <w:t xml:space="preserve">9</w:t>
      </w:r>
      <w:r>
        <w:rPr>
          <w:rFonts w:hint="eastAsia" w:ascii="宋体" w:hAnsi="宋体" w:eastAsia="宋体" w:cs="宋体"/>
          <w:b w:val="0"/>
          <w:bCs w:val="0"/>
          <w:i w:val="0"/>
          <w:iCs w:val="0"/>
          <w:color w:val="000000"/>
          <w:sz w:val="28"/>
          <w:szCs w:val="28"/>
          <w:highlight w:val="none"/>
          <w:lang w:val="en-US" w:eastAsia="zh-CN"/>
        </w:rPr>
      </w:r>
      <w:r/>
    </w:p>
    <w:p>
      <w:pPr>
        <w:pStyle w:val="777"/>
        <w:ind w:left="0" w:firstLine="0"/>
        <w:spacing w:line="360" w:lineRule="auto"/>
        <w:tabs>
          <w:tab w:val="right" w:pos="9628" w:leader="dot"/>
        </w:tabs>
        <w:rPr>
          <w:rFonts w:hint="eastAsia" w:ascii="宋体" w:hAnsi="宋体" w:eastAsia="宋体" w:cs="宋体"/>
          <w:b w:val="0"/>
          <w:bCs w:val="0"/>
          <w:i w:val="0"/>
          <w:iCs w:val="0"/>
          <w:color w:val="000000"/>
          <w:sz w:val="28"/>
          <w:szCs w:val="28"/>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"_Toc150765440" </w:instrText>
      </w:r>
      <w:r>
        <w:rPr>
          <w:rFonts w:hint="eastAsia" w:ascii="宋体" w:hAnsi="宋体" w:eastAsia="宋体" w:cs="宋体"/>
          <w:color w:val="000000"/>
          <w:highlight w:val="none"/>
        </w:rPr>
        <w:fldChar w:fldCharType="separate"/>
      </w:r>
      <w:r>
        <w:rPr>
          <w:rStyle w:val="805"/>
          <w:rFonts w:hint="eastAsia" w:ascii="宋体" w:hAnsi="宋体" w:eastAsia="宋体" w:cs="宋体"/>
          <w:i w:val="0"/>
          <w:color w:val="000000"/>
          <w:sz w:val="28"/>
          <w:szCs w:val="28"/>
          <w:highlight w:val="none"/>
        </w:rPr>
        <w:t xml:space="preserve">第七章评标办法</w:t>
      </w:r>
      <w:r>
        <w:rPr>
          <w:rFonts w:hint="eastAsia" w:ascii="宋体" w:hAnsi="宋体" w:eastAsia="宋体" w:cs="宋体"/>
          <w:i w:val="0"/>
          <w:color w:val="000000"/>
          <w:sz w:val="28"/>
          <w:szCs w:val="28"/>
          <w:highlight w:val="none"/>
        </w:rPr>
        <w:tab/>
      </w:r>
      <w:r>
        <w:rPr>
          <w:rFonts w:hint="eastAsia" w:ascii="宋体" w:hAnsi="宋体" w:cs="宋体"/>
          <w:i w:val="0"/>
          <w:color w:val="000000"/>
          <w:sz w:val="28"/>
          <w:szCs w:val="28"/>
          <w:highlight w:val="none"/>
          <w:lang w:val="en-US" w:eastAsia="zh-CN"/>
        </w:rPr>
        <w:t xml:space="preserve">8</w:t>
      </w:r>
      <w:r>
        <w:rPr>
          <w:rFonts w:hint="eastAsia" w:ascii="宋体" w:hAnsi="宋体" w:eastAsia="宋体" w:cs="宋体"/>
          <w:i w:val="0"/>
          <w:color w:val="000000"/>
          <w:sz w:val="28"/>
          <w:szCs w:val="28"/>
          <w:highlight w:val="none"/>
        </w:rPr>
        <w:fldChar w:fldCharType="end"/>
      </w:r>
      <w:r>
        <w:rPr>
          <w:rFonts w:hint="eastAsia" w:ascii="宋体" w:hAnsi="宋体" w:eastAsia="宋体" w:cs="宋体"/>
          <w:i w:val="0"/>
          <w:color w:val="000000"/>
          <w:sz w:val="28"/>
          <w:szCs w:val="28"/>
          <w:highlight w:val="none"/>
          <w:lang w:val="en-US" w:eastAsia="zh-CN"/>
        </w:rPr>
        <w:t xml:space="preserve">0</w:t>
      </w:r>
      <w:r>
        <w:rPr>
          <w:rFonts w:hint="eastAsia" w:ascii="宋体" w:hAnsi="宋体" w:eastAsia="宋体" w:cs="宋体"/>
          <w:b w:val="0"/>
          <w:bCs w:val="0"/>
          <w:i w:val="0"/>
          <w:iCs w:val="0"/>
          <w:color w:val="000000"/>
          <w:sz w:val="28"/>
          <w:szCs w:val="28"/>
          <w:highlight w:val="none"/>
          <w:lang w:val="en-US" w:eastAsia="zh-CN"/>
        </w:rPr>
      </w:r>
      <w:r/>
    </w:p>
    <w:p>
      <w:pPr>
        <w:pStyle w:val="726"/>
        <w:spacing w:line="360" w:lineRule="auto"/>
        <w:tabs>
          <w:tab w:val="right" w:pos="9638" w:leader="dot"/>
        </w:tabs>
        <w:rPr>
          <w:rFonts w:hint="eastAsia" w:ascii="宋体" w:hAnsi="宋体" w:eastAsia="宋体" w:cs="宋体"/>
          <w:color w:val="000000"/>
          <w:sz w:val="44"/>
          <w:szCs w:val="20"/>
          <w:highlight w:val="none"/>
        </w:rPr>
      </w:pPr>
      <w:r>
        <w:rPr>
          <w:rFonts w:hint="eastAsia" w:ascii="宋体" w:hAnsi="宋体" w:eastAsia="宋体" w:cs="宋体"/>
          <w:b/>
          <w:bCs/>
          <w:color w:val="000000"/>
          <w:sz w:val="28"/>
          <w:szCs w:val="28"/>
          <w:highlight w:val="none"/>
        </w:rPr>
        <w:fldChar w:fldCharType="end"/>
      </w:r>
      <w:r>
        <w:rPr>
          <w:rFonts w:hint="eastAsia" w:ascii="宋体" w:hAnsi="宋体" w:eastAsia="宋体" w:cs="宋体"/>
          <w:color w:val="000000"/>
          <w:sz w:val="44"/>
          <w:szCs w:val="20"/>
          <w:highlight w:val="none"/>
        </w:rPr>
      </w:r>
      <w:r/>
    </w:p>
    <w:p>
      <w:pPr>
        <w:pStyle w:val="726"/>
        <w:jc w:val="center"/>
        <w:keepLines/>
        <w:keepNext/>
        <w:spacing w:line="360" w:lineRule="auto"/>
        <w:rPr>
          <w:rFonts w:hint="eastAsia" w:ascii="宋体" w:hAnsi="宋体" w:eastAsia="宋体" w:cs="宋体"/>
          <w:color w:val="000000"/>
          <w:sz w:val="36"/>
          <w:szCs w:val="20"/>
          <w:highlight w:val="none"/>
        </w:rPr>
        <w:outlineLvl w:val="0"/>
      </w:pPr>
      <w:r/>
      <w:bookmarkStart w:id="1" w:name="_Toc139967210"/>
      <w:r/>
      <w:bookmarkStart w:id="2" w:name="_Toc139966426"/>
      <w:r>
        <w:rPr>
          <w:rFonts w:hint="eastAsia" w:ascii="宋体" w:hAnsi="宋体" w:eastAsia="宋体" w:cs="宋体"/>
          <w:color w:val="000000"/>
          <w:sz w:val="36"/>
          <w:szCs w:val="20"/>
          <w:highlight w:val="none"/>
        </w:rPr>
        <w:br w:type="page" w:clear="all"/>
      </w:r>
      <w:bookmarkStart w:id="3" w:name="_Toc150765434"/>
      <w:r/>
      <w:bookmarkStart w:id="4" w:name="_Toc513622226"/>
      <w:r>
        <w:rPr>
          <w:rFonts w:hint="eastAsia" w:ascii="宋体" w:hAnsi="宋体" w:eastAsia="宋体" w:cs="宋体"/>
          <w:color w:val="000000"/>
          <w:sz w:val="36"/>
          <w:szCs w:val="20"/>
          <w:highlight w:val="none"/>
        </w:rPr>
        <w:t xml:space="preserve">第一章</w:t>
      </w:r>
      <w:r>
        <w:rPr>
          <w:rFonts w:hint="eastAsia" w:ascii="宋体" w:hAnsi="宋体" w:eastAsia="宋体" w:cs="宋体"/>
          <w:color w:val="000000"/>
          <w:sz w:val="36"/>
          <w:szCs w:val="20"/>
          <w:highlight w:val="none"/>
          <w:lang w:val="en-US" w:eastAsia="zh-CN"/>
        </w:rPr>
        <w:t xml:space="preserve"> </w:t>
      </w:r>
      <w:r>
        <w:rPr>
          <w:rFonts w:hint="eastAsia" w:ascii="宋体" w:hAnsi="宋体" w:eastAsia="宋体" w:cs="宋体"/>
          <w:color w:val="000000"/>
          <w:sz w:val="36"/>
          <w:szCs w:val="20"/>
          <w:highlight w:val="none"/>
        </w:rPr>
        <w:t xml:space="preserve">投标邀请</w:t>
      </w:r>
      <w:bookmarkEnd w:id="3"/>
      <w:r/>
      <w:bookmarkEnd w:id="4"/>
      <w:r>
        <w:rPr>
          <w:rFonts w:hint="eastAsia" w:ascii="宋体" w:hAnsi="宋体" w:eastAsia="宋体" w:cs="宋体"/>
          <w:color w:val="000000"/>
          <w:sz w:val="36"/>
          <w:szCs w:val="2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bCs/>
                <w:color w:val="000000"/>
                <w:sz w:val="24"/>
                <w:szCs w:val="24"/>
                <w:highlight w:val="none"/>
                <w:u w:val="single"/>
                <w:lang w:eastAsia="zh-CN"/>
              </w:rPr>
              <w:t xml:space="preserve">智慧文旅综合实训基地项目</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color w:val="000000"/>
                <w:sz w:val="24"/>
                <w:szCs w:val="24"/>
                <w:highlight w:val="none"/>
                <w:u w:val="single"/>
              </w:rPr>
              <w:t xml:space="preserve">9点</w:t>
            </w:r>
            <w:r>
              <w:rPr>
                <w:rFonts w:hint="eastAsia" w:ascii="宋体" w:hAnsi="宋体" w:eastAsia="宋体" w:cs="宋体"/>
                <w:bCs/>
                <w:color w:val="000000"/>
                <w:sz w:val="24"/>
                <w:szCs w:val="24"/>
                <w:highlight w:val="none"/>
                <w:u w:val="single"/>
              </w:rPr>
              <w:t xml:space="preserve">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000000"/>
                <w:sz w:val="24"/>
                <w:szCs w:val="24"/>
                <w:highlight w:val="none"/>
              </w:rPr>
              <w:t xml:space="preserve">上传电子投标文件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Cs w:val="24"/>
                <w:highlight w:val="none"/>
              </w:rPr>
            </w:r>
            <w:r/>
          </w:p>
        </w:tc>
      </w:tr>
    </w:tbl>
    <w:p>
      <w:pPr>
        <w:pStyle w:val="72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一、项目基本情况</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lang w:val="en-US" w:eastAsia="zh-CN"/>
        </w:rPr>
      </w:r>
      <w:r/>
    </w:p>
    <w:p>
      <w:pPr>
        <w:pStyle w:val="7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bCs/>
          <w:color w:val="000000"/>
          <w:sz w:val="24"/>
          <w:szCs w:val="24"/>
          <w:highlight w:val="none"/>
          <w:lang w:eastAsia="zh-CN"/>
        </w:rPr>
        <w:t xml:space="preserve">智慧文旅综合实训基地项目</w:t>
      </w:r>
      <w:r>
        <w:rPr>
          <w:rFonts w:hint="eastAsia" w:ascii="宋体" w:hAnsi="宋体" w:eastAsia="宋体" w:cs="宋体"/>
          <w:bCs/>
          <w:color w:val="000000"/>
          <w:sz w:val="24"/>
          <w:szCs w:val="24"/>
          <w:highlight w:val="none"/>
          <w:lang w:eastAsia="zh-CN"/>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分包一：</w:t>
      </w:r>
      <w:r>
        <w:rPr>
          <w:rFonts w:hint="eastAsia" w:ascii="宋体" w:hAnsi="宋体" w:eastAsia="宋体" w:cs="宋体"/>
          <w:bCs/>
          <w:color w:val="000000"/>
          <w:sz w:val="24"/>
          <w:szCs w:val="24"/>
          <w:highlight w:val="none"/>
        </w:rPr>
        <w:t xml:space="preserve">智慧文旅综合实训基地项目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分包二：</w:t>
      </w:r>
      <w:r>
        <w:rPr>
          <w:rFonts w:hint="eastAsia" w:ascii="宋体" w:hAnsi="宋体" w:eastAsia="宋体" w:cs="宋体"/>
          <w:bCs/>
          <w:color w:val="000000"/>
          <w:sz w:val="24"/>
          <w:szCs w:val="24"/>
          <w:highlight w:val="none"/>
        </w:rPr>
        <w:t xml:space="preserve">智慧文旅综合实训基地项目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JSZC-320700-ZHDH-G2026-0003</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lang w:eastAsia="zh-CN"/>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预算金额：总预算422.875</w:t>
      </w: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rPr>
        <w:t xml:space="preserve">分包一预算为379.575万元，分包二预算为43.3万元，报价超过预算价的按无效响应处理</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最高限价：分包一最高限价为379.575万元，分包二最高限价为43.3万元，报价超过最高限价的按无效响应处理。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包括摄影摄像实训室、直播实训室、餐饮服务实训室、客房服务实训室、酒水茶艺实训室、景区运营综合实训室、数字旅媒融合运营实训室、多功能智慧实训室等相关实训室的设备采购、教学资源包、专项装修改造等，具体内</w:t>
      </w:r>
      <w:r>
        <w:rPr>
          <w:rFonts w:hint="eastAsia" w:ascii="宋体" w:hAnsi="宋体" w:eastAsia="宋体" w:cs="宋体"/>
          <w:bCs/>
          <w:color w:val="000000"/>
          <w:sz w:val="24"/>
          <w:szCs w:val="24"/>
          <w:highlight w:val="none"/>
        </w:rPr>
        <w:t xml:space="preserve">容详见第六章项目需求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对项目采购需求部分的询问、质疑请与采购人联系，由采购人负责答复。</w:t>
      </w:r>
      <w:r>
        <w:rPr>
          <w:rFonts w:hint="eastAsia" w:ascii="宋体" w:hAnsi="宋体" w:eastAsia="宋体" w:cs="宋体"/>
          <w:b/>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合同履行期限（交货期）：90日历天。</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二、申请人的资格要求</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1.满足《中华人民共和国政府采购法》第二十二条规定，提供下列材料：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rPr>
          <w:rFonts w:hint="eastAsia" w:ascii="宋体" w:hAnsi="宋体" w:eastAsia="宋体" w:cs="宋体"/>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（4）具备履行合同所必需的设备和专业技术能力的声明及证明材料；</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（5）参加政府采购活动前三年内在经营活动中没有重大违法记录的书面声明。</w:t>
      </w:r>
      <w:r>
        <w:rPr>
          <w:rFonts w:hint="eastAsia" w:ascii="宋体" w:hAnsi="宋体" w:eastAsia="宋体" w:cs="宋体"/>
          <w:color w:val="000000"/>
          <w:sz w:val="24"/>
          <w:szCs w:val="24"/>
          <w:highlight w:val="none"/>
        </w:rPr>
      </w:r>
      <w:r/>
    </w:p>
    <w:p>
      <w:pPr>
        <w:pStyle w:val="726"/>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t xml:space="preserve">本项目分包一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color w:val="000000"/>
          <w:sz w:val="24"/>
          <w:szCs w:val="24"/>
          <w:highlight w:val="none"/>
        </w:rPr>
      </w:r>
      <w:r/>
    </w:p>
    <w:p>
      <w:pPr>
        <w:pStyle w:val="726"/>
        <w:ind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3.本项目的特定资格要求：无。</w:t>
      </w:r>
      <w:r>
        <w:rPr>
          <w:rFonts w:hint="eastAsia" w:ascii="宋体" w:hAnsi="宋体" w:eastAsia="宋体" w:cs="宋体"/>
          <w:b/>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4.本项目的其他资格要求：</w:t>
      </w:r>
      <w:r>
        <w:rPr>
          <w:rFonts w:hint="eastAsia" w:ascii="宋体" w:hAnsi="宋体" w:eastAsia="宋体" w:cs="宋体"/>
          <w:color w:val="000000"/>
          <w:sz w:val="24"/>
          <w:szCs w:val="24"/>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备注：采购人或采购代理机构通过信用中国网站（www.creditchina.gov.cn）、中国政府采购网（www.ccgp.gov.cn），对供应商信用记录情况进行查询。</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（2）本项目中标后不允许分包或转包。</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5.法律法规规定的其他条件。</w:t>
      </w:r>
      <w:r>
        <w:rPr>
          <w:rFonts w:hint="eastAsia" w:ascii="宋体" w:hAnsi="宋体" w:eastAsia="宋体" w:cs="宋体"/>
          <w:color w:val="000000"/>
          <w:sz w:val="24"/>
          <w:szCs w:val="24"/>
          <w:highlight w:val="none"/>
        </w:rPr>
      </w:r>
      <w:r/>
    </w:p>
    <w:p>
      <w:pPr>
        <w:pStyle w:val="726"/>
        <w:keepLines w:val="0"/>
        <w:keepNext/>
        <w:pageBreakBefore w:val="0"/>
        <w:spacing w:line="360" w:lineRule="auto"/>
        <w:widowControl w:val="off"/>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三、获取招标文件</w:t>
      </w:r>
      <w:r>
        <w:rPr>
          <w:rFonts w:hint="eastAsia" w:ascii="宋体" w:hAnsi="宋体" w:eastAsia="宋体" w:cs="宋体"/>
          <w:b/>
          <w:color w:val="000000"/>
          <w:sz w:val="28"/>
          <w:szCs w:val="20"/>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日至</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highlight w:val="none"/>
        </w:rPr>
        <w:t xml:space="preserve">23:59止（北京时间）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2．获取方式：本项目采用网上注册登记方式。</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2.1潜在投标人访问电子招标投标交易平台的网络地址和方法：</w:t>
      </w:r>
      <w:r>
        <w:rPr>
          <w:rFonts w:hint="eastAsia" w:ascii="宋体" w:hAnsi="宋体" w:eastAsia="宋体" w:cs="宋体"/>
          <w:color w:val="000000"/>
          <w:sz w:val="24"/>
          <w:szCs w:val="24"/>
          <w:highlight w:val="none"/>
        </w:rPr>
      </w:r>
      <w:r/>
    </w:p>
    <w:p>
      <w:pPr>
        <w:pStyle w:val="726"/>
        <w:ind w:firstLine="480"/>
        <w:jc w:val="left"/>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“苏采云”系统的网址：http://jszfcg.jsczt.cn/。</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3.地点：网上注册登记成功后系统内免费下载。</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四、提交投标文件截止时间、开标时间和地点</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1.投标文件接收时间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日9:00:00（北京时间）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2.开标时间与地点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日9:00:00（北京时间）</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开标地点：“苏采云”系统 “开标大厅”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开标大厅网址：</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五、公告期限</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六、其他补充事宜</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1.本次公开招标不收取投标保证金。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2.本招标文件中标注★的款项为实质性响应要求和条件，必须</w:t>
      </w:r>
      <w:r>
        <w:rPr>
          <w:rFonts w:hint="eastAsia" w:ascii="宋体" w:hAnsi="宋体" w:eastAsia="宋体" w:cs="宋体"/>
          <w:b/>
          <w:color w:val="000000"/>
          <w:sz w:val="24"/>
          <w:szCs w:val="24"/>
          <w:highlight w:val="none"/>
        </w:rPr>
        <w:t xml:space="preserve">逐条</w:t>
      </w:r>
      <w:r>
        <w:rPr>
          <w:rFonts w:hint="eastAsia" w:ascii="宋体" w:hAnsi="宋体" w:eastAsia="宋体" w:cs="宋体"/>
          <w:color w:val="000000"/>
          <w:sz w:val="24"/>
          <w:szCs w:val="24"/>
          <w:highlight w:val="none"/>
        </w:rPr>
        <w:t xml:space="preserve">做出满足要求和条件的响应，否则将按无效响应处理。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七、对本次招标提出询问，请按以下方式联系。</w:t>
      </w:r>
      <w:r>
        <w:rPr>
          <w:rFonts w:hint="eastAsia" w:ascii="宋体" w:hAnsi="宋体" w:eastAsia="宋体" w:cs="宋体"/>
          <w:b/>
          <w:color w:val="000000"/>
          <w:sz w:val="28"/>
          <w:szCs w:val="20"/>
          <w:highlight w:val="none"/>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名称：连云港职业技术学院</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highlight w:val="none"/>
          <w:lang w:eastAsia="zh-CN"/>
        </w:rPr>
        <w:t xml:space="preserve">连云港市海州区花果山大道晨光路2号</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highlight w:val="none"/>
        </w:rPr>
        <w:t xml:space="preserve">冯老师</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highlight w:val="none"/>
        </w:rPr>
        <w:t xml:space="preserve">0518-80228066</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名称：中和德汇工程技术有限公司</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highlight w:val="none"/>
        </w:rPr>
        <w:t xml:space="preserve">连云港市朝阳东路南瀛洲路东盛世嘉缘1幢3层5号</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rPr>
        <w:t xml:space="preserve">陈工</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联系方式：15805130180</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项目联系人：周老师</w:t>
      </w:r>
      <w:r>
        <w:rPr>
          <w:rFonts w:hint="eastAsia" w:ascii="宋体" w:hAnsi="宋体" w:eastAsia="宋体" w:cs="宋体"/>
          <w:color w:val="000000"/>
          <w:sz w:val="24"/>
          <w:szCs w:val="24"/>
          <w:highlight w:val="none"/>
          <w:lang w:val="en-US" w:eastAsia="zh-CN"/>
        </w:rPr>
      </w:r>
      <w:r/>
    </w:p>
    <w:p>
      <w:pPr>
        <w:pStyle w:val="72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电话：18168121963</w:t>
      </w:r>
      <w:r>
        <w:rPr>
          <w:rFonts w:hint="eastAsia" w:ascii="宋体" w:hAnsi="宋体" w:eastAsia="宋体" w:cs="宋体"/>
          <w:color w:val="000000"/>
          <w:sz w:val="24"/>
          <w:szCs w:val="24"/>
          <w:highlight w:val="none"/>
          <w:lang w:val="en-US" w:eastAsia="zh-CN"/>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八、电子招投标说明</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2.投标人应当通过“苏采云”系统提交数据电文形式的投标文件（即电子投标）。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特别说明：通过“苏采云”系统提交政府采购客户端工具导出加密的投标文件（后缀名为zip）。投标文件不得超过150M！</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3.电子投标文件应由其法定代表人或法定代表人授权代表在规定的网上投标时间内，凭 CA 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“苏采云”系统在线编制投标文件（电子数据），并在投标截止时间之前上传投标文件。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投标人应在达到开标时间后，使用CA数字证书解密各自投标文件。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中和德汇工程技术有限公司</w:t>
      </w:r>
      <w:r>
        <w:rPr>
          <w:rFonts w:hint="eastAsia" w:ascii="宋体" w:hAnsi="宋体" w:eastAsia="宋体" w:cs="宋体"/>
          <w:color w:val="000000"/>
          <w:sz w:val="24"/>
          <w:szCs w:val="24"/>
          <w:highlight w:val="none"/>
          <w:lang w:eastAsia="zh-CN"/>
        </w:rPr>
      </w:r>
      <w:r/>
    </w:p>
    <w:p>
      <w:pPr>
        <w:pStyle w:val="726"/>
        <w:jc w:val="center"/>
        <w:keepLines/>
        <w:keepNext/>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日</w:t>
      </w:r>
      <w:r>
        <w:rPr>
          <w:rFonts w:hint="eastAsia" w:ascii="宋体" w:hAnsi="宋体" w:eastAsia="宋体" w:cs="宋体"/>
          <w:b/>
          <w:color w:val="000000"/>
          <w:sz w:val="36"/>
          <w:szCs w:val="20"/>
          <w:highlight w:val="none"/>
        </w:rPr>
        <w:br w:type="page" w:clear="all"/>
      </w:r>
      <w:bookmarkStart w:id="5" w:name="_Toc150765435"/>
      <w:r/>
      <w:bookmarkStart w:id="6" w:name="_Toc513622227"/>
      <w:r>
        <w:rPr>
          <w:rFonts w:hint="eastAsia" w:ascii="宋体" w:hAnsi="宋体" w:eastAsia="宋体" w:cs="宋体"/>
          <w:color w:val="000000"/>
          <w:sz w:val="36"/>
          <w:szCs w:val="20"/>
          <w:highlight w:val="none"/>
        </w:rPr>
        <w:t xml:space="preserve">第二章投标人须知</w:t>
      </w:r>
      <w:bookmarkEnd w:id="1"/>
      <w:r/>
      <w:bookmarkEnd w:id="2"/>
      <w:r/>
      <w:bookmarkEnd w:id="5"/>
      <w:r/>
      <w:bookmarkEnd w:id="6"/>
      <w:r>
        <w:rPr>
          <w:rFonts w:hint="eastAsia" w:ascii="宋体" w:hAnsi="宋体" w:eastAsia="宋体" w:cs="宋体"/>
          <w:b/>
          <w:color w:val="000000"/>
          <w:sz w:val="36"/>
          <w:szCs w:val="36"/>
          <w:highlight w:val="none"/>
        </w:rPr>
      </w:r>
      <w:r/>
    </w:p>
    <w:p>
      <w:pPr>
        <w:pStyle w:val="728"/>
        <w:numPr>
          <w:ilvl w:val="0"/>
          <w:numId w:val="0"/>
        </w:numPr>
        <w:spacing w:line="360" w:lineRule="auto"/>
        <w:tabs>
          <w:tab w:val="left" w:pos="1021" w:leader="none"/>
        </w:tabs>
        <w:rPr>
          <w:rFonts w:hint="eastAsia" w:ascii="宋体" w:hAnsi="宋体" w:eastAsia="宋体" w:cs="宋体"/>
          <w:b w:val="0"/>
          <w:color w:val="000000"/>
          <w:highlight w:val="none"/>
        </w:rPr>
      </w:pPr>
      <w:r>
        <w:rPr>
          <w:rFonts w:hint="eastAsia" w:ascii="宋体" w:hAnsi="宋体" w:eastAsia="宋体" w:cs="宋体"/>
          <w:color w:val="000000"/>
          <w:highlight w:val="none"/>
        </w:rPr>
        <w:t xml:space="preserve">一、总则</w:t>
      </w:r>
      <w:r>
        <w:rPr>
          <w:rFonts w:hint="eastAsia" w:ascii="宋体" w:hAnsi="宋体" w:eastAsia="宋体" w:cs="宋体"/>
          <w:b w:val="0"/>
          <w:color w:val="00000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w:t>
      </w:r>
      <w:r>
        <w:rPr>
          <w:rFonts w:hint="eastAsia" w:ascii="宋体" w:hAnsi="宋体" w:eastAsia="宋体" w:cs="宋体"/>
          <w:b/>
          <w:bCs/>
          <w:color w:val="000000"/>
          <w:sz w:val="24"/>
          <w:szCs w:val="24"/>
          <w:highlight w:val="none"/>
        </w:rPr>
        <w:t xml:space="preserve">否则投标无效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符合上述条件的投标人应承担投标及履约过程应承担的全部责任与义务。</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质疑的提出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提出质疑的供应商应当是参与所质疑项目采购活动的供应商。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中和德汇工程技术有限公司</w:t>
      </w:r>
      <w:r>
        <w:rPr>
          <w:rFonts w:hint="eastAsia" w:ascii="宋体" w:hAnsi="宋体" w:eastAsia="宋体" w:cs="宋体"/>
          <w:color w:val="000000"/>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highlight w:val="none"/>
        </w:rPr>
        <w:t xml:space="preserve">未依照采购公告要求获取招标文件的供应商，视为未参与该项目的采购活动，不具备对该招标文件提出质疑的法定权利。</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质疑函应当使用范本（详见连云港市政府采购交易平台-监管信息-意见反馈）。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w:t>
      </w:r>
      <w:r>
        <w:rPr>
          <w:rFonts w:hint="eastAsia" w:ascii="宋体" w:hAnsi="宋体" w:eastAsia="宋体" w:cs="宋体"/>
          <w:b/>
          <w:color w:val="000000"/>
          <w:sz w:val="24"/>
          <w:szCs w:val="24"/>
          <w:highlight w:val="none"/>
        </w:rPr>
        <w:t xml:space="preserve">应当提交质疑函和必要的证明材料</w:t>
      </w:r>
      <w:r>
        <w:rPr>
          <w:rFonts w:hint="eastAsia" w:ascii="宋体" w:hAnsi="宋体" w:eastAsia="宋体" w:cs="宋体"/>
          <w:color w:val="000000"/>
          <w:sz w:val="24"/>
          <w:szCs w:val="24"/>
          <w:highlight w:val="none"/>
        </w:rPr>
        <w:t xml:space="preserve">，应当包括下列内容：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（8）招标文件(交易文件)下载回执函；</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质疑函的受理和答复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质疑处理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质疑供应商未按照法定程序进行质疑投诉的，视为一般失信行为。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未尽事宜，依照有关法律、法规执行。</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highlight w:val="none"/>
        </w:rPr>
        <w:t xml:space="preserve">无效响应处理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highlight w:val="none"/>
        </w:rPr>
        <w:t xml:space="preserve">作出满足原要求和条件的响应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b/>
          <w:bCs/>
          <w:color w:val="000000"/>
          <w:sz w:val="24"/>
          <w:szCs w:val="24"/>
          <w:highlight w:val="none"/>
        </w:rPr>
        <w:t xml:space="preserve">招标文件中标注★号的部分为实质性要求和条件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投标人的投标文件以及投标人与采购代理机构就有关投标的所有来往函电统一使用中文（特别规定除外），既有中文也有外文的，以中文意义为准。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在特殊情况下，采购代理机构可与投标人协商延长投标文件的有效期，这种要求与答复均应以书面形式提交。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本项目不收取投标保证金。</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w:t>
      </w:r>
      <w:r>
        <w:rPr>
          <w:rFonts w:hint="eastAsia" w:ascii="宋体" w:hAnsi="宋体" w:eastAsia="宋体" w:cs="宋体"/>
          <w:b/>
          <w:color w:val="000000"/>
          <w:sz w:val="24"/>
          <w:szCs w:val="24"/>
          <w:highlight w:val="none"/>
        </w:rPr>
        <w:t xml:space="preserve">商务文件、技术文件、评审因素所需材料和其他材料</w:t>
      </w:r>
      <w:r>
        <w:rPr>
          <w:rFonts w:hint="eastAsia" w:ascii="宋体" w:hAnsi="宋体" w:eastAsia="宋体" w:cs="宋体"/>
          <w:color w:val="000000"/>
          <w:sz w:val="24"/>
          <w:szCs w:val="24"/>
          <w:highlight w:val="none"/>
        </w:rPr>
        <w:t xml:space="preserve">等内容，相关文件的提交如未特别注明可提供扫描件。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w:t>
      </w:r>
      <w:r>
        <w:rPr>
          <w:rFonts w:hint="eastAsia" w:ascii="宋体" w:hAnsi="宋体" w:eastAsia="宋体" w:cs="宋体"/>
          <w:b/>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w:t>
      </w:r>
      <w:r>
        <w:rPr>
          <w:rFonts w:hint="eastAsia" w:ascii="宋体" w:hAnsi="宋体" w:eastAsia="宋体" w:cs="宋体"/>
          <w:b/>
          <w:color w:val="000000"/>
          <w:sz w:val="24"/>
          <w:szCs w:val="24"/>
          <w:highlight w:val="none"/>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（3）投标产品配置及分项报价表：请按第四章“投标文件格式”提供的“投标产品配置及分项报价表”格式及要求填写。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（6）法定代表人授权委托书：请按给定格式及要求填写。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w:t>
      </w:r>
      <w:r>
        <w:rPr>
          <w:rFonts w:hint="eastAsia" w:ascii="宋体" w:hAnsi="宋体" w:eastAsia="宋体" w:cs="宋体"/>
          <w:b/>
          <w:color w:val="000000"/>
          <w:sz w:val="24"/>
          <w:szCs w:val="24"/>
          <w:highlight w:val="none"/>
        </w:rPr>
        <w:t xml:space="preserve">技术文件：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18.4</w:t>
      </w:r>
      <w:r>
        <w:rPr>
          <w:rFonts w:hint="eastAsia" w:ascii="宋体" w:hAnsi="宋体" w:eastAsia="宋体" w:cs="宋体"/>
          <w:b/>
          <w:color w:val="000000"/>
          <w:sz w:val="24"/>
          <w:szCs w:val="24"/>
          <w:highlight w:val="none"/>
        </w:rPr>
        <w:t xml:space="preserve">评审因素所需材料：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18.5 </w:t>
      </w:r>
      <w:r>
        <w:rPr>
          <w:rFonts w:hint="eastAsia" w:ascii="宋体" w:hAnsi="宋体" w:eastAsia="宋体" w:cs="宋体"/>
          <w:b/>
          <w:color w:val="000000"/>
          <w:sz w:val="24"/>
          <w:szCs w:val="24"/>
          <w:highlight w:val="none"/>
        </w:rPr>
        <w:t xml:space="preserve">其他材料：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生成投标文件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19.1 投标文件应由</w:t>
      </w:r>
      <w:r>
        <w:rPr>
          <w:rFonts w:hint="eastAsia" w:ascii="宋体" w:hAnsi="宋体" w:eastAsia="宋体" w:cs="宋体"/>
          <w:b/>
          <w:color w:val="000000"/>
          <w:sz w:val="24"/>
          <w:szCs w:val="24"/>
          <w:highlight w:val="none"/>
        </w:rPr>
        <w:t xml:space="preserve">法定代表人或其委托代理人</w:t>
      </w:r>
      <w:r>
        <w:rPr>
          <w:rFonts w:hint="eastAsia" w:ascii="宋体" w:hAnsi="宋体" w:eastAsia="宋体" w:cs="宋体"/>
          <w:b/>
          <w:bCs/>
          <w:color w:val="000000"/>
          <w:sz w:val="24"/>
          <w:szCs w:val="24"/>
          <w:highlight w:val="none"/>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highlight w:val="none"/>
        </w:rPr>
        <w:t xml:space="preserve">使用电子签章</w:t>
      </w:r>
      <w:r>
        <w:rPr>
          <w:rFonts w:hint="eastAsia" w:ascii="宋体" w:hAnsi="宋体" w:eastAsia="宋体" w:cs="宋体"/>
          <w:color w:val="000000"/>
          <w:sz w:val="24"/>
          <w:szCs w:val="24"/>
          <w:highlight w:val="none"/>
        </w:rPr>
        <w:t xml:space="preserve">，本招标文件所表述的公章是指刻有投标人法定名称的印章，不包括合同、财务、税务、发票等形式的业务专用章。</w:t>
      </w:r>
      <w:r>
        <w:rPr>
          <w:rFonts w:hint="eastAsia" w:ascii="宋体" w:hAnsi="宋体" w:eastAsia="宋体" w:cs="宋体"/>
          <w:b/>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投标文件制作工具生成内容相同、加密与未加密两个版本电子投标文件，加密版本用于提交上传，未加密版本用于特殊情况处理。</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投标文件的上传、修改和撤回</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highlight w:val="none"/>
        </w:rPr>
        <w:t xml:space="preserve">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投标人在上传投标文件后可以对其修改或撤回，但这种修改或撤回，必须在规定的投标截止时间前。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20.4 投标人不得在投标截止时间后修改投标文件，也不得在投标截止时间起至投标有效期满前撤回投标文件。</w:t>
      </w: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时间前将样品送达指定地点并登记完毕，</w:t>
      </w:r>
      <w:r>
        <w:rPr>
          <w:rFonts w:hint="eastAsia" w:ascii="宋体" w:hAnsi="宋体" w:eastAsia="宋体" w:cs="宋体"/>
          <w:b/>
          <w:bCs/>
          <w:color w:val="000000"/>
          <w:sz w:val="24"/>
          <w:szCs w:val="24"/>
          <w:highlight w:val="none"/>
        </w:rPr>
        <w:t xml:space="preserve">否则不予接收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宋体"/>
          <w:b/>
          <w:color w:val="000000"/>
          <w:sz w:val="24"/>
          <w:szCs w:val="24"/>
          <w:highlight w:val="none"/>
        </w:rPr>
        <w:t xml:space="preserve">准备身份证件和用于生成、加密和上传电子投标文件的CA数字证书参加开标会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线下开标的，供应商必须按规定时间递交CA数字证书，</w:t>
      </w:r>
      <w:r>
        <w:rPr>
          <w:rFonts w:hint="eastAsia" w:ascii="宋体" w:hAnsi="宋体" w:eastAsia="宋体" w:cs="宋体"/>
          <w:b/>
          <w:color w:val="000000"/>
          <w:sz w:val="24"/>
          <w:szCs w:val="24"/>
          <w:highlight w:val="none"/>
        </w:rPr>
        <w:t xml:space="preserve">超过截止时间的采购代理机构有权拒收，视为放弃投标（响应）和放弃对开标（开启）全过程提出疑义的权利，并承担由此导致的一切后果。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不见面交易的，供应商必须提前登录不见面开标大厅并在投标文件递交截止时间之前完成签到，</w:t>
      </w:r>
      <w:r>
        <w:rPr>
          <w:rFonts w:hint="eastAsia" w:ascii="宋体" w:hAnsi="宋体" w:eastAsia="宋体" w:cs="宋体"/>
          <w:b/>
          <w:color w:val="000000"/>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供应商未参加开标会的，视同认可开标结果。</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开标程序：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（1）开标会由采购代理机构主持，主持人宣布开标会议开始；</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（2）投标人解密投标文件；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（4）宣布评标期间的有关事项；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（5）开标会议结束。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采购代理机构将做开标记录（包括投标人名称、投标总报价、分标报价、交货期等）。</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 开标结束后，采购人依法对投标人的资格进行审查。</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成立评标委员会。评标委员会由采购人代表和评审专家组成。</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评标的方式。本采购项目采用不公开方式评标，评标的依据为招标文件和投标文件。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（1）评标委员会负责具体评标事务，并独立履行下列职责：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⑤向采购人、采购代理机构或者有关部门报告评标中发现的违法行为；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（3）澄清</w:t>
      </w:r>
      <w:r>
        <w:rPr>
          <w:rFonts w:hint="eastAsia" w:ascii="宋体" w:hAnsi="宋体" w:eastAsia="宋体" w:cs="宋体"/>
          <w:color w:val="000000"/>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评标过程的保密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w:t>
      </w:r>
      <w:r>
        <w:rPr>
          <w:rFonts w:hint="eastAsia" w:ascii="宋体" w:hAnsi="宋体" w:eastAsia="宋体" w:cs="宋体"/>
          <w:b/>
          <w:color w:val="000000"/>
          <w:sz w:val="24"/>
          <w:szCs w:val="24"/>
          <w:highlight w:val="none"/>
        </w:rPr>
        <w:t xml:space="preserve">投标人有下列情况之一的，投标无效：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（1）未按照招标文件的规定提交投标保证金的；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（7）投标人提交的电子投标文件、投标文件备份U盘（仅现场开标适用）均因其自身原因出现问题导致无法电子评标的；</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（8）法律、法规和招标文件规定的其他无效情形。</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无效投标条款和废标条款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.1无效投标条款：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（1）投标人未按照招标文件要求递交（上传）电子投标文件的。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（2）投标人在“苏采云”系统规定的时间内未成功解密电子投标文件的。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（3）投标人不具备招标文件中规定的资格要求的。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（5）投标人提交两个（含两个）以上不同的投标报价的。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（6）投标人的报价超过了采购预算或者最高限价的。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（8）不符合招标文件中规定的实质性要求和条件的（招标文件中标注★号的部分为实质性要求和条件）。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（10）投标人未通过符合性审查的。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（11）投标文件含有采购人不能接受的附加条件的。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（12）投标文件未按照招标文件要求加盖公章（CA电子公章）的。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（13）其他法律、法规及本招标文件规定的属于无效投标的情形。</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有下列情形之一的，视为投标人串通投标，投标无效：</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.3废标条款：</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（1）因“苏采云”系统故障原因造成开标不成功的。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（2）评委会认定招标文件存在歧义、重大缺陷导致评审工作无法进行的。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（3）符合专业条件的投标人或者对招标文件做实质响应的投标人不足三家的。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（4）出现影响采购公正的违法、违规行为的。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（5）因重大变故，采购任务取消的。</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.4出现投标截止时间结束后参加投标的投标人或者在评标期间对招标文件做出实质响应的投标人不足三家情况的，按照政府采购相关规定执行。</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26.5政府采购异常低价审查执行财库〔2026〕2号：</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相关法律法规对供应商报价有规定的，从其规定。</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26.6无效投标条款和废标条款</w:t>
      </w:r>
      <w:r>
        <w:rPr>
          <w:rFonts w:hint="eastAsia" w:ascii="宋体" w:hAnsi="宋体" w:eastAsia="宋体" w:cs="宋体"/>
          <w:color w:val="000000"/>
          <w:sz w:val="24"/>
          <w:szCs w:val="24"/>
          <w:highlight w:val="none"/>
          <w:lang w:val="en-US" w:eastAsia="zh-CN"/>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本项目遵照执行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关于落实解决政府采购异常低价问题相关措施的通知</w:t>
      </w:r>
      <w:r>
        <w:rPr>
          <w:rFonts w:hint="eastAsia" w:ascii="宋体" w:hAnsi="宋体" w:eastAsia="宋体" w:cs="宋体"/>
          <w:color w:val="000000"/>
          <w:sz w:val="24"/>
          <w:szCs w:val="24"/>
          <w:highlight w:val="none"/>
          <w:lang w:eastAsia="zh-CN"/>
        </w:rPr>
        <w:t xml:space="preserve">》（连财购〔2025]24号）</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726"/>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评标原则、评标办法和特殊情况处理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评标原则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评标办法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现场开标特殊情况处理（采用不见面交易方式招标的本条款不适用）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因“开评标系统”自身故障，开标活动无法正常进行时，将使用投标文件备份U盘继续进行开标活动。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“开评标系统”自身故障是指非投标人原因造成所有投标人电子投标文件均无法解密的情形，部分投标文件无法解密的，不适用本条款。</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对于不同载体的投标文件，开标、评标及认定顺序为电子投标文件、投标备份U盘，前项不能读取的可按后项评审。</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中标人的确定</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评标委员会按照评审得分由高到低顺序推荐3名中标候选人。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 中标通知书</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 中标人确定后，中标结果由采购代理机构公告，中标公告期限为1个工作日。</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 在公告中标结果的同时，由采购代理机构向中标人发出中标通知书，</w:t>
      </w:r>
      <w:r>
        <w:rPr>
          <w:rFonts w:hint="eastAsia" w:ascii="宋体" w:hAnsi="宋体" w:eastAsia="宋体" w:cs="宋体"/>
          <w:b/>
          <w:color w:val="000000"/>
          <w:sz w:val="24"/>
          <w:szCs w:val="24"/>
          <w:highlight w:val="none"/>
        </w:rPr>
        <w:t xml:space="preserve">中标供应商在领取中标通知书时，需提供伍份与电子投标文件一致的纸质打印投标文件</w:t>
      </w:r>
      <w:r>
        <w:rPr>
          <w:rFonts w:hint="eastAsia" w:ascii="宋体" w:hAnsi="宋体" w:eastAsia="宋体" w:cs="宋体"/>
          <w:color w:val="000000"/>
          <w:sz w:val="24"/>
          <w:szCs w:val="24"/>
          <w:highlight w:val="none"/>
        </w:rPr>
        <w:t xml:space="preserve">；对未通过资格审查的投标人，应当告知其未通过的原因；采用综合评分法评审的，还应当告知未中标人本人的评审得分与排序。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.3 采购代理机构无义务向未中标投标人解释落标原因和退回投标文件。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 签订合同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履约保证金及质保金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履约保证金的数额不得超过政府采购合同金额的10%。中标人应当以支票、汇票、本票或者金融机构、担保机构出具的保函等非现金形式在合同签订前提交。</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履约保证金自合同生效之日起至合同约定的中标人主要义务履行完毕止，采购人应当按合同约定及时退还履约保证金。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本项目履约保证金要求详见招标文件第五章“合同专用条款表”。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rPr>
          <w:rFonts w:hint="eastAsia" w:ascii="宋体" w:hAnsi="宋体" w:eastAsia="宋体" w:cs="宋体"/>
          <w:bCs/>
          <w:color w:val="000000"/>
          <w:sz w:val="24"/>
          <w:szCs w:val="24"/>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解释权</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有关事宜</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所有与本招标文件有关的函电和通讯地址见第一章“投标邀请”。</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、促进中小企业发展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价格给予扣除标准：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本项目执行财政部、工业和信息化部关于</w:t>
      </w:r>
      <w:r>
        <w:rPr>
          <w:rFonts w:hint="eastAsia" w:ascii="宋体" w:hAnsi="宋体" w:eastAsia="宋体" w:cs="宋体"/>
          <w:color w:val="000000"/>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本项目价格扣除计算方法如下：参与报价得分计算的价格＝投标人的投标报价-小型企业、微型企业、监狱企业、残疾人福利性单位的投标报价×10%。</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参加政府采购活动的投标人享受价格评审优惠的应当提供的材料：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.3.1 投标人提供的货物全部由小型企业、微型企业制造的，提供《中小企业声明函》。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.3.3 投标人为监狱企业或提供的货物由监狱企业制造的，提供省级以上监狱管理局、戒毒管理局（含新疆生产建设兵团）出具的属于监狱企业的证明文件。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 司法部</w:t>
      </w:r>
      <w:r>
        <w:rPr>
          <w:rFonts w:hint="eastAsia" w:ascii="宋体" w:hAnsi="宋体" w:eastAsia="宋体" w:cs="宋体"/>
          <w:color w:val="000000"/>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、支持绿色发展</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726"/>
        <w:numPr>
          <w:ilvl w:val="0"/>
          <w:numId w:val="2"/>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政府采购需求标准</w:t>
      </w:r>
      <w:r>
        <w:rPr>
          <w:rFonts w:hint="eastAsia" w:ascii="宋体" w:hAnsi="宋体" w:eastAsia="宋体" w:cs="宋体"/>
          <w:color w:val="000000"/>
          <w:sz w:val="24"/>
          <w:szCs w:val="24"/>
          <w:highlight w:val="none"/>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513622228"/>
      <w:r/>
      <w:bookmarkStart w:id="8" w:name="_Toc139967211"/>
      <w:r/>
      <w:bookmarkStart w:id="9" w:name="_Toc150765436"/>
      <w:r/>
      <w:bookmarkStart w:id="10" w:name="_Toc139966427"/>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37.采购本国产品的支持政策</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37.1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color w:val="000000"/>
          <w:sz w:val="24"/>
          <w:szCs w:val="24"/>
          <w:highlight w:val="none"/>
          <w:lang w:val="en-US" w:eastAsia="zh-CN" w:bidi="ar-SA"/>
        </w:rPr>
      </w:r>
      <w:r/>
    </w:p>
    <w:p>
      <w:pPr>
        <w:pStyle w:val="726"/>
        <w:numPr>
          <w:ilvl w:val="0"/>
          <w:numId w:val="0"/>
        </w:numPr>
        <w:ind w:firstLine="480"/>
        <w:spacing w:line="360" w:lineRule="auto"/>
        <w:rPr>
          <w:rFonts w:hint="eastAsia" w:ascii="宋体" w:hAnsi="宋体" w:eastAsia="宋体" w:cs="宋体"/>
          <w:color w:val="000000"/>
          <w:highlight w:val="none"/>
        </w:rPr>
      </w:pPr>
      <w:r>
        <w:rPr>
          <w:rFonts w:hint="eastAsia" w:ascii="宋体" w:hAnsi="宋体" w:eastAsia="宋体" w:cs="宋体"/>
          <w:b w:val="0"/>
          <w:color w:val="00000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6"/>
        <w:rPr>
          <w:rFonts w:hint="eastAsia"/>
          <w:color w:val="000000"/>
          <w:highlight w:val="none"/>
        </w:rPr>
      </w:pPr>
      <w:r>
        <w:rPr>
          <w:rFonts w:hint="eastAsia"/>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ind w:firstLine="723"/>
        <w:jc w:val="center"/>
        <w:spacing w:line="360" w:lineRule="auto"/>
        <w:tabs>
          <w:tab w:val="left" w:pos="360" w:leader="none"/>
        </w:tabs>
        <w:rPr>
          <w:rFonts w:hint="eastAsia" w:ascii="宋体" w:hAnsi="宋体" w:eastAsia="宋体" w:cs="宋体"/>
          <w:b w:val="0"/>
          <w:color w:val="000000"/>
          <w:highlight w:val="none"/>
        </w:rPr>
      </w:pPr>
      <w:r>
        <w:rPr>
          <w:rFonts w:hint="eastAsia" w:ascii="宋体" w:hAnsi="宋体" w:eastAsia="宋体" w:cs="宋体"/>
          <w:color w:val="000000"/>
          <w:highlight w:val="none"/>
        </w:rPr>
        <w:t xml:space="preserve">第三章政府采购合同格式</w:t>
      </w:r>
      <w:bookmarkEnd w:id="7"/>
      <w:r/>
      <w:bookmarkEnd w:id="8"/>
      <w:r/>
      <w:bookmarkEnd w:id="9"/>
      <w:r/>
      <w:bookmarkEnd w:id="10"/>
      <w:r>
        <w:rPr>
          <w:rFonts w:hint="eastAsia" w:ascii="宋体" w:hAnsi="宋体" w:eastAsia="宋体" w:cs="宋体"/>
          <w:b w:val="0"/>
          <w:color w:val="000000"/>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2078"/>
        <w:spacing w:line="360" w:lineRule="auto"/>
        <w:rPr>
          <w:rFonts w:hint="eastAsia" w:ascii="宋体" w:hAnsi="宋体" w:eastAsia="宋体" w:cs="宋体"/>
          <w:b/>
          <w:bCs/>
          <w:color w:val="000000"/>
          <w:sz w:val="52"/>
          <w:szCs w:val="24"/>
          <w:highlight w:val="none"/>
        </w:rPr>
      </w:pPr>
      <w:r>
        <w:rPr>
          <w:rFonts w:hint="eastAsia" w:ascii="宋体" w:hAnsi="宋体" w:eastAsia="宋体" w:cs="宋体"/>
          <w:b/>
          <w:bCs/>
          <w:color w:val="000000"/>
          <w:sz w:val="52"/>
          <w:szCs w:val="24"/>
          <w:highlight w:val="none"/>
        </w:rPr>
        <w:t xml:space="preserve">连 云 港 市 政 府 采 购</w:t>
      </w:r>
      <w:r>
        <w:rPr>
          <w:rFonts w:hint="eastAsia" w:ascii="宋体" w:hAnsi="宋体" w:eastAsia="宋体" w:cs="宋体"/>
          <w:b/>
          <w:bCs/>
          <w:color w:val="000000"/>
          <w:sz w:val="52"/>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883"/>
        <w:jc w:val="center"/>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合同</w:t>
      </w:r>
      <w:r>
        <w:rPr>
          <w:rFonts w:hint="eastAsia" w:ascii="宋体" w:hAnsi="宋体" w:eastAsia="宋体" w:cs="宋体"/>
          <w:b/>
          <w:bCs/>
          <w:color w:val="000000"/>
          <w:sz w:val="44"/>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3507"/>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r>
      <w:r/>
    </w:p>
    <w:p>
      <w:pPr>
        <w:pStyle w:val="726"/>
        <w:ind w:firstLine="1802"/>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hint="eastAsia" w:ascii="宋体" w:hAnsi="宋体" w:eastAsia="宋体" w:cs="宋体"/>
          <w:b/>
          <w:bCs/>
          <w:color w:val="000000"/>
          <w:sz w:val="44"/>
          <w:szCs w:val="4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880"/>
        <w:spacing w:line="360" w:lineRule="auto"/>
        <w:rPr>
          <w:rFonts w:hint="eastAsia" w:ascii="宋体" w:hAnsi="宋体" w:eastAsia="宋体" w:cs="宋体"/>
          <w:color w:val="000000"/>
          <w:sz w:val="44"/>
          <w:szCs w:val="24"/>
          <w:highlight w:val="none"/>
        </w:rPr>
      </w:pPr>
      <w:r>
        <w:rPr>
          <w:rFonts w:hint="eastAsia" w:ascii="宋体" w:hAnsi="宋体" w:eastAsia="宋体" w:cs="宋体"/>
          <w:color w:val="000000"/>
          <w:sz w:val="44"/>
          <w:szCs w:val="24"/>
          <w:highlight w:val="none"/>
        </w:rPr>
      </w:r>
      <w:r/>
    </w:p>
    <w:p>
      <w:pPr>
        <w:pStyle w:val="726"/>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采购人：</w:t>
      </w:r>
      <w:r>
        <w:rPr>
          <w:rFonts w:hint="eastAsia" w:ascii="宋体" w:hAnsi="宋体" w:eastAsia="宋体" w:cs="宋体"/>
          <w:b/>
          <w:bCs/>
          <w:color w:val="000000"/>
          <w:sz w:val="44"/>
          <w:szCs w:val="24"/>
          <w:highlight w:val="none"/>
        </w:rPr>
      </w:r>
      <w:r/>
    </w:p>
    <w:p>
      <w:pPr>
        <w:pStyle w:val="726"/>
        <w:ind w:firstLine="1758"/>
        <w:spacing w:line="360" w:lineRule="auto"/>
        <w:rPr>
          <w:rFonts w:hint="eastAsia" w:ascii="宋体" w:hAnsi="宋体" w:eastAsia="宋体" w:cs="宋体"/>
          <w:b/>
          <w:bCs/>
          <w:color w:val="000000"/>
          <w:sz w:val="44"/>
          <w:szCs w:val="24"/>
          <w:highlight w:val="none"/>
        </w:rPr>
      </w:pPr>
      <w:r>
        <w:rPr>
          <w:rFonts w:hint="eastAsia" w:ascii="宋体" w:hAnsi="宋体" w:eastAsia="宋体" w:cs="宋体"/>
          <w:b/>
          <w:bCs/>
          <w:color w:val="000000"/>
          <w:sz w:val="44"/>
          <w:szCs w:val="24"/>
          <w:highlight w:val="none"/>
        </w:rPr>
        <w:t xml:space="preserve">中标人：</w:t>
      </w:r>
      <w:r>
        <w:rPr>
          <w:rFonts w:hint="eastAsia" w:ascii="宋体" w:hAnsi="宋体" w:eastAsia="宋体" w:cs="宋体"/>
          <w:b/>
          <w:bCs/>
          <w:color w:val="000000"/>
          <w:sz w:val="44"/>
          <w:szCs w:val="2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26"/>
        <w:ind w:firstLine="643"/>
        <w:jc w:val="center"/>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32"/>
          <w:highlight w:val="none"/>
        </w:rPr>
        <w:t xml:space="preserve">连云港市政府采购合同</w:t>
      </w:r>
      <w:r>
        <w:rPr>
          <w:rFonts w:hint="eastAsia" w:ascii="宋体" w:hAnsi="宋体" w:eastAsia="宋体" w:cs="宋体"/>
          <w:b/>
          <w:color w:val="000000"/>
          <w:sz w:val="32"/>
          <w:szCs w:val="20"/>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b/>
          <w:color w:val="000000"/>
          <w:sz w:val="24"/>
          <w:szCs w:val="24"/>
          <w:highlight w:val="none"/>
        </w:rPr>
        <w:t xml:space="preserve">连云港职业技术学院</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乙方：（卖方）_________</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见证方：中和德汇工程技术有限公司</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0"/>
          <w:highlight w:val="none"/>
        </w:rPr>
        <w:t xml:space="preserve">年月日</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0"/>
          <w:highlight w:val="none"/>
          <w:u w:val="single"/>
        </w:rPr>
        <w:t xml:space="preserve">）</w:t>
      </w:r>
      <w:r>
        <w:rPr>
          <w:rFonts w:hint="eastAsia" w:ascii="宋体" w:hAnsi="宋体" w:eastAsia="宋体" w:cs="宋体"/>
          <w:color w:val="000000"/>
          <w:sz w:val="24"/>
          <w:szCs w:val="20"/>
          <w:highlight w:val="none"/>
        </w:rPr>
        <w:t xml:space="preserve">招标的结果，签订本合同。</w:t>
      </w:r>
      <w:r>
        <w:rPr>
          <w:rFonts w:hint="eastAsia" w:ascii="宋体" w:hAnsi="宋体" w:eastAsia="宋体" w:cs="宋体"/>
          <w:color w:val="000000"/>
          <w:sz w:val="24"/>
          <w:szCs w:val="20"/>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1.1产品/服务内容：。</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1.2质保期限：。</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1.3补充条款：。</w:t>
      </w:r>
      <w:r>
        <w:rPr>
          <w:rFonts w:hint="eastAsia" w:ascii="宋体" w:hAnsi="宋体" w:eastAsia="宋体" w:cs="宋体"/>
          <w:color w:val="000000"/>
          <w:sz w:val="24"/>
          <w:szCs w:val="24"/>
          <w:highlight w:val="none"/>
          <w:u w:val="singl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2.1本合同金额为（大写）：_________________元整（¥__________）人民币。</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3.1乙方应按招标文件规定的时间向甲方提供有关技术资料。</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4.1乙方应保证甲方在使用、接受本合同中产品和服务或其任何一部分时不受第三方提出侵犯其专利权、版权、商标权和工业设计权等知识产权的起诉。一旦出现侵权，由乙方负全部责任。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72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5.1乙方保证所交付标的的所有权完全属于乙方且无任何抵押、查封等产权瑕疵。</w:t>
      </w:r>
      <w:r>
        <w:rPr>
          <w:rFonts w:hint="eastAsia" w:ascii="宋体" w:hAnsi="宋体" w:eastAsia="宋体" w:cs="宋体"/>
          <w:color w:val="000000"/>
          <w:sz w:val="24"/>
          <w:szCs w:val="24"/>
          <w:highlight w:val="none"/>
          <w:u w:val="singl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6.1本合同不收取履约保证金。</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bookmarkStart w:id="11" w:name="OLE_LINK4"/>
      <w:r>
        <w:rPr>
          <w:rFonts w:hint="eastAsia" w:ascii="宋体" w:hAnsi="宋体" w:eastAsia="宋体" w:cs="宋体"/>
          <w:b/>
          <w:color w:val="000000"/>
          <w:sz w:val="24"/>
          <w:szCs w:val="24"/>
          <w:highlight w:val="none"/>
        </w:rPr>
        <w:t xml:space="preserve">七、转包或分包</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7.1本合同范围内产品或服务，应由乙方直接供应，不得转让他人供应；</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7.2除非得到甲方的书面同意，乙方不得部分分包给他人供应。</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7.3如有转让和未经甲方同意的分包行为，甲方有权给予终止合同。</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bookmarkEnd w:id="11"/>
      <w:r>
        <w:rPr>
          <w:rFonts w:hint="eastAsia" w:ascii="宋体" w:hAnsi="宋体" w:eastAsia="宋体" w:cs="宋体"/>
          <w:b/>
          <w:color w:val="000000"/>
          <w:sz w:val="24"/>
          <w:szCs w:val="24"/>
          <w:highlight w:val="none"/>
        </w:rPr>
        <w:t xml:space="preserve">八、质保期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8.1质保期。</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九、交付期、交付方式及交付地点</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9.1交付期：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9.2交付方式：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9.3交付地点：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十、合同款支付</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bCs/>
          <w:color w:val="000000"/>
          <w:sz w:val="24"/>
          <w:szCs w:val="24"/>
          <w:highlight w:val="none"/>
        </w:rPr>
        <w:t xml:space="preserve">10.1付款</w:t>
      </w:r>
      <w:r>
        <w:rPr>
          <w:rFonts w:hint="eastAsia" w:ascii="宋体" w:hAnsi="宋体" w:eastAsia="宋体" w:cs="宋体"/>
          <w:color w:val="000000"/>
          <w:sz w:val="24"/>
          <w:szCs w:val="24"/>
          <w:highlight w:val="none"/>
        </w:rPr>
        <w:t xml:space="preserve">方式：</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ind w:firstLine="480"/>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当采购数量与实际使用数量不一致时，乙方根据实际使用量提供产品和服务，合同的最终结算金额按实际使用量乘以中标单价进行计算。</w:t>
      </w:r>
      <w:r>
        <w:rPr>
          <w:rFonts w:hint="eastAsia" w:ascii="宋体" w:hAnsi="宋体" w:eastAsia="宋体" w:cs="宋体"/>
          <w:bCs/>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十一、税费</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11.1本合同执行中相关的一切税费均由乙方负担。</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十二、质量保证及售后服务</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12.1乙方应按招标文件规定和响应文件承诺的性能、技术要求、质量标准向甲方提供产品或服务。</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12.2乙方提供的产品或服务在质保期内因其本身出现质量问题，根据实际情况，经双方协商，可按以下办法处理：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（1）更换：由乙方承担所发生的全部费用。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（2）合同终止处理：合同终止，并退还甲方支付的合同款，同时应承担由此产生的所有费用，甲方不承担发生任何费用。</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12.3如在使用过程中发生质量问题，乙方在接到甲方通知后在小时内到达甲方现场。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12.4在质保期内，乙方应对产品或服务出现的质量及安全问题负责处理解决并承担一切费用。</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十三、验收</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13.1甲方对乙方提交的产品或服务依据招标文件上的项目需求要求、乙方响应文件及国家有关质量标准进行验收。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13.3甲方对乙方提供的产品或服务在使用前，乙方需负责培训甲方的使用操作人员，并协助甲方一起试用，直到符合技术要求，甲方才做最终验收。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13.4对技术复杂的产品或服务，甲方可请国家认可的专业检测机构参与初步验收及最终验收，并由其出具质量检测报告。</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13.5验收时乙方必须在现场，验收完毕后作出验收结果报告；招标文件规定以外的验收费用由甲乙双方协商解决。</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十四、合同内容的交付</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14.1乙方应保证合同标的安全运达甲方指定地点。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14.2使用说明书、质量检验证明书一并提交甲方。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14.3乙方在合同标的交付甲方48小时前通知甲方准备接收。</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14.4合同标的在交付甲方前发生的风险均由乙方负责。</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14.5合同标的在规定的交付期限内由乙方送达甲方指定的地点视为交付，乙方同时需通知甲方已送达。</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十五、违约责任</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15.1甲方无正当理由拒收的，甲方向乙方偿付拒收货款总值的百分之五违约金。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15.2甲方无故逾期验收和办理合同款支付手续的,甲方应按逾期付款总额每日万分之五向乙方支付违约金。</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十六、不可抗力事件处理</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16.2不可抗力事件发生后，应立即通知对方，并寄送有关权威机构出具的证明。</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16.3不可抗力事件延续120天以上，双方应通过友好协商，确定是否继续履行合同。</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十七、争议解决</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17.1双方在执行合同中所发生的一切争议，应通过协商解决。如协商不成，按下列第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ascii="宋体" w:hAnsi="宋体" w:eastAsia="宋体" w:cs="宋体"/>
          <w:color w:val="000000"/>
          <w:sz w:val="24"/>
          <w:szCs w:val="24"/>
          <w:highlight w:val="none"/>
        </w:rPr>
      </w:r>
      <w:r/>
    </w:p>
    <w:p>
      <w:pPr>
        <w:pStyle w:val="726"/>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十八、合同生效及其它</w:t>
      </w:r>
      <w:r>
        <w:rPr>
          <w:rFonts w:hint="eastAsia" w:ascii="宋体" w:hAnsi="宋体" w:eastAsia="宋体" w:cs="宋体"/>
          <w:b/>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18.1合同经双方法定代表人或委托代理人签字并加盖单位公章后生效。</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18.2本合同未尽事宜，遵照《中华人民共和国民法典》有关条文执行。</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18.3本合同正本一式四份，具有同等法律效力，甲方、乙方、见证方及财政监管部门各执一份。</w:t>
      </w: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甲方：乙方：</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地址：地址：</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法定代表人：法定代表人：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委托代理人：委托代理人：</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电话：电话：</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传真：传真：</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签订日期：年月日</w:t>
      </w: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3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见证方：中和德汇工程技术有限公司</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见证日期：年月日</w:t>
      </w:r>
      <w:r>
        <w:rPr>
          <w:rFonts w:hint="eastAsia" w:ascii="宋体" w:hAnsi="宋体" w:eastAsia="宋体" w:cs="宋体"/>
          <w:b/>
          <w:color w:val="000000"/>
          <w:sz w:val="24"/>
          <w:szCs w:val="24"/>
          <w:highlight w:val="none"/>
        </w:rPr>
      </w:r>
      <w:r/>
    </w:p>
    <w:p>
      <w:pPr>
        <w:pStyle w:val="726"/>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26"/>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7"/>
        <w:numPr>
          <w:ilvl w:val="0"/>
          <w:numId w:val="0"/>
        </w:numP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Cs w:val="24"/>
          <w:highlight w:val="none"/>
        </w:rPr>
        <w:br w:type="page" w:clear="all"/>
      </w:r>
      <w:bookmarkStart w:id="12" w:name="_Toc139967212"/>
      <w:r/>
      <w:bookmarkStart w:id="13" w:name="_Toc513622229"/>
      <w:r/>
      <w:bookmarkStart w:id="14" w:name="_Toc139966428"/>
      <w:r/>
      <w:bookmarkStart w:id="15" w:name="_Toc150765437"/>
      <w:r>
        <w:rPr>
          <w:rFonts w:hint="eastAsia" w:ascii="宋体" w:hAnsi="宋体" w:eastAsia="宋体" w:cs="宋体"/>
          <w:color w:val="000000"/>
          <w:highlight w:val="none"/>
        </w:rPr>
        <w:t xml:space="preserve">第四章投标文件格式</w:t>
      </w:r>
      <w:bookmarkEnd w:id="12"/>
      <w:r/>
      <w:bookmarkEnd w:id="13"/>
      <w:r/>
      <w:bookmarkEnd w:id="14"/>
      <w:r/>
      <w:bookmarkEnd w:id="15"/>
      <w:r>
        <w:rPr>
          <w:rFonts w:hint="eastAsia" w:ascii="宋体" w:hAnsi="宋体" w:eastAsia="宋体" w:cs="宋体"/>
          <w:color w:val="000000"/>
          <w:sz w:val="24"/>
          <w:szCs w:val="24"/>
          <w:highlight w:val="none"/>
        </w:rPr>
      </w:r>
      <w:r/>
    </w:p>
    <w:p>
      <w:pPr>
        <w:pStyle w:val="726"/>
        <w:ind w:firstLine="1044"/>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26"/>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连 云 港 市 政 府 采 购</w:t>
      </w:r>
      <w:r>
        <w:rPr>
          <w:rFonts w:hint="eastAsia" w:ascii="宋体" w:hAnsi="宋体" w:eastAsia="宋体" w:cs="宋体"/>
          <w:b/>
          <w:color w:val="000000"/>
          <w:sz w:val="52"/>
          <w:szCs w:val="52"/>
          <w:highlight w:val="none"/>
        </w:rPr>
      </w:r>
      <w:r/>
    </w:p>
    <w:p>
      <w:pPr>
        <w:pStyle w:val="726"/>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投标文件</w:t>
      </w:r>
      <w:r>
        <w:rPr>
          <w:rFonts w:hint="eastAsia" w:ascii="宋体" w:hAnsi="宋体" w:eastAsia="宋体" w:cs="宋体"/>
          <w:b/>
          <w:color w:val="000000"/>
          <w:sz w:val="72"/>
          <w:szCs w:val="21"/>
          <w:highlight w:val="none"/>
        </w:rPr>
      </w:r>
      <w:r/>
    </w:p>
    <w:p>
      <w:pPr>
        <w:pStyle w:val="726"/>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6"/>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1084"/>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名 称：</w:t>
      </w:r>
      <w:r>
        <w:rPr>
          <w:rFonts w:hint="eastAsia" w:ascii="宋体" w:hAnsi="宋体" w:eastAsia="宋体" w:cs="宋体"/>
          <w:b/>
          <w:color w:val="000000"/>
          <w:sz w:val="36"/>
          <w:szCs w:val="24"/>
          <w:highlight w:val="none"/>
        </w:rPr>
      </w:r>
      <w:r/>
    </w:p>
    <w:p>
      <w:pPr>
        <w:pStyle w:val="726"/>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标 段 编 号：</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投标人名称：</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投标人地址： </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法定代表人：</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委托代理人（委托代理时填写）：</w:t>
      </w:r>
      <w:r>
        <w:rPr>
          <w:rFonts w:hint="eastAsia" w:ascii="宋体" w:hAnsi="宋体" w:eastAsia="宋体" w:cs="宋体"/>
          <w:b/>
          <w:color w:val="000000"/>
          <w:sz w:val="36"/>
          <w:szCs w:val="24"/>
          <w:highlight w:val="none"/>
        </w:rPr>
      </w:r>
      <w:r/>
    </w:p>
    <w:p>
      <w:pPr>
        <w:pStyle w:val="726"/>
        <w:ind w:firstLine="1084"/>
        <w:spacing w:line="360" w:lineRule="auto"/>
        <w:rPr>
          <w:rFonts w:hint="eastAsia" w:ascii="宋体" w:hAnsi="宋体" w:eastAsia="宋体" w:cs="宋体"/>
          <w:b/>
          <w:color w:val="000000"/>
          <w:sz w:val="36"/>
          <w:szCs w:val="24"/>
          <w:highlight w:val="none"/>
        </w:rPr>
      </w:pPr>
      <w:r>
        <w:rPr>
          <w:rFonts w:hint="eastAsia" w:ascii="宋体" w:hAnsi="宋体" w:eastAsia="宋体" w:cs="宋体"/>
          <w:b/>
          <w:color w:val="000000"/>
          <w:sz w:val="36"/>
          <w:szCs w:val="24"/>
          <w:highlight w:val="none"/>
        </w:rPr>
        <w:t xml:space="preserve">日      期：</w:t>
      </w:r>
      <w:r>
        <w:rPr>
          <w:rFonts w:hint="eastAsia" w:ascii="宋体" w:hAnsi="宋体" w:eastAsia="宋体" w:cs="宋体"/>
          <w:b/>
          <w:color w:val="000000"/>
          <w:sz w:val="36"/>
          <w:szCs w:val="24"/>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36"/>
          <w:szCs w:val="20"/>
          <w:highlight w:val="none"/>
        </w:rPr>
        <w:br w:type="page" w:clear="all"/>
      </w:r>
      <w:bookmarkStart w:id="16" w:name="_Toc139966431"/>
      <w:r/>
      <w:bookmarkStart w:id="17" w:name="_Toc139967215"/>
      <w:r>
        <w:rPr>
          <w:rFonts w:hint="eastAsia" w:ascii="宋体" w:hAnsi="宋体" w:eastAsia="宋体" w:cs="宋体"/>
          <w:color w:val="000000"/>
          <w:sz w:val="24"/>
          <w:szCs w:val="24"/>
          <w:highlight w:val="none"/>
        </w:rPr>
        <w:t xml:space="preserve">格式1、响应函</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响应函</w:t>
      </w:r>
      <w:r>
        <w:rPr>
          <w:rFonts w:hint="eastAsia" w:ascii="宋体" w:hAnsi="宋体" w:eastAsia="宋体" w:cs="宋体"/>
          <w:bCs/>
          <w:color w:val="000000"/>
          <w:sz w:val="36"/>
          <w:szCs w:val="28"/>
          <w:highlight w:val="none"/>
        </w:rPr>
      </w:r>
      <w:r/>
    </w:p>
    <w:p>
      <w:pPr>
        <w:pStyle w:val="726"/>
        <w:keepLines w:val="0"/>
        <w:keepNext w:val="0"/>
        <w:pageBreakBefore w:val="0"/>
        <w:spacing w:line="360" w:lineRule="exact"/>
        <w:widowControl w:val="off"/>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lang w:eastAsia="zh-CN"/>
        </w:rPr>
        <w:t xml:space="preserve">连云港职业技术学院</w:t>
      </w:r>
      <w:r>
        <w:rPr>
          <w:rFonts w:hint="eastAsia" w:ascii="宋体" w:hAnsi="宋体" w:eastAsia="宋体" w:cs="宋体"/>
          <w:color w:val="000000"/>
          <w:szCs w:val="24"/>
          <w:highlight w:val="none"/>
          <w:lang w:eastAsia="zh-CN"/>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根据贵方标段（标段编号：）招标文件，正式授权下述签字人全权代表参加贵方组织的采购活动，按照招标文件要求提交响应文件。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据此函，签字人兹宣布同意如下：</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1.按招标文件项目需求提交响应报价，报价、交货期等详见开标一览表。</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2.我方同意在本标段招标文件中规定的响应文件递交截止之日起60天内遵守本响应文件中的承诺且在此期限期满之前均具有约束力。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3.我方承诺已经具备《中华人民共和国政府采购法》中规定的参加政府采购活动的供应商应当具备的条件：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(1)具有独立承担民事责任的能力；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(2)具有良好的商业信誉和健全的财务会计制度；</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(3)具有履行合同所必需的设备和专业技术能力；</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(4)有依法缴纳税收和社会保障资金的良好记录；</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(5)参加此项采购活动前三年内，在经营活动中没有重大违法记录。</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4.我方根据招标文件的规定，承担完成合同的责任和义务。</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5.我方已详细审核招标文件，我方知道必须放弃提出含糊不清或误解问题的权利。</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6.如果在响应文件有效期内撤回或者有其他违约行为，我方的保证金可被贵方全部或部分没收。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7.同意应贵方要求提供与本次采购活动有关的任何数据或资料。</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8.我方完全理解，最低报价不是中标（成交）的唯一条件。</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9.若贵方需要，我方愿意提供我方作出的一切承诺的证明材料。</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(1)提供虚假材料谋取中标、成交的；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(2)采取不正当手段诋毁、排挤其他供应商的；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(3)与采购人、其他供应商或者采购代理机构恶意串通的；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(4)向采购人、采购代理机构行贿或者提供其他不正当利益的；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(5)在招标采购过程中与采购人进行协商谈判的；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(6)拒绝有关部门监督检查或提供虚假情况的。</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法定代表人或其委托代理人签字（或盖章）：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供应商公章：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w:t>
      </w: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keepLines w:val="0"/>
        <w:keepNext w:val="0"/>
        <w:pageBreakBefore w:val="0"/>
        <w:spacing w:line="360" w:lineRule="exact"/>
        <w:widowControl w:val="off"/>
        <w:rPr>
          <w:rFonts w:hint="eastAsia" w:ascii="宋体" w:hAnsi="宋体" w:eastAsia="宋体" w:cs="宋体"/>
          <w:color w:val="000000"/>
          <w:sz w:val="36"/>
          <w:szCs w:val="36"/>
          <w:highlight w:val="none"/>
          <w:lang w:val="zh-CN"/>
        </w:rPr>
      </w:pPr>
      <w:r>
        <w:rPr>
          <w:rFonts w:hint="eastAsia" w:ascii="宋体" w:hAnsi="宋体" w:eastAsia="宋体" w:cs="宋体"/>
          <w:color w:val="000000"/>
          <w:szCs w:val="24"/>
          <w:highlight w:val="none"/>
        </w:rPr>
        <w:t xml:space="preserve">注：未按照本响应函的格式要求填写的，将造成非实质响应，从而导致该供应商响应无效。</w:t>
      </w:r>
      <w:r>
        <w:rPr>
          <w:rFonts w:hint="eastAsia" w:ascii="宋体" w:hAnsi="宋体" w:eastAsia="宋体" w:cs="宋体"/>
          <w:color w:val="000000"/>
          <w:sz w:val="36"/>
          <w:szCs w:val="36"/>
          <w:highlight w:val="none"/>
          <w:lang w:val="zh-CN"/>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格式2、开标一览表</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开标一览表</w:t>
      </w:r>
      <w:r>
        <w:rPr>
          <w:rFonts w:hint="eastAsia" w:ascii="宋体" w:hAnsi="宋体" w:eastAsia="宋体" w:cs="宋体"/>
          <w:bCs/>
          <w:color w:val="000000"/>
          <w:sz w:val="36"/>
          <w:szCs w:val="28"/>
          <w:highlight w:val="none"/>
        </w:rPr>
      </w:r>
      <w:r/>
    </w:p>
    <w:p>
      <w:pPr>
        <w:pStyle w:val="726"/>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726"/>
        <w:ind w:firstLine="7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26"/>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分包号：分包号</w:t>
      </w:r>
      <w:r>
        <w:rPr>
          <w:rFonts w:hint="eastAsia" w:ascii="宋体" w:hAnsi="宋体" w:eastAsia="宋体" w:cs="宋体"/>
          <w:color w:val="000000"/>
          <w:sz w:val="24"/>
          <w:szCs w:val="24"/>
          <w:highlight w:val="none"/>
        </w:rPr>
      </w:r>
      <w:r/>
    </w:p>
    <w:tbl>
      <w:tblPr>
        <w:tblW w:w="7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标题</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310"/>
        </w:trPr>
        <w:tc>
          <w:tcPr>
            <w:tcW w:w="3653"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核心产品</w:t>
            </w:r>
            <w:r>
              <w:rPr>
                <w:rFonts w:hint="eastAsia" w:ascii="宋体" w:hAnsi="宋体" w:eastAsia="宋体" w:cs="宋体"/>
                <w:bCs/>
                <w:color w:val="000000"/>
                <w:sz w:val="24"/>
                <w:szCs w:val="24"/>
                <w:highlight w:val="none"/>
              </w:rPr>
            </w:r>
            <w:r/>
          </w:p>
        </w:tc>
        <w:tc>
          <w:tcPr>
            <w:tcW w:w="365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jc w:val="left"/>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日期：年月日</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color w:val="000000"/>
          <w:sz w:val="32"/>
          <w:szCs w:val="20"/>
          <w:highlight w:val="none"/>
        </w:rPr>
        <w:outlineLvl w:val="1"/>
      </w:pPr>
      <w:r>
        <w:rPr>
          <w:rFonts w:hint="eastAsia" w:ascii="宋体" w:hAnsi="宋体" w:eastAsia="宋体" w:cs="宋体"/>
          <w:color w:val="000000"/>
          <w:sz w:val="32"/>
          <w:szCs w:val="20"/>
          <w:highlight w:val="none"/>
        </w:rPr>
        <w:br w:type="page" w:clear="all"/>
      </w:r>
      <w:r>
        <w:rPr>
          <w:rFonts w:hint="eastAsia" w:ascii="宋体" w:hAnsi="宋体" w:eastAsia="宋体" w:cs="宋体"/>
          <w:color w:val="000000"/>
          <w:sz w:val="24"/>
          <w:szCs w:val="24"/>
          <w:highlight w:val="none"/>
        </w:rPr>
        <w:t xml:space="preserve">格式3、投标产品配置及分项报价表</w:t>
      </w:r>
      <w:r>
        <w:rPr>
          <w:rFonts w:hint="eastAsia" w:ascii="宋体" w:hAnsi="宋体" w:eastAsia="宋体" w:cs="宋体"/>
          <w:color w:val="000000"/>
          <w:sz w:val="32"/>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投标产品配置及分项报价表</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标段名称：</w:t>
      </w:r>
      <w:r>
        <w:rPr>
          <w:rFonts w:hint="eastAsia" w:ascii="宋体" w:hAnsi="宋体" w:eastAsia="宋体" w:cs="宋体"/>
          <w:color w:val="000000"/>
          <w:sz w:val="24"/>
          <w:szCs w:val="24"/>
          <w:highlight w:val="none"/>
          <w:lang w:eastAsia="zh-CN"/>
        </w:rPr>
        <w:t xml:space="preserve">智慧文旅综合实训基地项目</w:t>
      </w:r>
      <w:r>
        <w:rPr>
          <w:rFonts w:hint="eastAsia" w:ascii="宋体" w:hAnsi="宋体" w:eastAsia="宋体" w:cs="宋体"/>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标段编号：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26"/>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6"/>
        <w:jc w:val="righ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单位：元</w:t>
      </w:r>
      <w:r>
        <w:rPr>
          <w:rFonts w:hint="eastAsia" w:ascii="宋体" w:hAnsi="宋体" w:eastAsia="宋体" w:cs="宋体"/>
          <w:color w:val="000000"/>
          <w:szCs w:val="24"/>
          <w:highlight w:val="none"/>
        </w:rPr>
      </w:r>
      <w:r/>
    </w:p>
    <w:tbl>
      <w:tblPr>
        <w:tblW w:w="96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序号</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名称</w:t>
            </w:r>
            <w:r>
              <w:rPr>
                <w:rFonts w:hint="eastAsia" w:ascii="宋体" w:hAnsi="宋体" w:eastAsia="宋体" w:cs="宋体"/>
                <w:bCs/>
                <w:color w:val="000000"/>
                <w:highlight w:val="none"/>
              </w:rPr>
            </w:r>
            <w:r/>
          </w:p>
        </w:tc>
        <w:tc>
          <w:tcPr>
            <w:tcW w:w="709"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品牌</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规格型号</w:t>
            </w:r>
            <w:r>
              <w:rPr>
                <w:rFonts w:hint="eastAsia" w:ascii="宋体" w:hAnsi="宋体" w:eastAsia="宋体" w:cs="宋体"/>
                <w:bCs/>
                <w:color w:val="000000"/>
                <w:highlight w:val="none"/>
              </w:rPr>
            </w:r>
            <w:r/>
          </w:p>
        </w:tc>
        <w:tc>
          <w:tcPr>
            <w:tcW w:w="850"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制造商</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制造商企业类型</w:t>
            </w:r>
            <w:r>
              <w:rPr>
                <w:rFonts w:hint="eastAsia" w:ascii="宋体" w:hAnsi="宋体" w:eastAsia="宋体" w:cs="宋体"/>
                <w:bCs/>
                <w:color w:val="000000"/>
                <w:highlight w:val="none"/>
              </w:rPr>
            </w:r>
            <w:r/>
          </w:p>
        </w:tc>
        <w:tc>
          <w:tcPr>
            <w:tcW w:w="709"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单价</w:t>
            </w:r>
            <w:r>
              <w:rPr>
                <w:rFonts w:hint="eastAsia" w:ascii="宋体" w:hAnsi="宋体" w:eastAsia="宋体" w:cs="宋体"/>
                <w:bCs/>
                <w:color w:val="000000"/>
                <w:highlight w:val="none"/>
              </w:rPr>
            </w:r>
            <w:r/>
          </w:p>
        </w:tc>
        <w:tc>
          <w:tcPr>
            <w:tcW w:w="113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采购数量</w:t>
            </w:r>
            <w:r>
              <w:rPr>
                <w:rFonts w:hint="eastAsia" w:ascii="宋体" w:hAnsi="宋体" w:eastAsia="宋体" w:cs="宋体"/>
                <w:bCs/>
                <w:color w:val="000000"/>
                <w:highlight w:val="none"/>
              </w:rPr>
            </w:r>
            <w:r/>
          </w:p>
        </w:tc>
        <w:tc>
          <w:tcPr>
            <w:tcW w:w="1094"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计量单位</w:t>
            </w:r>
            <w:r>
              <w:rPr>
                <w:rFonts w:hint="eastAsia" w:ascii="宋体" w:hAnsi="宋体" w:eastAsia="宋体" w:cs="宋体"/>
                <w:bCs/>
                <w:color w:val="000000"/>
                <w:highlight w:val="none"/>
              </w:rPr>
            </w:r>
            <w:r/>
          </w:p>
        </w:tc>
        <w:tc>
          <w:tcPr>
            <w:tcW w:w="1047" w:type="dxa"/>
            <w:vAlign w:val="center"/>
            <w:textDirection w:val="lrTb"/>
            <w:noWrap/>
          </w:tcPr>
          <w:p>
            <w:pPr>
              <w:pStyle w:val="726"/>
              <w:jc w:val="center"/>
              <w:spacing w:line="360" w:lineRule="auto"/>
              <w:widowControl/>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总价</w:t>
            </w:r>
            <w:r>
              <w:rPr>
                <w:rFonts w:hint="eastAsia" w:ascii="宋体" w:hAnsi="宋体" w:eastAsia="宋体" w:cs="宋体"/>
                <w:bCs/>
                <w:color w:val="000000"/>
                <w:highlight w:val="none"/>
              </w:rPr>
            </w:r>
            <w:r/>
          </w:p>
        </w:tc>
      </w:tr>
      <w:tr>
        <w:trPr>
          <w:trHeight w:val="581"/>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8"/>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1"/>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7"/>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W w:w="726"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50"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4"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gridSpan w:val="9"/>
            <w:tcW w:w="8624" w:type="dxa"/>
            <w:vAlign w:val="center"/>
            <w:textDirection w:val="lrTb"/>
            <w:noWrap/>
          </w:tcPr>
          <w:p>
            <w:pPr>
              <w:pStyle w:val="726"/>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总计（元）</w:t>
            </w:r>
            <w:r>
              <w:rPr>
                <w:rFonts w:hint="eastAsia" w:ascii="宋体" w:hAnsi="宋体" w:eastAsia="宋体" w:cs="宋体"/>
                <w:color w:val="000000"/>
                <w:highlight w:val="none"/>
              </w:rPr>
            </w:r>
            <w:r/>
          </w:p>
        </w:tc>
        <w:tc>
          <w:tcPr>
            <w:tcW w:w="1047" w:type="dxa"/>
            <w:vAlign w:val="center"/>
            <w:textDirection w:val="lrTb"/>
            <w:noWrap/>
          </w:tcPr>
          <w:p>
            <w:pPr>
              <w:pStyle w:val="726"/>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填报说明：</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2、以上总价包含货物费用、运杂费、安装施工费、集成费、税金和其他费用。</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3、请供应商正确填写本表，所填内容将作为评审的依据，其内容应与对应的证明资料相符。</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4、本表中事项填写不得有缺失，请如实填写，行数或事项不够，可自行增加。</w:t>
      </w:r>
      <w:r>
        <w:rPr>
          <w:rFonts w:hint="eastAsia" w:ascii="宋体" w:hAnsi="宋体" w:eastAsia="宋体" w:cs="宋体"/>
          <w:color w:val="000000"/>
          <w:szCs w:val="24"/>
          <w:highlight w:val="none"/>
        </w:rPr>
      </w:r>
      <w:r/>
    </w:p>
    <w:p>
      <w:pPr>
        <w:pStyle w:val="75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投标人（盖章）：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w:t>
      </w:r>
      <w:r>
        <w:rPr>
          <w:rFonts w:hint="eastAsia" w:ascii="宋体" w:hAnsi="宋体" w:eastAsia="宋体" w:cs="宋体"/>
          <w:color w:val="000000"/>
          <w:szCs w:val="24"/>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日期：年月日</w:t>
      </w:r>
      <w:r>
        <w:rPr>
          <w:rFonts w:hint="eastAsia" w:ascii="宋体" w:hAnsi="宋体" w:eastAsia="宋体" w:cs="宋体"/>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格式4、中小企业声明函</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（招标文件中明确的所属行业）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（招标文件中明确的所属行业）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726"/>
        <w:ind w:right="480"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726"/>
        <w:ind w:right="48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3、中标供应商的《中小企业声明函》随中标结果公开。</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4"/>
          <w:szCs w:val="24"/>
          <w:highlight w:val="none"/>
        </w:rPr>
        <w:t xml:space="preserve">格式5、残疾人福利性企业声明函</w:t>
      </w:r>
      <w:r>
        <w:rPr>
          <w:rFonts w:hint="eastAsia" w:ascii="宋体" w:hAnsi="宋体" w:eastAsia="宋体" w:cs="宋体"/>
          <w:b/>
          <w:color w:val="000000"/>
          <w:sz w:val="28"/>
          <w:szCs w:val="20"/>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rPr>
          <w:rFonts w:hint="eastAsia" w:ascii="宋体" w:hAnsi="宋体" w:eastAsia="宋体" w:cs="宋体"/>
          <w:bCs/>
          <w:color w:val="000000"/>
          <w:sz w:val="36"/>
          <w:szCs w:val="28"/>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（货物名称）</w:t>
      </w:r>
      <w:r>
        <w:rPr>
          <w:rFonts w:hint="eastAsia" w:ascii="宋体" w:hAnsi="宋体" w:eastAsia="宋体" w:cs="宋体"/>
          <w:color w:val="000000"/>
          <w:sz w:val="24"/>
          <w:szCs w:val="24"/>
          <w:highlight w:val="none"/>
        </w:rPr>
        <w:t xml:space="preserve"> ，制造商为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，属于残疾人福利性单位；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
          <w:color w:val="000000"/>
          <w:sz w:val="22"/>
          <w:szCs w:val="21"/>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42"/>
        <w:spacing w:line="360" w:lineRule="auto"/>
        <w:rPr>
          <w:rFonts w:hint="eastAsia" w:ascii="宋体" w:hAnsi="宋体" w:eastAsia="宋体" w:cs="宋体"/>
          <w:b/>
          <w:color w:val="000000"/>
          <w:sz w:val="22"/>
          <w:szCs w:val="21"/>
          <w:highlight w:val="none"/>
        </w:rPr>
      </w:pPr>
      <w:r>
        <w:rPr>
          <w:rFonts w:hint="eastAsia" w:ascii="宋体" w:hAnsi="宋体" w:eastAsia="宋体" w:cs="宋体"/>
          <w:b/>
          <w:color w:val="000000"/>
          <w:sz w:val="22"/>
          <w:szCs w:val="21"/>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填报说明：</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1、请供应商如实填写，所填内容将作为评审的依据。</w:t>
      </w:r>
      <w:r>
        <w:rPr>
          <w:rFonts w:hint="eastAsia" w:ascii="宋体" w:hAnsi="宋体" w:eastAsia="宋体" w:cs="宋体"/>
          <w:color w:val="000000"/>
          <w:sz w:val="24"/>
          <w:szCs w:val="24"/>
          <w:highlight w:val="none"/>
        </w:rPr>
        <w:t xml:space="preserve">其内容填写须与分项报价表一致，如填写不完整或不一致，将不享受扶</w:t>
      </w:r>
      <w:r>
        <w:rPr>
          <w:rFonts w:hint="eastAsia" w:ascii="宋体" w:hAnsi="宋体" w:eastAsia="宋体" w:cs="宋体"/>
          <w:bCs/>
          <w:color w:val="000000"/>
          <w:sz w:val="24"/>
          <w:szCs w:val="24"/>
          <w:highlight w:val="none"/>
        </w:rPr>
        <w:t xml:space="preserve">持政策。</w:t>
      </w:r>
      <w:r>
        <w:rPr>
          <w:rFonts w:hint="eastAsia" w:ascii="宋体" w:hAnsi="宋体" w:eastAsia="宋体" w:cs="宋体"/>
          <w:bCs/>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2、中标供应商的《残疾人福利性单位声明函》随中标结果公开。</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格式6、具备履行合同所必需的设备和专业技术能力的声明及证明材料</w:t>
      </w:r>
      <w:r>
        <w:rPr>
          <w:rFonts w:hint="eastAsia" w:ascii="宋体" w:hAnsi="宋体" w:eastAsia="宋体" w:cs="宋体"/>
          <w:b/>
          <w:color w:val="000000"/>
          <w:sz w:val="28"/>
          <w:szCs w:val="20"/>
          <w:highlight w:val="none"/>
        </w:rPr>
      </w:r>
      <w:r/>
    </w:p>
    <w:p>
      <w:pPr>
        <w:pStyle w:val="726"/>
        <w:jc w:val="left"/>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具备履行合同所必需的设备和专业技术能力的声明及证明材料</w:t>
      </w:r>
      <w:r>
        <w:rPr>
          <w:rFonts w:hint="eastAsia" w:ascii="宋体" w:hAnsi="宋体" w:eastAsia="宋体" w:cs="宋体"/>
          <w:bCs/>
          <w:color w:val="000000"/>
          <w:sz w:val="36"/>
          <w:szCs w:val="28"/>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注：须附证明材料。</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声明人（盖章）：</w:t>
      </w:r>
      <w:r>
        <w:rPr>
          <w:rFonts w:hint="eastAsia" w:ascii="宋体" w:hAnsi="宋体" w:eastAsia="宋体" w:cs="宋体"/>
          <w:color w:val="000000"/>
          <w:sz w:val="24"/>
          <w:szCs w:val="24"/>
          <w:highlight w:val="none"/>
        </w:rPr>
      </w:r>
      <w:r/>
    </w:p>
    <w:p>
      <w:pPr>
        <w:pStyle w:val="726"/>
        <w:ind w:firstLine="5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ind w:firstLine="42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6"/>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color w:val="000000"/>
          <w:sz w:val="28"/>
          <w:szCs w:val="20"/>
          <w:highlight w:val="none"/>
        </w:rPr>
        <w:br w:type="page" w:clear="all"/>
      </w:r>
      <w:r>
        <w:rPr>
          <w:rFonts w:hint="eastAsia" w:ascii="宋体" w:hAnsi="宋体" w:eastAsia="宋体" w:cs="宋体"/>
          <w:color w:val="000000"/>
          <w:sz w:val="24"/>
          <w:szCs w:val="24"/>
          <w:highlight w:val="none"/>
        </w:rPr>
        <w:t xml:space="preserve">格式7、参加政府采购活动前 3 年内在经营活动中没有重大违法记录的书面声明</w:t>
      </w:r>
      <w:r>
        <w:rPr>
          <w:rFonts w:hint="eastAsia" w:ascii="宋体" w:hAnsi="宋体" w:eastAsia="宋体" w:cs="宋体"/>
          <w:b/>
          <w:color w:val="000000"/>
          <w:sz w:val="28"/>
          <w:szCs w:val="20"/>
          <w:highlight w:val="none"/>
        </w:rPr>
      </w:r>
      <w:r/>
    </w:p>
    <w:p>
      <w:pPr>
        <w:pStyle w:val="726"/>
        <w:ind w:firstLine="42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声  明</w:t>
      </w:r>
      <w:r>
        <w:rPr>
          <w:rFonts w:hint="eastAsia" w:ascii="宋体" w:hAnsi="宋体" w:eastAsia="宋体" w:cs="宋体"/>
          <w:bCs/>
          <w:color w:val="000000"/>
          <w:sz w:val="36"/>
          <w:szCs w:val="28"/>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Cs/>
          <w:color w:val="000000"/>
          <w:sz w:val="36"/>
          <w:szCs w:val="28"/>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格式8、法定代表人授权委托书</w:t>
      </w:r>
      <w:r>
        <w:rPr>
          <w:rFonts w:hint="eastAsia" w:ascii="宋体" w:hAnsi="宋体" w:eastAsia="宋体" w:cs="宋体"/>
          <w:bCs/>
          <w:color w:val="000000"/>
          <w:sz w:val="36"/>
          <w:szCs w:val="28"/>
          <w:highlight w:val="none"/>
        </w:rPr>
      </w:r>
      <w:r/>
    </w:p>
    <w:p>
      <w:pPr>
        <w:pStyle w:val="726"/>
        <w:ind w:firstLine="72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法定代表人授权委托书</w:t>
      </w:r>
      <w:r>
        <w:rPr>
          <w:rFonts w:hint="eastAsia" w:ascii="宋体" w:hAnsi="宋体" w:eastAsia="宋体" w:cs="宋体"/>
          <w:bCs/>
          <w:color w:val="000000"/>
          <w:sz w:val="36"/>
          <w:szCs w:val="28"/>
          <w:highlight w:val="none"/>
        </w:rPr>
      </w:r>
      <w:r/>
    </w:p>
    <w:p>
      <w:pPr>
        <w:pStyle w:val="72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i/>
          <w:color w:val="000000"/>
          <w:sz w:val="24"/>
          <w:szCs w:val="24"/>
          <w:highlight w:val="none"/>
          <w:u w:val="single"/>
        </w:rPr>
        <w:t xml:space="preserve">采购单位</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本人</w:t>
      </w:r>
      <w:r>
        <w:rPr>
          <w:rFonts w:hint="eastAsia" w:ascii="宋体" w:hAnsi="宋体" w:eastAsia="宋体" w:cs="宋体"/>
          <w:color w:val="000000"/>
          <w:sz w:val="24"/>
          <w:szCs w:val="24"/>
          <w:highlight w:val="none"/>
          <w:lang w:val="zh-CN"/>
        </w:rPr>
        <w:t xml:space="preserve">_______</w:t>
      </w:r>
      <w:r>
        <w:rPr>
          <w:rFonts w:hint="eastAsia" w:ascii="宋体" w:hAnsi="宋体" w:eastAsia="宋体" w:cs="宋体"/>
          <w:color w:val="000000"/>
          <w:sz w:val="24"/>
          <w:szCs w:val="20"/>
          <w:highlight w:val="none"/>
        </w:rPr>
        <w:t xml:space="preserve">（姓名）系</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0"/>
          <w:highlight w:val="none"/>
        </w:rPr>
        <w:t xml:space="preserve">（投标人名称）的法定代表人（单位负责人），现委托</w:t>
      </w:r>
      <w:r>
        <w:rPr>
          <w:rFonts w:hint="eastAsia" w:ascii="宋体" w:hAnsi="宋体" w:eastAsia="宋体" w:cs="宋体"/>
          <w:color w:val="000000"/>
          <w:sz w:val="24"/>
          <w:szCs w:val="24"/>
          <w:highlight w:val="none"/>
          <w:lang w:val="zh-CN"/>
        </w:rPr>
        <w:t xml:space="preserve">_______</w:t>
      </w:r>
      <w:r>
        <w:rPr>
          <w:rFonts w:hint="eastAsia" w:ascii="宋体" w:hAnsi="宋体" w:eastAsia="宋体" w:cs="宋体"/>
          <w:color w:val="000000"/>
          <w:sz w:val="24"/>
          <w:szCs w:val="20"/>
          <w:highlight w:val="none"/>
        </w:rPr>
        <w:t xml:space="preserve">（姓名）为我方代理人。代理人根据授权，以我方名义签署、澄清确认、递交、撤回、修改</w:t>
      </w:r>
      <w:r>
        <w:rPr>
          <w:rFonts w:hint="eastAsia" w:ascii="宋体" w:hAnsi="宋体" w:eastAsia="宋体" w:cs="宋体"/>
          <w:i/>
          <w:color w:val="000000"/>
          <w:sz w:val="24"/>
          <w:szCs w:val="24"/>
          <w:highlight w:val="none"/>
          <w:u w:val="single"/>
        </w:rPr>
        <w:t xml:space="preserve">标段名称</w:t>
      </w:r>
      <w:r>
        <w:rPr>
          <w:rFonts w:hint="eastAsia" w:ascii="宋体" w:hAnsi="宋体" w:eastAsia="宋体" w:cs="宋体"/>
          <w:color w:val="000000"/>
          <w:sz w:val="24"/>
          <w:szCs w:val="24"/>
          <w:highlight w:val="none"/>
        </w:rPr>
        <w:t xml:space="preserve">项目（标段编号：</w:t>
      </w:r>
      <w:r>
        <w:rPr>
          <w:rFonts w:hint="eastAsia" w:ascii="宋体" w:hAnsi="宋体" w:eastAsia="宋体" w:cs="宋体"/>
          <w:i/>
          <w:color w:val="000000"/>
          <w:sz w:val="24"/>
          <w:szCs w:val="24"/>
          <w:highlight w:val="none"/>
          <w:u w:val="single"/>
        </w:rPr>
        <w:t xml:space="preserve">标段编号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0"/>
          <w:highlight w:val="none"/>
        </w:rPr>
        <w:t xml:space="preserve">投标文件和处理有关事宜，其法律后果由我方承担。</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委托期限：自本授权委托书签署之日起至响应有效期届满之日止。</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代理人无转委托权。</w:t>
      </w:r>
      <w:r>
        <w:rPr>
          <w:rFonts w:hint="eastAsia" w:ascii="宋体" w:hAnsi="宋体" w:eastAsia="宋体" w:cs="宋体"/>
          <w:color w:val="000000"/>
          <w:sz w:val="24"/>
          <w:szCs w:val="20"/>
          <w:highlight w:val="none"/>
        </w:rPr>
      </w:r>
      <w:r/>
    </w:p>
    <w:p>
      <w:pPr>
        <w:pStyle w:val="726"/>
        <w:ind w:firstLine="42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投标人名称（加盖公章）</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4"/>
          <w:highlight w:val="none"/>
          <w:lang w:val="zh-CN"/>
        </w:rPr>
      </w:r>
      <w:r/>
    </w:p>
    <w:p>
      <w:pPr>
        <w:pStyle w:val="72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法定代表人（单位负责人）（签字、签章或印鉴）：</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0"/>
          <w:highlight w:val="none"/>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委托代理人（签字/签章）：</w:t>
      </w:r>
      <w:r>
        <w:rPr>
          <w:rFonts w:hint="eastAsia" w:ascii="宋体" w:hAnsi="宋体" w:eastAsia="宋体" w:cs="宋体"/>
          <w:color w:val="000000"/>
          <w:sz w:val="24"/>
          <w:szCs w:val="24"/>
          <w:highlight w:val="none"/>
          <w:lang w:val="zh-CN"/>
        </w:rPr>
        <w:t xml:space="preserve">________________</w:t>
      </w:r>
      <w:r>
        <w:rPr>
          <w:rFonts w:hint="eastAsia" w:ascii="宋体" w:hAnsi="宋体" w:eastAsia="宋体" w:cs="宋体"/>
          <w:color w:val="000000"/>
          <w:sz w:val="24"/>
          <w:szCs w:val="24"/>
          <w:highlight w:val="none"/>
          <w:lang w:val="zh-CN"/>
        </w:rPr>
      </w:r>
      <w:r/>
    </w:p>
    <w:p>
      <w:pPr>
        <w:pStyle w:val="726"/>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w:t>
      </w:r>
      <w:r>
        <w:rPr>
          <w:rFonts w:hint="eastAsia" w:ascii="宋体" w:hAnsi="宋体" w:eastAsia="宋体" w:cs="宋体"/>
          <w:color w:val="000000"/>
          <w:sz w:val="24"/>
          <w:szCs w:val="24"/>
          <w:highlight w:val="none"/>
          <w:lang w:val="zh-CN"/>
        </w:rPr>
      </w:r>
      <w:r/>
    </w:p>
    <w:p>
      <w:pPr>
        <w:pStyle w:val="726"/>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0"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4"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0"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4" w:type="dxa"/>
            <w:vAlign w:val="top"/>
            <w:textDirection w:val="lrTb"/>
            <w:noWrap w:val="false"/>
          </w:tcPr>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72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color w:val="000000"/>
          <w:sz w:val="24"/>
          <w:szCs w:val="24"/>
          <w:highlight w:val="none"/>
        </w:rPr>
      </w:r>
      <w:r/>
    </w:p>
    <w:p>
      <w:pPr>
        <w:pStyle w:val="726"/>
        <w:keepNext/>
        <w:spacing w:line="360" w:lineRule="auto"/>
        <w:rPr>
          <w:rFonts w:hint="eastAsia" w:ascii="宋体" w:hAnsi="宋体" w:eastAsia="宋体" w:cs="宋体"/>
          <w:bCs/>
          <w:color w:val="000000"/>
          <w:sz w:val="32"/>
          <w:szCs w:val="21"/>
          <w:highlight w:val="none"/>
        </w:rPr>
        <w:outlineLvl w:val="1"/>
      </w:pP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格式9、商务条款偏离表</w:t>
      </w:r>
      <w:r>
        <w:rPr>
          <w:rFonts w:hint="eastAsia" w:ascii="宋体" w:hAnsi="宋体" w:eastAsia="宋体" w:cs="宋体"/>
          <w:bCs/>
          <w:color w:val="000000"/>
          <w:sz w:val="32"/>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商务条款偏离表</w:t>
      </w:r>
      <w:r>
        <w:rPr>
          <w:rFonts w:hint="eastAsia" w:ascii="宋体" w:hAnsi="宋体" w:eastAsia="宋体" w:cs="宋体"/>
          <w:bCs/>
          <w:color w:val="000000"/>
          <w:sz w:val="36"/>
          <w:szCs w:val="28"/>
          <w:highlight w:val="none"/>
        </w:rPr>
      </w:r>
      <w:r/>
    </w:p>
    <w:p>
      <w:pPr>
        <w:pStyle w:val="72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请逐条对应招标文件“项目需求”等内容要求的商务条件，填写该表。</w:t>
      </w:r>
      <w:r>
        <w:rPr>
          <w:rFonts w:hint="eastAsia" w:ascii="宋体" w:hAnsi="宋体" w:eastAsia="宋体" w:cs="宋体"/>
          <w:b/>
          <w:bCs/>
          <w:color w:val="000000"/>
          <w:sz w:val="24"/>
          <w:szCs w:val="24"/>
          <w:highlight w:val="none"/>
        </w:rPr>
      </w:r>
      <w:r/>
    </w:p>
    <w:tbl>
      <w:tblPr>
        <w:tblW w:w="8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tc>
          <w:tcPr>
            <w:tcW w:w="623"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9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采购请求</w:t>
            </w:r>
            <w:r>
              <w:rPr>
                <w:rFonts w:hint="eastAsia" w:ascii="宋体" w:hAnsi="宋体" w:eastAsia="宋体" w:cs="宋体"/>
                <w:color w:val="000000"/>
                <w:sz w:val="24"/>
                <w:szCs w:val="24"/>
                <w:highlight w:val="none"/>
              </w:rPr>
            </w:r>
            <w:r/>
          </w:p>
        </w:tc>
        <w:tc>
          <w:tcPr>
            <w:tcW w:w="193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投标响应请求</w:t>
            </w:r>
            <w:r>
              <w:rPr>
                <w:rFonts w:hint="eastAsia" w:ascii="宋体" w:hAnsi="宋体" w:eastAsia="宋体" w:cs="宋体"/>
                <w:color w:val="000000"/>
                <w:sz w:val="24"/>
                <w:szCs w:val="24"/>
                <w:highlight w:val="none"/>
              </w:rPr>
            </w:r>
            <w:r/>
          </w:p>
        </w:tc>
        <w:tc>
          <w:tcPr>
            <w:tcW w:w="2031"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65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r>
        <w:trPr/>
        <w:tc>
          <w:tcPr>
            <w:tcW w:w="623" w:type="dxa"/>
            <w:vAlign w:val="top"/>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9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559"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938"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2031"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c>
          <w:tcPr>
            <w:tcW w:w="1655" w:type="dxa"/>
            <w:vAlign w:val="top"/>
            <w:textDirection w:val="lrTb"/>
            <w:noWrap w:val="false"/>
          </w:tcPr>
          <w:p>
            <w:pPr>
              <w:pStyle w:val="726"/>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tc>
      </w:tr>
    </w:tbl>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highlight w:val="none"/>
        </w:rPr>
      </w:r>
      <w:r/>
    </w:p>
    <w:p>
      <w:pPr>
        <w:pStyle w:val="72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keepNext/>
        <w:spacing w:line="360" w:lineRule="auto"/>
        <w:rPr>
          <w:rFonts w:hint="eastAsia" w:ascii="宋体" w:hAnsi="宋体" w:eastAsia="宋体" w:cs="宋体"/>
          <w:bCs/>
          <w:color w:val="000000"/>
          <w:sz w:val="36"/>
          <w:szCs w:val="28"/>
          <w:highlight w:val="none"/>
        </w:rPr>
        <w:outlineLvl w:val="1"/>
      </w:pPr>
      <w:r>
        <w:rPr>
          <w:rFonts w:hint="eastAsia" w:ascii="宋体" w:hAnsi="宋体" w:eastAsia="宋体" w:cs="宋体"/>
          <w:color w:val="000000"/>
          <w:sz w:val="24"/>
          <w:szCs w:val="24"/>
          <w:highlight w:val="none"/>
        </w:rPr>
        <w:t xml:space="preserve">格式10、技术参数偏离表</w:t>
      </w:r>
      <w:r>
        <w:rPr>
          <w:rFonts w:hint="eastAsia" w:ascii="宋体" w:hAnsi="宋体" w:eastAsia="宋体" w:cs="宋体"/>
          <w:bCs/>
          <w:color w:val="000000"/>
          <w:sz w:val="36"/>
          <w:szCs w:val="28"/>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技术参数偏离表</w:t>
      </w:r>
      <w:r>
        <w:rPr>
          <w:rFonts w:hint="eastAsia" w:ascii="宋体" w:hAnsi="宋体" w:eastAsia="宋体" w:cs="宋体"/>
          <w:bCs/>
          <w:color w:val="000000"/>
          <w:sz w:val="36"/>
          <w:szCs w:val="28"/>
          <w:highlight w:val="none"/>
        </w:rPr>
      </w:r>
      <w:r/>
    </w:p>
    <w:tbl>
      <w:tblPr>
        <w:tblW w:w="9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4"/>
        <w:gridCol w:w="2716"/>
        <w:gridCol w:w="1930"/>
        <w:gridCol w:w="1248"/>
        <w:gridCol w:w="1540"/>
      </w:tblGrid>
      <w:tr>
        <w:trPr/>
        <w:tc>
          <w:tcPr>
            <w:tcW w:w="62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4"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技术参数要求（逐条填写）</w:t>
            </w:r>
            <w:r>
              <w:rPr>
                <w:rFonts w:hint="eastAsia" w:ascii="宋体" w:hAnsi="宋体" w:eastAsia="宋体" w:cs="宋体"/>
                <w:color w:val="000000"/>
                <w:sz w:val="24"/>
                <w:szCs w:val="24"/>
                <w:highlight w:val="none"/>
              </w:rPr>
            </w:r>
            <w:r/>
          </w:p>
        </w:tc>
        <w:tc>
          <w:tcPr>
            <w:tcW w:w="2716" w:type="dxa"/>
            <w:vAlign w:val="center"/>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投标实际参数</w:t>
            </w:r>
            <w:r>
              <w:rPr>
                <w:rFonts w:hint="eastAsia" w:ascii="宋体" w:hAnsi="宋体" w:eastAsia="宋体" w:cs="宋体"/>
                <w:bCs/>
                <w:color w:val="000000"/>
                <w:sz w:val="24"/>
                <w:szCs w:val="24"/>
                <w:highlight w:val="none"/>
              </w:rPr>
              <w:t xml:space="preserve">(投标人应按投标实际数据填写，不能照抄招标要求)</w:t>
            </w:r>
            <w:r>
              <w:rPr>
                <w:rFonts w:hint="eastAsia" w:ascii="宋体" w:hAnsi="宋体" w:eastAsia="宋体" w:cs="宋体"/>
                <w:color w:val="000000"/>
                <w:sz w:val="24"/>
                <w:szCs w:val="24"/>
                <w:highlight w:val="none"/>
              </w:rPr>
            </w:r>
            <w:r/>
          </w:p>
        </w:tc>
        <w:tc>
          <w:tcPr>
            <w:tcW w:w="193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是否偏离</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（无偏离/正偏离/负偏离）</w:t>
            </w:r>
            <w:r>
              <w:rPr>
                <w:rFonts w:hint="eastAsia" w:ascii="宋体" w:hAnsi="宋体" w:eastAsia="宋体" w:cs="宋体"/>
                <w:color w:val="000000"/>
                <w:sz w:val="24"/>
                <w:szCs w:val="24"/>
                <w:highlight w:val="none"/>
              </w:rPr>
            </w:r>
            <w:r/>
          </w:p>
        </w:tc>
        <w:tc>
          <w:tcPr>
            <w:tcW w:w="1248"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c>
          <w:tcPr>
            <w:tcW w:w="154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参数证明材料内容及所在位置</w:t>
            </w:r>
            <w:r>
              <w:rPr>
                <w:rFonts w:hint="eastAsia" w:ascii="宋体" w:hAnsi="宋体" w:eastAsia="宋体" w:cs="宋体"/>
                <w:color w:val="000000"/>
                <w:sz w:val="24"/>
                <w:szCs w:val="24"/>
                <w:highlight w:val="none"/>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r>
        <w:trPr/>
        <w:tc>
          <w:tcPr>
            <w:tcW w:w="62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824"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2716"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93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248"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c>
          <w:tcPr>
            <w:tcW w:w="1540" w:type="dxa"/>
            <w:vAlign w:val="top"/>
            <w:textDirection w:val="lrTb"/>
            <w:noWrap w:val="false"/>
          </w:tcPr>
          <w:p>
            <w:pPr>
              <w:pStyle w:val="72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tc>
      </w:tr>
    </w:tbl>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8"/>
          <w:szCs w:val="20"/>
          <w:highlight w:val="none"/>
        </w:rPr>
        <w:br w:type="page" w:clear="all"/>
      </w:r>
      <w:r>
        <w:rPr>
          <w:rFonts w:hint="eastAsia" w:ascii="宋体" w:hAnsi="宋体" w:eastAsia="宋体" w:cs="宋体"/>
          <w:color w:val="000000"/>
          <w:sz w:val="24"/>
          <w:szCs w:val="24"/>
          <w:highlight w:val="none"/>
        </w:rPr>
        <w:t xml:space="preserve">格式11、售后服务承诺书</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售后服务承诺书</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b/>
          <w:color w:val="000000"/>
          <w:sz w:val="28"/>
          <w:szCs w:val="21"/>
          <w:highlight w:val="none"/>
        </w:rPr>
        <w:outlineLvl w:val="1"/>
      </w:pPr>
      <w:r>
        <w:rPr>
          <w:rFonts w:hint="eastAsia" w:ascii="宋体" w:hAnsi="宋体" w:eastAsia="宋体" w:cs="宋体"/>
          <w:color w:val="000000"/>
          <w:sz w:val="24"/>
          <w:szCs w:val="24"/>
          <w:highlight w:val="none"/>
        </w:rPr>
        <w:t xml:space="preserve">格式12、安装调试方案</w:t>
      </w:r>
      <w:r>
        <w:rPr>
          <w:rFonts w:hint="eastAsia" w:ascii="宋体" w:hAnsi="宋体" w:eastAsia="宋体" w:cs="宋体"/>
          <w:b/>
          <w:color w:val="000000"/>
          <w:sz w:val="28"/>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安装调试方案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keepNext/>
        <w:spacing w:line="360" w:lineRule="auto"/>
        <w:rPr>
          <w:rFonts w:hint="eastAsia" w:ascii="宋体" w:hAnsi="宋体" w:eastAsia="宋体" w:cs="宋体"/>
          <w:b/>
          <w:color w:val="000000"/>
          <w:sz w:val="28"/>
          <w:szCs w:val="21"/>
          <w:highlight w:val="none"/>
        </w:rPr>
        <w:outlineLvl w:val="1"/>
      </w:pPr>
      <w:r>
        <w:rPr>
          <w:rFonts w:hint="eastAsia" w:ascii="宋体" w:hAnsi="宋体" w:eastAsia="宋体" w:cs="宋体"/>
          <w:color w:val="000000"/>
          <w:sz w:val="24"/>
          <w:szCs w:val="24"/>
          <w:highlight w:val="none"/>
        </w:rPr>
        <w:t xml:space="preserve">格式13、培训方案</w:t>
      </w:r>
      <w:r>
        <w:rPr>
          <w:rFonts w:hint="eastAsia" w:ascii="宋体" w:hAnsi="宋体" w:eastAsia="宋体" w:cs="宋体"/>
          <w:b/>
          <w:color w:val="000000"/>
          <w:sz w:val="28"/>
          <w:szCs w:val="21"/>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培训方案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br w:type="page" w:clear="all"/>
      </w: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both"/>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格式14、日常维护方案</w:t>
      </w: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日常维护方案</w:t>
      </w:r>
      <w:r>
        <w:rPr>
          <w:rFonts w:hint="eastAsia" w:ascii="宋体" w:hAnsi="宋体" w:eastAsia="宋体" w:cs="宋体"/>
          <w:bCs/>
          <w:color w:val="000000"/>
          <w:sz w:val="36"/>
          <w:szCs w:val="28"/>
          <w:highlight w:val="none"/>
        </w:rPr>
      </w:r>
      <w:r/>
    </w:p>
    <w:p>
      <w:pPr>
        <w:pStyle w:val="726"/>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（请按“项目需求”要求内容自行填写）</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726"/>
        <w:jc w:val="left"/>
        <w:keepNext/>
        <w:spacing w:line="360" w:lineRule="auto"/>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、类似项目业绩一览表</w:t>
      </w:r>
      <w:r>
        <w:rPr>
          <w:rFonts w:hint="eastAsia" w:ascii="宋体" w:hAnsi="宋体" w:eastAsia="宋体" w:cs="宋体"/>
          <w:color w:val="000000"/>
          <w:sz w:val="24"/>
          <w:szCs w:val="24"/>
          <w:highlight w:val="none"/>
          <w:lang w:eastAsia="zh-CN"/>
        </w:rPr>
      </w:r>
      <w:r/>
    </w:p>
    <w:p>
      <w:pPr>
        <w:pStyle w:val="726"/>
        <w:jc w:val="center"/>
        <w:spacing w:line="360" w:lineRule="auto"/>
        <w:tabs>
          <w:tab w:val="left" w:pos="360" w:leader="none"/>
        </w:tabs>
        <w:rPr>
          <w:rFonts w:hint="eastAsia" w:ascii="宋体" w:hAnsi="宋体" w:eastAsia="宋体" w:cs="宋体"/>
          <w:bCs/>
          <w:i w:val="0"/>
          <w:iCs/>
          <w:color w:val="000000"/>
          <w:sz w:val="36"/>
          <w:szCs w:val="28"/>
          <w:highlight w:val="none"/>
        </w:rPr>
      </w:pPr>
      <w:r>
        <w:rPr>
          <w:rFonts w:hint="eastAsia" w:ascii="宋体" w:hAnsi="宋体" w:eastAsia="宋体" w:cs="宋体"/>
          <w:bCs/>
          <w:i w:val="0"/>
          <w:iCs/>
          <w:color w:val="000000"/>
          <w:sz w:val="36"/>
          <w:szCs w:val="28"/>
          <w:highlight w:val="none"/>
        </w:rPr>
        <w:t xml:space="preserve">类似项目业绩一览表</w:t>
      </w:r>
      <w:r>
        <w:rPr>
          <w:rFonts w:hint="eastAsia" w:ascii="宋体" w:hAnsi="宋体" w:eastAsia="宋体" w:cs="宋体"/>
          <w:bCs/>
          <w:i w:val="0"/>
          <w:iCs/>
          <w:color w:val="000000"/>
          <w:sz w:val="36"/>
          <w:szCs w:val="28"/>
          <w:highlight w:val="none"/>
        </w:rPr>
      </w:r>
      <w:r/>
    </w:p>
    <w:p>
      <w:pPr>
        <w:pStyle w:val="726"/>
        <w:jc w:val="left"/>
        <w:spacing w:line="360" w:lineRule="auto"/>
        <w:rPr>
          <w:rFonts w:hint="eastAsia" w:ascii="宋体" w:hAnsi="宋体" w:eastAsia="宋体" w:cs="宋体"/>
          <w:i w:val="0"/>
          <w:iCs/>
          <w:color w:val="000000"/>
          <w:highlight w:val="none"/>
        </w:rPr>
      </w:pPr>
      <w:r>
        <w:rPr>
          <w:rFonts w:hint="eastAsia" w:ascii="宋体" w:hAnsi="宋体" w:eastAsia="宋体" w:cs="宋体"/>
          <w:i w:val="0"/>
          <w:iCs/>
          <w:color w:val="000000"/>
          <w:sz w:val="24"/>
          <w:szCs w:val="24"/>
          <w:highlight w:val="none"/>
        </w:rPr>
        <w:t xml:space="preserve">项目名称：      项目编号：      分包号：</w:t>
      </w:r>
      <w:r>
        <w:rPr>
          <w:rFonts w:hint="eastAsia" w:ascii="宋体" w:hAnsi="宋体" w:eastAsia="宋体" w:cs="宋体"/>
          <w:bCs/>
          <w:i w:val="0"/>
          <w:iCs/>
          <w:color w:val="000000"/>
          <w:sz w:val="24"/>
          <w:szCs w:val="24"/>
          <w:highlight w:val="none"/>
        </w:rPr>
        <w:t xml:space="preserve"> </w:t>
      </w:r>
      <w:r>
        <w:rPr>
          <w:rFonts w:hint="eastAsia" w:ascii="宋体" w:hAnsi="宋体" w:eastAsia="宋体" w:cs="宋体"/>
          <w:i w:val="0"/>
          <w:iCs/>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序号</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项目名称</w:t>
            </w:r>
            <w:r>
              <w:rPr>
                <w:rFonts w:hint="eastAsia" w:ascii="宋体" w:hAnsi="宋体" w:eastAsia="宋体" w:cs="宋体"/>
                <w:i w:val="0"/>
                <w:iCs/>
                <w:color w:val="000000"/>
                <w:sz w:val="24"/>
                <w:szCs w:val="24"/>
                <w:highlight w:val="none"/>
              </w:rPr>
            </w:r>
            <w:r/>
          </w:p>
        </w:tc>
        <w:tc>
          <w:tcPr>
            <w:tcW w:w="1850"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签订时间</w:t>
            </w: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采购单位</w:t>
            </w: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主要标的</w:t>
            </w: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1</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2</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3</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r>
        <w:trPr>
          <w:cantSplit/>
          <w:trHeight w:val="640"/>
        </w:trPr>
        <w:tc>
          <w:tcPr>
            <w:tcW w:w="67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w:t>
            </w:r>
            <w:r>
              <w:rPr>
                <w:rFonts w:hint="eastAsia" w:ascii="宋体" w:hAnsi="宋体" w:eastAsia="宋体" w:cs="宋体"/>
                <w:i w:val="0"/>
                <w:iCs/>
                <w:color w:val="000000"/>
                <w:sz w:val="24"/>
                <w:szCs w:val="24"/>
                <w:highlight w:val="none"/>
              </w:rPr>
            </w:r>
            <w:r/>
          </w:p>
        </w:tc>
        <w:tc>
          <w:tcPr>
            <w:tcW w:w="2686"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850" w:type="dxa"/>
            <w:vAlign w:val="top"/>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985"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c>
          <w:tcPr>
            <w:tcW w:w="1309" w:type="dxa"/>
            <w:vAlign w:val="center"/>
            <w:textDirection w:val="lrTb"/>
            <w:noWrap w:val="false"/>
          </w:tcPr>
          <w:p>
            <w:pPr>
              <w:pStyle w:val="726"/>
              <w:jc w:val="center"/>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tc>
      </w:tr>
    </w:tbl>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投标人（盖章）：</w:t>
      </w: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法定代表人（单位负责人）或委托代理人（签字或盖章）：</w:t>
      </w:r>
      <w:r>
        <w:rPr>
          <w:rFonts w:hint="eastAsia" w:ascii="宋体" w:hAnsi="宋体" w:eastAsia="宋体" w:cs="宋体"/>
          <w:i w:val="0"/>
          <w:iCs/>
          <w:color w:val="000000"/>
          <w:sz w:val="24"/>
          <w:szCs w:val="24"/>
          <w:highlight w:val="none"/>
        </w:rPr>
      </w:r>
      <w:r/>
    </w:p>
    <w:p>
      <w:pPr>
        <w:pStyle w:val="726"/>
        <w:ind w:firstLine="480"/>
        <w:spacing w:line="360" w:lineRule="auto"/>
        <w:rPr>
          <w:rFonts w:hint="eastAsia" w:ascii="宋体" w:hAnsi="宋体" w:eastAsia="宋体" w:cs="宋体"/>
          <w:i w:val="0"/>
          <w:iCs/>
          <w:color w:val="000000"/>
          <w:sz w:val="24"/>
          <w:szCs w:val="24"/>
          <w:highlight w:val="none"/>
        </w:rPr>
      </w:pPr>
      <w:r>
        <w:rPr>
          <w:rFonts w:hint="eastAsia" w:ascii="宋体" w:hAnsi="宋体" w:eastAsia="宋体" w:cs="宋体"/>
          <w:i w:val="0"/>
          <w:iCs/>
          <w:color w:val="000000"/>
          <w:sz w:val="24"/>
          <w:szCs w:val="24"/>
          <w:highlight w:val="none"/>
        </w:rPr>
        <w:t xml:space="preserve">日期：    年     月     日</w:t>
      </w:r>
      <w:r>
        <w:rPr>
          <w:rFonts w:hint="eastAsia" w:ascii="宋体" w:hAnsi="宋体" w:eastAsia="宋体" w:cs="宋体"/>
          <w:i w:val="0"/>
          <w:iCs/>
          <w:color w:val="000000"/>
          <w:sz w:val="24"/>
          <w:szCs w:val="24"/>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jc w:val="left"/>
        <w:spacing w:line="360" w:lineRule="auto"/>
        <w:widowControl/>
        <w:rPr>
          <w:rFonts w:hint="eastAsia" w:ascii="宋体" w:hAnsi="宋体" w:eastAsia="宋体" w:cs="宋体"/>
          <w:b/>
          <w:color w:val="000000"/>
          <w:sz w:val="28"/>
          <w:szCs w:val="20"/>
          <w:highlight w:val="none"/>
        </w:rPr>
      </w:pPr>
      <w:r>
        <w:rPr>
          <w:rFonts w:hint="eastAsia" w:ascii="宋体" w:hAnsi="宋体" w:eastAsia="宋体" w:cs="宋体"/>
          <w:b/>
          <w:color w:val="000000"/>
          <w:sz w:val="28"/>
          <w:szCs w:val="20"/>
          <w:highlight w:val="none"/>
        </w:rPr>
      </w:r>
      <w:r/>
    </w:p>
    <w:p>
      <w:pPr>
        <w:pStyle w:val="726"/>
        <w:keepNex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格式1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726"/>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rPr>
      </w:r>
      <w:r/>
    </w:p>
    <w:p>
      <w:pPr>
        <w:pStyle w:val="95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i/>
          <w:color w:val="000000"/>
          <w:sz w:val="24"/>
          <w:highlight w:val="none"/>
          <w:u w:val="single"/>
        </w:rPr>
        <w:t xml:space="preserve">【采购单位】</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i/>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i/>
          <w:color w:val="000000"/>
          <w:sz w:val="24"/>
          <w:highlight w:val="none"/>
          <w:u w:val="single"/>
        </w:rPr>
        <w:t xml:space="preserve">【标段名称】</w:t>
      </w:r>
      <w:r>
        <w:rPr>
          <w:rFonts w:hint="eastAsia" w:ascii="宋体" w:hAnsi="宋体" w:eastAsia="宋体" w:cs="宋体"/>
          <w:color w:val="000000"/>
          <w:sz w:val="24"/>
          <w:highlight w:val="none"/>
        </w:rPr>
        <w:t xml:space="preserve">（项目编号：</w:t>
      </w:r>
      <w:r>
        <w:rPr>
          <w:rFonts w:hint="eastAsia" w:ascii="宋体" w:hAnsi="宋体" w:eastAsia="宋体" w:cs="宋体"/>
          <w:i/>
          <w:color w:val="000000"/>
          <w:sz w:val="24"/>
          <w:highlight w:val="none"/>
          <w:u w:val="single"/>
        </w:rPr>
        <w:t xml:space="preserve">【标段编号】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法定代表人或委托代理人（签字或盖章）：</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sz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spacing w:line="360" w:lineRule="auto"/>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格式17、关于符合本国产品标准的声明函</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u w:val="single"/>
        </w:rPr>
        <w:t xml:space="preserve">关于符合本国产品标准的声明函</w:t>
      </w:r>
      <w:r>
        <w:rPr>
          <w:rFonts w:hint="eastAsia" w:ascii="宋体" w:hAnsi="宋体" w:eastAsia="宋体" w:cs="宋体"/>
          <w:color w:val="000000"/>
          <w:highlight w:val="none"/>
        </w:rPr>
      </w:r>
      <w:r/>
    </w:p>
    <w:p>
      <w:pPr>
        <w:pStyle w:val="726"/>
        <w:ind w:left="0" w:right="0" w:firstLine="4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726"/>
        <w:ind w:left="0" w:right="0" w:firstLine="420"/>
        <w:keepLines w:val="0"/>
        <w:keepNext w:val="0"/>
        <w:pageBreakBefore w:val="0"/>
        <w:spacing w:before="30" w:after="3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（产品名称1）</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strike/>
          <w:color w:val="000000"/>
          <w:sz w:val="24"/>
          <w:highlight w:val="none"/>
          <w:u w:val="single"/>
        </w:rPr>
        <w:t xml:space="preserve">（产品名称1） </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strike/>
          <w:color w:val="000000"/>
          <w:sz w:val="24"/>
          <w:highlight w:val="none"/>
          <w:u w:val="single"/>
        </w:rPr>
        <w:t xml:space="preserve">（规定比例）</w:t>
      </w:r>
      <w:r>
        <w:rPr>
          <w:rFonts w:hint="eastAsia" w:ascii="宋体" w:hAnsi="宋体" w:eastAsia="宋体" w:cs="宋体"/>
          <w:color w:val="000000"/>
          <w:sz w:val="24"/>
          <w:highlight w:val="none"/>
          <w:vertAlign w:val="superscript"/>
        </w:rPr>
        <w:t xml:space="preserve">3</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（关键组件）</w:t>
      </w:r>
      <w:r>
        <w:rPr>
          <w:rFonts w:hint="eastAsia" w:ascii="宋体" w:hAnsi="宋体" w:eastAsia="宋体" w:cs="宋体"/>
          <w:color w:val="000000"/>
          <w:sz w:val="24"/>
          <w:highlight w:val="none"/>
          <w:vertAlign w:val="superscript"/>
        </w:rPr>
        <w:t xml:space="preserve">4</w:t>
      </w:r>
      <w:r>
        <w:rPr>
          <w:rFonts w:hint="eastAsia" w:ascii="宋体" w:hAnsi="宋体" w:eastAsia="宋体" w:cs="宋体"/>
          <w:color w:val="000000"/>
          <w:sz w:val="24"/>
          <w:highlight w:val="none"/>
        </w:rPr>
        <w:t xml:space="preserve">在中国境内生产。</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（关键工序）</w:t>
      </w:r>
      <w:r>
        <w:rPr>
          <w:rFonts w:hint="eastAsia" w:ascii="宋体" w:hAnsi="宋体" w:eastAsia="宋体" w:cs="宋体"/>
          <w:color w:val="000000"/>
          <w:sz w:val="24"/>
          <w:highlight w:val="none"/>
          <w:vertAlign w:val="superscript"/>
        </w:rPr>
        <w:t xml:space="preserve">5</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（产品名称2）</w:t>
      </w:r>
      <w:r>
        <w:rPr>
          <w:rFonts w:hint="eastAsia" w:ascii="宋体" w:hAnsi="宋体" w:eastAsia="宋体" w:cs="宋体"/>
          <w:color w:val="000000"/>
          <w:sz w:val="24"/>
          <w:highlight w:val="none"/>
        </w:rPr>
        <w:t xml:space="preserve">，生产厂为</w:t>
      </w:r>
      <w:r>
        <w:rPr>
          <w:rFonts w:hint="eastAsia" w:ascii="宋体" w:hAnsi="宋体" w:eastAsia="宋体" w:cs="宋体"/>
          <w:color w:val="000000"/>
          <w:sz w:val="24"/>
          <w:highlight w:val="none"/>
          <w:u w:val="single"/>
        </w:rPr>
        <w:t xml:space="preserve">（厂名）</w:t>
      </w:r>
      <w:r>
        <w:rPr>
          <w:rFonts w:hint="eastAsia" w:ascii="宋体" w:hAnsi="宋体" w:eastAsia="宋体" w:cs="宋体"/>
          <w:color w:val="000000"/>
          <w:sz w:val="24"/>
          <w:highlight w:val="none"/>
        </w:rPr>
        <w:t xml:space="preserve">，厂址为</w:t>
      </w:r>
      <w:r>
        <w:rPr>
          <w:rFonts w:hint="eastAsia" w:ascii="宋体" w:hAnsi="宋体" w:eastAsia="宋体" w:cs="宋体"/>
          <w:color w:val="000000"/>
          <w:sz w:val="24"/>
          <w:highlight w:val="none"/>
          <w:u w:val="single"/>
        </w:rPr>
        <w:t xml:space="preserve">（生产厂址）</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（产品名称2）</w:t>
      </w:r>
      <w:r>
        <w:rPr>
          <w:rFonts w:hint="eastAsia" w:ascii="宋体" w:hAnsi="宋体" w:eastAsia="宋体" w:cs="宋体"/>
          <w:color w:val="000000"/>
          <w:sz w:val="24"/>
          <w:highlight w:val="none"/>
        </w:rPr>
        <w:t xml:space="preserve">的中国境内生产的组件成本占比≥</w:t>
      </w:r>
      <w:r>
        <w:rPr>
          <w:rFonts w:hint="eastAsia" w:ascii="宋体" w:hAnsi="宋体" w:eastAsia="宋体" w:cs="宋体"/>
          <w:strike/>
          <w:color w:val="000000"/>
          <w:sz w:val="24"/>
          <w:highlight w:val="none"/>
          <w:u w:val="single"/>
        </w:rPr>
        <w:t xml:space="preserve">（规定比例）</w:t>
      </w:r>
      <w:r>
        <w:rPr>
          <w:rFonts w:hint="eastAsia" w:ascii="宋体" w:hAnsi="宋体" w:eastAsia="宋体" w:cs="宋体"/>
          <w:color w:val="000000"/>
          <w:sz w:val="24"/>
          <w:highlight w:val="none"/>
        </w:rPr>
        <w:t xml:space="preserve">。</w:t>
      </w:r>
      <w:r>
        <w:rPr>
          <w:rFonts w:hint="eastAsia" w:ascii="宋体" w:hAnsi="宋体" w:eastAsia="宋体" w:cs="宋体"/>
          <w:strike/>
          <w:color w:val="000000"/>
          <w:sz w:val="24"/>
          <w:highlight w:val="none"/>
          <w:u w:val="single"/>
        </w:rPr>
        <w:t xml:space="preserve">（产品名称2）</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（关键组件）</w:t>
      </w:r>
      <w:r>
        <w:rPr>
          <w:rFonts w:hint="eastAsia" w:ascii="宋体" w:hAnsi="宋体" w:eastAsia="宋体" w:cs="宋体"/>
          <w:color w:val="000000"/>
          <w:sz w:val="24"/>
          <w:highlight w:val="none"/>
        </w:rPr>
        <w:t xml:space="preserve">在中国境内生产。</w:t>
      </w:r>
      <w:r>
        <w:rPr>
          <w:rFonts w:hint="eastAsia" w:ascii="宋体" w:hAnsi="宋体" w:eastAsia="宋体" w:cs="宋体"/>
          <w:strike/>
          <w:color w:val="000000"/>
          <w:sz w:val="24"/>
          <w:highlight w:val="none"/>
          <w:u w:val="single"/>
        </w:rPr>
        <w:t xml:space="preserve">（产品名称1）</w:t>
      </w:r>
      <w:r>
        <w:rPr>
          <w:rFonts w:hint="eastAsia" w:ascii="宋体" w:hAnsi="宋体" w:eastAsia="宋体" w:cs="宋体"/>
          <w:color w:val="000000"/>
          <w:sz w:val="24"/>
          <w:highlight w:val="none"/>
        </w:rPr>
        <w:t xml:space="preserve">的</w:t>
      </w:r>
      <w:r>
        <w:rPr>
          <w:rFonts w:hint="eastAsia" w:ascii="宋体" w:hAnsi="宋体" w:eastAsia="宋体" w:cs="宋体"/>
          <w:strike/>
          <w:color w:val="000000"/>
          <w:sz w:val="24"/>
          <w:highlight w:val="none"/>
          <w:u w:val="single"/>
        </w:rPr>
        <w:t xml:space="preserve">（关键工序）</w:t>
      </w:r>
      <w:r>
        <w:rPr>
          <w:rFonts w:hint="eastAsia" w:ascii="宋体" w:hAnsi="宋体" w:eastAsia="宋体" w:cs="宋体"/>
          <w:color w:val="000000"/>
          <w:sz w:val="24"/>
          <w:highlight w:val="none"/>
        </w:rPr>
        <w:t xml:space="preserve">在中国境内完成。</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726"/>
        <w:ind w:left="0" w:right="0" w:firstLine="480"/>
        <w:jc w:val="both"/>
        <w:keepLines w:val="0"/>
        <w:keepNext w:val="0"/>
        <w:pageBreakBefore w:val="0"/>
        <w:spacing w:before="0" w:after="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本公司（单位）对上述声明内容的真实性负责。如有虚假，愿承担相应法律责任。</w:t>
      </w:r>
      <w:r>
        <w:rPr>
          <w:rFonts w:hint="eastAsia" w:ascii="宋体" w:hAnsi="宋体" w:eastAsia="宋体" w:cs="宋体"/>
          <w:color w:val="000000"/>
          <w:highlight w:val="none"/>
        </w:rPr>
      </w:r>
      <w:r/>
    </w:p>
    <w:p>
      <w:pPr>
        <w:pStyle w:val="726"/>
        <w:ind w:left="0" w:right="1620" w:firstLine="28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公司（单位）名称（盖章）：</w:t>
      </w:r>
      <w:r>
        <w:rPr>
          <w:rFonts w:hint="eastAsia" w:ascii="宋体" w:hAnsi="宋体" w:eastAsia="宋体" w:cs="宋体"/>
          <w:color w:val="000000"/>
          <w:highlight w:val="none"/>
        </w:rPr>
      </w:r>
      <w:r/>
    </w:p>
    <w:p>
      <w:pPr>
        <w:pStyle w:val="726"/>
        <w:ind w:left="0" w:right="1140" w:firstLine="288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highlight w:val="none"/>
        </w:rPr>
      </w:r>
      <w:r/>
    </w:p>
    <w:p>
      <w:pPr>
        <w:pStyle w:val="726"/>
        <w:ind w:left="0" w:right="480" w:firstLine="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填报说明：</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1.产品如有型号，请在“产品名称”栏一并填写。</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2.生产厂名与厂址应与生产厂营业执照载明的相关信息保持一致。</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3.该产品的中国境内生产的组件成本占比相关要求实施前，“规定比例”栏可不填，下同。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4.该产品的关键组件要求实施前，“关键组件”栏可不填，下同。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5.该产品的关键工序要求实施前，“关键工序”栏可不填，下同。</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6.用线划除的地方无需填写。</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7.请供应商如实填写，如填写有误，将承担一切不利后果。</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8.供应商提供虚假《声明函》、虚假证明文件谋取中标的，依照《中华人民共和国政府采购法》等法律法规规定追究相应责任。</w:t>
      </w:r>
      <w:r>
        <w:rPr>
          <w:rFonts w:hint="eastAsia" w:ascii="宋体" w:hAnsi="宋体" w:eastAsia="宋体" w:cs="宋体"/>
          <w:color w:val="000000"/>
          <w:highlight w:val="none"/>
        </w:rPr>
      </w:r>
      <w:r/>
    </w:p>
    <w:p>
      <w:pPr>
        <w:pStyle w:val="726"/>
        <w:ind w:left="0" w:right="0" w:firstLine="480"/>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9.中标人的《声明函》或有关证明文件随中标结果公开，接受社会监督。</w:t>
      </w:r>
      <w:r>
        <w:rPr>
          <w:rFonts w:hint="eastAsia" w:ascii="宋体" w:hAnsi="宋体" w:eastAsia="宋体" w:cs="宋体"/>
          <w:color w:val="000000"/>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6"/>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格式18、其他材料</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其它材料</w:t>
      </w:r>
      <w:r>
        <w:rPr>
          <w:rFonts w:hint="eastAsia" w:ascii="宋体" w:hAnsi="宋体" w:eastAsia="宋体" w:cs="宋体"/>
          <w:color w:val="000000"/>
          <w:highlight w:val="none"/>
        </w:rPr>
      </w:r>
      <w:r/>
    </w:p>
    <w:p>
      <w:pPr>
        <w:pStyle w:val="726"/>
        <w:ind w:left="0" w:right="0" w:firstLine="0"/>
        <w:jc w:val="center"/>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（投标人对招标文件响应有必要提供的材料或评标办法中要求提供的材料）</w:t>
      </w:r>
      <w:r>
        <w:rPr>
          <w:rFonts w:hint="eastAsia" w:ascii="宋体" w:hAnsi="宋体" w:eastAsia="宋体" w:cs="宋体"/>
          <w:color w:val="000000"/>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pacing w:val="6"/>
          <w:sz w:val="30"/>
          <w:szCs w:val="30"/>
          <w:highlight w:val="none"/>
        </w:rPr>
      </w:r>
      <w:r/>
    </w:p>
    <w:p>
      <w:pPr>
        <w:pStyle w:val="726"/>
        <w:jc w:val="left"/>
        <w:spacing w:line="360" w:lineRule="auto"/>
        <w:widowControl/>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r>
      <w:r/>
    </w:p>
    <w:p>
      <w:pPr>
        <w:pStyle w:val="726"/>
        <w:jc w:val="left"/>
        <w:spacing w:line="360" w:lineRule="auto"/>
        <w:widowControl/>
        <w:rPr>
          <w:rFonts w:hint="eastAsia" w:ascii="宋体" w:hAnsi="宋体" w:eastAsia="宋体" w:cs="宋体"/>
          <w:b/>
          <w:color w:val="000000"/>
          <w:sz w:val="36"/>
          <w:szCs w:val="20"/>
          <w:highlight w:val="none"/>
        </w:rPr>
      </w:pPr>
      <w:r>
        <w:rPr>
          <w:rFonts w:hint="eastAsia" w:ascii="宋体" w:hAnsi="宋体" w:eastAsia="宋体" w:cs="宋体"/>
          <w:b/>
          <w:color w:val="000000"/>
          <w:sz w:val="36"/>
          <w:szCs w:val="20"/>
          <w:highlight w:val="none"/>
        </w:rPr>
        <w:br w:type="page" w:clear="all"/>
      </w:r>
      <w:r>
        <w:rPr>
          <w:rFonts w:hint="eastAsia" w:ascii="宋体" w:hAnsi="宋体" w:eastAsia="宋体" w:cs="宋体"/>
          <w:b/>
          <w:color w:val="000000"/>
          <w:sz w:val="36"/>
          <w:szCs w:val="20"/>
          <w:highlight w:val="none"/>
        </w:rPr>
      </w:r>
      <w:r/>
    </w:p>
    <w:p>
      <w:pPr>
        <w:pStyle w:val="726"/>
        <w:jc w:val="center"/>
        <w:keepLines/>
        <w:keepNext/>
        <w:spacing w:line="360" w:lineRule="auto"/>
        <w:rPr>
          <w:rFonts w:hint="eastAsia" w:ascii="宋体" w:hAnsi="宋体" w:eastAsia="宋体" w:cs="宋体"/>
          <w:b/>
          <w:color w:val="000000"/>
          <w:sz w:val="36"/>
          <w:szCs w:val="20"/>
          <w:highlight w:val="none"/>
        </w:rPr>
        <w:outlineLvl w:val="0"/>
      </w:pPr>
      <w:r/>
      <w:bookmarkStart w:id="18" w:name="_Toc150765438"/>
      <w:r>
        <w:rPr>
          <w:rFonts w:hint="eastAsia" w:ascii="宋体" w:hAnsi="宋体" w:eastAsia="宋体" w:cs="宋体"/>
          <w:b/>
          <w:color w:val="000000"/>
          <w:sz w:val="36"/>
          <w:szCs w:val="20"/>
          <w:highlight w:val="none"/>
        </w:rPr>
        <w:t xml:space="preserve">第五章合同专用条款表</w:t>
      </w:r>
      <w:bookmarkEnd w:id="18"/>
      <w:r>
        <w:rPr>
          <w:rFonts w:hint="eastAsia" w:ascii="宋体" w:hAnsi="宋体" w:eastAsia="宋体" w:cs="宋体"/>
          <w:b/>
          <w:color w:val="000000"/>
          <w:sz w:val="36"/>
          <w:szCs w:val="2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本表是对第三章“政府采购合同格式”的补充和修改。如果两者之间有抵触，以本专用条款表为准。</w:t>
      </w:r>
      <w:r>
        <w:rPr>
          <w:rFonts w:hint="eastAsia" w:ascii="宋体" w:hAnsi="宋体" w:eastAsia="宋体" w:cs="宋体"/>
          <w:color w:val="000000"/>
          <w:sz w:val="24"/>
          <w:szCs w:val="24"/>
          <w:highlight w:val="none"/>
        </w:rPr>
      </w:r>
      <w:r/>
    </w:p>
    <w:p>
      <w:pPr>
        <w:pStyle w:val="726"/>
        <w:ind w:firstLine="480"/>
        <w:jc w:val="center"/>
        <w:spacing w:line="360" w:lineRule="auto"/>
        <w:rPr>
          <w:rFonts w:hint="eastAsia" w:ascii="宋体" w:hAnsi="宋体" w:eastAsia="宋体" w:cs="宋体"/>
          <w:color w:val="000000"/>
          <w:sz w:val="32"/>
          <w:szCs w:val="32"/>
          <w:highlight w:val="none"/>
        </w:rPr>
      </w:pPr>
      <w:r>
        <w:rPr>
          <w:rFonts w:hint="eastAsia" w:ascii="Calibri" w:hAnsi="宋体" w:eastAsia="宋体" w:cs="Times New Roman"/>
          <w:b/>
          <w:bCs/>
          <w:color w:val="000000"/>
          <w:sz w:val="32"/>
          <w:szCs w:val="32"/>
          <w:highlight w:val="none"/>
        </w:rPr>
        <w:t xml:space="preserve">分包一：</w:t>
      </w:r>
      <w:r>
        <w:rPr>
          <w:rFonts w:hint="eastAsia" w:ascii="宋体" w:hAnsi="宋体" w:eastAsia="宋体" w:cs="宋体"/>
          <w:color w:val="000000"/>
          <w:sz w:val="32"/>
          <w:szCs w:val="32"/>
          <w:highlight w:val="none"/>
        </w:rPr>
      </w:r>
      <w:r/>
    </w:p>
    <w:tbl>
      <w:tblPr>
        <w:tblW w:w="8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7799"/>
      </w:tblGrid>
      <w:tr>
        <w:trPr>
          <w:trHeight w:val="474"/>
        </w:trPr>
        <w:tc>
          <w:tcPr>
            <w:shd w:val="clear" w:color="auto" w:fill="fefefe"/>
            <w:tcW w:w="1060"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36"/>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履约保证金：本项目不收取履约保证金。</w:t>
            </w:r>
            <w:r>
              <w:rPr>
                <w:rFonts w:hint="eastAsia" w:ascii="宋体" w:hAnsi="宋体" w:eastAsia="宋体" w:cs="宋体"/>
                <w:color w:val="000000"/>
                <w:sz w:val="24"/>
                <w:szCs w:val="24"/>
                <w:highlight w:val="none"/>
              </w:rPr>
            </w:r>
            <w:r/>
          </w:p>
        </w:tc>
      </w:tr>
      <w:tr>
        <w:trPr>
          <w:trHeight w:val="592"/>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szCs w:val="24"/>
                <w:highlight w:val="none"/>
              </w:rPr>
              <w:t xml:space="preserve">交货期：</w:t>
            </w:r>
            <w:r>
              <w:rPr>
                <w:rFonts w:hint="eastAsia" w:ascii="宋体" w:hAnsi="宋体" w:eastAsia="宋体" w:cs="宋体"/>
                <w:color w:val="000000"/>
                <w:sz w:val="24"/>
                <w:szCs w:val="24"/>
                <w:highlight w:val="none"/>
              </w:rPr>
              <w:t xml:space="preserve">90日历天。</w:t>
            </w:r>
            <w:r>
              <w:rPr>
                <w:rFonts w:hint="eastAsia" w:ascii="宋体" w:hAnsi="宋体" w:eastAsia="宋体" w:cs="宋体"/>
                <w:color w:val="000000"/>
                <w:sz w:val="24"/>
                <w:szCs w:val="24"/>
                <w:highlight w:val="none"/>
              </w:rPr>
            </w:r>
            <w:r/>
          </w:p>
        </w:tc>
      </w:tr>
      <w:tr>
        <w:trPr>
          <w:trHeight w:val="636"/>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rHeight w:val="90"/>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付款方式</w:t>
            </w:r>
            <w:r>
              <w:rPr>
                <w:rFonts w:hint="eastAsia" w:ascii="宋体" w:hAnsi="宋体" w:eastAsia="宋体" w:cs="宋体"/>
                <w:b/>
                <w:color w:val="000000"/>
                <w:sz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r>
        <w:trPr>
          <w:trHeight w:val="947"/>
        </w:trPr>
        <w:tc>
          <w:tcPr>
            <w:shd w:val="clear" w:color="auto" w:fill="fefefe"/>
            <w:tcW w:w="10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shd w:val="clear" w:color="auto" w:fill="fefefe"/>
            <w:tcW w:w="7799"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具体违约条款及其它未尽事宜，将在双方签订合同时议定。</w:t>
            </w:r>
            <w:r>
              <w:rPr>
                <w:rFonts w:hint="eastAsia" w:ascii="宋体" w:hAnsi="宋体" w:eastAsia="宋体" w:cs="宋体"/>
                <w:color w:val="000000"/>
                <w:sz w:val="24"/>
                <w:szCs w:val="24"/>
                <w:highlight w:val="none"/>
              </w:rPr>
            </w:r>
            <w:r/>
          </w:p>
        </w:tc>
      </w:tr>
    </w:tbl>
    <w:p>
      <w:pPr>
        <w:pStyle w:val="726"/>
        <w:ind w:firstLine="482"/>
        <w:jc w:val="center"/>
        <w:spacing w:line="360" w:lineRule="auto"/>
        <w:rPr>
          <w:rFonts w:hint="eastAsia" w:ascii="Calibri" w:hAnsi="宋体" w:eastAsia="宋体" w:cs="Times New Roman"/>
          <w:b/>
          <w:bCs/>
          <w:color w:val="000000"/>
          <w:sz w:val="32"/>
          <w:szCs w:val="32"/>
          <w:highlight w:val="none"/>
        </w:rPr>
      </w:pPr>
      <w:r>
        <w:rPr>
          <w:rFonts w:hint="eastAsia" w:ascii="Calibri" w:hAnsi="宋体" w:eastAsia="宋体" w:cs="Times New Roman"/>
          <w:b/>
          <w:bCs/>
          <w:color w:val="000000"/>
          <w:sz w:val="32"/>
          <w:szCs w:val="32"/>
          <w:highlight w:val="none"/>
        </w:rPr>
      </w:r>
      <w:r/>
    </w:p>
    <w:p>
      <w:pPr>
        <w:pStyle w:val="726"/>
        <w:ind w:firstLine="482"/>
        <w:jc w:val="center"/>
        <w:spacing w:line="360" w:lineRule="auto"/>
        <w:rPr>
          <w:rFonts w:hint="eastAsia" w:ascii="宋体" w:hAnsi="宋体" w:eastAsia="宋体" w:cs="宋体"/>
          <w:b/>
          <w:bCs/>
          <w:color w:val="000000"/>
          <w:sz w:val="32"/>
          <w:szCs w:val="32"/>
          <w:highlight w:val="none"/>
        </w:rPr>
      </w:pPr>
      <w:r>
        <w:rPr>
          <w:rFonts w:hint="eastAsia" w:ascii="Calibri" w:hAnsi="宋体" w:eastAsia="宋体" w:cs="Times New Roman"/>
          <w:b/>
          <w:bCs/>
          <w:color w:val="000000"/>
          <w:sz w:val="32"/>
          <w:szCs w:val="32"/>
          <w:highlight w:val="none"/>
        </w:rPr>
        <w:t xml:space="preserve">分包二：</w:t>
      </w:r>
      <w:r>
        <w:rPr>
          <w:rFonts w:hint="eastAsia" w:ascii="宋体" w:hAnsi="宋体" w:eastAsia="宋体" w:cs="宋体"/>
          <w:b/>
          <w:bCs/>
          <w:color w:val="000000"/>
          <w:sz w:val="32"/>
          <w:szCs w:val="32"/>
          <w:highlight w:val="none"/>
        </w:rPr>
      </w:r>
      <w:r/>
    </w:p>
    <w:tbl>
      <w:tblPr>
        <w:tblW w:w="89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7852"/>
      </w:tblGrid>
      <w:tr>
        <w:trPr>
          <w:trHeight w:val="470"/>
        </w:trPr>
        <w:tc>
          <w:tcPr>
            <w:shd w:val="clear" w:color="auto" w:fill="fefefe"/>
            <w:tcW w:w="1067"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条款号</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632"/>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履约保证金：本项目不收取履约保证金。</w:t>
            </w:r>
            <w:r>
              <w:rPr>
                <w:rFonts w:hint="eastAsia" w:ascii="宋体" w:hAnsi="宋体" w:eastAsia="宋体" w:cs="宋体"/>
                <w:color w:val="000000"/>
                <w:sz w:val="24"/>
                <w:szCs w:val="24"/>
                <w:highlight w:val="none"/>
              </w:rPr>
            </w:r>
            <w:r/>
          </w:p>
        </w:tc>
      </w:tr>
      <w:tr>
        <w:trPr>
          <w:trHeight w:val="587"/>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b/>
                <w:color w:val="000000"/>
                <w:sz w:val="24"/>
                <w:szCs w:val="24"/>
                <w:highlight w:val="none"/>
              </w:rPr>
              <w:t xml:space="preserve">交货期：</w:t>
            </w:r>
            <w:r>
              <w:rPr>
                <w:rFonts w:hint="eastAsia" w:ascii="宋体" w:hAnsi="宋体" w:eastAsia="宋体" w:cs="宋体"/>
                <w:color w:val="000000"/>
                <w:sz w:val="24"/>
                <w:szCs w:val="24"/>
                <w:highlight w:val="none"/>
              </w:rPr>
              <w:t xml:space="preserve">90日历天。</w:t>
            </w:r>
            <w:r>
              <w:rPr>
                <w:rFonts w:hint="eastAsia" w:ascii="宋体" w:hAnsi="宋体" w:eastAsia="宋体" w:cs="宋体"/>
                <w:color w:val="000000"/>
                <w:sz w:val="24"/>
                <w:szCs w:val="24"/>
                <w:highlight w:val="none"/>
              </w:rPr>
            </w:r>
            <w:r/>
          </w:p>
        </w:tc>
      </w:tr>
      <w:tr>
        <w:trPr>
          <w:trHeight w:val="632"/>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rHeight w:val="473"/>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付款方式</w:t>
            </w:r>
            <w:r>
              <w:rPr>
                <w:rFonts w:hint="eastAsia" w:ascii="宋体" w:hAnsi="宋体" w:eastAsia="宋体" w:cs="宋体"/>
                <w:b/>
                <w:color w:val="000000"/>
                <w:sz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r>
        <w:trPr>
          <w:trHeight w:val="940"/>
        </w:trPr>
        <w:tc>
          <w:tcPr>
            <w:shd w:val="clear" w:color="auto" w:fill="fefefe"/>
            <w:tcW w:w="1067"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shd w:val="clear" w:color="auto" w:fill="fefefe"/>
            <w:tcW w:w="7852" w:type="dxa"/>
            <w:vAlign w:val="center"/>
            <w:textDirection w:val="lrTb"/>
            <w:noWrap w:val="false"/>
          </w:tcPr>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具体违约条款及其它未尽事宜，将在双方签订合同时议定。</w:t>
            </w:r>
            <w:r>
              <w:rPr>
                <w:rFonts w:hint="eastAsia" w:ascii="宋体" w:hAnsi="宋体" w:eastAsia="宋体" w:cs="宋体"/>
                <w:color w:val="000000"/>
                <w:sz w:val="24"/>
                <w:szCs w:val="24"/>
                <w:highlight w:val="none"/>
              </w:rPr>
            </w:r>
            <w:r/>
          </w:p>
        </w:tc>
      </w:tr>
    </w:tbl>
    <w:p>
      <w:pPr>
        <w:pStyle w:val="7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注：招标文件中标注★号的部分为实质性要求和条件（由采购人根据实际情况设置），投标人必须作出满足或者优于原要求和条件的响应，否则投标无效。</w:t>
      </w:r>
      <w:r>
        <w:rPr>
          <w:rFonts w:hint="eastAsia" w:ascii="宋体" w:hAnsi="宋体" w:eastAsia="宋体" w:cs="宋体"/>
          <w:b/>
          <w:bCs/>
          <w:color w:val="000000"/>
          <w:sz w:val="24"/>
          <w:szCs w:val="24"/>
          <w:highlight w:val="none"/>
        </w:rPr>
      </w:r>
      <w:r/>
    </w:p>
    <w:p>
      <w:pPr>
        <w:pStyle w:val="726"/>
        <w:jc w:val="center"/>
        <w:keepLines/>
        <w:keepNext/>
        <w:spacing w:line="360" w:lineRule="auto"/>
        <w:rPr>
          <w:rFonts w:hint="eastAsia" w:ascii="宋体" w:hAnsi="宋体" w:eastAsia="宋体" w:cs="宋体"/>
          <w:color w:val="000000"/>
          <w:sz w:val="36"/>
          <w:szCs w:val="20"/>
          <w:highlight w:val="none"/>
        </w:rPr>
        <w:outlineLvl w:val="0"/>
      </w:pPr>
      <w:r>
        <w:rPr>
          <w:rFonts w:hint="eastAsia" w:ascii="宋体" w:hAnsi="宋体" w:eastAsia="宋体" w:cs="宋体"/>
          <w:bCs/>
          <w:color w:val="000000"/>
          <w:sz w:val="36"/>
          <w:szCs w:val="20"/>
          <w:highlight w:val="none"/>
        </w:rPr>
        <w:br w:type="page" w:clear="all"/>
      </w:r>
      <w:bookmarkEnd w:id="16"/>
      <w:r/>
      <w:bookmarkEnd w:id="17"/>
      <w:r/>
      <w:bookmarkStart w:id="19" w:name="_Toc150765439"/>
      <w:r/>
      <w:bookmarkStart w:id="20" w:name="_Toc513622230"/>
      <w:r>
        <w:rPr>
          <w:rFonts w:hint="eastAsia" w:ascii="宋体" w:hAnsi="宋体" w:eastAsia="宋体" w:cs="宋体"/>
          <w:color w:val="000000"/>
          <w:sz w:val="36"/>
          <w:szCs w:val="20"/>
          <w:highlight w:val="none"/>
        </w:rPr>
        <w:t xml:space="preserve">第六章项目需求</w:t>
      </w:r>
      <w:bookmarkEnd w:id="19"/>
      <w:r/>
      <w:bookmarkEnd w:id="20"/>
      <w:r>
        <w:rPr>
          <w:rFonts w:hint="eastAsia" w:ascii="宋体" w:hAnsi="宋体" w:eastAsia="宋体" w:cs="宋体"/>
          <w:color w:val="000000"/>
          <w:sz w:val="36"/>
          <w:szCs w:val="20"/>
          <w:highlight w:val="none"/>
        </w:rPr>
      </w:r>
      <w:r/>
    </w:p>
    <w:p>
      <w:pPr>
        <w:pStyle w:val="726"/>
        <w:jc w:val="center"/>
        <w:keepLines/>
        <w:keepNext/>
        <w:spacing w:line="360" w:lineRule="auto"/>
        <w:rPr>
          <w:rFonts w:hint="eastAsia" w:ascii="宋体" w:hAnsi="宋体" w:eastAsia="宋体" w:cs="宋体"/>
          <w:b/>
          <w:bCs/>
          <w:color w:val="000000"/>
          <w:sz w:val="36"/>
          <w:szCs w:val="20"/>
          <w:highlight w:val="none"/>
        </w:rPr>
        <w:outlineLvl w:val="0"/>
      </w:pPr>
      <w:r/>
      <w:bookmarkStart w:id="21" w:name="_Toc513622231"/>
      <w:r/>
      <w:bookmarkStart w:id="22" w:name="_Toc139967217"/>
      <w:r/>
      <w:bookmarkStart w:id="23" w:name="_Toc139966433"/>
      <w:r>
        <w:rPr>
          <w:rFonts w:hint="eastAsia" w:ascii="宋体" w:hAnsi="宋体" w:eastAsia="宋体" w:cs="宋体"/>
          <w:b/>
          <w:bCs/>
          <w:color w:val="000000"/>
          <w:sz w:val="36"/>
          <w:szCs w:val="20"/>
          <w:highlight w:val="none"/>
        </w:rPr>
        <w:t xml:space="preserve">分包一：</w:t>
      </w:r>
      <w:r>
        <w:rPr>
          <w:rFonts w:hint="eastAsia" w:ascii="宋体" w:hAnsi="宋体" w:eastAsia="宋体" w:cs="宋体"/>
          <w:b/>
          <w:bCs/>
          <w:color w:val="000000"/>
          <w:sz w:val="36"/>
          <w:szCs w:val="20"/>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说明：本项目属性为</w:t>
      </w:r>
      <w:r>
        <w:rPr>
          <w:rFonts w:hint="eastAsia" w:ascii="Calibri" w:hAnsi="Calibri" w:eastAsia="宋体" w:cs="Times New Roman"/>
          <w:b/>
          <w:color w:val="000000"/>
          <w:sz w:val="24"/>
          <w:szCs w:val="24"/>
          <w:highlight w:val="none"/>
        </w:rPr>
        <w:t xml:space="preserve">货物</w:t>
      </w:r>
      <w:r>
        <w:rPr>
          <w:rFonts w:hint="eastAsia" w:ascii="Calibri" w:hAnsi="Calibri" w:eastAsia="宋体" w:cs="Times New Roman"/>
          <w:color w:val="000000"/>
          <w:sz w:val="24"/>
          <w:szCs w:val="24"/>
          <w:highlight w:val="none"/>
        </w:rPr>
        <w:t xml:space="preserve">，采购标的对应的中小企业划分标准所属行业详见货物（标的）采购清单。</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1.根据《政府采购需求管理办法》等有关规定，采购人确定采购需求。</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w:t>
      </w:r>
      <w:r>
        <w:rPr>
          <w:rFonts w:hint="eastAsia" w:ascii="宋体" w:hAnsi="宋体" w:eastAsia="宋体" w:cs="Times New Roman"/>
          <w:b/>
          <w:color w:val="000000"/>
          <w:sz w:val="24"/>
          <w:szCs w:val="24"/>
          <w:highlight w:val="none"/>
        </w:rPr>
        <w:t xml:space="preserve">本招标文件中标注★的款项为实质性要求和条件，投标人须逐条做出满足实质性要求和条件的响应，否则将按无效响应处理。</w:t>
      </w:r>
      <w:r>
        <w:rPr>
          <w:rFonts w:ascii="Calibri" w:hAnsi="Calibri" w:eastAsia="宋体" w:cs="Times New Roman"/>
          <w:color w:val="000000"/>
          <w:sz w:val="24"/>
          <w:szCs w:val="24"/>
          <w:highlight w:val="none"/>
        </w:rPr>
      </w:r>
      <w:r/>
    </w:p>
    <w:tbl>
      <w:tblPr>
        <w:tblStyle w:val="800"/>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采购需求中须满足的实质性要求和条件</w:t>
            </w:r>
            <w:r>
              <w:rPr>
                <w:rFonts w:hint="eastAsia" w:ascii="宋体" w:hAnsi="宋体" w:eastAsia="宋体" w:cs="宋体"/>
                <w:color w:val="000000"/>
                <w:sz w:val="24"/>
                <w:szCs w:val="24"/>
                <w:highlight w:val="none"/>
              </w:rPr>
            </w:r>
            <w:r/>
          </w:p>
        </w:tc>
      </w:tr>
      <w:tr>
        <w:trPr/>
        <w:tc>
          <w:tcPr>
            <w:tcW w:w="816"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689"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实质性要求和条件</w:t>
            </w:r>
            <w:r>
              <w:rPr>
                <w:rFonts w:hint="eastAsia" w:ascii="宋体" w:hAnsi="宋体" w:eastAsia="宋体" w:cs="宋体"/>
                <w:b/>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★交货期：90日历天</w:t>
            </w:r>
            <w:r>
              <w:rPr>
                <w:rFonts w:hint="eastAsia" w:ascii="宋体" w:hAnsi="宋体" w:eastAsia="宋体" w:cs="宋体"/>
                <w:color w:val="000000"/>
                <w:sz w:val="24"/>
                <w:szCs w:val="24"/>
                <w:highlight w:val="none"/>
              </w:rPr>
            </w:r>
            <w:r/>
          </w:p>
        </w:tc>
      </w:tr>
      <w:tr>
        <w:trPr>
          <w:trHeight w:val="478"/>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bl>
    <w:p>
      <w:pPr>
        <w:pStyle w:val="726"/>
        <w:ind w:firstLine="480"/>
        <w:jc w:val="left"/>
        <w:spacing w:line="360" w:lineRule="auto"/>
        <w:rPr>
          <w:rFonts w:ascii="MS Mincho"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3.本项目核心产品为：</w:t>
      </w:r>
      <w:r>
        <w:rPr>
          <w:rFonts w:hint="eastAsia" w:ascii="Calibri" w:hAnsi="Calibri" w:eastAsia="宋体" w:cs="Times New Roman"/>
          <w:color w:val="000000"/>
          <w:sz w:val="24"/>
          <w:szCs w:val="24"/>
          <w:highlight w:val="none"/>
          <w:u w:val="single"/>
        </w:rPr>
        <w:t xml:space="preserve">酒店管理系统、交互融媒体编辑软件。</w:t>
      </w:r>
      <w:r>
        <w:rPr>
          <w:rFonts w:ascii="MS Mincho" w:hAnsi="Calibri" w:eastAsia="宋体" w:cs="Times New Roman"/>
          <w:color w:val="000000"/>
          <w:sz w:val="24"/>
          <w:szCs w:val="24"/>
          <w:highlight w:val="none"/>
          <w:u w:val="single"/>
        </w:rPr>
      </w:r>
      <w:r/>
    </w:p>
    <w:p>
      <w:pPr>
        <w:pStyle w:val="726"/>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一、项目概况</w:t>
      </w:r>
      <w:r>
        <w:rPr>
          <w:rFonts w:ascii="Times New Roman" w:hAnsi="Times New Roman" w:eastAsia="宋体" w:cs="Times New Roman"/>
          <w:b/>
          <w:color w:val="000000"/>
          <w:sz w:val="24"/>
          <w:szCs w:val="24"/>
          <w:highlight w:val="none"/>
        </w:rPr>
      </w:r>
      <w:r/>
    </w:p>
    <w:p>
      <w:pPr>
        <w:pStyle w:val="726"/>
        <w:ind w:firstLine="480"/>
        <w:spacing w:line="360" w:lineRule="auto"/>
        <w:rPr>
          <w:rFonts w:ascii="Times New Roman" w:hAnsi="Times New Roman" w:eastAsia="宋体" w:cs="Times New Roman"/>
          <w:b/>
          <w:color w:val="000000"/>
          <w:sz w:val="28"/>
          <w:szCs w:val="28"/>
          <w:highlight w:val="none"/>
        </w:rPr>
      </w:pPr>
      <w:r>
        <w:rPr>
          <w:rFonts w:hint="eastAsia" w:ascii="宋体" w:hAnsi="宋体" w:eastAsia="宋体" w:cs="宋体"/>
          <w:color w:val="000000"/>
          <w:sz w:val="24"/>
          <w:szCs w:val="24"/>
          <w:highlight w:val="none"/>
        </w:rPr>
        <w:t xml:space="preserve">项目总体目标为打造一个集教学、培训、实操、考核、竞赛于一体的多功能、现代化、智能化、数字化的智慧文旅综合实训基地，建成以“产教深度融合、能力导向培养、技术创新服务”为核心，以前沿技术教学需求及培养专业人才为导向，运用先进教学方法、技术、资源与环境，</w:t>
      </w:r>
      <w:bookmarkStart w:id="24" w:name="_Hlk211526630"/>
      <w:r>
        <w:rPr>
          <w:rFonts w:hint="eastAsia" w:ascii="宋体" w:hAnsi="宋体" w:eastAsia="宋体" w:cs="宋体"/>
          <w:color w:val="000000"/>
          <w:sz w:val="24"/>
          <w:szCs w:val="24"/>
          <w:highlight w:val="none"/>
        </w:rPr>
        <w:t xml:space="preserve">培养具备扎实实操能力和较高职业素养的复合型高技术技能人才并满足产业需求为目标的综合性平台。</w:t>
      </w:r>
      <w:bookmarkEnd w:id="24"/>
      <w:r>
        <w:rPr>
          <w:rFonts w:hint="eastAsia" w:ascii="宋体" w:hAnsi="宋体" w:eastAsia="宋体" w:cs="宋体"/>
          <w:color w:val="000000"/>
          <w:sz w:val="24"/>
          <w:szCs w:val="24"/>
          <w:highlight w:val="none"/>
        </w:rPr>
        <w:t xml:space="preserve">智慧文旅综合实训基地项目主要包括智慧文旅综合实训基地建设及实训室升级改造，项目建成后，对于培养能适应“智慧服务升级、数字内容创新、文旅生态运营”的复合型高技能人才及推动技术转化与落地，提升学校的教学和科研水平、竞赛水平，增强学校在文旅、融媒体教学科研实训领域的竞争力具有重要积极作用。主要内容包括前厅客房实训室设备、酒水茶艺实训室设备、餐饮服务实训室设备、数字旅媒综合实训室设备、直播实训室设备、摄影摄像实训室设备、多功能智慧实训室设备、录音间设备及相关实训室配套装修。</w:t>
      </w:r>
      <w:r>
        <w:rPr>
          <w:rFonts w:ascii="Times New Roman" w:hAnsi="Times New Roman" w:eastAsia="宋体" w:cs="Times New Roman"/>
          <w:b/>
          <w:color w:val="000000"/>
          <w:sz w:val="28"/>
          <w:szCs w:val="28"/>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二、货物（标的）采购清单</w:t>
      </w:r>
      <w:r>
        <w:rPr>
          <w:rFonts w:ascii="Times New Roman" w:hAnsi="Times New Roman" w:eastAsia="宋体" w:cs="Times New Roman"/>
          <w:b/>
          <w:color w:val="000000"/>
          <w:sz w:val="24"/>
          <w:szCs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8"/>
        <w:gridCol w:w="4377"/>
        <w:gridCol w:w="1050"/>
        <w:gridCol w:w="708"/>
        <w:gridCol w:w="3011"/>
      </w:tblGrid>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数量</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中小企业划分标准所属行业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1.前厅客房实训室设备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站式前台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接待标识牌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前台座椅定制款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休闲桌椅定制款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座机电话</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身份证阅读器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电子钥匙制卡机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模拟身份证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POS机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点钞机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练钞币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份</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房卡收纳盒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计算器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必要洗潄用品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儿童洗潄用品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客账收集袋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行李箱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秒表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各类酒店常用单据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份</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礼宾车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床单</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床头柜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防滑圆托盘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杯盖</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地巾提篮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拖鞋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2.酒水茶艺实训室设备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官帽椅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实木椅坐垫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棉麻茶桌布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茶道组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恒温热水壶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茶叶罐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茶水废液桶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紫砂壶套装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陶瓷壶套装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玻璃壶套装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467"/>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品茗杯垫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多功能折叠梯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悬挂酒架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制冰机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电动搅拌机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小碟子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起泡酒刻度量杯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烈酒品酒杯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冰桶、冰夹、刀具、冰铲</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调酒器具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马天尼杯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鸡尾酒针签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玛格丽特杯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洛克杯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海波杯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宽口香槟杯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3.餐饮服务实训室设备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桌裙(装饰布)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骨碟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味碟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长柄勺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白酒杯套装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放水果工具盘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砧板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果盘制作工具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垃圾桶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分餐勺、叉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消毒巾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毛巾碟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口布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点餐垫板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托盘架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三层餐车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配套椅子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展示盘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面包盘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浓汤勺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刀叉盒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备餐柜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咖啡杯，杯碟，咖啡勺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糖盅、奶盅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沙司盅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花瓶（配好花）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盐盅、胡椒盅、牙签盅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扫台器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支</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酒店管理系统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AI智能导游模拟实训教学平台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导游从业资格考试软件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AI+大数据旅游行程规划软件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交互融媒体编辑软件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融媒体综合技术应用系统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支</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高清微距直播摄像机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移动幕布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无线图传设备</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商品陈列架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置物架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相机镜头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全画幅微单相机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手持稳定器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300WLED补光灯套装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600W闪光灯套装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雷达罩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菲涅尔透镜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便携补光灯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静物台影棚套装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静物拍摄三屏套装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张</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把</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教学智能终端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智能化教学系统软件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教师跟踪摄像机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学生跟踪摄像机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互动音频处理器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球形麦克风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8.录音间设备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音频接口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大振膜电容话筒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音频压缩器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监听控制器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耳机放大器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监听耳机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电源时序滤波器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耳分支架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防喷罩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枪式麦克风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音频线材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录音间工作台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器材存储柜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相关实训室装修</w:t>
            </w:r>
            <w:r>
              <w:rPr>
                <w:rFonts w:hint="eastAsia" w:ascii="宋体" w:hAnsi="宋体" w:eastAsia="宋体" w:cs="宋体"/>
                <w:b/>
                <w:bCs/>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1.酒水茶艺实训室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酒水吊柜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博古架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上下水阀门、台下盆、水龙头购买及安装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给水管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2.餐饮服务实训室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3.前厅客房实训室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衣柜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拆除原空调及管网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光纤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静电地板及安装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5.直播实训室（含直播间）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轻钢龙骨双面石膏板隔墙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新增玻璃单开门M0921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无影棚墙面乳胶漆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照明开关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8.办公室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9.录音间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Calibri" w:hAnsi="Calibri" w:eastAsia="宋体" w:cs="Times New Roman"/>
                <w:color w:val="000000"/>
                <w:highlight w:val="none"/>
              </w:rPr>
              <w:t xml:space="preserve">529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10.其他实训室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11.公共走道</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695.98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12.强电</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桥架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m</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13.其他</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VI软装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消防改造-直播间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窗户局部维修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广告拆除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pStyle w:val="726"/>
              <w:jc w:val="righ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建筑业</w:t>
            </w:r>
            <w:r>
              <w:rPr>
                <w:rFonts w:hint="eastAsia" w:ascii="宋体" w:hAnsi="宋体" w:eastAsia="宋体" w:cs="宋体"/>
                <w:color w:val="000000"/>
                <w:sz w:val="22"/>
                <w:highlight w:val="none"/>
              </w:rPr>
            </w:r>
            <w:r/>
          </w:p>
        </w:tc>
      </w:tr>
    </w:tbl>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rPr>
          <w:color w:val="000000"/>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highlight w:val="none"/>
        </w:rPr>
      </w:r>
      <w:r/>
    </w:p>
    <w:p>
      <w:pPr>
        <w:pStyle w:val="726"/>
        <w:jc w:val="left"/>
        <w:spacing w:line="360" w:lineRule="auto"/>
        <w:rPr>
          <w:rFonts w:ascii="Calibri" w:hAnsi="Calibri" w:eastAsia="宋体" w:cs="Times New Roman"/>
          <w:color w:val="000000"/>
          <w:szCs w:val="24"/>
          <w:highlight w:val="none"/>
        </w:rPr>
      </w:pPr>
      <w:r>
        <w:rPr>
          <w:rFonts w:hint="eastAsia" w:ascii="Times New Roman" w:hAnsi="Times New Roman" w:eastAsia="宋体" w:cs="Times New Roman"/>
          <w:b/>
          <w:color w:val="000000"/>
          <w:sz w:val="24"/>
          <w:szCs w:val="24"/>
          <w:highlight w:val="none"/>
        </w:rPr>
        <w:t xml:space="preserve">三、货物（标的）技术参数及功能指标</w:t>
      </w:r>
      <w:r>
        <w:rPr>
          <w:rFonts w:ascii="Calibri" w:hAnsi="Calibri" w:eastAsia="宋体" w:cs="Times New Roman"/>
          <w:color w:val="000000"/>
          <w:szCs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69"/>
        <w:gridCol w:w="1608"/>
        <w:gridCol w:w="7477"/>
      </w:tblGrid>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技术参数及功能指标</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1.前厅客房实训室设备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站式前台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规格：外侧高≥120cm，内侧高≥90cm，长≥300cm，宽≥80cm；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材质：实木生态板框架；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台面：石英石台面；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带柜门。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接待台标识牌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尺寸：长宽≥30*16cm，厚≥5mm，面板材质：亚克力+木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前台座椅定制款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5.坐垫尺寸：≥45*45cm；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6.椅子高度：≥90cm。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休闲桌椅定制款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1.款式：意式简约；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2.桌面材质：≥12mm厚哑光岩板，支持定做；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3.桌面直径：≥60cm，高：≥74cm；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4.桌架材质：金属碳素钢桌架；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5.椅面材质：高品质猫抓皮，颜色可选，高密度回弹海绵；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6.椅架材质：碳素钢椅架；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7.其他：含3把椅子。</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座机电话</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酒店客房专用电话，黑色，尺寸：≥160*210*65mm，材质：ABS材质耐摔、抗氧化、防水防潮，放置方式:座式，功能：≥1组快捷键。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身份证阅读器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支持无网络情况下使用，内置身份证识别，可自动配对全国职院技能大赛赛事系统前厅模块，支持自动获取身份证信息（姓名、身份证号、地址）并自动填入入住登记表，主机接口：USB。</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电子钥匙制卡机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1.房卡系统：可对接可通过前厅模块直接写入房间号，退房时支持识别发放的房间号，系统自动识别读取；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2.发卡机：读卡距离：&lt;7cm，通信接口：USB；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3.房卡：含5张IC识别卡。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对折式：长宽≥97*62mm；可定制内容；材质：铜版纸250g白卡。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模拟身份证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尺寸：长宽≥8.5*5.4cm，厚≥1mm，材质：塑料。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POS机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支持模拟银行卡刷卡，满足预授权操作，支持打印2联支付小票（小票内容可定制），支持NFC刷卡和扫码两种方式；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提供模拟银行卡（IC卡）和模拟支付二维码（扫码可完成支付）。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1.机器配置：储存不低于2GB+16GB；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2.支持：NFC识别机二维码扫码；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3.系统：市场主流系统。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4.卡槽：SIM、MicroSD及可装卸电池；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5.支持摄像头+闪光灯；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6.内置精工高速热敏打印头，支持宽度为58mm外径50mm大纸卷。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7.支持蓝牙、移动网络、WiFi、飞行模式、截屏等功能；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8.支持模拟pos功能，可进行消费预授权，最少支持NFC读卡及二维码扫码两种支付功能，支持输入授权金额及输入支付密码，即可打印2联小票，一份存根联一份客户联，同时自动返回pos首页。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点钞机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具备点、验人民币功能，规格：≥24*20*29cm，≧900张/分，可验五版人民币，六大模式，五双检测功能，双屏显示，智能语音点钞机，液晶日光灯示验钞带报警功能。</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练钞币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常规纸质，面额包含100元，50元，20元，10元，5元，2元，1元。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房卡收纳盒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尺寸：≥长宽高21*21*7cm，材质：塑料。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计算器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尺寸：≥长宽16.5*15.8cm，常规。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必要洗潄用品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礼盒套装（牙刷，梳子，牙膏，须刨，毛巾，洗发水，沐浴露，润肤露）可定制大赛LOGO。</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儿童洗潄用品</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内含容量≥30ml：洗发水，润肤液，沐浴露，香皂，牙刷，牙膏。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客账收集袋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尺寸：长宽≥32.5*24cm，材质：PU皮。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行李箱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铝框，≥24寸加厚大容量。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秒表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1.防震，防摔，防水；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2.规格：≥75*58*18mm；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3.计时单位：1/100秒；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4.最长计时：≥10小时；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5.排序方式：单行排序；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6.显示屏：5位大数字液晶屏；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7.最长倒计时：≥10小时。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各类酒店常用单据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收据，留言单，行李签，VIP接待通知单，投诉应急记录本，贵重物品寄存单等。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礼宾车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尺寸：≥长1200mm*宽610mm*高1920mm,金属材质，四轮。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规格：≥长宽高</w:t>
            </w: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0*20cm+床脚≥7cm（误差0.5cm）主材：E1级实木多层环保板材。辅材：高弹力纳米海绵，特制杜邦抗菌防螨面料，特制加厚不锈钢可调节高度床脚不易损坏。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规格：≥长宽高</w:t>
            </w: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0*20*22cm（误差0.5cm）主材：定制精钢静音高回弹定型弹簧,整网过火工艺，回火锻造，寿命长。辅材：高弹力纳米海绵，热熔棉，三维无胶棉，特制杜邦抗菌防螨面料。</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工艺标准：床垫双面均可使用，颜色一致；四周包边立体不易变形。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规格：≥230*200cm，内充≥1.5千克羽绒棉，含填充物总重量≥2.6千克。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规格：≥75×45cm，内充羽绒棉，含填充物总重量≥1.35千克。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床单</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规格：≥280*200cm，（缩水前尺寸：≥288*206cm），材质：100％精梳棉，≥80支纱∕400针。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被套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规格：≥235×215×5cm，材质：100％精梳棉，80支纱∕400针，三边5厘米法式飞边。底部中半开口，系带方式，2组，距两端≥45cm。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枕套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规格：≥48*78+15*5cm（含5cm法式飞边）（缩水前尺寸：≥88*58cm），材质：100％精梳棉，80支纱∕400针。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床头柜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尺寸：≥长宽45*45cm，高≥55cm，误差0.5cm。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尺寸：≥长宽高120*70*75cm，≥4*4cm加厚铁管，T字型镶嵌式PVC防撞边，桌脚内收可折叠可调节高度。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工作台桌裙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尺寸：≥长宽高120*70*75cm，颜色：红色拼米白，材质：面绒面料。</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防滑圆托盘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外径≥35.5cm，内径≥32cm，误差0.5cm，托盘垫：圆形直径≥32cm，厚度：≥3cm；材质：软胶材质，两面亮面。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口径≥8cm，高≥8.5cm；容量：≥250cm；材质：陶瓷。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直径≥8cm，材质规格：4层吸水纸+1层双胶纸。</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杯盖</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直径≥8cm，材质：≥230g白卡纸。</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地巾提篮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尺寸：≥35*35*9cm；材质：竹制品。</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地巾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尺寸：≥80*50cm，重量≥0.45千克，材质：纯棉。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拖鞋</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一次性，珊瑚绒加厚防滑底拉毛内衬布条包边，棉制加厚底。</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2.酒水茶艺实训室设备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1.马鞍桌带抽屉；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2.尺寸：≥1800*700*760mm；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3.材质：采用橡木制作；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4.桌面橡木齿接板，榫卯结构，桌体古色古香，环保油漆。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官帽椅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1.椅子尺寸：≥宽45cm*高50cm；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2.材质：橡木原木；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3.采用橡木制作，桌面橡木齿接板，榫卯结构，桌体古色古香，环保油漆。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实木椅坐垫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1.海绵布艺包层，仿古垫子，与茶桌风格匹配协调；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2.尺寸：≥50cm*40cm。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棉麻茶桌布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尺寸：≥280cm*140cm，棉麻材质。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亚麻材质，尺寸：≥30*250cm，手绘图案。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尺寸：≥80*40cm，整块实木制作，出水口纯铜材质，盘面简洁漏水顺畅。含吸水球及排水管。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古韵荷塘茶具，茶杯6个，茶漏1个，公道杯1个，茶壶1个。与茶盘配套使用古意盎然。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紫铜仿古茶荷，荷叶外观与茶具风格协调匹配，尺寸：≥11.6*6.5cm。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1.马鞍桌带抽屉；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2.尺寸：≥1400*600*760mm；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3.材质：采用全橡木制作榫卯结构，桌体古色古香，环保油漆。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1.方凳尺寸：≥300*300*450mm；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2.材质：采用全橡木制作；榫卯结构，桌体古色古香，环保油漆。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茶桌旗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尺寸：≥30*150cm，粗麻材质。中间附山水布艺。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尺寸：≥43*28*5.5cm；实木材质，抽屉式茶盘水盒。茶水盒含排水口，排水口两用设计可存水排水。茶盘四角云纹雕刻有防滑垫设计。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茶盘配套茶具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精品陶瓷12件套装，含茶壶1个，盖碗1套，茶杯8个，公道杯1个，茶漏1个。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茶道组</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茶道六君子套装，含茶筒1个，材质：陶瓷；茶勺1个，材质：木+金属；茶笔1个，材质：木；茶夹1个，材质：木；茶针1个，材质：木+金属；茶叉1个，材质：木+金属。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恒温热水壶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1.容量：≥1.5L，304一体式内胆易清洁；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2.三层防烫，外观尺寸≥263*222mm。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茶叶罐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1.材质：陶瓷；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2.尺寸：长*高≥8.5*11cm；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3.容量：≥250ml。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1.款式：中式刺绣茶巾；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2.材质：麻巾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3.尺寸：≥19.5*19.5cm。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茶水废液桶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茶艺教室专用，方形，容量：≥10L。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紫砂壶套装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适用于乌龙茶冲泡，包括紫砂壶、茶杯、盖碗、茶筒、公道杯各1个。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陶瓷壶套装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适用于红茶冲泡，包括茶壶、盖碗、品茗杯各1个。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玻璃壶套装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适用于绿茶冲泡，包括玻璃壶、玻璃品茗杯、公杯、茶漏各1个。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品茗杯垫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天然竹制，尺寸：≥7.5cm*1.3cm。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定制，尺寸：≥4000*800*800mm；台面：石英石台面；框架材质：实木生态板。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吧椅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主体材质：金属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坐面材质：皮革,内置高密度海绵;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附加功能：可旋转，可升降。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定制，尺寸：≥1800*800*750mm；台面：石英石台面；结构：框架结构；框架材质：E0级实木生态板。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多功能折叠梯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1.材质：金属材质；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2.层数：≥五层；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3.支持防滑</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悬挂酒架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top"/>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1.层板材质：实木生态板；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2.结构工艺：金属工艺；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3.尺寸：长宽高≥140*27*80cm;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4.带挂钩。</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制冰机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top"/>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冷却方式：水冷；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定时功能：支持定时功能；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机身材质：不锈钢；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进水方式：自来水；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能效等级：无能效等级；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额定电压：220V。</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全自动意式/美式研磨一体机咖啡机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1.产品尺寸：（长*宽*高）≥467mm*220mm*369mm；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2.水箱容量：≥1.8L；</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3.豆仓容量：≥250g；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4.制作口味：奶泡，冷萃，美式咖啡，意式浓缩；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5.额定功率：≥1450W</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电动搅拌机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功率：≥1200W；容量：≥5L；机身材质：金属+塑料；操控方式：旋钮式；面盆材质：304不锈钢；档位数：6档。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高≥26cm，宽≥22cm，容量≥1800ml，材质：水晶玻璃。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放置在冰桶上边作擦酒用及倒酒用,尺寸≥50*50cm，材质：纯棉。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小碟子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用于盛放缩帽、酒塞等小件物品，口径≥9.5cm，高≥1.8cm；材质：304不锈钢。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笛型起泡酒杯,容量：≥230ml；外高≥26.7cm，杯口外径≥4.6cm，杯身高≥14cm；材质：水晶玻璃。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起泡酒刻度量杯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容量：≥100ml；高≥7cm，口径≥5cm；材质：水晶玻璃。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尺寸：直径≥11.3cm；高≥21cm；口径≥8cm；材质：PC；容量：≥1500ml，带盖及把手。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容量：≥320ml；尺寸：高≥9.7cm；口径：7.2cm；材质：水晶玻璃。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容量：≥350ml，杯口外径≥6cm，杯口内径≥5.8cm，内高≥10cm，外高≥23.2cm，杯底直径≥7.5cm，厚≥0.2cm;材质：水晶玻璃。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容量：≥250ml，杯口外径≥5.5cm，杯口内径≥5.3cm，内高≥9.1cm，外高≥22.1cm，杯底直径≥6.9cm，厚≥0.2cm;材质：水晶玻璃。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烈酒品酒杯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容量：≥150ml；尺寸：高≥7.2cm，口径：≥6.4cm；材质：水晶玻璃。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冰桶、冰夹、刀具、冰铲</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冰桶：容量≥3L，口径≥18.4cm,高度≥22cm，材质：304不锈钢。冰夹：长≥15cm，材质：304不锈钢。刀具:≥6寸，材质：304不锈钢。冰铲：中号，勺长≥17cm，勺宽≥10cm，材质：304不锈钢。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长：≥30cm；材质：不锈钢。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调酒器具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摇酒壶：容量≥550ml，高≥18.5cm,304不锈钢材质。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调和杯：容量≥600ml，高≥23.8cm，玻璃材质。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盎司杯：双头一体量杯带刻度，容量≥30ml/60ml，高≥12.4cm，304不锈钢材质。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苦精瓶：容量≥30ml，高≥11.5cm，玻璃材质。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椒盐瓶：2个一套，圆形，尺寸≥3.5*7cm，304不锈钢材质。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酒粉器：3个一套，直径≥6cm，高≥8cm，304不锈钢材质，带筛网盖和防潮盖。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滤冰器：宽≥7cm，304不锈钢材质。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吧匙：长≥32cm，304不锈钢材质。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置物桶：口径≥10cm，高≥16.5cm米，304不锈钢材质。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分酒器：容量≥250ml，玻璃材质。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杯垫：直径≥9.5cm，PVC软胶材质。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水果刀：≥6寸，304不锈钢材质。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砧板：≥40*25*1.5cm，材质：环保PES材料白色。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滤网：锥形，口径≥10cm，304不锈钢材质。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扫台器：长宽≥15*1.6cm，材质：金属。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量杯：PC材质，容量≥500ml。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马天尼杯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容量：≥200ml，口径：≥10.4cm；高：≥16cm；材质：水晶玻璃。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鸡尾酒针签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银色圆球酒针，总长≥10.8cm；材质：不锈钢。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玛格丽特杯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容量：≥260ml；口径：≥10.4cm；高：≥16cm；材质：水晶玻璃。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洛克杯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容量：≥300ml；口径：≥6.5cm；高度：≥8.5cm；材质：水晶玻璃。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海波杯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容量：≥350ml；口径：≥5.6cm；高：≥14.4cm；材质：水晶玻璃。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宽口香槟杯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容量：≥220ml；口径：≥9.5cm；高：≥12.5cm；材质：水晶玻璃。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适用65-85寸交互一体机用移动式支架，底部具有万向轮，可任意方向移动。具有脚刹可固定移动支架。具有托盘可放置触控笔等。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3.餐饮服务实训室设备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圆形，直径≥180cm,高≥75cm；材质：桌面防火棉+加厚耐磨耐刮PVC面，多层夹板2厘米厚，T字型镶嵌式PVC防撞边，桌架≥40*40*2.0mm,优质正钢国标钢材，专用强力弹簧，桌脚内收折叠桌面厚2厘米，桌脚管厚≥4cm。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软面无扶手椅，椅子总高度≥95cm,椅背宽≥41.4cm，椅背长≥46.5cm，椅面厚度≥6cm;材质：25*25*2毫米表面高温铝合金烤漆，坐垫高级麻棉布料+定型海绵+高密度海绵。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方形，尺寸：长宽高≥120*70*75cm，材质：桌面防火棉+加厚耐磨耐刮PVC面，多层夹板2厘米厚，T字型镶嵌式PVC防撞边，桌架≥40*40*2.0mm；优质正钢国标钢材，专用强力弹簧，桌脚内收折叠桌面厚2厘米，桌脚管厚4厘米。</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尺寸：长宽高≥120*70*75cm；材质：涤纶。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边台桌垫</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材质：PVC材质；尺寸：≥120*75cm。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桌裙(装饰布)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圆形，直径≥320cm，材质:≥30％的棉，≥70％的化纤，重量：≥1550克。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正方形，尺寸：≥230*230cm；材质：≥70%棉,≥30%化纤；重量：≥1000克。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正方形边长45cm-60cm；材质：≥70%棉,≥30%化纤；重量：≥70克。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防滑，圆形直径35cm-40cm,材质：玻璃钢层+聚酯树脂+橡胶防滑表面边到边模压，热耐受性：10度至100度。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防滑，长方形尺寸：≥40*55cm，材质：玻璃钢层+聚酯树脂+橡胶防滑表面边到边模压，热耐受性：10度至100度。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圆形，尺寸：≥16寸。材质：瓷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骨碟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外径≥21.2cm，内径≥9.3cm，高≥1.9cm；材质：高骨瓷，浮雕纹。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碗口直径≥11.9cm，底部直径≥5cm,高≥5cm；材质：高骨瓷，浮雕纹。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长≥27.2cm，筷头宽≥0.6cm，筷身金属头长≥5.1cm；材质：金属头合金筷。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味碟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碟口≥8.1cm，底部≥4cm，高≥2.3cm；材质：高骨瓷，浮雕纹。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长≥13.5cm，宽≥4.1cm；材质：高骨瓷。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筷架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长≥7.6cm，底部长≥8cm；宽≥3cm；底部宽≥3.2cm；高≥1.7cm；勺子位长≥5cm，勺凹口位≥4.2cm；筷子位顶部≥2.1cm，凹位≥1.2cm，高度≥1.2cm；材质：高骨瓷，浮雕纹。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长柄勺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全长≥20.5cm，勺子直径长≥6.8cm，勺宽≥4.1cm；材质：304不锈钢。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白酒杯套装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1.带把分酒器（带刻度）6个，容量：≥100ml，尺寸：口径≥5cm，高≥10cm，底径≥5.1cm；材质：玻璃。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2.高脚茅T白酒杯6个，容量：容量：≥10ml，尺寸：口径≥3cm，高≥6cm；材质：玻璃。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容量：≥215ml，杯口外径≥5.2cm，杯口内径≥5cm，内高≥8.6cm，外高≥20.2cm，杯底直径≥6.9cm，厚≥0.4cm，材质：水晶玻璃。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容量：≥305ml，杯口外径≥6cm，杯口内径≥5.8cm，内高≥9.8cm，外高≥21.3cm，杯底直径≥7cm，厚≥0.4cm，材质：水晶玻璃。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尺寸：≥14.55*0.4cm；材质：304不锈钢。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1.凉菜系列，数量≥4种，尺寸：≥10寸；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2.热菜系列，数量≥5种，尺寸：≥10寸；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3.汤系列，数量≥1种，口径：≥23cm；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4.材质：环保树脂。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放水果工具盘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口径≥25.8cm，内径≥18cm,高≥2cm，材质：硬质瓷。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砧板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尺寸：≥40*25*1.5cm；材质：环保PES材料，白色。</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果盘制作工具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刀长≥16.2cm，叉长≥14.3cm，勺长≥14.3cm；材质：304不锈钢。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垃圾桶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尺寸：≥26.7*22.5cm；双层烤漆；容量：≥10L。</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果篮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尺寸：≥36.2*12.2cm；材质：仿藤。</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保温壶容量：≥2L；尺寸：高≥29cm，壶底直径≥13cm；风格：欧式；材质：304不锈钢本色；带手柄。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容量：≥200ml，直径≥5.8cm，高≥13.5.cm，材质：玻璃。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汤碗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尺寸：10寸，口径≥25cm，高≥8.2cm；材质：硬质瓷。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尺寸：长≥27.2cm，勺宽≥7.7cm；材质：硬质瓷。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分餐勺、叉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勺：长≥25cm，勺面长≥8cm，宽≥5.3cm，勺柄宽≥1.5cm；叉：长≥24.3cm，叉面长≥8cm，宽≥2.8cm，叉柄宽≥1.4cm。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尺寸：≥11*3*1.2cm；材质：全钢。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消毒巾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尺寸：≥30*30cm；材质：纯棉30G。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毛巾碟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尺寸：长宽≥15.8*9cm；材质：白色陶瓷。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口布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尺寸：≥50*50cm；材质：白色，全棉。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水扎壶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尺寸：直径≥11.3cm；高≥21cm；口径≥8cm；材质：PC；容量：≥1500ml，带盖及把手。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点餐垫板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尺寸：≥18*13cm；材质：皮革。</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口径≥8.9cm，高≥2.5cm；材质：高骨瓷。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尺寸：≥长宽120*50cm，高≥75cm；材质：防火板面多层夹板。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托盘架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尺寸：≥42.5*51.5*79cm；材质：不锈钢。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三层餐车</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尺寸：高≥104.5cm，宽≥50.5cm，长≥98cm；材质：加厚聚丙烯材质，静音车轮。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长宽高≥150*80*75cm，材质：桌面防火棉+加厚耐磨耐刮PVC面。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配套椅子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软面无扶手椅，椅子总高度≥95cm，椅背宽≥41.4cm，椅背长≥46.5cm，椅面厚度≥6cm，材质：表面高温铝合金烤漆，坐垫高级绒布+定型海绵+高密度海绵。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尺寸：长宽高≥120*70*75cm，，防火板面多层夹板2厘米厚，桌架≥40毫米*40毫米*2.0毫米优质正钢国标钢材，专用强力弹簧，桌脚内收折叠。</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边台台布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颜色：白色，材质：纯棉，长宽高≥120*70*75cm。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圆托盘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防滑，圆形直径35cm-40cm,材质：玻璃钢层+聚酯树脂+橡胶防滑表面边到边模压，热耐受性：10度至100度。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方托盘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防滑，长方形，尺寸：≥40*55cm；材质：玻璃钢层+聚酯树脂+橡胶防滑表面边到边模压，热耐受性：10度至100度。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颜色：白色，材质：纯棉，尺寸：≥150*80cm。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展示盘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面包盘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尺寸：≥6寸，材质：高骨瓷、浮雕纹。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尺寸：≥3寸，材质：高骨瓷、浮雕纹。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长≥22.5cm，材质：304不锈钢。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长≥18.7cm，材质：304不锈钢。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长≥21.2cm，材质：304不锈钢。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鱼叉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长≥19.2cm，材质：304不锈钢。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长≥24.2cm，材质：304不锈钢。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长≥20.7cm，材质：304不锈钢。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浓汤勺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长≥18.2cm，材质：304不锈钢。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甜品叉</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长≥14.5cm，材质：304不锈钢。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长≥14.3cm，材质：304不锈钢。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黄油刀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长≥16.2cm，材质：304不锈钢。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刀叉盒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尺寸：≥54*32.5*10.5cm，材质：PC。</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水杯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容量：≥450ml；杯口外径≥6.7cm，杯口内径≥6.5cm，内高≥11.4cm，外高≥25.1cm，杯底直径≥8cm，厚≥0.2cm；材质：水晶玻璃。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红葡萄酒杯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容量：≥350ml，杯口外径≥6cm，杯口内径≥5.8cm，内高≥10cm，外高≥23.2cm，杯底直径≥7.5cm，厚≥0.2cm;材质：水晶玻璃。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白葡萄酒杯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容量：≥250ml，杯口外径≥5.5cm，杯口内径≥5.3cm，内高≥9.1cm，外高≥22.1cm，杯底直径≥6.9cm，厚≥0.2cm;材质：水晶玻璃。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冰桶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容量≥3L，口径≥18.4cm,高度≥22cm，材质：304不锈钢。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醒酒器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高≥26cm，宽≥22cm，容量≥1800ml，材质：水晶玻璃。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备餐柜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尺寸:≥120*40cm，高≥90cm；材质：防火板面多层夹板。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容量：≥850ml；尺寸：高≥15.3cm，宽≥20cm，底部直径≥10.6cm，壶盖口≥11.3cm;材质：高骨瓷，海浪纹。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咖啡杯，杯碟，咖啡勺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瓷器:咖啡杯：容量：≥125ml，口直径≥8.1cm，高≥6.1cm，宽≥11cm。杯碟：长≥14.5cm，高≥1.6cm。咖啡勺:长≥11.7cm，勺宽≥2.4cm；材质：杯与碟：高骨瓷，海浪纹，咖啡勺：304不锈钢。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保温壶容量：≥2L；尺寸：高≥29cm，壶底直径≥13cm；风格：欧式；材质：304不锈钢本色；带手柄。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糖盅、奶盅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糖盅：底部直径≥10cm，高≥5.4cm，宽≥5.7cm，长≥9.2cm；奶盅：100≥ml；材质：高骨瓷，麦穗图案。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餐巾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颜色：白色，材质：全棉，尺寸：≥50*50cm。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西餐菜品仿真模型套装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1.意大利面模型1个，直径≥25cm，材质：PVC；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2.牛排模型1个，直径≥21cm，材质：PVC；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3.小蛋糕模型6个，尺寸约：直径≥5.2cm，高≥5cm,材质：泡沫；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4.慕斯模型6个，尺寸约：直径≥5.3cm，高≥8cm,材质：泡沫；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5.水果套餐（10种）1套，含红苹果、皇冠梨、橙子、草莓、青苹果、石榴、青枣、橘子、90号黄柠檬、单根香蕉各1个；材质：泡沫。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6.面包套餐（4种）1套，含花朵面包、三角线面包、吐司片（2片）、毛毛虫面包各1个；材质：泡沫；含篮。</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开胃菜盘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主菜盘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尺寸：≥10寸，材质：高骨瓷，浮雕纹。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海马刀</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尺寸：≥11*3*1.2cm；材质：全钢。</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沙司盅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尺寸：底直径≥5.2cm，高≥6.5cm，壶口宽≥4.8cm，长≥15.5cm；材质：高骨瓷。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甜品盘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尺寸：≥8寸；材质：高骨瓷，浮雕纹。</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花瓶（配好花）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瓶口直径≥3cm，瓶底直径≥5cm，高≥15cm；材质：高骨瓷，麦穗图案。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盐盅、胡椒盅、牙签盅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盐盅、胡椒盅：高≥8.7cm，底径≥4.7cm，上口径≥3.2cm，身肚宽≥5cm。牙签盅：底直径≥5cm，高≥7.5cm，宽≥3.9cm。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酒塞碟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口径≥8.9cm，高≥2.5cm;材质：高骨瓷。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扫台器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长≥15cm，宽≥1.6cm；材质：金属。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1.单元组合：1×6.5"LF+1x3"HF；</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2.额定功率：80W,最大功率160W；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3.灵敏度：96dB；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4.最大声压级：112dBpeak,@1m；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6.频率响应：45Hz～20KHz(±3dB)；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7.辐射角度(1KHz)(H×V)：90°×60°；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8.连接方式：国标8mm加强螺丝吊装孔位；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9.接线方式：2个Speakon-socket；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10.尺寸（深*宽*高）：≥225×215×325mm。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1.两路卡龙与6.35两用话筒输入接口，音量独立调节，卡龙可选48V幻象供电开关；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2.功率：2X180W/8Ω；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3.音频输入：2路双莲花,输入阻抗：20kΩ；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4.音频输出：1路莲花，输出阻抗200Ω；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5.频率响应：20Hz-20KHz,信噪比：86DBu,总谐波失真：0.075%1KHz@15DBu；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6.提供RS232串口可接中控；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7.尺寸(长*宽*高)：≥420*296*44mm。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1.通道数里:≥8路万用插座继电器受控与1路万用插座直通；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2.单路功率/总功率/输出电流:2000W/6000W-6500W/30A277VAC；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3.输出电源插座规格:阻燃ABS材料，最大可承受13A电流磷铜材质，标准万用插座；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4.电路板规格:双面纤维板，主电源走线二次加厚加粗处理；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5.供电规格:内置开关电源，适用全球电压AC90-260V50-60HZ；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6.开启类型:圆型透光轻触开关；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7.支持语音唤醒；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8.有关闭和开户语音组合按键，接收距离达10米，无对话睡眠时间为20秒；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9.彩屏显示各通道状态，当前实时电压，实际功率，即时电流；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10.有RS232接口，有代码控制功能，可以修改波特率；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11.支持面板独立控制各通道，前面板有5VUSB供电；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12.每路开关间隔时间/定时时间:1秒；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13.带手机APP远程控制；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14.语音控制时序器，后面板有接口能够外接接收麦克风，增加语音接收距离；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15.掉电记忆:当设备自动断电，数据自动储存；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16.具备电压实时监测功能；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17.WIFI传输距离30M无遮挡。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1.换能方式：电容式；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3.指向性：心型向性；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4.输出阻抗（欧姆）：200Ω；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5.灵敏度：-42dB±2dB；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6.最高输入音量：128dB声压；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7.讯噪比：65dB；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8.供电电压：直流3V/幻象48V（幻象指既传输电流，也传输声音）；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9.咪管长度：400mm；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10.单支话筒重量：0.6kg；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11.抗手机、电磁、高频干扰。</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1.采用锁相环PLL频率合成技术；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2.200个可选择通道,红外线自动对频功能，操作方便；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3.设计有静音电路，完全消除麦克风开启和关闭的冲击噪声；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4.麦克风采用独特的声压设计，电池电量下降时不影响麦克风整体性能；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5.射频频段：640-690,频段范围：50MHz,调制方式：宽带FM,可选择通道：200个通道；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6.频率稳定度：±10tpm,最大调制度:±45kHz,T.H.D≤0.8％；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7.使用距离约：30-80米（按实际使用环境为准）；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8.解调方式：二次变频超外差,天线接口：BNC（50欧）；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9.输出接口：独立真平衡输出X2，6.3mm混合输出X1；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10.接收灵敏度：-98dBm,音频输出：1000mV(@1KHz,±25KHz频偏)；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11.功耗：DC12V*160mA；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12.天线：腰挂式1/4波长鞭状天线；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13.发射功率：高功率12dBm；低功率8dBm。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智能通信技术架构，超高频段通信系统：采用UHF专业级无线传输频段，构建全域抗干扰通信链路，支持单话筒与任意接收机智能配对，实现无障碍50米超距稳定传输与40cm超广拾音半径，满足多场景复杂环境下的音频采集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精准对频与抗干扰设计，主动式NFC近场耦合技术：创新集成智能近场感应配对系统，通过毫米级距离识别算法，确保100%杜绝跨区域信号串扰，实现0.5秒极速无感对频，为多设备协同场景提供零差错的信号匹配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能效优化与续航，低功耗能源管理系统：内置≥600mAH高密度锂聚合物电池，搭载OLED量子节能显示屏，结合动态功率调节算法，实现6小时以上连续作业续航，满足全天候高强度使用需求，构建高效能无线音频生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专业级音质处理模块，89dB高信噪比音频链路：构建纯净信号传输通道，有效隔离环境底噪，85dB宽动态范围采集：精准捕捉声音细节，还原全频段音频动态，64KHz超高清采样率：实现CD级无损音质采集，满足广电级音频处理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活协同工作模式，多接收机协同技术平台：支持先进的"一发多收"分布式工作架构，单话筒可同步连接≥32台接收机（需定制扩展），构建全方位音频覆盖网络，适用于大型会议、舞台演出等多终端协同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人体工学佩戴，集成磁吸式智能背夹系统，支持领夹式、手持握、头戴麦外接及胸前悬挂四种佩戴模式，采用航空级铝合金磁吸配件，实现0.3秒快速拆装，兼容各类服装面料的无痕佩戴需求，人体工学弧形设计，单设备重量≤35g，确保长时间使用的无感佩戴体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双重音频防护系统，AGC动态增益控制：搭载自适应音量调节芯片，实时监测输入信号强度，自动维持85-90dB安全听音区间，守护用户听力健康，智能反馈抑制算法：集成波束成形抗啸叫技术，通过200次/秒的声纹识别运算，有效消除10KHz以上高频反馈，实现99.7%的啸叫抑制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8.具有人声还原度处理功能及主动动态反馈抑制功能,最大限度还原人声及有效防止啸叫;；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9.双模式快充互联系统，配备Type-C2.0高速充电接口，支持5V/1A快速充电协议，支持边充边用模式，保障关键场景的不间断工作需求。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1.UHF频段设计：采用UHF频段，精准避开最新手机工作频率，有效降低信号干扰，保障传输稳定性；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2.频率响应：具备20Hz-20KHz宽广频率响应范围，完整覆盖人耳可听声域，呈现高保真音质；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3.输出方式：支持模拟、数字可配置音频输出方式，适配不同音频设备与场景需求；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4.接口支持：配备3.5mm音频输出接口，满足常见音频设备连接，USB接口输出，适配多样安装形式，USB接口可按需预置为供电+模拟音频或标准USB音频输出，免驱动即插即用；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5.OLED显示屏：配备OLED显示屏，清晰显示频道、对频状态、电量及信号强度等信息；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6.外接显示：支持外接数码管，实现频道信息的拓展显示，满足多方位查看需求；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7.按键控制：配备两个可设置接收频道的按键，便于快速切换和设置常用频道；</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8.多功能扩展：接收器集成PPT翻页接收模块功能，免驱动设计，轻松适配主流翻页笔，为会议、教学演示提供便利；</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9.供电方式：采用Type-C接口供电，插拔便捷，性能稳定耐用，广泛兼容各类充电器与移动电源。</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尺寸：≥12U，高宽深≥600*600*600mm，含PDU电源、风机</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4.数字旅媒综合实训室设备</w:t>
            </w:r>
            <w:r>
              <w:rPr>
                <w:rFonts w:hint="eastAsia" w:ascii="宋体" w:hAnsi="宋体" w:eastAsia="宋体" w:cs="宋体"/>
                <w:b/>
                <w:bCs/>
                <w:color w:val="000000"/>
                <w:sz w:val="22"/>
                <w:highlight w:val="none"/>
              </w:rPr>
            </w:r>
            <w:r/>
          </w:p>
        </w:tc>
      </w:tr>
      <w:tr>
        <w:trPr>
          <w:trHeight w:val="28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酒店管理系统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系统按照前厅接待模块进行设计，入住流程支持查询历史宾客信息，根据历史信息推荐房间及给客人报价，选择房间净房办理入住，身份证识别器识别身份信息自动传输到系统，打印入住登记单，确认付款方式，办理预授权，打印预授权单，制作房卡，添加个性化需求存档，转房续住，合房入住，换房作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退房流程支持读取房卡，核对宾客信息，查报房操作，未付或未挂帐的最新消费入账，房费入账，额外消费入账，打印纸质账单，收款，打印结账单，开具发票（自</w:t>
            </w:r>
            <w:r>
              <w:rPr>
                <w:rFonts w:hint="eastAsia" w:ascii="宋体" w:hAnsi="宋体" w:eastAsia="宋体" w:cs="宋体"/>
                <w:color w:val="000000"/>
                <w:szCs w:val="21"/>
                <w:highlight w:val="none"/>
                <w:lang w:eastAsia="zh-CN" w:bidi="ar"/>
              </w:rPr>
              <w:t xml:space="preserve">带</w:t>
            </w:r>
            <w:r>
              <w:rPr>
                <w:rFonts w:hint="eastAsia" w:ascii="宋体" w:hAnsi="宋体" w:eastAsia="宋体" w:cs="宋体"/>
                <w:color w:val="000000"/>
                <w:szCs w:val="21"/>
                <w:highlight w:val="none"/>
                <w:lang w:bidi="ar"/>
              </w:rPr>
              <w:t xml:space="preserve">入账单明细），更改房态，打印交班报表。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一、前台预订管理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新增散客/团体预订，预订修改，预订删除，预订分房，订房定金管理。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1.系统支持显示整个酒店的房态信息，自动分类房间总数，净房数，待扫房数，已扫房数，入住房数，修理房数，免打扫房数等；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2.支持预定详单分历史和现在两个界面显示，显示预定人信息，房类信息，排房信息，房态，客户预定源，会员信息等，系统自动分类并显示客户到店时间；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3.支持完善与严谨的房价码：特殊日期房价码定义、房价码授权控制；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4.支持强大的日志功能：日志永久保存且细化，分为宾客日志、房务日志、发卡日志，方便查询；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5.支持退房流程：退房时读房卡直接报退房、团体批量报退房、快捷键报退房，细化的房态显示：新入住、续住房标识，按房类、姓名来显示房态；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6.支持快捷的入住流程：读身份证、发房卡、打印登记单（中英文帐单）同一界面</w:t>
            </w:r>
            <w:r>
              <w:rPr>
                <w:rFonts w:hint="eastAsia" w:ascii="宋体" w:hAnsi="宋体" w:eastAsia="宋体" w:cs="宋体"/>
                <w:color w:val="000000"/>
                <w:szCs w:val="21"/>
                <w:highlight w:val="none"/>
                <w:lang w:eastAsia="zh-CN" w:bidi="ar"/>
              </w:rPr>
              <w:t xml:space="preserve">一次性</w:t>
            </w:r>
            <w:r>
              <w:rPr>
                <w:rFonts w:hint="eastAsia" w:ascii="宋体" w:hAnsi="宋体" w:eastAsia="宋体" w:cs="宋体"/>
                <w:color w:val="000000"/>
                <w:szCs w:val="21"/>
                <w:highlight w:val="none"/>
                <w:lang w:bidi="ar"/>
              </w:rPr>
              <w:t xml:space="preserve">完成；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7.支持会员卡快速登记，姓名、联系方式、身份证、住址信息自动关联；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8.信用卡预授权、消费卡也支持预授权；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9.预订可以预订发卡；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10.预订可以分批次分价格预订，分房后可以打印分房明细；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11.预订用房分析和用房明细、预订分房占用标记，方便前台的分房管理；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12.支持会议预订，详细的会议信息查看；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13.支持团体成员在同一界面批量读身份证、发房卡操作；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14.支持团体费用清单；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15.支持交班报表明细与汇总打印；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16.支持押金单明细控制。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二、前台接待管理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1）预订宾客入住，2）无预订宾客入住，3）联房/出团管理，4）续住管理，5）换房管理，6）房卡制作管理，7）登记单打印。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三、前台收银管理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1）押金录入，2）帐务录入，3）房间转帐，4）单房</w:t>
            </w:r>
            <w:r>
              <w:rPr>
                <w:rFonts w:hint="eastAsia" w:ascii="宋体" w:hAnsi="宋体" w:eastAsia="宋体" w:cs="宋体"/>
                <w:color w:val="000000"/>
                <w:szCs w:val="21"/>
                <w:highlight w:val="none"/>
                <w:lang w:eastAsia="zh-CN" w:bidi="ar"/>
              </w:rPr>
              <w:t xml:space="preserve">结账</w:t>
            </w:r>
            <w:r>
              <w:rPr>
                <w:rFonts w:hint="eastAsia" w:ascii="宋体" w:hAnsi="宋体" w:eastAsia="宋体" w:cs="宋体"/>
                <w:color w:val="000000"/>
                <w:szCs w:val="21"/>
                <w:highlight w:val="none"/>
                <w:lang w:bidi="ar"/>
              </w:rPr>
              <w:t xml:space="preserve">，5）团体</w:t>
            </w:r>
            <w:r>
              <w:rPr>
                <w:rFonts w:hint="eastAsia" w:ascii="宋体" w:hAnsi="宋体" w:eastAsia="宋体" w:cs="宋体"/>
                <w:color w:val="000000"/>
                <w:szCs w:val="21"/>
                <w:highlight w:val="none"/>
                <w:lang w:eastAsia="zh-CN" w:bidi="ar"/>
              </w:rPr>
              <w:t xml:space="preserve">结账</w:t>
            </w:r>
            <w:r>
              <w:rPr>
                <w:rFonts w:hint="eastAsia" w:ascii="宋体" w:hAnsi="宋体" w:eastAsia="宋体" w:cs="宋体"/>
                <w:color w:val="000000"/>
                <w:szCs w:val="21"/>
                <w:highlight w:val="none"/>
                <w:lang w:bidi="ar"/>
              </w:rPr>
              <w:t xml:space="preserve">，6）非住店客帐管理，7）房间临时挂起，8）支付宝/微信支付，9）帐务撤销，10）特殊操作授权管理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（1）支持发票开具，发票内容金额根据账单自动获取。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（2）提供多种团队结算清单(按日期账单，按房间日期汇总账单等)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（3）提供多维度报表查询，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（4）提供防漏冲账报表方便酒店管理各种</w:t>
            </w:r>
            <w:r>
              <w:rPr>
                <w:rFonts w:hint="eastAsia" w:ascii="宋体" w:hAnsi="宋体" w:eastAsia="宋体" w:cs="宋体"/>
                <w:color w:val="000000"/>
                <w:szCs w:val="21"/>
                <w:highlight w:val="none"/>
                <w:lang w:eastAsia="zh-CN" w:bidi="ar"/>
              </w:rPr>
              <w:t xml:space="preserve">异常</w:t>
            </w:r>
            <w:r>
              <w:rPr>
                <w:rFonts w:hint="eastAsia" w:ascii="宋体" w:hAnsi="宋体" w:eastAsia="宋体" w:cs="宋体"/>
                <w:color w:val="000000"/>
                <w:szCs w:val="21"/>
                <w:highlight w:val="none"/>
                <w:lang w:bidi="ar"/>
              </w:rPr>
              <w:t xml:space="preserve">账务处理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四、房务中心管理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1）房态修改，2）客吧消费，3）客房借物品管理，4）宾客信息查询，5）消费项目统计，6）房间清扫人员录入统计，7）客房物品遗落。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1.支持物品借还管理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2.支持系统房态功能丰富，钟点房、午夜房、生日显示、贵宾、保密，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3.支持房各项信息显示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4.支持一键查询功能，房态上输入相关信息可以查询到宾客，可进行筛选查询。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5.支持详细日志，接待日志，房间状态日志，门锁发卡日志，重点授权日志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6.支持客房自动报查房，支持房务中心报查。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7.支持房务部员工工作量统计(住脏房清扫，脏退房清扫等)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8.支持外借登记管理，遗留物品登记管理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9.支持多维度，多层次价格方案，不同渠道不同价格，支持节假日特殊房价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10.支持钟点房午夜房房费自动计算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11.支持酒店虚拟账单功能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12.支持前台配合报入住与退房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13.支持对服务员的打扫工作量统计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14.支持客吧的消费品明细、汇总统计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15.支持外借各遗失登记，外借未归还结帐提醒，不允许结帐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16.支持报修过程的优化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五、CRM客户管理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1）生日提醒，2）客人喜好设定，3）回头客提醒。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六、协议单位管理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1）协议新增/修改/删除，2）挂帐权限管理，3）签单管理，4）协议合同管理，5）协议价设定。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七、协议应收帐管理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1）应收帐查询分析，2）应收帐收回管理，3）应收帐拆分。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八、房价体系管理（房价码管理）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1）房价码新增/修改，2）修改后房价码房价自动更改，3）特殊假期房价码设定。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▲九、连锁会员管理（含积分管理机制）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1）会员新增/修改/删除，2）会员折扣自动开房时匹配，3）会员充值/消费，4）会员积分管理。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十、销售员管理（全员销售）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1）销售员新增/删除，2）销售业绩统计。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十一、佣金体系管理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1）佣金比例设定，2）佣金统计分析。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十二、夜审处理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1）预审分析，2）房费稽核管理。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十三、报表基地系统（自定义报表）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1）自定义报表设计，2）自定义报表调整。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1.支持交班报表明细与汇总，开票与未开票分开统计；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2.支持押金单明细控制；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3.支持后台应收帐管理，消费卡统计；未收回应收帐帐齡分析，单位应收帐本；</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4.支持销售员业绩统计（按发生与结帐两种统计）；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5.支持夜审报表：权责与收付两套报表，酒店总收入、实际收入与内部签单三种格式；本日、本月、本年、环比、同比查看分析。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十四、数据保障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教学数据模块依托于大数据分析处理技术，使海量酒店评价数据得到多层次、多维度的分析展示，展示综合口碑指数，展示酒店行业针对位置、舒适度、管理、餐饮、设施、性价比、卫生等维度的好评度，同时展示行业平均值；展示评论总数的变化趋势图，差评趋势图，及好差评的占比；展示近30天好差评的变化趋势。展示对于酒店的好差评的具体评论内容，显示评论的来源，显示评论的星级及评论的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可以自由选定竞品省份或竞品酒店，与本品进行对比分析，实时展示对比的趋势，同时可以展示口碑的结构、OTA的分布，可以按照每月、季、年度自动生成酒店的网评报告包括：酒店的综合概况，评论榜单，游客关注维度，评论来源及评论热词。支持展示本省酒店口碑大屏，包括酒店数量，口碑总数，好评总数，好评率，近五年口碑趋势，综合口碑指数，各地区滚动的口碑详情，酒店维度分析，维度分布及热词展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支持开放接口，可以免费对接餐饮运营管理系统，客户餐台预订、点菜、开台位图显示、菜单优惠、套餐点餐、服务税率设定、加退菜、合并餐单结账等操作，可对餐厅基础内容进行维护，可将餐厅的费用抛给客房。</w:t>
            </w:r>
            <w:r>
              <w:rPr>
                <w:rFonts w:hint="eastAsia" w:ascii="宋体" w:hAnsi="宋体" w:eastAsia="宋体" w:cs="宋体"/>
                <w:color w:val="000000"/>
                <w:szCs w:val="21"/>
                <w:highlight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AI智能导游模拟实训教学平台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一、AI智能导游模拟实训教学平台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在平台中以游客为第一视角，结合系统自主漫游功能，通过鼠标可以方便灵活的实现景区画面放大、缩小、左转、右转、仰视、俯视等一系列视点操作，将景点或景区的概貌真实展现出来,使学生能身临其境,从而更方便开展教学;并且可以根据教学需要,对景区的布局、成熟导游线路游览、自由观赏、重要知识点等进行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1.系统包括导游教学与竞赛过程中的模拟导游自主练习模式、竞赛模式、学习资源、优秀作品、实训任务、我的景点、我的作品等模块。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2.系统支持自主实训与教师布置任务两种模式，两种模式均基于学校所在地现场面试景区，及其他著名景区教学资源，及国内外具有代表性景区的VR教学资源。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3.景区720度实景必须是一个以景区为单位的完整清晰的漫游全景文件，学生可通过热点或者游览线路指示箭头直接进入下一个景点目标场景。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练习模式下，分为省份区域导航和主题分类导航两种模式，学生可通过滑动导航进入对应的VR教学资源，选择景区进行全面的学习与了解。学生可关闭系统标准导游词讲解语音或背景音乐进行模拟讲解，支持切换到VR模式进行浏览，支持视角切换功能，包括正常模式、小行星模式、水晶球模式、鱼眼模式。可对现场导游词进行创作，同时可对自己的模拟导游讲解过程进行录音录像，最终生成完整的讲解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5.练习模式下，支持推荐景点进行展示，可一键快速的切换推荐景点进行景区的场景展示、导游词创作、录像保存。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6.学生可针对景区概况及讲解点，进行导游词录入，录入之后在模拟讲解时显示在三分屏上。协助学生进行模拟导游讲解。系统提供全国景点导游词范例800篇。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7.学生模拟导游进行录制时，可将作品通过保存上传、删除、存草稿三种状态进行存储。对于不满意的作品可进行反复训练和修正，直至练习满意后，提交老师。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学生可将存草稿的作品进行播放、删除及上传操作。播放模式下支持随时暂停操作，支持将保存本地的视频进行上传，同时选择作品类型，选择景点（包含搜索景点名称）进行选择，同时输入视频标题及视频描述进行提交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竞赛考证分为竞赛模式和考证模式两种，竞赛模式以全国职业院校技能大赛导游服务赛项为背景，分为自选景点讲解，导游词创作及英语口语测试三个模块，考证模式以导游证考试为背景，分为抽取景点及导游知识问答两个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10.自选景点讲解模块，学生可从本地读取ppt文件上传到系统进行播放，学生可根据ppt内容进行讲解录制，录制完成后可将作品通过保存上传、删除、存草稿三种状态进行存储。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词创作分为随机模式及自选模式，随机模式内含50种旅游文化元素与5个团型进行组合抽取。同时系统具备抽取记录，可针对以往抽取记录进行重组导游词。学生针对抽取到的文化元素和团型进行现场创作导游词，根据创作的导游词进行现场展示讲解，学生创作导游词后，可查看个人创作记录，并可根据导游词进行讲解，同时副屏显示导游词。学生也可将讲解过程进行录制，录制完成后可将作品通过保存上传、删除、存草稿三种状态进行存储。自选模式支持自有选择文化元素及团型进行现场创作，进行编写导游词，进行现场展示及录制保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12.系统具备旅游英语口语测试实训功能，依据全国导游技能大赛旅游英语口语测试题库，提供旅游英语口语实训场景，实训方式为人机跟读和情景对话。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考证模式分为抽取景点及导游知识问答两个模块，支持抽取景点进行现场讲解，根据景点题库进行赛选，在当前目录下随机抽取的景点进行播放讲解，考试讲解的内容支持分屏展示并支持全过程录音录像，最终生成完整的讲解视频。录制完成后可将作品通过黄保存上传、删除、存草稿三种状态进行存储。支持根据科目一、科目二、科目三、科目四进行理论测试，对理论支持进行现场作答，支持调用计算器，支持答题卡快速选择，答题完毕后进行试卷提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个人设置模块分为我的资料、我的考试、消息中心、我的上传及退出，支持对个人密码就行修改操作，支持查看个人信息。我的考试模块展示每次考试的时间及时长和最终得分，支持查看答题的详细试卷，展示自选答案、参考答案及答案解析，难题答案解析需标注本题对应课本的详细页数及重要度。我的上传模块展示上传至教师端的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学习资源主要针对系统自带和教师上传的教学资源给到学生进行学习，导游资格考试备考资料、导游资格考试大纲解读、政策与法律法规、导游业务、全国导游基础知识、地方导游基础知识；满足各个大类的视频学习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▲16.备考资源包含备考的提前准备讲解视频；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备考的层级讲解，包括从流畅到微笑到生动的三个级别解说视频；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导游词撰写前期讲解视频；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导游词撰写培训讲解视频；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导游面试速成讲解视频；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导游证面试流程讲解视频；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导游考试复习方法，不低于3轮复习的讲解视频。</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以上每个讲解视频总时长≥50分钟，所有讲解视频需为同一人录制讲解，不可随意进行拼接，视频需包含详细的讲解，讲解视频包含电子白板，重点需突出标识。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▲17.需要包含</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科目一讲解视频（科目一讲解视频为政策法规，不少于18章讲解视频，讲解的视频需根据章节分为小节进行讲解，总讲解视频数≥30个）；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科目二讲解视频（科目二讲解视频为导游业务，不少于18章讲解视频，讲解的视频需根据章节分为小节进行讲解，总讲解视频数≥30个）；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科目三讲解视频（科目三讲解视频为全国导游基础，不少于11章讲解视频，讲解的视频需根据章节分为小节进行讲解，总讲解视频数≥30个）；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科目四讲解视频（科目四讲解视频为地方导游基础，不少于8章讲解视频，讲解的视频需根据章节分为小节进行讲解，总讲解视频数≥30个）。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每个科目每章需包含对应的讲解课件。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18.优秀作品模块由教师选择后显示在优秀作品模块，针对作品的类型进行了细分类：景点作品、导游词创作、自选作品三类。学生可以观看优秀的作品，同时可以发表看法。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实训任务模块教师通过教师端发布实训任务内容包括（景点、相关附件、文字介绍）推送至学生端，学生在实训任务模块下根据要求完成相关作品的上传，等待教师的批阅，教师收到学生的回答后，可进行批阅，等级评价，评论回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20.我的景点模块主要针对学生在景点练习时对需要经常练习的景点进行收藏，方便下次登录系统时，第一时间快速找到相应景点并进行现场景点展示、导游词创作及录屏保存功能。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21.我的作品模块展示学生创作的景点作品、导游词创作作品、现场模拟作品，草稿箱保存暂未发布的作品，删除的作品保存在回收站，短期内可以恢复。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系统用户按用户权限分为教师和学生，各用户可在同一局域网且同一网关下实现远程访问；支持对系统参数进行设定，支持对管理部门进行设定（添加学院、系部、班级等支持最多4层分类），班级课批量导入学生账户；支持新增及管理教师账户，支持新增及管理学生账户。管理员可以对所有账号设置启用或禁用状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作品管理模块分为景点作品、导游词创作、自选景点，教师可查看所带班级学生相关作品，进行打分，设置优秀作品。教师可查看学生上传的作品，对学生录制上传的作品进行评分、设置成优秀作品并填写相关评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实训管理模块分为实训安排及实训统计，支持选择景点，时间，部门进行新增实训任务。实训统计可对教师发布的实训任务进行统计展示，并查阅学生完成情况、查看作品视频、实训得分，批改状态，批改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25.可对学生端的学习资源进行管理，对资源进行分类，上传学习资源，完善资源的授课章节及授课内容。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可对导游题库进行管理，支持新增题库目录，支持批量导入试题，支持根据题库类别、题型、编号及关键词进行赛选题目进行查看，需包含题目、选项、答案及解析，解析需精准体现本题所在书本页数。可查看所有学生的考试情况，并自动统计考试得分，支持查看学生考试作答详细情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27.英语口语管理分为英语题库、英语口语、英语问答三个模块，可对题库进行新增，支持新增口语及问答，问答设置上传答案关键词，学生进行问答训练时，系统自动给出评分。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28.提供旅游政策法律法规相关讲解课件资源。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29.提供导游业务相关讲解课件资源。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30.提供全国导游基础知识相关讲解课件资源。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32.视频抠像功能：通过识别和去除特定颜色（如蓝色或绿色背景），实现人物的提取；可以从绿幕背景中抠取人物图像并置于全景资源中。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33.配套《导游服务》课程资源库（视频资源，每个≥45分钟）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▲1）导游业务（≥17个视频）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（3）导游礼仪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（4）地方导游服务程序与服务质量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（5）全程导游服务程序与服务质量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（6）景区导游服务程序与服务质量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（7）散客导游服务程序与服务质量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（8）导游领队引导文明旅游规范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（9）导游的语言技能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（10）导游的带团技能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（11）导游的讲解技能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（12）游客个别要求的处理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（13）问题与事故的处理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（14）自然灾害避险与新型冠状病毒肺炎疫情常态化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（15）旅行社饭店景区知识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（16）入出境知识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（17）交通知识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2）地方导游基础知识（≥8个视频）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（1）华北地区各省市自治区导游基础知识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（2）东北地区各省导游基础知识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（3）华东地区各省市导游基础知识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（4）华中地区各省导游基础知识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（5）华南地区各省自治区导游基础知识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（6）西南地区各省市自治区导游基础知识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（7）西北地区各省自治区导游基础知识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（8）港澳台地区导游基础知识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3）全国导游基础知识（≥11个视频）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（1）中国共产党成立百年来领导中国人民和中国革命取得的伟大成就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（2）中国旅游业发展概况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（3）中国历史文化知识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（4）中国文学知识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（5）中国建筑艺术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（6）中国园林艺术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（7）中国饮食文化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（8）中国传统工艺美术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（9）中国民族知识与宗教知识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（10）中国旅游景观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（11）中国主要客源国概况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4）旅游政策法律法规（≥18个视频）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（1）全面推进法治中国建设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（2）宪法基本知识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（3）夺取新时代中国特色社会主义伟大胜利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（4）“十四五”规划和2035年远景目标纲要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（5）旅游方针政策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（6）文化和旅游部关于新型冠状病毒肺炎疫情防控指南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（7）维护国家安全法律制度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（8）民法的基本知识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（9）旅游法的基本知识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（10）合同与旅游服务合同法律制度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（11）侵权责任法律制度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（12）旅行社法律制度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（13）导游管理法律制度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（14）旅游安全管理与责任保险法律制度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（15）出入境与交通法律制度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（16）食品安全、住宿与娱乐法律制度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(17)旅游资源保护法律制度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(18)解决旅游纠纷的法律制度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▲34.景区大数据分析模块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数据分析模块对景区来源于OTA平台的数据进行统计分析，展示各个OTA平台的口碑热度及满意度，包含但不限于美团、马蜂窝、去哪儿、携程、同程旅游、驴妈妈、途牛等互联网OTA平台；按照月份统计近12个月口碑的变化趋势，可选择好评、差评或中评的并自动统计近12个月每月所选的数据数量；同时自动生成本省不同城市的好/中/差评的分布图，清晰的查看不同城市的变化趋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2）数据分析模块通过算法模型</w:t>
            </w:r>
            <w:r>
              <w:rPr>
                <w:rFonts w:hint="eastAsia" w:ascii="宋体" w:hAnsi="宋体" w:eastAsia="宋体" w:cs="宋体"/>
                <w:color w:val="000000"/>
                <w:szCs w:val="21"/>
                <w:highlight w:val="none"/>
                <w:lang w:bidi="ar"/>
              </w:rPr>
              <w:t xml:space="preserve">，结合客流状况、景点景色、卫生环境、景区管理、门票物价、服务质量、旅游交通、公共设置几大维度占比，结合热度数据模型，计算景区口碑指数，同时可分析本省数据指数与全国行业平均值的数据差距；景区综合看板展示江苏省景区的好评和差评TOP5，展示各个评论数及占比；可点击查看单个景区的网络评论分析面板，展示当前景区的评论总数、好差评占比、近12个月口碑热度趋势、OTA平台口碑分布概况；月度口碑指数、近12个月口碑指数趋势图、不同维度口碑维度分布图，展示最新的好评及差评数据，展示数据的来源平台，评论的具体内容及评论时间。</w:t>
            </w:r>
            <w:r>
              <w:rPr>
                <w:rFonts w:hint="eastAsia" w:ascii="宋体" w:hAnsi="宋体" w:eastAsia="宋体" w:cs="宋体"/>
                <w:color w:val="000000"/>
                <w:szCs w:val="21"/>
                <w:highlight w:val="none"/>
              </w:rPr>
            </w:r>
            <w:r/>
          </w:p>
        </w:tc>
      </w:tr>
      <w:tr>
        <w:trPr>
          <w:trHeight w:val="287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导游从业资格考试软件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一、软件参数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系统拥有多个模块，包括人员架构、课程管理、试题管理、考试管理、数据分析、系统设置、资讯公告等，为学生参加导游证考试提供全面的支持。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教师模块人员架构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1.班级信息管理模块：该模块可以实现班级信息的录入、查询、修改和删除等功能，底层分类支持直接跳转到学生。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2.学生信息管理模块：该模块可以实现对学生信息的录入、查询、修改和删除等功能，支持学生的权限管理。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3.教师信息管理模块：该模块可以实现对教师信息的录入、查询、修改和删除等功能，支持老师的权限管理。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课程管理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4.支持新增课程，支持给课程添加章节，支持给章节添加授课内容；后台自定义章节和模块；系统支持视频、试题、资料的文件上传。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5.支持给授课项目绑定对应的题库分类，方便学生按照授课项目进行练习。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6.系统包含全国导游资格考试备考资料、全导游资格考试大纲解读、科目一：政策与法律法规、科目二：导游业务、科目三：全国导游基础知识、科目四：地方导游基础知识。包含以上资源的视频学习资料。</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系统拥有全国导游资格考试备考讲解视频，并分为备考提前准备、三个境界讲解、导游词撰写前期攻略、导游词撰写攻略、333面试速成法、面试考试流程、三轮复习法相关讲解视频，讲解人需为同一人，不可进行拼接；讲解视频总时长不低于500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8.系统需要包含对导游资格考试大纲的解读视频，讲解人需和全国导游资格考试备考的讲解为同一人，不可进行视频的拼接，讲解视频总时长不低于80分钟。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政策与法律法规》不低于17章的讲解视频及视频对应的讲解文件；《导游业务》不低于17章的讲解视频及视频对应的讲解文件；《全国导游基础知识》不低于7章的讲解视频及视频对应的讲解文件；《地方导游基础知识》不低于8章的讲解视频及视频对应的讲解文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考试管理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10.系统预设了导游证考试真实考试题目，可以对考试的题库进行分类，包含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《政策与法律法规》（≥17章）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第一章全面推进法治中国建设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第二章宪法基本知识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第三章党的二十大报告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第四章国家“十四五”发展规划及旅游业专项发展规划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第五章旅游方针政策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第六章宪法相关法的基本知识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第七章民法的基本知识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第八章合同法律制度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第九章侵权责任法律制度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第十章旅游法的基本知识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第十一章旅行社法律制度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第十二章导游管理法律制度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第十三章旅游安全管理与责任保险法律制度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第十四章入出境与交通法律制度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第十五章食品、住宿、娱乐法律制度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第十六章旅游资源保护法律制度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第十七章解决旅游纠纷的法律制度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《导游业务》（≥17章）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第一章导游服务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第二章导游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第三章导游礼仪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第四章地方导游服务程序与服务质量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第五章全程导游服务程序与服务质量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第六章景区导游服务程序与服务质量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第七章散客旅游服务程序与服务质量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第八章导游领队引导文明旅游规范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第九章导游的语言技能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第十章导游的带团技能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第十一章导游的讲解技能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第十二章游客个别要求的处理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第十三章问题与事故的处理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第十四章旅行社饭店景区知识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第十五章入出境知识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第十六章交通知识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第十七章其他相关知识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《全国导游基础知识》（≥7章）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第一章中国共产党奋斗历程及领导中国人民和中国革命取得的伟大成就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第二章中国旅游业发展概况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第三章中国历史文化知识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第四章中国文学知识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第五章中国建筑艺术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第六章中国园林艺术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第七章中国饮食文化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《地方导游基础知识》（≥8章）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第一章华北地区各省市自治区导游基础知识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第二章东北地区各省导游基础知识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第三章华东地区各省市导游基础知识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第四章华中地区各省导游基础知识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第五章华南地区各省自治区导游基础知识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第六章西南地区各省市自治区导游基础知识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第七章西北地区各省自治区导游基础知识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第八章港澳台地区导游基础知识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11.以上每个章节需要包含对应的题库，不可为空，支持查看每个小节内的题库数量及题目详情；同时系统需要包含职业院校技能大赛导游服务赛项公布的不少于1000道题并包含答案。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按照题库类别、题型、试题编号、关键词进行搜索题目；系统按照判断、单选、多选对题目进行分类，同时支持老师后台自定义添加对应的题目；支持查看题目的题型、答案、是否入库；支持编辑和删除题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学生考试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系统支持在线试卷管理，支持新增不同的试卷，支持管理试卷的状态，支持给试卷进行选题，支持自动组卷或自定义组卷，自动组卷支持选择不同的题库进行组卷；支持预览当前的试卷，预览的试卷自动完善答案，支持将当前试卷导出为word版试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14.支持在线考试，支持老师新增对应的考试，支持选择对应的试卷和班级给学生进行考试，支持查看当前考试的人数。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系统支持便签功能，便签中的内容会存储在本地，关闭再打开系统，依然会读取到上一次的记录；系统支持切换不同的模板，最少支持10种及以上的模板；系统内的二级页面支持以窗口的形式进行展示，二级窗口进行自由的拖拉，支持最小化窗口，支持还原到活动窗口，支持最大化窗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支持考试的在线阅卷评分，支持按照考试进行评分，支持查看考试的学生列表；展示学生的部门、姓名、学号、答题数量、试卷得分、批改状态、批改日期及批改人；答题数量和得分根据学生答题情况实时计算/实时统计；老师支持对学生的试卷进行批改；支持导出每个学生的考试试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17.支持学生在线考试，学生在考试目录下进行在线考试，进入考试之后自动计算考试剩余时间，当有未完成的题目时进行提示，当完成答题时，自动给当前考试进行阅卷，学生可查看当前考试自己的考试情况。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数据分析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18.每日一练成绩趋势分析支持按照班级查看每天参加练习的人数，查看学生每天练习的正确率。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▲19.支持按照打卡日期、班级进行筛选，支持查看每天打卡学生的答题数量、正确数、未做数、正确率，支持查看学生打卡的做题详情（包括学生做题内容、参考答案及解析）。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20.系统自动统计每道题的做错情况，自动记录当前题目错误的出现次数，支持查看错题的参考答案及解析；支持查看学生的错题分析，支持按照判断、单选及多选分别统计，同时统计不同分类下题目的错误占比。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21.支持按照班级查看每个同学的错题详情，支持查看学生收藏题目的排行；支持查看收藏题目的各个类型及分类的占比。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公告资讯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网站后台管理功能，管理员可以登录系统后台管理界面，对新闻、文章、公告等内容进行发布和管理，具体包括添加、编辑、删除新闻内容，分类管理等等；支持对文章进行分类，并在前台进行分类展示新闻详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23.支持对系统的基础信息进行管理，支持对学生前台的轮播图进行管理，支持对金刚区进行管理，支持设置每日一练的题目数量，支持设置每日一练抽取的题库。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24.系统能够收集学生对系统的反馈信息。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▲25.学生可统一使用手机或平板进行练习，学生手机端包含备考学习、每日一练、刷题挑战、全真模拟、错题巩固、章节练习、考试、新闻、刷题挑战统计数据、章节练习统计数据、正确率趋势等功能。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26.学生可以按照课程进行学习，可以按照设置的章节进行学习视频；支持查看科目每章节讲解视频对应的讲解文档。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支持每日一练的打卡，记录累计的打卡天数；支持每日一练的答题，支持在答题后自动弹出当前题目的答案；自动计算本次练习的正确率、答案的相关数量及练习用时；按照日期生成正确率走势表；支持重新练习及查看答案解析；支持给每道题添加笔记，支持收藏当前题目，支持查看答题卡进行跳转到对应的题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支持在线PK赛，支持设置PK项目，给PK项目添加题目，给项目设置对应的时间；支持按照PK项目进行班级内的随机PK，进入挑战之后自动匹配对手进行PK，支持查看随机PK项目排行榜，支持查看同学的胜利场次；支持查看自己的挑战记录；同时系统支持单机刷题，自己跟自己PK，支持按照章节进行PK，当答对继续进行，答错立即停止，停止之后即可查看本次PK答题的解析，支持查看自己PK的排行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学生支持自己进行全真模拟考试，全真模拟支持一键组卷和自主组卷两种模式，自主组卷按照导考规则按照科目一二，科目三四进行组卷，系统自动选择题目及考试时间进行考试，在模拟考试过程中支持将题目加入收藏，在返回之后支持在考试列表中继续之前的考试；自主组卷支持按照不同的课程（支持多选）进行设置不同题型的数量及时间进行考试；支持在考试列表中查看已经结束的考试的答案及解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支持错题的巩固，支持按照课程分别展示各个课程的正确率，支持重置课程的进度；支持查看不同课程的错题本，支持展示已消灭的错题及未消灭的错题，支持查看及消灭错题，支持按照题型统计对应的错题，当答对之后自动消除对应的错题；支持按照课程统计本课程收藏的题目、记笔记的题目、做错的题目，支持查看每个对应的详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学生支持章节练习，支持选择不同的课程，按照章节进行练习；支持查看本章包含的题目数及练习的题目数，同时自动计算正确率；自动统计今天的做题数、今日练习的用时及正确率；支持选择题型、选择练习模式、选择做题数量进行做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支持学生数据的统计，学生基地可以查看自己练习的数量及正确率；学生可以查看章节练习的市场、总时长及正确数；支持查看近7天的答题正确率趋势及答题数趋势；支持查看自己的错题本；支持查看自己的答题笔记；支持反馈意见的提交；支持修改自己的登录密码。</w:t>
            </w:r>
            <w:r>
              <w:rPr>
                <w:rFonts w:hint="eastAsia" w:ascii="宋体" w:hAnsi="宋体" w:eastAsia="宋体" w:cs="宋体"/>
                <w:color w:val="000000"/>
                <w:szCs w:val="21"/>
                <w:highlight w:val="none"/>
              </w:rPr>
            </w:r>
            <w:r/>
          </w:p>
        </w:tc>
      </w:tr>
      <w:tr>
        <w:trPr>
          <w:trHeight w:val="7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AI+大数据旅游行程规划软件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一、软件概述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1.软件需基于B/S架构，采用PHP技术开发。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2.软件学生端可以安装在多台电脑上，教师端需要在服务器上安装一次，日后的管理、维护都可在服务器端完成，维护方便，使用简单。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3.本系统分为两端，分别为教师控制端，学生操作端。各端账号独立，可单独登录。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【教师端】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1.软件教师端可对学生端进行管理控制，包含学生账号管理、分组管理、用户信息管理、线路管理、项目评分管理等。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2.支持对系统参数进行设定，支持对学生、班级进行管理，支持新增、删除及管理学生、班级账户。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3.教师端可根据教学需求在后台选择目标分组,精准进行任务消息下发.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4.教师端后台支持对学生制作线路进行预览,查看学生制作情况.并对学生提交线路进行阅卷评分.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5.管理员端支持老师可以根据教学需求对资源库中资源(如POI库,图片库等)进行添加编辑.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6.支持对项目制作走势,用户制作统计,任务消息下发情况进行数据汇总和分析.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【学生端】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软件致力于为学生提供一套完整的旅游线路设计与实践环境。该系统集成了多区域景点相关资源、酒店相关资源以及各区域资源相关的专业知识，资源不仅涵盖了景点的详细介绍、地理位置、特色等信息，还包括了酒店的服务设施、价格、评价等关键数据，为学生提供了全方位的设计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2.学生端软件能够实时展示项目进度的统计信息，包括完成状况及相关趋势变化。学生可以随时查看自己的设计进度，从而及时调整学习策略，提高学习效率。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3.学生端内置了资源链接功能，允许学生在线访问并跳转至外部相关景区网站进行信息浏览和查阅,提高了资源获取的效率。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4.学生端软件支持接收并查看教师端和管理端发布的公告和任务。学生可以通过系统内的任务管理功能，获取并查看最新的任务信息，提高课堂效率。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▲5.系统内内置了多地资源图片库，学生可以通过相关搜索关键参数（如关键字、相关区域、星级、标签等）进行快速定位查找。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6.资源库中的资源支持编辑与新增功能，允许学生在作业过程中根据需要对资源进行整改和编辑,提高了设计的灵活性和创新性。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7.学生编辑行程的页面设计得清洗整洁，功能全面且醒目。学生可以快速了解各个功能模块的操作流程和使用方法，从而更加高效地完成设计任务。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8.学生端软件支持项目需求编辑备注功能，允许学生根据不同客户的需求进行相关设施标准的定制。这一功能使学生能够更好地满足客户的个性化需求，提高了设计的针对性和实用性。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9.行程路线设计系统在保证其智能性的同时，也注重实用性。系统功能符合旅行社实际线路设计逻辑与流程，避免了流程中重复枯燥的工作。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▲10.学生端软件支持行程费用的操作核算处理功能，学生可以对编号、单价、数量进行单独编辑。这一功能使学生能够更好地掌握行程成本的控制方法，提高设计的经济性。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11.行程单支持独自价目表操作设计功能，学生可以区分费用包含选项，并进行备注说明。这一功能使学生能够更加清晰地展示行程价格信息，提高客户的满意度。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12.学生完成行程设计后，可以将成果下载为PDF文件进行分析保存。同时，软件还支持通过多在线渠道进行文件分享，方便学生与其他人交流和展示设计成果。</w:t>
            </w:r>
            <w:r>
              <w:rPr>
                <w:rFonts w:hint="eastAsia" w:ascii="宋体" w:hAnsi="宋体" w:eastAsia="宋体" w:cs="宋体"/>
                <w:color w:val="000000"/>
                <w:szCs w:val="21"/>
                <w:highlight w:val="none"/>
              </w:rPr>
            </w:r>
            <w:r/>
          </w:p>
        </w:tc>
      </w:tr>
      <w:tr>
        <w:trPr>
          <w:trHeight w:val="819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交互融媒体编辑软件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一、交互融媒体编辑软件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1.H5专业版编辑器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支持图片、文字、图文混排、音频、视频、网页、数据图表、全景、动画等常用媒体格式，需提供上千种专业的H5动画组合形式、丰富的预置交互方式及全面的组件控件。如：关键帧动画、进度动画、变形动画等动画形式；点击、摇一摇、滑动等操交互方式；形状绘制、投票、点赞、擦玻璃等组件和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模板编辑器，具备H5简约版编辑器、H5模板编辑器和H5专业版编辑器可编辑同一个H5稿件。具备编改权限的用户可根据稿件复杂度和具体需求，灵活采用简易版或专业版编辑、修改同一个H5融媒体稿件，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提供标准接口，与系统素材库集成对接，实现素材内容互通共用。编辑器可直接上传、调用、查看素材库，把图片、视频、音频等采访素材内容应用至新闻稿件，实现集约化、一站式的编辑管理。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1.3H5专业版编辑器功能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编辑舞台具备编辑、制作、预览动画效果。在其周围，留有一定的编辑缓冲区域，该区域内的对象不会在最终的内容展示上出现，但是可以用来很方便的组织暂时不在舞台的对象。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（1）稿件编辑区，H5稿件的动画编辑区域。编辑用户可在编辑区完成H5稿件的生产工作，例如引用素材，设置素材属性、制作动画等。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（2）时间轴设置，用于精确控制动画，把图层和图像、帧按时间进行组合和播放来形成动画。基于时间轴控制，可制作多种动画类型如关键帧动画、进度动画、变形动画、遮罩动画等。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自适应模式设置。受众在不同尺寸的移动端浏览稿件时，稿件内容在移动端显示区域内的自动匹配模式，使得稿件传播时达到最佳的浏览效果。H5专业版编辑器提供“宽度适配，垂直居中”、“高度适配，水平居中”“全屏模式”等多种自适应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（4）动画组件控件管理栏，用户可根据需求选择相应的组件、控件。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（5）页面管理栏，用于H5页面的添加、删除、插入等管理操作。支持添加新页面、删除页面、预览本页、复制本页、拖动调整页面顺序等功能。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（6）属性栏，可对舞台和素材的尺寸、颜色设置等属性进行操作。支持设置属性、管理元件、设置翻页效果和加载效果。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2）H5融媒组件控件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丰富的组件控价。组件功能涵盖文字、段落、图片、视频、音频、曲线、形状等。各个组件的公共属性要按照新媒体用户使用习惯和产品体验为基准，既保证能够满足用户的最大限度的日常使用，也避免由于概念或者选项过于复杂导致学习曲线的坡度太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3）微信控件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H5专业版编辑器需提供四种微信服务空间：获取头像、获取昵称、定制图片、点击录音，可零代码实现功能。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（1）获取头像，受众通过微信端浏览新闻稿件时，可获取受众的微信头像，常用于传递转发类H5稿件。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（2）获取昵称，受众通过微信端浏览新闻稿件时，可获取受众的微信昵称，常用于传递转发类H5稿件。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（3）定制图片，受众通过微信端浏览新闻稿件时，支持受众上传自定义图片，增强受众的互动性，常用于拍照类H5稿件。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（4）点击录音，受众通过微信端浏览新闻稿件时，支持受众上传自定义录音音频，增强受众的互动性，常用于音频合集类H5稿件。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4）测试题组件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H5专业版编辑器需提供单选题、多选题、填空题等测试题组件，可实现组件化组题。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5）动画设计功能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的核心功能具有进行基于HTML5的交互动画功能。编辑器支持丰富的的专业动画形式，如：关键帧动画、逐帧动画、进度动画、关联动画、变形动画等。能够在不编写代码的情况下，实现丰富、灵活的动画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（1）时间线、图层介绍。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（2）关键帧动画，通过定义动画的开始和结束状态，并通过插值来实时运算中间状态的动画形式，可设置动画物体的位置、大小、旋转、透明度、运动形式、路径等。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可进一步设置运动动画的路径曲线，定义路径的x偏移量、y偏移量、宽度、高度、旋转角度等。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（3）逐帧动画，用连续播放的图片序列来实现的动画形式。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（4）进度动画，将文本（模拟打字）或者曲线（模拟绘制过程）按照一定的速度逐步显示的动画形式。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（5）变形动画，将一个形状变形为另一个曲线形状的动画形式。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（6）关联动画，用一个物体的指定属性去控制另一个物体的动画形式，用户需要设置控制物体、控制属性、控制方式、控制公式、控制关键点等参数。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（7）遮罩动画，用稿件中的某些物体作为窗口通道来限制稿件部分内容的显示与否。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6）零代码交互设计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稿件在播放过程中，支持具有对用户输入或者其它在运行时实时出现的情况执行相应的行为的过程。H5专业版编辑器支持丰富的行为操作和触发条件，通过动画、行为、触发的灵活搭配，可在移动端实现丰富的动画交互形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（1）H5专业版编辑器提供的行为操作；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（2）H5专业版编辑器提供的行为触发事件；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（3）逻辑判断，对于所有的交互行为，在上述触发条件发生时，均支持一层由逻辑条件控制的执行判断。当逻辑条件满足时，才会执行相应的行为操作。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7）协同编辑组件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具有团队协同编辑功能，让团队内多个授权用户同时编辑一个H5稿件，最大化的提升工作效率。开放稿件页面的共享编辑权限并生成共享链接，协同用户即可通过共享链接获得授权并开始编辑工作。所有授权用户完成编辑后，原作者只需同步协同数据，即可合成终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8）导出文件能力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支持导出Html包，视频、图片、GIF功能。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9）自定义加载功能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支持自定义设置加载方式，包括：百分比、进度条、进度环等加载方式。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10）开放式JS-API接口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▲H5专业版编辑器需提供基于Javascript的开放式的API接口，支持用标准的JS语言添加代码控制融媒体H5稿件中的内容，例如可对接AI程序，极大扩展了编辑器的功能。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2.H5简约版编辑器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需具有兼容PowerPoint的功能习惯，操作简单，具备图片插入、音频引用、视频引用、文字编辑、常规形状绘制等素材操作，并可拖拽使用点赞、表单收集、陀螺仪等无代码组件。支持PPT导入，便于快速生产翻页类H5稿件。编辑器生成的的H5稿件可作为动画素材直接引用至图文稿件；同时兼容H5专业版编辑器、H5模板编辑器的文件格式，可与H5专业版编辑器、H5模板编辑器交叉编辑同一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专业版编辑器、H5模板编辑器，使得H5专业版编辑器、H5模板编辑器和H5简约版编辑器可编辑同一个H5稿件。具备编改权限的用户可根据稿件复杂度和具体需求，灵活采用简易版或专业版编辑、修改同一个H5融媒体稿件，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提供标准接口，与系统素材库集成对接，实现素材内容互通共用。在编辑器中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2.3H5简约版编辑器功能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编辑舞台具备编辑、制作、预览动画效果。在其周围，留有一定的编辑缓冲区域，该区域内的对象不会在最终的内容展示上出现，但是可以用来很方便的组织暂时不在舞台的对象。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用户制作内容的时候，可以放大或者缩小舞台方便观察和操作，但不是改变舞台或物体的尺寸。展开界面右上角的百分比即可选择缩放舞台百分比，其中100%是显示舞台的实际大小。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（1）稿件编辑区，H5稿件的动画编辑区域。编辑用户可在编辑区完成H5稿件的生产工作，例如引用素材、设置素材属性、设计动画等。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自适应模式设置。稿件在不同尺寸的移动端浏览时，稿件内容将自动匹配移动端显示区域，使得稿件传播时达到最佳的浏览效果。H5简约版编辑器提供“宽度适配，垂直居中”、“高度适配，水平居中”“全屏模式”等多种自适应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（3）页面管理栏，用于H5页面的添加、删除、插入等管理操作。支持添加新页面、删除页面、预览本页、复制本页、拖动调整页面顺序等功能。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（4）资源管理器，可显示在舞台上使用的所有素材，查看素材的名称、大小、类型和行为。支持在资源管理器上直接替换图片素材。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2）开始菜单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开始菜单包含对稿件预览、保存等基础操作，以及对舞台和素材的尺寸、颜色设置、背景音乐设置等属性操作。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（1）导入PPT。支持导入ppt文件并直接转化为H5融媒体稿件，用户可在转化的基础上进行二次编辑，快速生成翻页类H5新闻稿件，适配。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（2）稿件预览。提前预览稿件的阅读效果。用户在编辑稿件过程中随时查看稿件传播的呈现形式，如稿件样式、图片效果、文案效果。供编辑用户参考，并根据制作目标随时编辑、调整稿件内容。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（3）稿件保存。保存当前完成的编辑操作和稿件内容。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（4）发布/提交。H5新闻稿件制作完成后，发布/提交模块支持用户将成稿提交至项目建设时指定的服务器中。如指定路径为自有发布服务器，则稿件直接提交发布服务器，并在互联网上传播、推广。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（5）新闻稿件编辑过程中的常用功能，例如新建稿件、撤销、重做、剪切、复制、粘贴等操作。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协同编辑：可实现团队协同编辑功能，让团队内多个授权用户同时编辑一个H5稿件，最大化的提升工作效率。原作者开放稿件页面的共享编辑权限并生成共享链接，协同用户即可通过共享链接获得授权并开始编辑工作。所有授权用户完成编辑后，原作者只需同步协同数据，即可合成终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3）插入功能模块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用户可直接引用素材内容、绘制图形、使用控件组件等编辑器内置封装模块。素材内容可对接至素材库，直接浏览、引用储备的稿件素材：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（1）素材应用，支持插入PSD素材、全景VR、图表、幻灯片、图片、音频、视频、文本段落、网页内联框等素材。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（2）考题控件用户实现测试类稿件，例如常见的时政测试题、垃圾分类测试题等。H5简约版编辑器具有内置单选题、多选题、填空题、拖拽题、分数汇总等控件。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（3）图形组件提供多种图形绘制工具，可绘制矩形、圆形、直线、圆角矩形、多边形等形状。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（4）互动控件实现受众互动效果。H5简约版编辑器具有内置点赞控件、擦玻璃控件、绘画板控件、陀螺仪控件等丰富的互动功能。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（5）表单控件提供丰富的表单工具，用于收集受众在阅读H5稿件时提交的信息。表单控件具有内置输入框、单选框、多选框、列表框等表单工具。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4）动画设置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H5简约版编辑器具有丰富的预置动画选项，可快捷实现新闻稿件所需的动画效果，分为进入动画、强调动画以及退出动画。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可通过编辑行为设定来控制动画播放控制、属性控制、手机功能、数据服务，达到受众互动的效果。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5）翻页设置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可设置的每两页之间翻页效果，类似PPT的翻页效果。翻页效果包括平移、覆盖、出现、缓入、三维翻转、门轴翻转。同时可以自定义翻页图标样式。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6）微信分享设置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支持将新闻稿件转发到微信分享，并显示对应的标题和缩略图等信息。包括缩略图、转发给好友的标题、转发放到朋友圈的标题和转发描述。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7）加载设置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支持稿件加载设置，包括进度条、进度环、旋转加载、旋转加载+百分比和首页作为加载界面多种样式，前五种样式通过一些简单设置即可生成进度界面，最后一种“首页作为加载界面”可自定义个性加载界面。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8）导出功能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支持导出Html包，视频、图片、GIF功能。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3.H5模板编辑器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具有将所有功能可视化，降低学习成本，便于快速上手使用。编辑器支持快速修改替换作品内的图片、视频、文字、超链接等操作，让用户可以直观的在作品内替换自己需要的元素，简单快捷的实现优质的动画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H5模板编辑器可切换为专业版、简约版。可直接引用图片编辑功能、编辑作品的素材。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实现H5模版编辑器和H5简约版编辑器、H5专业版编辑器可编辑同一个H5稿件。可根据作品复杂度和具体需求，灵活采用简约版、模版编辑器或专业版编辑，修改同一个H5融媒体作品，实现内容互通、稿件交叉编辑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3.2对接素材库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提供标准接口，与系统素材库集成对接，实现素材内容互通共用。在编辑器中可直接上传、调用、查看素材库，把图片、视频、音频等采访素材内容应用至新闻稿件，实现集约化、一站式的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3.3H5模板编辑器功能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H5模板编辑器操作界面分为菜单栏、内容选择栏、页面栏、舞台、动画控制栏、快捷操作栏、资源管理器及属性栏。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1）菜单栏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菜单栏包含【选择模板】、【另存为】、【保存】、【撤销】、【重做】、【查看发布地址】、【编辑器切换】。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2）页面栏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用来进行页面切换删除、复制及预览操作。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3）资源管理器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支持将H5动画中的图片、文字、音频、视频、链接、幻灯片组件、全景组件、图表组件等提取并快捷编辑替换资源。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具备编辑、制作、播放动画功能。在其周围，留有一定的编辑缓冲区域，该区域内的对象不会在最终的内容展示上出现，但是可以用来很方便的组织暂时不在舞台的对象。动画在“舞台”区域内制作和播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用户制作内容的时候，可以放大或者缩小舞台方便观察和操作，但不是改变舞台或物体的尺寸。展开界面右上角的百分比即可选择缩放舞台百分比，其中100%是显示舞台的实际大小。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4.网页专题编辑器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网页专题编辑器用于生产包含文字、图片、视频等各种资源的稿件。除了常见的图文形式，网页专题编辑器还可将H5简约版编辑器、H5专业版编辑器、H5模版编辑器以及图表编辑功能生产的H5作品作为动画素材，创作可播放动画的新型网页专题新闻。网页专题编辑器采用流式排版技术，图文稿件自适配屏幕大小并自动重排内容，以适用于图文新闻、图文专题等场景的生产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工具套件容包含8个媒体编辑器，网页专题编辑器需要与其它编辑器集成对接，实现集约化、一站式编辑管理：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提供接口对接H5简约版编辑器、H5专业版编辑器、H5模版编辑器、图表编辑功能，使得另四个编辑器生成的H5融媒稿件可作为动画素材，应用至专题稿件，实现内容互通的操作效果。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4.2网页专题编辑器功能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编辑舞台是生产内容的操作窗口，用户可在编辑舞台编写文字、排放图片、引用素材、引用样式。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编辑器符合新媒体稿件编辑的操作习惯，具备稿件编辑区、文本设置、段落设置等功能，可录入稿件标题和正文，如文字、图片、视频、音频等素材，并按需进行自由混合排版。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2）素材应用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器与融媒新闻生产工具套件的素材库集成，实现素材内容互通共用。在编辑器中直接查看、引用平台上的H5动画作品和素材库中的采访素材。引用H5文件是本编辑器的创新技术，将平台用户的H5稿件作为动画素材，插入图文稿件中，图文稿件在阅读时将同时播放H5动画，打造新颖创新的融媒体网页专题形式。用户可插入所需的图、文、音、视、H5等媒体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▲3）排版样式功能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（1）样式库：编辑器内置上百种常见的新媒体图文稿件的排版样式，包括标题样式、图文混排样式、正文样式、图片布局样式、列表样式、引导分隔样式等。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模版样式：图文编辑器面向媒体用户提供了两会、盘点等常用的专题报道样式。模版样式由小标题、图文段落、内容模块分隔等多个模块组成，可按需选用每个模版样式中的一个或多个模块，可整体使用也可分开使用，也可选用不同专题样式的不同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（3）样式排版工具：支持对排版样式内部的内容分块作细化编改，例如设置内容背景和形状、设置内容分块的排列方式、设置内容分块的高宽比例、设置文本的对齐方式、设置内容分块的四边边距等。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一键转化样式模版：编辑器支持用户自定义设计样式模板，可将内容中任何一个段落的排版内容一键转化为样式模版，供今后直接使用。自定义设计的样式模板，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（5）一键转化专题模板：可将全版图文内容的排版样式一键转化为专题模版，供今后直接使用。用户可根据个人习惯，存储至个人文件夹下分目录。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4）交互svg样式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支持svg样式的编辑使用。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5）稿件批注和修订功能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当用户所在团队下，多个人员对同一片图文稿件进行编改时，可设置修订模式，使用大花脸形式显示被修订的内容。在团队协同编辑中，便于原作者查看已改内容。同时，原作者可点击具体修订部分，在浮窗中选择接受或不接受修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6）外部文件转文字功能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用户可将外部的word文件、mp3音频、jpg图片、png图片导入编辑器。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7）稿件格式设置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稿件属性栏，用户可查看和设置稿件的基本信息。支持从图片素材选择封面、查看既定分发渠道、查看作者、编辑分享摘要、编辑分享关键词。编辑器兼容公众号推文格式，可将正文、稿件缩略图、分享配置等信息直接推送至微信公众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8）稿件操作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（1）稿件预览。提前预览稿件的阅读效果。用户在编辑生成过程中随时查看稿件传播的呈现形式，如稿件样式、图片效果、文案效果。供编辑用户参考，并根据制作目标随时编辑、调整稿件内容。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（2）稿件保存。保存当前完成编辑操作和稿件内容。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（3）发布/提交。新闻稿件制作完成后，发布/发布模块支持用户将成稿提交至项目建设时指定的服务器。如指定路径为自有发布服务器，则图文稿件直接提交发布服务器，并在互联网上传播、推广。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（4）新建稿件，新建并编辑一篇新的图文稿件。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二、功能集成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1.与富文本编辑器打通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与富文本编辑打通支持创建链接稿件时，支持选择H5制作工具生成的成品链接作为链接稿使用。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用户创建带有H5成品稿链接的链接稿后需走系统统一审核流程进行审核。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2.内容库对接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与系统内容库对接，H5制作工具需使用系统统一内容库。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需提使用系统统一内容库。用户可在编辑套件中充分利用内容库中的图片、音频、视频、等素材，直接提取应用在图文、H5等作品生产中，实现融媒体素材的统一管理和编辑。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3.账号体系管理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超管、管理人员和生产人员3级账号体系，以及对应的权限管理。管理人员和生产人员都具备各编辑器的使用权限以及个人作品、个人素材、已授权素材、个人模板、已授权模板的管理、应用权限。此外，管理人员还具有共享素材和共享模板的管理权限、作品的发布审核权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4.团队资源共享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▲需提供可将个人素材、个人作品模板共享至团队内容库和团队模板库能力，使得团队内其他用户可便捷利用已完成的优秀素材和作品，高效生成新的稿件。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5.微信公众号服务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绑定微信公众号服务，可将融媒作品的微信授权服务绑定为指定的公众号。H5作品在微信渠道传播并获取读者授权信息时，将显示用户指定的公众号名称和信息，呈现完整一致的品牌标识；该绑定服务需满足不同用户团体的账号授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6.自定义域名服务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需提供自定义域名服务。用户生产并发布的融媒作品将使用指定域名在网络上传播。用户发布的图文、H5作品显示为指定的官方域名，即确保宣传的权威性，又可打造和传播品牌效应。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7.模板服务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支持H5模板库的使用，可通过外网访问使用模板库，可使用免费提供模板或购买模板，用户使用或购买后将模板数据同步至本地数据库并添加至系统用户账号内。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8.教程、客服服务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在线教程和客服服务，需提供在线教程服务及人工客服服务。</w:t>
            </w:r>
            <w:r>
              <w:rPr>
                <w:rFonts w:hint="eastAsia" w:ascii="宋体" w:hAnsi="宋体" w:eastAsia="宋体" w:cs="宋体"/>
                <w:color w:val="000000"/>
                <w:szCs w:val="21"/>
                <w:highlight w:val="none"/>
              </w:rPr>
            </w:r>
            <w:r/>
          </w:p>
        </w:tc>
      </w:tr>
      <w:tr>
        <w:trPr>
          <w:trHeight w:val="633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融媒体综合技术应用系统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一、用户行为分析系统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1.用户反馈数据采集及分析系统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可采集用户提交的表单、上传的图片、录制的音频及绘画板等不同类型的反馈数据，并支持管理、下载及二次使用。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2.用户行为数据采集及分析系统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用户浏览行为分析数据，包括打开时间、停留时间、退出位置、音视频播放时长、交互行为等数据，可提供单个用户的行为数据，适用于图文新闻及H5新闻。可用于内容评估、精准营销、用户画像、学习过程分析等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二、流量分析系统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提供内容流量分析服务，包括PV、UV、机型、操作系统、地域、微信传播途径及传播层级等流量信息。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行为数据包括打开时间、浏览时间、退出位置、音视频播放时长、交互行为等，可用于内容评估、用户画像、精准营销等场景。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三、H5内容智能审核系统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系统具有与网站、微信、微博等融媒体渠道的发布管理接口，数据互联互通，可实现多微多端的统一管理和发布。系统集成时可根据院校的实际需求与对应的渠道进行发布接口对接，实现一键发送。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四、AI能力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生产系统中集成了常用的AI及大数据能力并全部集成到编辑中，并支持后续集成其他AI及大数据能力。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1.图片转文字服务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识别图片中的文字，并将其转换为可编辑文本，支持JPG、PNG等多种格式。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2.语音转文字服务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语音识别服务可以将作品中的音频转换为文本内容，它能够准确捕捉和解析用户的语音指令，生成清晰、准确的文本输出，支持普通话、方言、外语等多语种的识别，无论是在嘈杂环境还是方言口音中都能保持高识别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3.文本校对服务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筛查文章中错别字、敏感词等，并给出修改意见。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4.语音合成服务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语音合成服务可以将文本内容转化为自然流畅的音频文件。支持普通话、方言、英文、法文等多个语种，支持男生、女声、童声等多年龄段音色。支持自然、严厉、甜美等多种语气，支持自行调节音量和音色等个性化配置，能够生成高保真、富有表现力的音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5.图片智能压缩服务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智能调节图片质量，显著降低图片文件大小，在视觉效果上最大程度贴近原图。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6.图片智能清晰服务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智能提升图像细节纹理，降低图像噪点，支持批量处理本地图片、素材库图片。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7.图片智能放大服务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可以轻松放大图像的分辨率，同时提升图像细节和纹理。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8.图片智能上色服务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智能上色可将黑白图像自动转换为自然生动的彩色图像。通过AI对图像内容进行智能识别与语义理解，精准还原场景色彩细节，支持人像、风景、建筑等多类型图片的色彩修复与增强。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9.图片智能抠图服务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智能抠图功能支持“通用抠图”和“人像抠图”两种不同的抠图方式，该服务能够智能识别图片中的视觉主体元素，去除复杂的背景内容。无论是物体、景观、人物、动物……都可一键抠图。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10.图片智能裁切服务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智能识别图片主体内容，自动裁切画面。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11.文本生成图像服务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根据短句、短语、字词，可智能生成不同风格的图像。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12.智能艺术字服务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将输入的文字打造成创意艺术字图片，支持选择预设风格或输入自定义输入要求。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13.智能文本处理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适用于图文、专题编辑器，可智能生成文章标题、摘要、扩写文章、润色文章等。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14.语音评测服务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对中英文的字、词、句子、段落朗读发音情况进行评分，返回建议评分、流畅度得分、印象得分、准确度得分。可在H5专业版编辑器根据具体的业务情况使用行为单独灵活调用服务，或通过语音评测预制考题组件直接调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15.手写识别服务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零代码识别H5作品用户上传手写文字图片，并转为文本内容。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16.单字手写识别服务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单字手写识别服务可以在H5作品将手绘板组件书写的手写轨迹转换为文本内容。支持识别中文单字，不包含阿拉伯数字、中文拼音、英文字母等内容。该服务基于对手写汉字的精准识别，可实现汉字书写练习、写字闯关有些等交互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17.人物风格重绘服务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智能多风格重新绘制人物图像。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18.人脸融合服务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人脸融合功能可以将用户上传图片中的人脸融合到模板图中的人脸位置，生成一张包含用户图人脸特征的新图像，创造出独特、有趣的图像。在H5专业版编辑器中可以通过行为，一键调用人脸融合服务，免去繁杂的功能开发流程。</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1.面板采用E1级环保板材，多层板材质；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4.尺寸：边长≥800mm；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六边形桌专用椅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专业全频音箱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1.单元组合：1×6.5"LF+1x3"HF；</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2.额定功率：80W,最大功率160W；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3.灵敏度：96dB；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4.最大声压级：112dBpeak,@1m；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6.频率响应：45Hz～20KHz(±3dB)；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7.辐射角度(1KHz)(H×V)：90°×60°；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8.连接方式：国标8mm加强螺丝吊装孔位；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9.接线方式：2个Speakon-socket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10.尺寸（深*宽*高）：≥225×215×325mm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合并式功放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1.两路卡龙与6.35两用话筒输入接口，音量独立调节，卡龙可选48V幻象供电开关；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2.功率：2X180W/8Ω；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3.音频输入：2路双莲花,输入阻抗：20kΩ；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4.音频输出：1路莲花，输出阻抗200Ω；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5.频率响应：20Hz-20KHz,信噪比：86DBu,总谐波失真：0.075%1KHz@15DBu；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6.提供RS232串口可接中控；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7.尺寸(长*宽*高)：≥420*296*44mm。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多功能电源时序器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1.通道数里:≥8路万用插座继电器受控与1路万用插座直通；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2.单路功率/总功率/输出电流:2000W/6000W-6500W/30A277VAC；</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3.输出电源插座规格:阻燃ABS材料，最大可承受13A电流磷铜材质，标准万用插座；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4.电路板规格:双面纤维板，主电源走线二次加厚加粗处理；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5.供电规格:内置开关电源，适用全球电压AC90-260V50-60HZ；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6.开启类型:圆型透光轻触开关；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7.支持语音唤醒；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8.有关闭和开户语音组合按键，接收距离达10米，无对话睡眠时间为20秒；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9.彩屏显示各通道状态，当前实时电压，实际功率，即时电流；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10.有RS232接口，有代码控制功能，可以修改波特率；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11.支持面板独立控制各通道，前面板有5VUSB供电；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12.每路开关间隔时间/定时时间:1秒；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13.带手机APP远程控制；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14.语音控制时序器，后面板有接口能够外接接收麦克风，增加语音接收距离；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15.掉电记忆:当设备自动断电，数据自动储存；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16.具备电压实时监测功能；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17.WIFI传输距离30M无遮挡。</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专业会议麦克风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1.换能方式：电容式；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3.指向性：心型向性；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4.输出阻抗（欧姆）：200Ω；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5.灵敏度：-42dB±2dB；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6.最高输入音量：128dB声压；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7.讯噪比：65dB；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8.供电电压：直流3V/幻象48V（幻象指既传输电流，也传输声音）；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9.咪管长度：≥400mm；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10.单支话筒重量：≥0.6kg；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11.抗手机、电磁、高频干扰。</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UHF一拖二无线话筒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1.采用锁相环PLL频率合成技术；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2.200个可选择通道,红外线自动对频功能，操作方便；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3.设计有静音电路，完全消除麦克风开启和关闭的冲击噪声；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4.麦克风采用独特的声压设计，电池电量下降时不影响麦克风整体性能；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5.射频频段：640-690,频段范围：50MHz,调制方式：宽带FM,可选择通道：200个通道；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6.频率稳定度：±10tpm,最大调制度:±45kHz,T.H.D≤0.8％；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7.使用距离约：30-80米（按实际使用环境为准）；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8.解调方式：二次变频超外差,天线接口：BNC（50欧）；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9.输出接口：独立真平衡输出X2，6.3mm混合输出X1;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10.接收灵敏度：-98dBm,音频输出：1000mV(@1KHz,±25KHz频偏)；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11.功耗：DC12V*160mA；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12.天线：腰挂式1/4波长鞭状天线；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13.发射功率：高功率12dBm；低功率8dBm。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磁吸式领夹麦克风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智能通信技术架构，超高频段通信系统：采用UHF专业级无线传输频段，构建全域抗干扰通信链路，支持单话筒与任意接收机智能配对，实现无障碍50米超距稳定传输与40cm超广拾音半径，满足多场景复杂环境下的音频采集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精准对频与抗干扰设计，主动式NFC近场耦合技术：创新集成智能近场感应配对系统，通过毫米级距离识别算法，确保100%杜绝跨区域信号串扰，实现0.5秒极速无感对频，为多设备协同场景提供零差错的信号匹配保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能效优化与续航，低功耗能源管理系统：内置≥600mAH高密度锂聚合物电池，搭载OLED量子节能显示屏，结合动态功率调节算法，实现6小时以上连续作业续航，满足全天候高强度使用需求，构建高效能无线音频生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专业级音质处理模块，89dB高信噪比音频链路：构建纯净信号传输通道，有效隔离环境底噪，85dB宽动态范围采集：精准捕捉声音细节，还原全频段音频动态，64KHz超高清采样率：实现CD级无损音质采集，满足广电级音频处理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活协同工作模式，多接收机协同技术平台：支持先进的"一发多收"分布式工作架构，单话筒可同步连接≥32台接收机（需定制扩展），构建全方位音频覆盖网络，适用于大型会议、舞台演出等多终端协同场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人体工学佩戴，集成磁吸式智能背夹系统，支持领夹式、手持握、头戴麦外接及胸前悬挂四种佩戴模式，采用航空级铝合金磁吸配件，实现0.3秒快速拆装，兼容各类服装面料的无痕佩戴需求，人体工学弧形设计，单设备重量≤35g，确保长时间使用的无感佩戴体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双重音频防护系统，AGC动态增益控制：搭载自适应音量调节芯片，实时监测输入信号强度，自动维持85-90dB安全听音区间，守护用户听力健康，智能反馈抑制算法：集成波束成形抗啸叫技术，通过200次/秒的声纹识别运算，有效消除10KHz以上高频反馈，实现99.7%的啸叫抑制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8.具有人声还原度处理功能及主动动态反馈抑制功能,最大限度还原人声及有效防止啸叫；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9.双模式快充互联系统，配备Type-C2.0高速充电接口，支持5V/1A快速充电协议，支持边充边用模式，保障关键场景的不间断工作需求。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接收器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1.UHF频段设计：采用UHF频段，精准避开最新手机工作频率，有效降低信号干扰，保障传输稳定性；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2.频率响应：具备20Hz-20KHz宽广频率响应范围，完整覆盖人耳可听声域，呈现高保真音质；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3.输出方式：支持模拟、数字可配置音频输出方式，适配不同音频设备与场景需求；</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4.接口支持：配备3.5mm音频输出接口，满足常见音频设备连接，USB接口输出，适配多样安装形式，USB接口可按需预置为供电+模拟音频或标准USB音频输出，免驱动即插即用；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5.OLED显示屏：配备OLED显示屏，清晰显示频道、对频状态、电量及信号强度等信息；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6.外接显示：支持外接数码管，实现频道信息的拓展显示，满足多方位查看需求；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7.按键控制：配备两个可设置接收频道的按键，便于快速切换和设置常用频道；</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8.多功能扩展：接收器集成PPT翻页接收模块功能，免驱动设计，轻松适配主流翻页笔，为会议、教学演示提供便利；</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9.供电方式：采用Type-C接口供电，插拔便捷，性能稳定耐用，广泛兼容各类充电器与移动电源。</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1.尺寸：≥22U19英寸标准服务器机柜；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2.深度：≥600mm；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3.材质：加厚冷轧钢材；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4.配件：带风扇、托盘、脚轮、螺丝、螺母、电源插排等。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高清微距直播摄像机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1.传感器类型：APS-C画幅传感器，有效像素约2420万，支持14位RAW格式拍摄；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2.最大分辨率：6000×4000（照片）、3840×2160（4K视频），输出帧率：4K/60fps（10-bit4:2:2，内录/外录）、1080P/120fps；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3.横竖屏输出：支持菜单设置切换横屏（16:9）、竖屏（9:16）输出，适配抖音、快手等直播平台画幅，支持HDMI实时竖屏信号输出；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4.色彩表现：支持Log模式，色域覆盖≥95%DCI-P3，动态范围15+档；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5.对焦系统：搭载增强型快速混合自动对焦，支持人眼/动物眼实时追踪对焦，对焦响应时间≤0.02秒，支持直播特写精准追焦</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6.音频接口：3.5mm立体声麦克风输入接口（支持外接领夹麦/桌面麦）、3.5mm耳机监听接口，内置立体声麦克风（支持风噪抑制）；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7.存储：SD卡槽（支持UHS-II高速卡，单卡录制4K/60fps视频续航≥2小时）；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8.连接：支持Wi-Fi6（5G/2.4G双频）、蓝牙5.1，支持USB-C3.2Gen1（数据传输+充电+直播信号输出）、HDMI2.1（支持4K/60fps无压缩视频输出）；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9.镜头：焦段18-50mm（APS-C画幅等效27-75mm），覆盖广角（直播场景拍摄）至中焦（人物/商品特写）</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光圈F2.8恒定光圈（全焦段），支持直播暗光环境下大进光量，背景虚化效果可调；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10.其他配件：配备假电池，128G存储卡、HDMI高清线线3m。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1.产品类型：专业脚架+云台；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2.云台类型：球形云台；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3.产品材质：铝合金；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4.角架节数：4节。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1.补光灯：功率≥200WLED常亮，数量：2个；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2.柔光球：直径≥65cm，数量：1个；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3.柔光箱：尺寸≥60*90cm，数量：1个；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4.支架：高度≥2m，材质：铝合金，数量：2个，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5.其他：具备三色调光功能，显色指数CRI≥90。</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移动幕布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1.龙门架高≥2.88m，宽≥3m；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2.绿幕布≥3*4m。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2.产品名：电动背景轴升降机；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3.轴数：≥2轴；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4.宽度：≥3m；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5.绿色、蓝色幕布。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无线领夹麦克风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1.一拖二充电套装，包含：充电盒*1.TX发射器*2.RX接收器*1.防风罩*2.转接线材一批；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2.无线传输：2.4GHZ自适应；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3.指向性：全指向；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4.频率响应范围：20Hz~20KHz。</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无线图传设备</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1.接口：支持HDMIIN：HDMI1.4b；Powerin：USB-C供电；USBOUT：USB3.0；SD卡槽。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2.HDMI输入分辨：支持720p50/59.94/60率1080p23.98/24/25/29.97/30/50/59.94/60，3840*2160p23.98/24/25/29.97/30。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3.USB输出分辨：支持720p50/59.94/60USB输出分辨率1080p23.98/24/25/29.97/30/50/59.94/60，3840*2160p23.98/24/25/29.97/30720p50/59.94/60。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4.无线传输分辨率：支持1080p23.98/24/25/29.97/30/50/59.94/60，3840*2160p23.98/24/25/29.97/30。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5.供电方式USB-C口供电：5～12V，内置电池供电：3.4～4.2V。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6.电池典型容量：≥5150mAh。</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7.功耗：＜4.5W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8.尺寸：≥110*70*27.2mm。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9.发射功率：≤21.5dBm。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10.接受灵敏度：≥-93dBm。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11.支持辅助对焦、斑马纹、波形图、3DLUT等主流监看辅助工具。</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直播桌：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1.面板采用E1级环保实木生态板材，加厚桌板；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2.尺寸：长宽高≥1200mm*600mm*750mm；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直播座椅（1把）：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双人直播专用桌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双人直播桌：</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1.面板采用E1级环保实木生态板材，加厚桌板；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2.尺寸：长宽高≥1600mm*600mm*750mm；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3.加粗桌腿、结构稳固；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4.框架材质：金属。</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直播桌座椅（2把）：</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1.尺寸：≥48*47*79cm；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材料：环保pp材料靠背和坐垫、≥12mm实心钢制环氧腿框支撑；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2.坐垫外边用网布面料包裹可回弹海绵，弹性好，不积汗，耐磨，坐高≥45cm；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3.堆叠存放、不占多余空间；</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4.满足安全性、耐用性和稳定性。</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工作台：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1.面板采用E1级环保板材，实木生态板，pvc高温亚光贴面，桌面板厚≥16mm；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2.尺寸：长宽高≥2400*1000*740mm；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3.桌腿材料：采用原材料≥30x50mm镀锌钢管，打磨喷漆后钢管在≥27*47mm；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4.8人位。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椅子：（8把）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5.坐垫尺寸：≥45*45cm；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6.椅子高度：≥90cm。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商品陈列架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1.尺寸：长宽高≥2200*300*2000mm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置物架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1.尺寸：长宽高≥1500*300*2000mm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2.框架材质:金属</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1.插位：≥8位；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2.线长：≥3M；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3.功能：过载保护；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4.插座类型：新国标。</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1.套装，带屏遥控器、三电、含256G内存卡；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2.主摄CMOS尺寸：≥4/3英寸；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3.视频拍摄能力：5.1K50P；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4.最大信号有效距离：7-9km；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5.感知系统类型：多方向避障；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6.实时图传质量：1080p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7.遥控器自带5.5英寸、700尼特亮度的高清屏.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无人机套装2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1.标准单电套装（普通遥控器）、含128G内存卡；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2.主摄CMOS尺寸：≥1英寸；</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3.视频拍摄能力：4K120P;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4.最大信号有效距离：9km以上；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5.感知系统类型：多方向避障；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6.副摄像素数：≥4800万；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7.主摄像素数：≥5000万；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8.实时图传质量：1080p；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9.数据传输：Wi-Fi传输；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10.电池容量：62.5Wh；</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11.最大飞行时间：≥45分钟。</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1.传感器类型：CMOS，传感器尺寸：APS-C半画幅，有效像素约2600万，支持8bitRAW照片输出；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2.像素：2000-3000万；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3.连拍速度：高速连拍模式下最高约11张/秒；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4.接口：支持HDMI；</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5.液晶屏像素：≥103万，液晶屏尺寸：≥3英寸，液晶屏类型：旋转屏、侧翻屏；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6.视频拍摄能力：支持4K120P1080P240P1080P120P</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7.存储介质：SD卡SDHC卡SDXC卡；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8.电池类型：锂离子电池；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9.外接电源：支持外接电源；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10.功能：4K视频、5轴防抖；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11.镜头卡口：索尼E卡口；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12.带128G高速内存卡、单肩包。</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相机镜头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焦段：17-70mm（APS-C画幅等效25.5-105mm），覆盖广角（风光/建筑摄影，17mm端可拍摄大场景）、标准（人文/街拍，35-50mm等效焦段）、中焦（人像/静物摄影，70mm端压缩感适配半身人像）</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光圈：F/2.8恒定光圈（全焦段），低光环境可手持拍摄（如室内人像ISO可控制在800以内），背景虚化效果可调（F2.8-F16，适配人像虚化/风光小光圈景深）</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全画幅微单相机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一.相机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1.传感器类型：CMOS，传感器尺寸：全画幅，有效像素约3300万，支持14bitRAW照片输出；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2.像素：3000-4000万；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3.高清摄像：支持4K超高清视频；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4.连拍功能：高速连拍模式下最高约30张/秒；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5.接口：支持HDMINFCWi-Fi；</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6.液晶屏像素：≥210万，液晶屏尺寸：≥3.2英寸，液晶屏类型：上下翻折屏；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7.取景器类型：电子取景器；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8.视频拍摄能力：支持4K120P4K60P；</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9.存储介质：支持SD卡、SDHC卡；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10.电池类型：锂离子电池；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11.外接电源：支持外接电源；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12.功能：5轴防抖、4K视频、告诉连拍、Wi-Fi、翻转自拍；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13.镜头卡口：索尼E卡口；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14.带128G高速内存卡、单肩包。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二.镜头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1.焦距：20mm超广角到70mm的变焦范围；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2.最大光圈：F4恒定光圈；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3.镜头类型：广角变焦；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4.自动对焦马达：支持自动对焦；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5.镜头卡口：索尼FE卡口。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手持稳定器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1.最大承重：≥4.5kg；</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2.稳定算法：搭载Ronin4D同款核心稳定算法，支持3轴（横滚/俯仰/航向）精准稳定，稳定精度≤0.01°，适配风光跟拍、人像定点拍摄、动态抓拍等摄影场景</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稳定模式：支持全域跟随（360°无死角跟随）、锁定模式（固定镜头方向）、疯狗模式（高速动态跟拍，响应速度≤0.1秒）、延时模式（适配长曝光延时摄影）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3.续航能力：内置2600mAh可充电锂电池，单电池持续工作时间≥12小时（常温下，仅稳定器运行），支持边充边用（适配户外长时间摄影）</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4.充电规格：支持PD65W快充，充电30分钟可恢复70%电量；兼容QC3.0充电协议，配备专用充电器（输入100-240V宽幅电压，适配多地区使用）</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三脚架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1.产品类型：专业脚架+云台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2.云台类型：球形云台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3.产品材质：铝合金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4.角架节数：4节</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电动滚轴幕布套装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2.产品名：电动背景轴升降机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3.轴数：≥4轴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4.宽度：≥3米，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5.配备吸光布≥3*6m，颜色白、黑、绿、红四种。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300WLED补光灯套装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1.补光灯：功率≥300WLED常亮，数量：2个；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2.照度：≥55000Lux@1m；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3.柔光箱：尺寸≥60*90cm，数量：2个；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4.支架：高度≥2m，材质：铝合金，数量：2个，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5.其他：具备三色调光功能。</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600W闪光灯套装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1.闪光灯：功率≥600W，数量：2个；高速同步；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2.柔光箱：尺寸≥80x120cm，形状：方形，数量：2个；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3.引闪器:专用引闪器*2（与相机品牌适配）；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4.支架：高度≥2.8m，材质：铝合金，数量：2个。</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雷达罩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1.直径：≥40cm；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2.高：≥14cm；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3.颜色：内部银色；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4.照射角度：≥120°；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5.接口：保荣卡扣。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菲涅尔透镜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1.菲涅尔镜头*1；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2.四叶挡板*1；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3.接口：保荣卡口；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4.变焦角度：10°-45°</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5.变焦方式：后变焦</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便携补光灯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1.光源类型：双色温COBLED+RGB全彩LED双光源系统，额定功率100W，峰值照度≥5500lux</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2.色温范围：双色温模式2700K-6500K，RGB模式0-360°全色相调节，饱和度0-100%可调，适配人像肤色还原、产品静物色彩精准呈现</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3.显色指数：CRI≥96，TLCI≥98，SDR≥95，光谱覆盖接近自然光，确保金属质感、织物纹理等细节色彩真实还原（符合专业摄影色彩标准）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4.附件：配备电池与小型八角柔光箱</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静物台影棚套装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300W遥控灯x2；2.6m灯架x2；柔灯箱x2；横臂沙袋转轮x1；60*100cm偏台x1；无极调光冷暖三色，照度＞55000Lux@1m，CRI＞95。</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静物拍摄三屏套装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1.柔光纸材质：硫酸纸，数量*3；</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2.框架材质：铝合金；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3.框尺寸：≥100x80cm框*3套；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4.横管直径：≥25mm；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5.安装方式：拼接；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6.其他配件：金属万向夹*3，灯架*3，燕尾夹*36。</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一体化培训椅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1.椅座椅腿可折叠；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2.写字板：可调节，底部采用铝合金铰链；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3.面料材质：网布，高回弹高密度海绵；</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5.椅架材质：电镀钢制钢架；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6.椅座尺寸：≥45*47cm；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7.写字板尺寸：≥40*26cm；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8.椅子尺寸：≥50*57*82cm。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操作台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定制，尺寸：长宽高≥120*60*75cm，防火板面多层夹板厚度≥2cm。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1.插位：≥8位；</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2.线长：≥3M；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3.功能：过载保护；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4.插座类型：新国标。</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1.盖门采取翻转方式；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2.合理的尺寸设计，合理的设备安排，国标19英寸机架，真正做到防盗功能；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3.钢木结合材料一体成型；桌体采用1.2-1.5mm优质冷轧钢板，实木扶手；桌面黄色木质耐划台面；全封闭式结构，保障了多媒体设备的安全性；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4.整个讲台只使用一副滑轨，减少故障几率；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5.液晶显示器采用翻转设计，显示器角度任意调节，可使视线和显示器接近垂直，可安装17-24寸显示器，关闭后所有设备都隐藏在讲台内；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6.键盘采用翻转式操作，显示器、中央控制系统、键盘互不影响独立操作；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7.讲桌桌体采用开合式小柜门设计；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8.讲台尺寸：≥1100*780*1000mm(长宽高)。</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多功能椅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1.靠背：高弹透气网布，强力支撑腰部；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2.坐垫：海绵坐垫；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3.扶手类型：固定扶手；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5.尺寸：坐垫≥49*49cm，总体高度≥88-98cm；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6.五星脚：尼龙脚，直径≥55cm；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7.可旋转，可升降。</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1.梯形台面板尺寸:下边长≥80cm，宽≥48cm，斜边≥55cm,桌高≥75cm，桌面厚≥25mm；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2.板材材质:采用（E1级）优质环保双面板饰面，具有防火、防刮、耐磨等特点的防火板。采用隐私挡板；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3.桌腿：加厚1.5mm冷轧钢管，硬度高，不易变形耐腐蚀；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4.脚轮：可刹车PU静音轮，360°滚动静音无痕，移动便捷，带锁扣功能；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5.6张组成六边形，对角直径≥160cm；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6.子母扣:采用子母锁扣，可自由拼接更稳固方便；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7.其他功能：桌子两侧设置折叠扳手旋钮开关，可折叠，节约空间,采用隐私挡板。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梯形桌专用椅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移动支架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适用65-85寸交互一体机移动式支架，底部具有万向轮，可任意方向移动。具有脚刹可固定移动支架。具有托盘可放置触控笔等。</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教学智能终端</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1.操作系统：市场主流系统；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2.CPU：双核心、四线程、2.2GHZ、三级缓存4MB；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3.RAM：≥8G；</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4.内置存储：≥2TB。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5.影音接口：2路HDMI输入接口、2路HDMI输出接口、LineIn*1.LineOut*1。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6.I/O接口：3个USB接口并支持扩展，3个10/100/1000Mbps以太网RJ45接口；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7.视频输出：最大支持4K高清视频，支持30FPS帧率；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8.扩展：具有“录制”按钮，可一键式录制课程；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9.内置无线AP功能/WiFi支持：智能云盒内置无线AP模块，工作频段：支持2.4G和5G。支持协议：802.11a/b/g/n/ac多种协议模式。最大工作速率：1300Mbps。网络工作模式支持：无线路由器、无线交换机、终端模式。</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智能化教学系统软件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1．中英文切换：系统支持简体中文和英文两种语言模式，可快速进行中英文的切换，满足双语教学的要求。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软件遥控器：互动控制系统无需硬件遥控器或USB切换器，用户只需扫码下载遥控器APP，即可将移动终端作为控制端，支持市场主流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3．屏幕工具条：主要是指对设备进行控制操作的功能按钮区域，用户可直接在触控显示屏上触</w:t>
            </w:r>
            <w:r>
              <w:rPr>
                <w:rFonts w:hint="eastAsia" w:ascii="宋体" w:hAnsi="宋体" w:eastAsia="宋体" w:cs="宋体"/>
                <w:color w:val="000000"/>
                <w:szCs w:val="21"/>
                <w:highlight w:val="none"/>
                <w:lang w:bidi="ar"/>
              </w:rPr>
              <w:t xml:space="preserve">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支持设备的有线接入：设备具有2路HDMI输入接口，支持电脑、摄像机、实物展台等外部设备的有线接入。具有2路HDMI输出接口，支持同时连接2个显示终端设备，实现双屏教学。可通过USB口直接接入摄像头采集环境画面，支持通过USB口进行鼠标键盘的接入，支持选择U盘中的文档、图片、视频等资料直接打开播放，也可对存储至U盘的资源进行预览、删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双屏教学支持：镜像模式、扩展模式两种切换效果。镜像模式下，双屏显示相同画面。扩展模式下，可选择主屏上任一画面通过手势滑动拖至副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支持三大类公有传输协议投屏：支持AirPlay、Miracast、WIDI投射协议投屏，能够将市场主流系统设备不安装任何APP或者插件的前提下直接无线接入智能云盒进行投屏。通过外接USB发射器、扫码、安装App等方式投屏，均不符合要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手写板：支持手写板通过Wif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9．音频输入输出接口：设备支持3.5mm音频输入和输出功能。可实现无线或有线音频输入到设备中，同时支持声音输出给功放、音响等设备。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11．多种画面布局显示：支持不少于16个投屏设备同时接入智能云盒，不少于同时16个画面显</w:t>
            </w:r>
            <w:r>
              <w:rPr>
                <w:rFonts w:hint="eastAsia" w:ascii="宋体" w:hAnsi="宋体" w:eastAsia="宋体" w:cs="宋体"/>
                <w:color w:val="000000"/>
                <w:szCs w:val="21"/>
                <w:highlight w:val="none"/>
                <w:lang w:bidi="ar"/>
              </w:rPr>
              <w:t xml:space="preserve">示，且支持Auto（自适应）画面、1画面、2画面、3画面、4画面、6画面、8画面、9画面、16画面切换模式，不少于10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支持：布局快照、清除主屏、清除副屏等功能按钮的选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15．支持画面截屏：通过截屏功能，可一键截取当前显示的内容画面，支持通过遥控器APP分享到微信、微博、QQ等第三方应用程序，并支持存储在U盘或本地硬盘上。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16．存储与图库：存储为用于显示内容的截屏和录制视频的保存，存储支持保存在U盘或本地硬盘；图库中可直接浏览截屏的图片和录制的视频内容。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课堂互动：支持学生使用手写板、反馈器、微信小程序参与课堂答题互动，手写板与反馈器需要在后台绑定教师授课班级信息，设备与学生学号姓名绑定，便于答题数据的统计。学生可通过微信扫码签到，输入课程ID号，</w:t>
            </w:r>
            <w:r>
              <w:rPr>
                <w:rFonts w:hint="eastAsia" w:ascii="宋体" w:hAnsi="宋体" w:eastAsia="宋体" w:cs="宋体"/>
                <w:color w:val="000000"/>
                <w:szCs w:val="21"/>
                <w:highlight w:val="none"/>
                <w:lang w:bidi="ar"/>
              </w:rPr>
              <w:t xml:space="preserve">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18．分组教学：教师上课前，通过创建合作组，并随即生成一个入组验证码；小组屏通过输入验证码，加入到教师指定的合作组里；任何小组屏都</w:t>
            </w:r>
            <w:r>
              <w:rPr>
                <w:rFonts w:hint="eastAsia" w:ascii="宋体" w:hAnsi="宋体" w:eastAsia="宋体" w:cs="宋体"/>
                <w:color w:val="000000"/>
                <w:szCs w:val="21"/>
                <w:highlight w:val="none"/>
                <w:lang w:bidi="ar"/>
              </w:rPr>
              <w:t xml:space="preserve">可以作为教师端，进行创建和解散合作组。可勾选“开机广播”，即教师端下次开机后自动广播主屏幕给所有小组端。教师可以通过广播功能，把教师端显示内容同步到指定的单个或多个小组屏上。通过切屏功能，可以抓取多个小组屏内容到教师端，进行对比教学。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一键课程录制：设备支持通过硬件设备上的“录制”按键或软件工具栏中的“录制”按钮一键开始录课；课程录制支持多画面和外接麦克风声音同步录入，支持720P和1080P格式，录课视频可保存在智能云盒的外接U盘或本地硬盘中，支持录制存储空间不足时文字的提醒功能；还支持后台添加录课摄像机；录制模式支持常态录播模式和电影模式。常态录播模式，可进行导播设置，支持1屏、2屏（均分屏幕、一大一小、画中画）、3屏画面等布局模式选择。录制结果为一个标准MP4格式的视频，录制过程中可随时暂停、停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校园电视台：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21．支持反向控制操作：支持对HDMI有线接入的电脑、无线投屏的市场主流系统设备进行反向控制操作，具有选择开启或关闭功能按钮，可在显示终端大屏触摸或通过智能云盒外接鼠标以及遥控器软件进行回控。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推拉流：支持RTMP协议推流，可实时将教学互动终端的画面、声音通过互联网直播，可完成16路投屏设备画面同步直播到互联网；同时还可支持拉流观看直播，将远端服务器已有的直播内容，通过教学互动终端进行拉流播放；用户可预置多个推流、拉流地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23．书签：支持添加多个教学平台网页链接保存为书签；课堂中，教师可任意选择一个书签，快速打开平台网页，直接调用网页资源进行授课，可在屏幕端同时展示多达16个书签。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扩展屏：支持市场主流系统的移动终端设备安装扩展屏软件，并与智能云盒绑定，即可将智能云盒的视频流画面实时同步到移动终端上。智能云盒可设置选择接收视频流画面，支持:大屏画面、录制直播画面、同步课堂画面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25．应用程序：支持将第三方应用程序预装到智能云盒，直接在教学主界面即可打开软件运行，通过快捷按钮可完成教学主界面和应用程序主界面的一键切换。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欢迎主题：智能云盒支持用户自定义添加欢迎主题、欢迎词功能模块。可更换背景、添加文字、图片、分割线、背景音乐等，系统默认提供不小于14种设计模板，自由导入、导出主题，并可同步展示到小组端，让教学、会议更加高效便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28．为确保产品的操作便携性、易用性，以上功能参数要求必须为一个产品实现，不得通过多个产品组合拼凑。且系统支持连网自动检查更新，本地升级。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教师跟踪摄像机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1.支持4K超高清分辨率图像，最大可提供4K@30fps/25fps图像编码输出，同时向下兼容1080p，720p等分辨率；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2.传感器要求：传感器尺寸≥1/2.8英寸,有效像素≥800万；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3.内置领先图像识别与跟踪算法，无其他辅助的情况下，即可实现平滑自然的EPTZ跟踪效果；能为教师跟踪设置精准灵活的跟踪模型；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4.镜头焦距：≥8±0.3mm；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5.摄像机可同时输出4路码流的图像，支持全景画面和特写画面同时输出，且至少一路视频支持自动导切视频输出，全景画面和特写画面分辨率同时支持1920x1080@25fps以上；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6.具备畸变矫正功能；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7.支持自动平衡方式；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8.USB接口兼容会议软件和平台软件，USB接口支持自动导切视频输出；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9.支持H.265/H.264/MJEPG三种视频编码标准，音频AAC编码标准；支持RTSP、RTMP、Onvif、组播等网络协议；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10.支持EPTZ功能，至少支持4X数字变焦；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11.支持LINEIN外接音频输入，可与视频同步编码后网络输出；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12.支持WDR，可以应对不同光照环境；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13.支持图像2D和3D降噪；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14.支持PoE供电。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学生跟踪摄像机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1.支持4K超高清分辨率图像，最大可提供4K@30fps/25fps图像编码输出，同时向下兼容1080p，720p等分辨率；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2.传感器要求：传感器尺寸≥1/2.8英寸,有效像素≥800万；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3.内置领先图像识别与跟踪算法，无其他辅助的情况下，即可实现平滑自然的EPTZ跟踪效果；能为教师跟踪设置精准灵活的跟踪模型；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4.镜头焦距：≥8±0.3mm；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5.摄像机可同时输出4路码流的图像，支持全景画面和特写画面同时输出，且至少一路视频支持自动导切视频输出，全景画面和特写画面分辨率同时支持1920x1080@25fps以上；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6.具备畸变矫正功能；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7.支持自动平衡方式；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8.USB接口兼容会议软件和平台软件，USB接口支持自动导切视频输出；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9.支持H.265/H.264/MJEPG三种视频编码标准，音频AAC编码标准；支持RTSP、RTMP、Onvif、组播等网络协议；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10.支持EPTZ功能，至少支持4X数字变焦；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11.支持LINEIN外接音频输入，可与视频同步编码后网络输出；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12.支持WDR，可以应对不同光照环境；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13.支持图像2D和3D降噪；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14.支持PoE供电。</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互动音频处理器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1.高度1U，音频处理部分和功率放大器集成到一个机箱内；前面板设计简洁美观，不多于两个操控按钮；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2.具有4路48V幻象供电麦克风输入；</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3.具有4路平衡式线性输入，采用凤凰端子，可接低延时无线麦克风输入（任何频段），无线麦克风和有线麦克风支持闪避设置；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4.具有6路平衡式线性输出，采用凤凰端子；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5.预留1路两通道USB音频接口，可传输AEC-REF、AEC-OUT数据，可整合到电脑作为声卡，无缝对接在线教学平台及软会议平台音频系统；</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6.2路（左右声道）功放输出，每通道支持2路并联，每路最大100W；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7.物理面板具有便于远程调试、升级的配对按键；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8.支持远程控制和音频监听、对讲功能；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9.卓越丰富的信号处理模块：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-滤波功能模块，包括高通滤波器、低通滤波器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-支持参量均衡调节功能，配备7段参量均衡调节模块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-支持闪避功能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-内置限幅器、压缩限制器等功能模块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-支持音量调节功能，支持音量平衡、音量调节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-可保存当前所有参数为配置文件，可载入参数配置文件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10.提供RMS均值和Peak峰值两种电平表，可监测当前音频信号幅度；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11.采样率32kHz，A/D和D/A、24-bit；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12.顶尖的AFC自学习声反馈抑制功能，传声增益提升幅度≥15dB；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13.先进的AEC自适应声学回声抑制功能: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回音消除尾音长度：≥512ms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回声消除幅度：≥70dB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收敛速度：≥65dB/S。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14.支持多麦克风智能混音、具备话筒优选功能；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15.本地扩声声场不均匀度（SFN）：&lt;3dB；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16.信噪比≥100dB；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17.支持自适应自动增益功能；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18.信号处理延时：&lt;8ms，无故障运行时间：(MTBF):≥60000小时；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19.动态自适应背景降噪技术，信噪比提升≥18dB；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20.本地扩音和远程互动能同时进行，并且相互不影响效果；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21.调试控制接口：同时支持网口和串口调试；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22.支持讲桌桌面安装话筒控制按钮，一键关闭或开启话筒；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23.物理面板具有一键恢复出厂设置的按键；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24.物理面板具有3.5mm监听接口；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25.设备支持机壳接地，具有明显的接地标识。</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球形麦克风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1.传感器类型：Φ24背极式驻极体电容极头；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2.电路特征：JFET阻抗变换；电子平衡；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3.指向性：360度全向拾音，拾音半径可达8米；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4.频响：50Hz-20kHz；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5.灵敏度：≥-44±3dB(0dB=1V/Pa@1kHz)；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6.输出接口：迷你XLR-3公型；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7.尺寸：球形(直径:≥53MM)；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8.供电方式：48V幻象电源；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9.安装方式：悬挂安装。</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1.系统类型：单6.5"专业全频音箱；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2.阻抗：8Ω；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3.频响：50Hz-18kHz；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4.额定功率：≥40W；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5.承受功率：≥100W；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6.灵敏度：≥110dB；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7.指向性：≥100°H×100°V；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8.尺寸：≥深185×宽210×高320mm；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9.重量：≥3.5KG。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12U，高宽深≥600*600*600mm，含PDU电源、风机。</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8.录音间设备</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1.音频引擎：≥64bit；</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2.音频分辨率：≥192kHz；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3.MIDI轨道：无限；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4.音频轨道：无限；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5.VST乐器轨道：无限；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6.VCA轨道：≥256；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7.VST乐器：≥4；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8.乐器预制：≥3000；</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9.VST音频效果器插件：87；</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10.VSTMIDI效果器插件：17；</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11.物理输入输出：256；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12.音频轨道插入插槽：16；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13.编组轨道：256；</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14.效果轨道发送和返回：发送：8返回：64；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15.乐器机架：≥64；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16.MIDI插件插入插槽&amp;发送：4；</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17.和弦击垫；和弦轨；和弦助手-五度循环圈。</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音频接口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1.≥2条话筒/乐器/线路输入，带有XMAXClassA；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2.≥6条话筒/线路输入，带有XMAXClassA；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3.≥8轨ADAT光学输入输出(4轨在96kHz)；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4.≥2条平衡的¼”TRS主输出；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5.用于发送控制电压的直流耦合；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6.≥8条平衡的¼”TRS线路输出用于监听混音；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7.用于发送控制电压的直流耦合；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8.≥2条立体声耳机输出，带有独立的电平控制；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9.MIDI输入/输出；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10.立体声S/PDIF数字输入/输出。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大振膜电容话筒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1.类型：电容话筒；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2.频率范围：20Hz—20kHz，±3dB；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3.振膜：≥34mm镀金膜片；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4.指向性：心型；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5.灵敏度：≥-35dBu；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6.最大声压级：136dB；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7.等效噪声等级：11dBA；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8.信噪比：85dBA；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9.输出阻抗：200ohm；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10.额定负载阻抗：1Kohm；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11.输出连接器：3针公XLR输出。</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音频压缩器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1.晶体管-压缩器/限幅器；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2.配备A类线路电平放大器和MIDAS变压器；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3.完全离散的信号路径；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4.通过按钮选择比例：4:1,8:1,12:1,20:1；</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5.从20到800微秒的极快速启动；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6.释放时间从80到700毫秒可调；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7.复古风格的VU表；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8.带有NeutrikXLR插座的变压器平衡输入和输出；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9.内置通用开关电源100-240V/50-60Hz；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10.机架：19“/2HE。</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1.麦克风前置放大器，人声处理器；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2.midas设计的麦克风前置放大器；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3.集成压缩，去磁器，增强器，扩展器/门；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4.+48V幻像电源开关；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5.通过耳机监控您的录音，方便的Mix控制混合您的输入与USB播放；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6.低切；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7.LED表；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8.支持的采样率:44.1/48/88.2/96/176.4/192kHz；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9.≥1个麦克风/线路输入:组合XLR/6.3毫米插孔平衡；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10.≥1个线路输入:6.3mm插孔平衡；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11.插入发送/返回:6.3毫米插孔平衡；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12.≥1个线路输出:XLR和6.3mm插孔平衡；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13.≥1个立体声耳机输出:6.3毫米插孔。</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监听控制器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1.线路输入：≥1对6.5立体声输入口；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2.音箱输出：≥1对6.5输出口；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3.直接输出：≥2个6.5输出口；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4.耳分输出：≥1对6.5输出口；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5.耳机口：≥1个歌手耳机口，≥1个录音师耳机口。</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耳机放大器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1.黑色金属烤漆面板设计；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2.六组独立耳机通道；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3.输入电平：+25dBu；</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4.输入阻抗：100kΩ（非平衡）；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5.主立体声输入为背面板上的电子平衡接口；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6.总谐波失真：&lt;0.08%；</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7.具有独立的音量控制；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8.单独insert输入接口；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9.信噪比：≥90dB；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10.1U机架式设备19寸标准；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11.电源：230VAC,50-60Hz15VA；</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监听耳机</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1.耳机类型：封闭式；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2.耳机灵敏度：≥100±3dB；</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3.额定阻抗：≥32Ohms；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4.驱动单元：50mm；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5.线缆长度：≥3m；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6.耳罩样式：封闭式；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7.最大功率：1500mW；</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8.音频带宽：10-32000HZ。</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电源时序滤波器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1.表面处理，黑色砂漆面板磨砂设计；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2.多功能专用插座，提供不同器材专用接口保证完美电力传输；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3.时序开关，自动步进式给每个接口供电，方便控制不同器材按顺序开关；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4.RFI滤波，射频干扰滤波器消除电信号中的不同成分杂波；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5.接口，前面板两通道辅助输出无染色插座，后面板多用万能插口兼容所有设备；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6.直通输出，连接其他器材防雷保护；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7.数字电压表读数，显示输入电压，实时监控显示当前通路电压；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8.电压保护，电路断路器，当遇到异常电压时自动保护后级器材；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9.单路额定输出电流：30A；</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10.控制电源：≥10通道；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11.射频滤波：是；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12.响应时间：≤1纳秒；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13.额定输出电压：100V-240V；</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14浪涌电流：6500安培；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15.延时配件插座：≥8总；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16.电压显示：是；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17.通道间隔切换时间：≤1秒。</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话筒支架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1.高度可调：120cm-210cm；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2.横梁长度：≥80cm；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3.杆子采用锌铁合金制成；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4.下杆直径：≥3cm；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5.上杆直径：≥2.5cm；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6.净重：≥3.5kg。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耳分支架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1.高度：78-128厘米可调；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2.上托盘规格：≥15*48.5cm；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3.耳机挂规格：长≥40cm，宽≥5cm；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4.底盘直径：≥54厘米；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5.净重：≥5.6kg。</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防喷罩</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1.防止录音时喷麦及口水，对话筒的保护；</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2.双层防喷网设计；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3.材料优质；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4.带短柄设计，可挂耳机；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5.防喷网直径≥15.5cm；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6.臂长≥58cm，含短柄。</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枪式麦克风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1.尺寸：枪麦部分≥φ22mm*L224mm，接收器部分：≥54*48*22mm;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2.无线类型：2.4GHz；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3.麦克风指向性：超心型；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4.无线延迟：≤20ms；</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5.天线类型：陶瓷天线；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6.接收灵敏度：≥-96dBm；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7.录音标准：48kHz采样率/32-bit浮点无损录音</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8.频率响应：20Hz~20kHz（全频段音频覆盖）</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9.信噪比：75dBSPL(A-weighted,符合IEC651标准)</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10.等效噪声：19dBSPL(A-weighted,符合IEC651标准)</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11.最大声压级：130dBSPL(@1%THD，避免爆音失真)</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12.灵敏度范围：-38dB~-18dBre1V/Pa(12mV~125mV@94dBSPL)±2dB@1kHz；</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13.板载存储：内置≥32GB内存，支持≥40小时无压缩音频存储</w:t>
            </w:r>
            <w:r>
              <w:rPr>
                <w:rFonts w:ascii="Times New Roman" w:hAnsi="Times New Roman" w:eastAsia="宋体" w:cs="Times New Roman"/>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14.挑杆≥3m；</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音频线材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XLR卡农和TRS大三芯线材、插线板。</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录音间工作台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工作台：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1.面板采用E1级环保实木生态板材，加厚桌板；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2.尺寸：长宽高≥1600mm*600mm*750mm；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3.加粗桌腿、结构稳固；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4.框架材质：金属。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工作台座椅（2把）：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1.尺寸：≥48*47*79cm；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材料：环保pp材料靠背和坐垫、≥12mm实心钢制环氧腿框支撑；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2.坐垫外边用网布面料包裹可回弹海绵，弹性好，不积汗，耐磨，坐高≥45cm；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3.堆叠存放、不占多余空间；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4.满足安全性、耐用性和稳定性。</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器材存储柜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定制，尺寸：宽深高≥850*390*1800mm;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材质：钢制。</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机柜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1.尺寸：≥22U19英寸标准服务器机柜；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2.深度：≥600mm；</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3.材质：加厚冷轧钢材；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4.配件：带风扇、托盘、脚轮、螺丝、螺母、电源插排等。</w:t>
            </w:r>
            <w:r>
              <w:rPr>
                <w:rFonts w:hint="eastAsia" w:ascii="宋体" w:hAnsi="宋体" w:eastAsia="宋体" w:cs="宋体"/>
                <w:color w:val="000000"/>
                <w:szCs w:val="21"/>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相关实训室装修</w:t>
            </w:r>
            <w:r>
              <w:rPr>
                <w:rFonts w:hint="eastAsia" w:ascii="宋体" w:hAnsi="宋体" w:eastAsia="宋体" w:cs="宋体"/>
                <w:b/>
                <w:bCs/>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1.酒水茶艺实训室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酒水吊柜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1.尺寸：长宽高≥160*40*65cm；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5.层数：二层；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茶艺吊柜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1.尺寸：长宽高≥320*40*90cm；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3.风格：新中式；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5.层数：三层；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1.尺寸：长宽高≥240*40*85cm；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博古架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定制，尺寸：宽*深*高≥240*25*200cm；材质：楠竹和竹纤维；风格：新中式。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定制，尺寸：≥长6.4m*高1.8m，双面防透布。</w:t>
            </w:r>
            <w:r>
              <w:rPr>
                <w:rFonts w:hint="eastAsia" w:ascii="宋体" w:hAnsi="宋体" w:eastAsia="宋体" w:cs="宋体"/>
                <w:color w:val="000000"/>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上下水阀门、台下盆、水龙头购买及安装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1.上下水阀门、台下盆、水龙头购买及安装；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2.上下水阀门参数：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加厚抗压防爆阀门，表面多道工序打磨处理，有效防止生锈/腐蚀。</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3.台下盆参数：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尺寸：长宽深≥60*45*15cm，一体成型易清洁，抗污智洁釉面，嵌入式安装。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4.水龙头参数：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加厚不锈钢面盆水龙头，优质不锈钢铸造，防爆防裂，不易生锈，电镀工艺，耐腐蚀性强，久用不掉色，优质阀芯，多次开合无渗漏。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给水管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采用直径25mmPPR给水管。</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排水管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采用直径50mmPVC排水管。</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2.餐饮服务实训室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1.尺寸：长宽高≥720*40*90cm；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5.层数：三层；</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6.柜门材质：3C钢化玻璃门；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3.前厅客房实训室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1.5厚阻燃板基层，20mm厚人造石。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衣柜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1.材质：采用E0级实木生态板；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2.尺寸：长宽高：≥200*45*180cm；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3.开合方式：推拉滑移门；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4.内部格局：储物区、挂衣区、叠放区，含铝合金挂衣杆。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吊柜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1.尺寸：长宽高≥720*50*40cm；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5.安装方式：悬挂式。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屏风隔断</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隔断1：尺寸：≥长3.2m*高1.8m，双面防透布。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隔断2：尺寸：≥长2.4m*高1.8m，双面防透布。</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拆除原空调及管网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4.数字旅媒综合实训室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封门洞口</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洞口基层清理处理、轻钢龙骨框架安装固定、封堵材料安装、接缝处理、表面饰面基层处理。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光纤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万兆光纤。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65"/>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静电地板及安装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材料：600*600mm陶瓷静电地板购买及安装。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5.直播实训室（含直播间）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轻钢龙骨双面石膏板隔墙</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12mm石膏板，定位放线、天地龙骨安装固定、竖向龙骨安装固定、横撑龙骨安装、一侧石膏板安装、隔墙内管线/填充物施工，含隔音棉。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新增玻璃单开门M0921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门洞口复核测量、门框（含地弹簧/铰链预埋件）安装固定、玻璃门扇安装调试、五金配件（拉手、门锁等）安装、密封胶收口。</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6.摄影摄像实训室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无影棚墙面乳胶漆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2.对原墙体泛碱处采用草酸处理两-叁遍；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3.整体刮防水腻子一遍；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4.砂纸打磨，平立面打磨平整，阴阳角拐条打磨方正；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5.喷涂乳胶漆两遍，哑光乳胶漆，色号：纯净白；</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6.墙面需无凸起、裂缝，拐角处做弧形处理（半径≥30cm）。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照明开关</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储物柜</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定制，</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1.尺寸：长宽高≥320*40*200cm;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2.材质：E0级实木生态板；</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3.风格：现代简约；</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4.结构：框架结构。</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无影棚聚氯乙烯塑胶地板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采用3mm厚规格纯净白聚氯乙烯塑胶。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7.多功能智慧实训室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1.插位：≥6位；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2.线长：≥1.8M；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3.功能：过载保护；</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4.插座类型：新国标。</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8.办公室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1.品牌单开开关购买及安装；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489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499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9.录音间</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509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1.品牌单开开关购买及安装；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519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529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10.其他实训室</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新增实木复合门M1524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门洞口复核、门框安装固定、门扇安装调试、五金配件安装。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隔板拆除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基层清理、室内石膏板拆除、建筑垃圾清运。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539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插座及安装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1.86线盒插座购买及安装；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2.尺寸：标准尺寸，通用性强，安装更换方便快捷；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3.类别：插座；</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4.特点：防变形、耐高温、更牢固、防触电。</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配线-照明</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配线-空调及插座</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规格：DN25，暗敷。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配电箱尺寸：500*700mm，材质：冷轧钢板+ABS塑料面板；160A空开*1；空调开关3P32A*3；L1P漏电32A开关*8；1P20A开关*3。</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木窗帘盒</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定位放线、木龙骨框架制作安装、基层板安装、饰面板安装/批刮腻子，</w:t>
            </w:r>
            <w:r>
              <w:rPr>
                <w:rFonts w:hint="eastAsia" w:ascii="Calibri" w:hAnsi="Calibri" w:eastAsia="宋体" w:cs="Times New Roman"/>
                <w:color w:val="000000"/>
                <w:highlight w:val="none"/>
              </w:rPr>
              <w:t xml:space="preserve">板材厚度≥15mm。</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窗帘</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软装，窗帘采用1.8倍褶皱工艺，克重≥290g/㎡，遮光率90%以上，符合B1级阻燃标准，具备防皱功能，安装方式采用罗马杆。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549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拆除原空调</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室内机拆除、连接铜管/冷凝水管拆除、墙洞/吊顶洞口封堵、设备及管网清运。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11.公共走道</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天棚面龙骨及饰面拆除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饰面板（石膏板等）拆除、吊杆、主副龙骨拆除、建筑垃圾清运。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拆除原门</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五金件拆卸、门扇拆除、门框拆除、垃圾清理。</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内墙乳胶漆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（1）基层清理、界面剂及找平修补用粉刷石膏修补原墙面凹凸不平；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（2）对原墙体泛碱处采用草酸处理；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（3）整体刮腻子1-2遍；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（4）砂纸打磨，平立面打磨平整，阴阳角打磨方正；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559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顶棚乳胶漆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（1）基层清理、界面剂及找平修补、满批腻子二遍，平立面打磨平整，阴阳角打磨方正；</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（2）喷涂乳胶漆两遍；</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（3）综合考虑超高施工及垂直运输、梁侧面及板标高差处侧面喷涂等。</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（1）类型：墙漆；</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（2）施工方式：刷涂、滚涂等方式；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（3）附加功能：防霉，净味等。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铝合金格栅吊顶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1.基层清理、龙骨安装、格栅安装；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2.材质：铝合金；</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格栅单元尺寸</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：60×70mm；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4.面板厚度</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：1mm；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w:t>
            </w:r>
            <w:r>
              <w:rPr>
                <w:rFonts w:ascii="Times New Roman" w:hAnsi="Times New Roman" w:eastAsia="宋体" w:cs="Times New Roman"/>
                <w:color w:val="000000"/>
                <w:sz w:val="22"/>
                <w:highlight w:val="none"/>
                <w:lang w:bidi="ar"/>
              </w:rPr>
              <w:t xml:space="preserve">‌</w:t>
            </w:r>
            <w:r>
              <w:rPr>
                <w:rFonts w:hint="eastAsia" w:ascii="宋体" w:hAnsi="宋体" w:eastAsia="宋体" w:cs="宋体"/>
                <w:color w:val="000000"/>
                <w:sz w:val="22"/>
                <w:highlight w:val="none"/>
                <w:lang w:bidi="ar"/>
              </w:rPr>
              <w:t xml:space="preserve">龙骨材料：卡式龙骨；</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6.含原顶面乳胶漆改色。</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轻钢龙骨石膏板吊顶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基层清理、龙骨安装、基层板安装、1.2cm石膏板安装、乳胶漆涂刷。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原强弱电及灯具撤除外运</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人工开槽拆除原强弱电管线并撤出清运。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长条灯具及安装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1.条形灯具购买及安装；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2.类别：条形吊灯；</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3.尺寸：≥1200*70mm；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4.操控方式：开关式；</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5.光源类型：LED；</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6.灯身材质：金属+亚克力；</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7.瓦数：≥36W。</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开关及安装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1.品牌多开开关购买及安装；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2.规格:86系列；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3.类别：开关；</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4.特点：安全保护、防火阻燃材料、触感舒适，反应灵敏。</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2.5平方毫米阻燃电线，材质铜芯购买及铺设，采用暗敷；</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特点：强韧性、耐弯折、PVC新料，阻燃耐高温，耐盐耐腐蚀，不易老化，防击穿，保障用电安全。</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配管</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材质：PVC管；</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规格：DN20，暗敷。</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配电箱</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DZ30配电箱28组*1，材质：冷轧钢板+ABS塑料面板；2P带漏电保护60A总开关*1；1P带漏电保护32A开关*6；1P20A单开*2。</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1.5厚阻燃板基层，20厚人造石。</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569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窗台板拆除。</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网线铺设</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超六类网线购买及铺设。</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铲除原墙面油漆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用水湿润墙面2至3遍、人工铲除、基层清理，铲除垃圾清运。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聚氯乙烯塑胶地板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1.施工工艺</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地面基层清理、地面自流平找平及打磨、涂抹胶水、安装。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2.技术参数</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采用3mm厚规格聚氯乙烯塑胶。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原踢脚线拆除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人工拆除原房间踢脚线。</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铝合金踢脚线</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基层清理、安装铝合金材质踢脚线，规格为厚1.0mm,高6cm，表面采用拉丝工艺特殊处理。</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12.强电</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1.规格：WDZC-YJV-4x185+1x95；</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1.规格：WDZC-YJV-4x25+1x16；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电力电缆</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1.规格：WDZC-YJV-4x10+1x6；</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2.敷设方式、部位:桥架、管道敷设；</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3.含电缆头制作安装。</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578</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桥架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规格300*100cm购买及安装。</w:t>
            </w:r>
            <w:r>
              <w:rPr>
                <w:rFonts w:hint="eastAsia" w:ascii="宋体" w:hAnsi="宋体" w:eastAsia="宋体" w:cs="宋体"/>
                <w:color w:val="000000"/>
                <w:sz w:val="22"/>
                <w:highlight w:val="none"/>
              </w:rPr>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9854" w:type="dxa"/>
            <w:vAlign w:val="center"/>
            <w:textDirection w:val="lrTb"/>
            <w:noWrap/>
          </w:tcPr>
          <w:p>
            <w:pPr>
              <w:pStyle w:val="726"/>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13.其他</w:t>
            </w:r>
            <w:r>
              <w:rPr>
                <w:rFonts w:hint="eastAsia" w:ascii="宋体" w:hAnsi="宋体" w:eastAsia="宋体" w:cs="宋体"/>
                <w:b/>
                <w:bCs/>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579</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VI软装</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包括内外走廊文化墙整体装修VI设计与制作施工。</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580</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消防改造-直播间</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消防专用喷淋、烟感购买及安装；</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喷淋数量：≥8个；</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喷淋头类型：快速响应下垂型喷头（RTI≤50ms），公称口径DN15（K=80）；</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安装高度：距天花板0.1~0.5m，距设备顶部≥0.3m；</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动作温度：68℃（红色玻璃球）；</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烟感数量：≥10个；</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探测器类型：点型光电感烟探测器（低误报型，带抗强光功能）。</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窗户局部维修</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窗户清洁、更换胶条，更换破损玻璃、维修玻璃等。</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广告拆除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拆除标识牌、规章制度牌、等广告宣传。</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强弱电及水安装费。</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成品保护、垃圾清运。</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满堂脚手架</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管理费</w:t>
            </w:r>
            <w:r>
              <w:rPr>
                <w:rFonts w:hint="eastAsia" w:ascii="宋体" w:hAnsi="宋体" w:eastAsia="宋体" w:cs="宋体"/>
                <w:color w:val="000000"/>
                <w:sz w:val="22"/>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39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587</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79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税金</w:t>
            </w:r>
            <w:r>
              <w:rPr>
                <w:rFonts w:hint="eastAsia" w:ascii="宋体" w:hAnsi="宋体" w:eastAsia="宋体" w:cs="宋体"/>
                <w:color w:val="000000"/>
                <w:sz w:val="22"/>
                <w:highlight w:val="none"/>
              </w:rPr>
            </w:r>
            <w:r/>
          </w:p>
        </w:tc>
      </w:tr>
    </w:tbl>
    <w:p>
      <w:pPr>
        <w:pStyle w:val="726"/>
        <w:rPr>
          <w:rFonts w:ascii="Calibri" w:hAnsi="Calibri" w:eastAsia="宋体" w:cs="Times New Roman"/>
          <w:color w:val="000000"/>
          <w:szCs w:val="24"/>
          <w:highlight w:val="none"/>
        </w:rPr>
      </w:pPr>
      <w:r>
        <w:rPr>
          <w:rFonts w:ascii="Calibri" w:hAnsi="Calibri" w:eastAsia="宋体" w:cs="Times New Roman"/>
          <w:color w:val="000000"/>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四</w:t>
      </w:r>
      <w:r>
        <w:rPr>
          <w:rFonts w:ascii="Times New Roman" w:hAnsi="Times New Roman" w:eastAsia="宋体" w:cs="Times New Roman"/>
          <w:b/>
          <w:color w:val="000000"/>
          <w:sz w:val="24"/>
          <w:szCs w:val="24"/>
          <w:highlight w:val="none"/>
        </w:rPr>
        <w:t xml:space="preserve">、供货要求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1.交货期：</w:t>
      </w:r>
      <w:r>
        <w:rPr>
          <w:rFonts w:hint="eastAsia" w:ascii="宋体" w:hAnsi="宋体" w:eastAsia="宋体" w:cs="宋体"/>
          <w:i/>
          <w:iCs/>
          <w:color w:val="000000"/>
          <w:sz w:val="24"/>
          <w:szCs w:val="24"/>
          <w:highlight w:val="none"/>
          <w:u w:val="single"/>
        </w:rPr>
        <w:t xml:space="preserve">90个日历天</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2.交货方式：送货上门。</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3.交货地点：采购人指定地点。</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五</w:t>
      </w:r>
      <w:r>
        <w:rPr>
          <w:rFonts w:ascii="Times New Roman" w:hAnsi="Times New Roman" w:eastAsia="宋体" w:cs="Times New Roman"/>
          <w:b/>
          <w:color w:val="000000"/>
          <w:sz w:val="24"/>
          <w:szCs w:val="24"/>
          <w:highlight w:val="none"/>
        </w:rPr>
        <w:t xml:space="preserve">、安装调试要求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1.中标单位应遵守现场的一切规章制度，文明施工；并根据甲方的需要，在规定的时间内，保证质量完成报价所提供设备的安装、调试及运行。</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2.安装前应对采购单位（甲方）现场进行详细考察，确保安装过程的成功。施工过程应严格执行相关的强弱电施工规范，并保证施工安全。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3.设备安装、调试所需的工具、仪表及安装材料由中标单位自行解决。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5.中标单位派出的安装人员安全责任由中标单位自行承担，派出人员应具备相关的专业知识、技术水平、相应资质和能力，熟悉本合同所述货物的规格、技术指标及安装要求。</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六、履约验收要求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3.投标人中标后须按投标材料展示所展示产品向招标人提供，如中标人所供产品与投标材料展示不符，招标人有权要求中标人更换，如更换后产品仍不一致，招标人将不予办理验收程序。</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5.招标人对中标人提供的货物在使用前进行调试时，中标人需负责安装并培训招标人的使用操作人员，并协助招标人一起调试，直到符合技术要求，招标人才做最终验收。</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七、培训要求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1.中标人承诺完成设备调试后，提供现场培训教学，培训天数不少于2天。</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2.培训内容为软件平台使用。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3.培训地点为采购人指定地点。</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八、售后服务要求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（1）质保期：</w:t>
      </w:r>
      <w:r>
        <w:rPr>
          <w:rFonts w:hint="eastAsia" w:ascii="Times New Roman" w:hAnsi="Times New Roman" w:eastAsia="宋体" w:cs="Times New Roman"/>
          <w:i/>
          <w:iCs/>
          <w:color w:val="000000"/>
          <w:sz w:val="24"/>
          <w:highlight w:val="none"/>
          <w:u w:val="single"/>
          <w:lang w:val="en-US" w:eastAsia="zh-CN"/>
        </w:rPr>
        <w:t xml:space="preserve">按国家质保要求执行</w:t>
      </w:r>
      <w:r>
        <w:rPr>
          <w:rFonts w:hint="eastAsia" w:ascii="Times New Roman" w:hAnsi="Times New Roman" w:eastAsia="宋体" w:cs="Times New Roman"/>
          <w:i/>
          <w:iCs/>
          <w:color w:val="000000"/>
          <w:sz w:val="24"/>
          <w:highlight w:val="none"/>
          <w:u w:val="single"/>
        </w:rPr>
        <w:t xml:space="preserve">。</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（2）投标人需要提供完善的售后服务体系、安装调试方案、出现质量问题时解决的措施及效率、维护措施方案等。</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（3）投标人需承诺</w:t>
      </w:r>
      <w:r>
        <w:rPr>
          <w:rFonts w:ascii="Times New Roman" w:hAnsi="Times New Roman" w:eastAsia="宋体" w:cs="Times New Roman"/>
          <w:color w:val="000000"/>
          <w:sz w:val="24"/>
          <w:szCs w:val="24"/>
          <w:highlight w:val="none"/>
        </w:rPr>
        <w:t xml:space="preserve">派遣</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人</w:t>
      </w:r>
      <w:r>
        <w:rPr>
          <w:rFonts w:hint="eastAsia" w:ascii="Times New Roman" w:hAnsi="Times New Roman" w:eastAsia="宋体" w:cs="Times New Roman"/>
          <w:color w:val="000000"/>
          <w:sz w:val="24"/>
          <w:szCs w:val="24"/>
          <w:highlight w:val="none"/>
        </w:rPr>
        <w:t xml:space="preserve">以上成员</w:t>
      </w:r>
      <w:r>
        <w:rPr>
          <w:rFonts w:ascii="Times New Roman" w:hAnsi="Times New Roman" w:eastAsia="宋体" w:cs="Times New Roman"/>
          <w:color w:val="000000"/>
          <w:sz w:val="24"/>
          <w:szCs w:val="24"/>
          <w:highlight w:val="none"/>
        </w:rPr>
        <w:t xml:space="preserve">进行</w:t>
      </w:r>
      <w:r>
        <w:rPr>
          <w:rFonts w:hint="eastAsia" w:ascii="Times New Roman" w:hAnsi="Times New Roman" w:eastAsia="宋体" w:cs="Times New Roman"/>
          <w:color w:val="000000"/>
          <w:sz w:val="24"/>
          <w:szCs w:val="24"/>
          <w:highlight w:val="none"/>
        </w:rPr>
        <w:t xml:space="preserve">驻场服务</w:t>
      </w:r>
      <w:r>
        <w:rPr>
          <w:rFonts w:ascii="Times New Roman" w:hAnsi="Times New Roman" w:eastAsia="宋体" w:cs="Times New Roman"/>
          <w:color w:val="000000"/>
          <w:sz w:val="24"/>
          <w:szCs w:val="24"/>
          <w:highlight w:val="none"/>
        </w:rPr>
        <w:t xml:space="preserve">，负责项目的管理</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和监督</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（4）其它要求：</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①因中标人的原因出现问题，应免费到现场进行再次调试，直至系统恢复正常为止。</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②保修期内，免费提供所有硬件设备的维修及软件维护、升级等技术支持服务；所有设备维修服务、软件维护、升级均为上门服务，由此产生的费用均不再向采购人收取。</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④技术后援支持服务：为今后招标人系统中主要设备、软件和系统功能扩充、升级提供技术支持服务。</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九、投标报价要求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1．投标报价包括生产、供货、</w:t>
      </w:r>
      <w:r>
        <w:rPr>
          <w:rFonts w:hint="eastAsia" w:ascii="Times New Roman" w:hAnsi="Times New Roman" w:eastAsia="宋体" w:cs="Times New Roman"/>
          <w:color w:val="000000"/>
          <w:sz w:val="24"/>
          <w:szCs w:val="24"/>
          <w:highlight w:val="none"/>
          <w:lang w:val="zh-CN"/>
        </w:rPr>
        <w:t xml:space="preserve">包装、</w:t>
      </w:r>
      <w:r>
        <w:rPr>
          <w:rFonts w:hint="eastAsia" w:ascii="Times New Roman" w:hAnsi="Times New Roman" w:eastAsia="宋体" w:cs="Times New Roman"/>
          <w:color w:val="000000"/>
          <w:sz w:val="24"/>
          <w:szCs w:val="24"/>
          <w:highlight w:val="none"/>
        </w:rPr>
        <w:t xml:space="preserve">运输、装卸、安装、</w:t>
      </w:r>
      <w:r>
        <w:rPr>
          <w:rFonts w:hint="eastAsia" w:ascii="Times New Roman" w:hAnsi="Times New Roman" w:eastAsia="宋体" w:cs="Times New Roman"/>
          <w:color w:val="000000"/>
          <w:sz w:val="24"/>
          <w:szCs w:val="24"/>
          <w:highlight w:val="none"/>
          <w:lang w:val="zh-CN"/>
        </w:rPr>
        <w:t xml:space="preserve">配件、</w:t>
      </w:r>
      <w:r>
        <w:rPr>
          <w:rFonts w:hint="eastAsia" w:ascii="Times New Roman" w:hAnsi="Times New Roman" w:eastAsia="宋体" w:cs="Times New Roman"/>
          <w:color w:val="000000"/>
          <w:sz w:val="24"/>
          <w:szCs w:val="24"/>
          <w:highlight w:val="none"/>
        </w:rPr>
        <w:t xml:space="preserve">调试、检验、培训及售后服务、税金和保险等费用以及采购文件规定的其他费用。除合同价款外，采购人不支付其他任何费用。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2.投标人按照采购清单所列数量报投标单价和总价。</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十、付款方式与履约保证金</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1.付款方式</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合同签订后，待全部货物交付完成，安装调试无质量问题并验收合格，经结算审计后按审定价付至100%。</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项目中涉及工程装修部分，完工验收合格，经结算审计付款审定价的97%，剩余3%作为质保金，待缺陷责任期满后无质量问题付清余款（无息）。</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所有付款节点，供应商均需提供对应合规发票。</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十一、其他</w:t>
      </w:r>
      <w:r>
        <w:rPr>
          <w:rFonts w:ascii="Times New Roman" w:hAnsi="Times New Roman" w:eastAsia="宋体" w:cs="Times New Roman"/>
          <w:b/>
          <w:color w:val="000000"/>
          <w:sz w:val="24"/>
          <w:szCs w:val="24"/>
          <w:highlight w:val="none"/>
        </w:rPr>
      </w:r>
      <w:r/>
    </w:p>
    <w:p>
      <w:pPr>
        <w:pStyle w:val="72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本项目报价不得超过预算价（最高限价）。</w:t>
      </w:r>
      <w:r>
        <w:rPr>
          <w:rFonts w:hint="eastAsia" w:ascii="宋体" w:hAnsi="宋体"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宋体" w:cs="Times New Roman"/>
          <w:color w:val="000000"/>
          <w:sz w:val="24"/>
          <w:szCs w:val="24"/>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r>
      <w:r/>
    </w:p>
    <w:p>
      <w:pPr>
        <w:pStyle w:val="726"/>
        <w:jc w:val="center"/>
        <w:keepLines/>
        <w:keepNext/>
        <w:spacing w:line="360" w:lineRule="auto"/>
        <w:rPr>
          <w:rFonts w:hint="eastAsia" w:ascii="宋体" w:hAnsi="宋体" w:eastAsia="宋体" w:cs="宋体"/>
          <w:b/>
          <w:bCs/>
          <w:color w:val="000000"/>
          <w:sz w:val="36"/>
          <w:szCs w:val="20"/>
          <w:highlight w:val="none"/>
        </w:rPr>
        <w:outlineLvl w:val="0"/>
      </w:pPr>
      <w:r>
        <w:rPr>
          <w:rFonts w:hint="eastAsia" w:ascii="宋体" w:hAnsi="宋体" w:eastAsia="宋体" w:cs="宋体"/>
          <w:b/>
          <w:bCs/>
          <w:color w:val="000000"/>
          <w:sz w:val="36"/>
          <w:szCs w:val="20"/>
          <w:highlight w:val="none"/>
        </w:rPr>
        <w:t xml:space="preserve">分包二：</w:t>
      </w:r>
      <w:r>
        <w:rPr>
          <w:rFonts w:hint="eastAsia" w:ascii="宋体" w:hAnsi="宋体" w:eastAsia="宋体" w:cs="宋体"/>
          <w:b/>
          <w:bCs/>
          <w:color w:val="000000"/>
          <w:sz w:val="36"/>
          <w:szCs w:val="20"/>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说明：本项目属性为</w:t>
      </w:r>
      <w:r>
        <w:rPr>
          <w:rFonts w:hint="eastAsia" w:ascii="Calibri" w:hAnsi="Calibri" w:eastAsia="宋体" w:cs="Times New Roman"/>
          <w:b/>
          <w:color w:val="000000"/>
          <w:sz w:val="24"/>
          <w:szCs w:val="24"/>
          <w:highlight w:val="none"/>
        </w:rPr>
        <w:t xml:space="preserve">货物</w:t>
      </w:r>
      <w:r>
        <w:rPr>
          <w:rFonts w:hint="eastAsia" w:ascii="Calibri" w:hAnsi="Calibri" w:eastAsia="宋体" w:cs="Times New Roman"/>
          <w:color w:val="000000"/>
          <w:sz w:val="24"/>
          <w:szCs w:val="24"/>
          <w:highlight w:val="none"/>
        </w:rPr>
        <w:t xml:space="preserve">，采购标的对应的中小企业划分标准所属行业详见货物（标的）采购清单。</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1.根据《政府采购需求管理办法》等有关规定，采购人确定采购需求。</w:t>
      </w:r>
      <w:r>
        <w:rPr>
          <w:rFonts w:ascii="Calibri" w:hAnsi="Calibri" w:eastAsia="宋体" w:cs="Times New Roman"/>
          <w:color w:val="000000"/>
          <w:sz w:val="24"/>
          <w:szCs w:val="24"/>
          <w:highlight w:val="none"/>
        </w:rPr>
      </w:r>
      <w:r/>
    </w:p>
    <w:p>
      <w:pPr>
        <w:pStyle w:val="726"/>
        <w:ind w:firstLine="48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2.</w:t>
      </w:r>
      <w:r>
        <w:rPr>
          <w:rFonts w:hint="eastAsia" w:ascii="宋体" w:hAnsi="宋体" w:eastAsia="宋体" w:cs="Times New Roman"/>
          <w:b/>
          <w:color w:val="000000"/>
          <w:sz w:val="24"/>
          <w:szCs w:val="24"/>
          <w:highlight w:val="none"/>
        </w:rPr>
        <w:t xml:space="preserve">本招标文件中标注★的款项为实质性要求和条件，投标人须逐条做出满足实质性要求和条件的响应，否则将按无效响应处理。</w:t>
      </w:r>
      <w:r>
        <w:rPr>
          <w:rFonts w:ascii="Calibri" w:hAnsi="Calibri" w:eastAsia="宋体" w:cs="Times New Roman"/>
          <w:color w:val="000000"/>
          <w:sz w:val="24"/>
          <w:szCs w:val="24"/>
          <w:highlight w:val="none"/>
        </w:rPr>
      </w:r>
      <w:r/>
    </w:p>
    <w:tbl>
      <w:tblPr>
        <w:tblStyle w:val="800"/>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采购需求中须满足的实质性要求和条件</w:t>
            </w:r>
            <w:r>
              <w:rPr>
                <w:rFonts w:hint="eastAsia" w:ascii="宋体" w:hAnsi="宋体" w:eastAsia="宋体" w:cs="宋体"/>
                <w:color w:val="000000"/>
                <w:sz w:val="24"/>
                <w:szCs w:val="24"/>
                <w:highlight w:val="none"/>
              </w:rPr>
            </w:r>
            <w:r/>
          </w:p>
        </w:tc>
      </w:tr>
      <w:tr>
        <w:trPr/>
        <w:tc>
          <w:tcPr>
            <w:tcW w:w="816"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689" w:type="dxa"/>
            <w:vAlign w:val="top"/>
            <w:textDirection w:val="lrTb"/>
            <w:noWrap w:val="false"/>
          </w:tcPr>
          <w:p>
            <w:pPr>
              <w:pStyle w:val="72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实质性要求和条件</w:t>
            </w:r>
            <w:r>
              <w:rPr>
                <w:rFonts w:hint="eastAsia" w:ascii="宋体" w:hAnsi="宋体" w:eastAsia="宋体" w:cs="宋体"/>
                <w:b/>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★交货期：90日历天</w:t>
            </w:r>
            <w:r>
              <w:rPr>
                <w:rFonts w:hint="eastAsia" w:ascii="宋体" w:hAnsi="宋体" w:eastAsia="宋体" w:cs="宋体"/>
                <w:color w:val="000000"/>
                <w:sz w:val="24"/>
                <w:szCs w:val="24"/>
                <w:highlight w:val="none"/>
              </w:rPr>
            </w:r>
            <w:r/>
          </w:p>
        </w:tc>
      </w:tr>
      <w:tr>
        <w:trPr>
          <w:trHeight w:val="478"/>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Times New Roman" w:hAnsi="Times New Roman" w:eastAsia="宋体" w:cs="Times New Roman"/>
                <w:color w:val="000000"/>
                <w:sz w:val="24"/>
                <w:highlight w:val="none"/>
                <w:lang w:val="en-US" w:eastAsia="zh-CN"/>
              </w:rPr>
              <w:t xml:space="preserve">按国家质保要求执行</w:t>
            </w:r>
            <w:r>
              <w:rPr>
                <w:rFonts w:hint="eastAsia" w:ascii="Times New Roman" w:hAnsi="Times New Roman" w:eastAsia="宋体" w:cs="Times New Roman"/>
                <w:color w:val="000000"/>
                <w:sz w:val="24"/>
                <w:highlight w:val="none"/>
              </w:rPr>
              <w:t xml:space="preserve">。</w:t>
            </w:r>
            <w:r>
              <w:rPr>
                <w:rFonts w:hint="eastAsia" w:ascii="宋体" w:hAnsi="宋体" w:eastAsia="宋体" w:cs="宋体"/>
                <w:color w:val="000000"/>
                <w:sz w:val="24"/>
                <w:szCs w:val="24"/>
                <w:highlight w:val="none"/>
              </w:rPr>
            </w:r>
            <w:r/>
          </w:p>
        </w:tc>
      </w:tr>
      <w:tr>
        <w:trPr/>
        <w:tc>
          <w:tcPr>
            <w:tcW w:w="816"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689" w:type="dxa"/>
            <w:vAlign w:val="top"/>
            <w:textDirection w:val="lrTb"/>
            <w:noWrap w:val="false"/>
          </w:tcPr>
          <w:p>
            <w:pPr>
              <w:pStyle w:val="726"/>
              <w:jc w:val="left"/>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合同签订后，待全部货物交付完成，安装调试无质量问题并验收合格，经结算审计后按审定价付至</w:t>
            </w: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6"/>
              <w:jc w:val="left"/>
              <w:spacing w:line="360" w:lineRule="auto"/>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项目中涉及</w:t>
            </w:r>
            <w:r>
              <w:rPr>
                <w:rFonts w:hint="eastAsia" w:ascii="Times New Roman" w:hAnsi="Times New Roman" w:eastAsia="宋体" w:cs="Times New Roman"/>
                <w:color w:val="000000"/>
                <w:sz w:val="24"/>
                <w:szCs w:val="24"/>
                <w:highlight w:val="none"/>
              </w:rPr>
              <w:t xml:space="preserve">工程</w:t>
            </w:r>
            <w:r>
              <w:rPr>
                <w:rFonts w:hint="eastAsia" w:ascii="Times New Roman" w:hAnsi="Times New Roman" w:eastAsia="宋体" w:cs="Times New Roman"/>
                <w:color w:val="000000"/>
                <w:sz w:val="24"/>
                <w:szCs w:val="24"/>
                <w:highlight w:val="none"/>
                <w:lang w:val="en-US" w:eastAsia="zh-CN"/>
              </w:rPr>
              <w:t xml:space="preserve">装修部分，</w:t>
            </w:r>
            <w:r>
              <w:rPr>
                <w:rFonts w:hint="eastAsia" w:ascii="Times New Roman" w:hAnsi="Times New Roman" w:eastAsia="宋体" w:cs="Times New Roman"/>
                <w:color w:val="000000"/>
                <w:sz w:val="24"/>
                <w:szCs w:val="24"/>
                <w:highlight w:val="none"/>
              </w:rPr>
              <w:t xml:space="preserve">完工验收合格</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经结算审计付款审定价的97%，剩余3%作为质保金，待缺陷责任期满后无质量问题付清余款（无息）</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726"/>
              <w:jc w:val="left"/>
              <w:spacing w:line="360" w:lineRule="auto"/>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所有付款节点，供应商均需提供对应合规发票。</w:t>
            </w:r>
            <w:r>
              <w:rPr>
                <w:rFonts w:hint="eastAsia" w:ascii="宋体" w:hAnsi="宋体" w:eastAsia="宋体" w:cs="宋体"/>
                <w:color w:val="000000"/>
                <w:sz w:val="24"/>
                <w:szCs w:val="24"/>
                <w:highlight w:val="none"/>
              </w:rPr>
            </w:r>
            <w:r/>
          </w:p>
        </w:tc>
      </w:tr>
    </w:tbl>
    <w:p>
      <w:pPr>
        <w:pStyle w:val="726"/>
        <w:ind w:firstLine="480"/>
        <w:jc w:val="left"/>
        <w:spacing w:line="360" w:lineRule="auto"/>
        <w:rPr>
          <w:rFonts w:ascii="MS Mincho" w:hAnsi="Calibri" w:eastAsia="宋体" w:cs="Times New Roman"/>
          <w:color w:val="000000"/>
          <w:sz w:val="24"/>
          <w:szCs w:val="24"/>
          <w:highlight w:val="none"/>
          <w:u w:val="single"/>
        </w:rPr>
      </w:pPr>
      <w:r>
        <w:rPr>
          <w:rFonts w:hint="eastAsia" w:ascii="Calibri" w:hAnsi="Calibri" w:eastAsia="宋体" w:cs="Times New Roman"/>
          <w:color w:val="000000"/>
          <w:sz w:val="24"/>
          <w:szCs w:val="24"/>
          <w:highlight w:val="none"/>
        </w:rPr>
        <w:t xml:space="preserve">3.本项目核心产品为：</w:t>
      </w:r>
      <w:r>
        <w:rPr>
          <w:rFonts w:hint="eastAsia" w:ascii="Calibri" w:hAnsi="Calibri" w:eastAsia="宋体" w:cs="Times New Roman"/>
          <w:color w:val="000000"/>
          <w:sz w:val="24"/>
          <w:szCs w:val="24"/>
          <w:highlight w:val="none"/>
          <w:u w:val="single"/>
        </w:rPr>
        <w:t xml:space="preserve">融媒体图表编辑软件。</w:t>
      </w:r>
      <w:r>
        <w:rPr>
          <w:rFonts w:ascii="MS Mincho" w:hAnsi="Calibri" w:eastAsia="宋体" w:cs="Times New Roman"/>
          <w:color w:val="000000"/>
          <w:sz w:val="24"/>
          <w:szCs w:val="24"/>
          <w:highlight w:val="none"/>
          <w:u w:val="single"/>
        </w:rPr>
      </w:r>
      <w:r/>
    </w:p>
    <w:p>
      <w:pPr>
        <w:pStyle w:val="726"/>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一、项目概况</w:t>
      </w:r>
      <w:r>
        <w:rPr>
          <w:rFonts w:ascii="Times New Roman" w:hAnsi="Times New Roman" w:eastAsia="宋体" w:cs="Times New Roman"/>
          <w:b/>
          <w:color w:val="000000"/>
          <w:sz w:val="24"/>
          <w:szCs w:val="24"/>
          <w:highlight w:val="none"/>
        </w:rPr>
      </w:r>
      <w:r/>
    </w:p>
    <w:p>
      <w:pPr>
        <w:pStyle w:val="726"/>
        <w:ind w:firstLine="480"/>
        <w:spacing w:line="360" w:lineRule="auto"/>
        <w:rPr>
          <w:rFonts w:ascii="Times New Roman" w:hAnsi="Times New Roman" w:eastAsia="宋体" w:cs="Times New Roman"/>
          <w:b/>
          <w:color w:val="000000"/>
          <w:sz w:val="28"/>
          <w:szCs w:val="28"/>
          <w:highlight w:val="none"/>
        </w:rPr>
      </w:pPr>
      <w:r>
        <w:rPr>
          <w:rFonts w:hint="eastAsia" w:ascii="宋体" w:hAnsi="宋体" w:eastAsia="宋体" w:cs="宋体"/>
          <w:color w:val="000000"/>
          <w:sz w:val="24"/>
          <w:szCs w:val="24"/>
          <w:highlight w:val="none"/>
        </w:rPr>
        <w:t xml:space="preserve">项目总体目标为打造一个集教学、培训、实操、考核、竞赛于一体的多功能、现代化、智能化、数字化的智慧文旅综合实训基地，建成以“产教深度融合、能力导向培养、技术创新服务</w:t>
      </w:r>
      <w:r>
        <w:rPr>
          <w:rFonts w:hint="eastAsia" w:ascii="宋体" w:hAnsi="宋体" w:eastAsia="宋体" w:cs="宋体"/>
          <w:color w:val="000000"/>
          <w:sz w:val="24"/>
          <w:szCs w:val="24"/>
          <w:highlight w:val="none"/>
        </w:rPr>
        <w:t xml:space="preserve">”为核心，以前沿技术教学需求及培养专业人才为导向，运用先进教学方法、技术、资源与环境，培养具备扎实实操能力和较高职业素养的复合型高技术技能人才并满足产业需求为目标的综合性平台。智慧文旅综合实训基地项目主要包括智慧文旅综合实训基地建设及实训室升级改造，项目建成后，对于培养能适应“智慧服务升级、数字内容创新、文旅生态运营”的复合型高技能人才及推动技术转化与落地，提升学校的教学和科研水平、竞赛水平，增强学校在文旅、融媒体教学科研实训领域的竞争力具有重要积极作用。主要配套内容景区教学资源库系统、融媒体图表编辑软件。</w:t>
      </w:r>
      <w:r>
        <w:rPr>
          <w:rFonts w:hint="eastAsia" w:ascii="Times New Roman" w:hAnsi="Times New Roman" w:eastAsia="宋体" w:cs="Times New Roman"/>
          <w:b/>
          <w:color w:val="000000"/>
          <w:sz w:val="28"/>
          <w:szCs w:val="28"/>
          <w:highlight w:val="none"/>
        </w:rPr>
        <w:br w:type="page" w:clear="all"/>
      </w:r>
      <w:r>
        <w:rPr>
          <w:rFonts w:ascii="Times New Roman" w:hAnsi="Times New Roman" w:eastAsia="宋体" w:cs="Times New Roman"/>
          <w:b/>
          <w:color w:val="000000"/>
          <w:sz w:val="28"/>
          <w:szCs w:val="28"/>
          <w:highlight w:val="none"/>
        </w:rPr>
      </w:r>
      <w:r/>
    </w:p>
    <w:p>
      <w:pPr>
        <w:pStyle w:val="726"/>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二、货物（标的）采购清单</w:t>
      </w:r>
      <w:r>
        <w:rPr>
          <w:rFonts w:ascii="Times New Roman" w:hAnsi="Times New Roman" w:eastAsia="宋体" w:cs="Times New Roman"/>
          <w:b/>
          <w:color w:val="000000"/>
          <w:sz w:val="24"/>
          <w:szCs w:val="24"/>
          <w:highlight w:val="none"/>
        </w:rPr>
      </w:r>
      <w:r/>
    </w:p>
    <w:tbl>
      <w:tblPr>
        <w:tblW w:w="5031" w:type="pct"/>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4407"/>
        <w:gridCol w:w="1056"/>
        <w:gridCol w:w="712"/>
        <w:gridCol w:w="3028"/>
      </w:tblGrid>
      <w:tr>
        <w:trPr>
          <w:trHeight w:val="379"/>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数量</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单位</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中小企业划分标准所属行业</w:t>
            </w:r>
            <w:r>
              <w:rPr>
                <w:rFonts w:hint="eastAsia" w:ascii="宋体" w:hAnsi="宋体" w:eastAsia="宋体" w:cs="宋体"/>
                <w:color w:val="000000"/>
                <w:sz w:val="22"/>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景区教学资源库系统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26"/>
              <w:jc w:val="left"/>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融媒体图表编辑软件</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726"/>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软件和信息技术服务业</w:t>
            </w:r>
            <w:r>
              <w:rPr>
                <w:rFonts w:hint="eastAsia" w:ascii="宋体" w:hAnsi="宋体" w:eastAsia="宋体" w:cs="宋体"/>
                <w:color w:val="000000"/>
                <w:sz w:val="22"/>
                <w:highlight w:val="none"/>
                <w:lang w:bidi="ar"/>
              </w:rPr>
            </w:r>
            <w:r/>
          </w:p>
        </w:tc>
      </w:tr>
    </w:tbl>
    <w:p>
      <w:pPr>
        <w:pStyle w:val="726"/>
        <w:jc w:val="left"/>
        <w:spacing w:line="360" w:lineRule="auto"/>
        <w:rPr>
          <w:rFonts w:ascii="Calibri" w:hAnsi="Calibri" w:eastAsia="宋体" w:cs="Times New Roman"/>
          <w:color w:val="000000"/>
          <w:szCs w:val="24"/>
          <w:highlight w:val="none"/>
        </w:rPr>
      </w:pPr>
      <w:r>
        <w:rPr>
          <w:rFonts w:hint="eastAsia" w:ascii="Times New Roman" w:hAnsi="Times New Roman" w:eastAsia="宋体" w:cs="Times New Roman"/>
          <w:b/>
          <w:color w:val="000000"/>
          <w:sz w:val="24"/>
          <w:szCs w:val="24"/>
          <w:highlight w:val="none"/>
        </w:rPr>
        <w:t xml:space="preserve">三、货物（标的）技术参数及功能指标</w:t>
      </w:r>
      <w:r>
        <w:rPr>
          <w:rFonts w:ascii="Calibri" w:hAnsi="Calibri" w:eastAsia="宋体" w:cs="Times New Roman"/>
          <w:color w:val="000000"/>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56"/>
        <w:gridCol w:w="2196"/>
        <w:gridCol w:w="6998"/>
      </w:tblGrid>
      <w:tr>
        <w:trPr>
          <w:trHeight w:val="28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货物（标的）名称</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技术参数及功能指标</w:t>
            </w:r>
            <w:r>
              <w:rPr>
                <w:rFonts w:hint="eastAsia" w:ascii="宋体" w:hAnsi="宋体" w:eastAsia="宋体" w:cs="宋体"/>
                <w:color w:val="000000"/>
                <w:sz w:val="22"/>
                <w:highlight w:val="none"/>
              </w:rPr>
            </w:r>
            <w:r/>
          </w:p>
        </w:tc>
      </w:tr>
      <w:tr>
        <w:trPr>
          <w:trHeight w:val="391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景区教学资源库系统</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系统支持后台上传720°全景VR展示，并在前台进行展示，高清全景图片和VR浏览相结合，给学生身临其境的体验。软件支持首页作品展示、推荐作品、置顶作品等；支持对素材进行分类和添加描述等；支持自动生成频道专属网址支持产品中嵌入的音频、文字简介等，帮助学生学习全国景区景点的基本知识。支持导游词创作、路线规划实训等功能，支持检索功能，帮助学生多方位技能训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一、教学资源库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▲（一）连云港市VR景点资源：（数量≥11个）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1.花果山景区；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2.连岛景区；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3.渔湾景区；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4.孔望山景区；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5.大伊山景区；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6.海上云台山景区；</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7.二郎神文化遗迹公园；</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8.桃花涧景区；</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9.抗日山景区；</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10.连云港老街；</w:t>
            </w:r>
            <w:r>
              <w:rPr>
                <w:rFonts w:hint="eastAsia" w:ascii="宋体" w:hAnsi="宋体" w:eastAsia="宋体" w:cs="宋体"/>
                <w:color w:val="000000"/>
                <w:szCs w:val="21"/>
                <w:highlight w:val="none"/>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11.连云港温泉旅游度假区。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（二）全国VR景点资源：（数量≥29个）</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1.北京</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1.中国人民抗日战争纪念馆专题陈列、2.慕田峪长城、3.圆明园遗址公园、4.明十三陵、5.恭王府、6.天坛、7.故宫博物院、8.颐和园；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2.山东</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泰山景区、2.烟台市蓬莱阁旅游区、3.崂山风景区、4.青岛奥帆海洋文化旅游区、5.趵突泉公园、6.琅琊台风景区、7.沂蒙山旅游区、8.黄河口生态旅游区、9.尼山圣境、10.梁山旅游风景区、11.曲阜三孔旅游区、12.青岛啤酒博物馆、13.鲁班纪念馆；</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3.重庆</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1.八路军驻重庆办事处、2.重庆大足石刻景区、3.合川钓鱼城景区、4.万盛西部菌谷景区、5.永川松溉古镇、6.重庆科技馆、7.洪崖洞民俗风貌区、8.中国三峡博物馆；</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4.四川</w:t>
            </w:r>
            <w:r>
              <w:rPr>
                <w:rFonts w:hint="eastAsia" w:ascii="宋体" w:hAnsi="宋体" w:eastAsia="宋体" w:cs="宋体"/>
                <w:color w:val="000000"/>
                <w:szCs w:val="21"/>
                <w:highlight w:val="none"/>
                <w:lang w:bidi="ar"/>
              </w:rPr>
              <w:t xml:space="preserve">（数量≥15个）：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泸定桥景区、2.邓小平故居、3.朱德同志纪念馆、4.红军飞夺泸定桥纪念馆、5.红军强渡大渡河纪念馆、6.爬雪山、7.过草地、8.九寨沟旅游景区、9.青城山都江堰景区、10.乐山市峨眉山景区、11.乐山大佛景区、12.甘孜州稻城亚丁旅游景区、13.大熊猫繁育研究基地、14.四川广汉三星堆博物馆、15.成都武侯祠；</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5.河南</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洛阳龙门石窟、2.嵖岈山旅游景区、3.老君山·鸡冠洞旅游区、4.芒砀山旅游景区、5.新乡市八里沟景区、6.信阳市鸡公山景区、7.河南省博物院、8.嵩山少林景区、9.安阳殷墟景区、10.尧山-中原大佛景区、11.开封清明上河园、12.云台山－神农山·青天河景区、13.红旗渠；</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6.安徽</w:t>
            </w:r>
            <w:r>
              <w:rPr>
                <w:rFonts w:hint="eastAsia" w:ascii="宋体" w:hAnsi="宋体" w:eastAsia="宋体" w:cs="宋体"/>
                <w:color w:val="000000"/>
                <w:szCs w:val="21"/>
                <w:highlight w:val="none"/>
                <w:lang w:bidi="ar"/>
              </w:rPr>
              <w:t xml:space="preserve">（数量≥16个）：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渡江战役纪念馆、2.鄂豫皖红军纪念园、3.宏村、4.黄山风景区、5.刘邓大军千里跃进大别山前线指挥部、6.东黄山旅游度假区、7.雄村、8.安徽名人馆、9.黄山徽州雕刻博物馆、10.中国宣纸文化园、11.泾县新四军军部旧址、12.独山革命旧址群、13.老胡开文墨厂、14.谢裕大茶博园、15.红军北上抗日先遣队纪念园、16.黄山松萝文化博览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7.湖北</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辛亥革命武昌起义纪念馆、2.三峡大坝旅游区、3.黄鹤楼、4.武当山、5.武汉市革命博物馆、6.神农架生态旅区、7.恩施大峡谷景区8.宜昌市长阳清江画廊景区、9.麻城市龟峰山景区、10.荆州古城、11.黄冈市东坡赤壁;</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8.浙江</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嘉兴南湖革命纪念馆、2.杭州市西湖风景名胜区、3.桐乡乌镇古镇旅游区、4.雁荡山风景名胜区、5.普陀山风景名胜区、6.南浔古镇、7.横店影视城、8.绍兴市鲁迅故里景区、9.杭州市千岛湖风景名胜区、10.杭州西溪国家湿地公园、11.南湖旅游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9.广东</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1.广州白云山风景区、2.广州起义纪念馆、3.中共三大会址纪念馆、4.肇庆市星湖风景名胜区、5.佛山市西樵山景区6.千年瑶寨7.文教智谷8.宝晶宫9.奥园巧克力王国10.红旗茶厂11.研山盆景技艺非遗基地；</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10.广西</w:t>
            </w:r>
            <w:r>
              <w:rPr>
                <w:rFonts w:hint="eastAsia" w:ascii="宋体" w:hAnsi="宋体" w:eastAsia="宋体" w:cs="宋体"/>
                <w:color w:val="000000"/>
                <w:szCs w:val="21"/>
                <w:highlight w:val="none"/>
                <w:lang w:bidi="ar"/>
              </w:rPr>
              <w:t xml:space="preserve">（数量≥4个）：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1.红军长征湘江战役纪念馆、2.桂平白石山景区、3.桂林漓江景区、4北海银滩;</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11.福建</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厦门市鼓浪屿风景名胜区、2.南靖土楼、3.胡里山炮台、4.九日山、5.和平古镇、6.九鲤胡、7.莆田市湄洲岛国家旅游度假区、8.白水洋鸳鸯溪、9.福安白云山风景名胜区、10.古田会议会址、11.武夷山风景区、12.福州市中国船政文化景区、13.三坊七巷；</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12.江西</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1.井冈山革命博物馆、2.瑞金中央革命根据地历史博物馆、3.景德镇古窑民俗博览区、4.萍乡武功山风景名胜区、5.庐山风景名胜区、6.南昌市滕王阁旅游区、7.萍乡武功山风景名胜区、8.龙虎山风景名胜区；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13.湖南</w:t>
            </w:r>
            <w:r>
              <w:rPr>
                <w:rFonts w:hint="eastAsia" w:ascii="宋体" w:hAnsi="宋体" w:eastAsia="宋体" w:cs="宋体"/>
                <w:color w:val="000000"/>
                <w:szCs w:val="21"/>
                <w:highlight w:val="none"/>
                <w:lang w:bidi="ar"/>
              </w:rPr>
              <w:t xml:space="preserve">（数量≥14个）：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韶山毛泽东同志纪念馆、2.花明楼景区、3.武陵源风景区、4.岳麓书院、5.马王堆西汉古墓陈列、6.岳阳楼景区、7.凤凰古城景区、8.南岳衡山旅游区、9.崀山旅游区、10.东江湖旅游区、11.君山岛景区、12.橘子洲旅游区、13.湖南省株洲市炎帝陵景区、14.湖南省常德市桃花源旅游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14.江苏</w:t>
            </w:r>
            <w:r>
              <w:rPr>
                <w:rFonts w:hint="eastAsia" w:ascii="宋体" w:hAnsi="宋体" w:eastAsia="宋体" w:cs="宋体"/>
                <w:color w:val="000000"/>
                <w:szCs w:val="21"/>
                <w:highlight w:val="none"/>
                <w:lang w:bidi="ar"/>
              </w:rPr>
              <w:t xml:space="preserve">（数量≥48个）：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侵华日军南京大屠杀遇难同胞纪念馆、2.淮海战役纪念馆、3.盐城新四军纪念馆、4.南京夫子庙秦淮风光带、5.留园、6.虎丘山、7.拙政园、8.姑苏寒山寺、9.苏州网师园、10.同里古镇、11.苏州博物馆、12.苏州狮子林、13.环古城河（水上游）、14.昆山周庄古镇、15.苏州平江历史文化街区、16.镇江北固山、17.南京傅抱石纪念馆、18.中华恐龙园、19.扬州东关街、20.扬州八怪纪念馆、21.汉陵苑、22.史可法墓祠（史公祠）、23.扬州运河三湾风景区、24.灵山胜境、25.瘦西湖风景区、</w:t>
            </w:r>
            <w:r>
              <w:rPr>
                <w:rFonts w:hint="eastAsia" w:ascii="宋体" w:hAnsi="宋体" w:eastAsia="宋体" w:cs="宋体"/>
                <w:color w:val="000000"/>
                <w:szCs w:val="21"/>
                <w:highlight w:val="none"/>
                <w:lang w:bidi="ar"/>
              </w:rPr>
              <w:t xml:space="preserve">26.大明寺景区、27.个园、28.何园、29.花果山景区、30.连岛景区、31.渔湾景区、 32.孔望山景区、33.大伊山景区、34.海上云台山景区、35.二郎神文化遗迹公园、36.桃花涧景区、37.抗日山景区、38.连云港老街、39.连云港温泉旅游度假区、40.中山陵园风景区、41.无锡市鼋头渚风景区、42.徐州市云龙湖景区、43.常州市天目湖景区、44.南通市濠河景区、45.淮安市周恩来故里旅游景区(周恩来纪念馆)、46.盐城市大丰中华鹿园景区、47.泰州姜堰溱湖旅游景区、48.宿迁市洪泽湖湿地景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15.海南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1.三亚南山文化旅游区、2.呀诺达雨林文化旅游区、3.中国（海南）南海博物馆、4.五指山革命根据地纪念园、5.文昌航天主题乐园航天科普中心；</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16.山西</w:t>
            </w:r>
            <w:r>
              <w:rPr>
                <w:rFonts w:hint="eastAsia" w:ascii="宋体" w:hAnsi="宋体" w:eastAsia="宋体" w:cs="宋体"/>
                <w:color w:val="000000"/>
                <w:szCs w:val="21"/>
                <w:highlight w:val="none"/>
                <w:lang w:bidi="ar"/>
              </w:rPr>
              <w:t xml:space="preserve">（数量≥11个）：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1.平遥古城、2.云冈石窟、3.晋祠博物馆、4.永乐宫、5.鹳雀楼、6.太行山大峡谷、7.山西高平炎帝陵、8.洪洞大槐树、9.壶口瀑布、10.雁门关、11.五台山；</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17.吉林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1.长白山景区、2.净月潭、3.松原查干湖、4.长春伪满皇宫博物院、5.珲春防川国家级风景名胜区；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18.黑龙江</w:t>
            </w:r>
            <w:r>
              <w:rPr>
                <w:rFonts w:hint="eastAsia" w:ascii="宋体" w:hAnsi="宋体" w:eastAsia="宋体" w:cs="宋体"/>
                <w:color w:val="000000"/>
                <w:szCs w:val="21"/>
                <w:highlight w:val="none"/>
                <w:lang w:bidi="ar"/>
              </w:rPr>
              <w:t xml:space="preserve">（数量≥6个）：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1.东北烈士纪念馆、2.太阳岛风景区、3.黑龙江黑河五大连池景区、4.金上京历史博物馆、5.漠河北极村旅游区、6.镜泊湖世界地质公园;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19.辽宁</w:t>
            </w:r>
            <w:r>
              <w:rPr>
                <w:rFonts w:hint="eastAsia" w:ascii="宋体" w:hAnsi="宋体" w:eastAsia="宋体" w:cs="宋体"/>
                <w:color w:val="000000"/>
                <w:szCs w:val="21"/>
                <w:highlight w:val="none"/>
                <w:lang w:bidi="ar"/>
              </w:rPr>
              <w:t xml:space="preserve">（数量≥7个）: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1.鞍山市千山景区、2.本溪水洞、3.中国工业博物馆、4.沈阳“九·一八”历史博物馆、5.抗美援朝纪念馆、6.辽沈战役纪念馆、7.赫图阿拉城;</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20、青海</w:t>
            </w:r>
            <w:r>
              <w:rPr>
                <w:rFonts w:hint="eastAsia" w:ascii="宋体" w:hAnsi="宋体" w:eastAsia="宋体" w:cs="宋体"/>
                <w:color w:val="000000"/>
                <w:szCs w:val="21"/>
                <w:highlight w:val="none"/>
                <w:lang w:bidi="ar"/>
              </w:rPr>
              <w:t xml:space="preserve">（数量≥4个）: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1.青海湖景区、2.塔尔寺、3.互助土族风情、4.茶卡盐湖;</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21.西藏</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1.纳木错湖、2.大昭寺、3.罗布林卡、4.冈仁波钦峰、5.藏王陵墓群;</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22.陕西</w:t>
            </w:r>
            <w:r>
              <w:rPr>
                <w:rFonts w:hint="eastAsia" w:ascii="宋体" w:hAnsi="宋体" w:eastAsia="宋体" w:cs="宋体"/>
                <w:color w:val="000000"/>
                <w:szCs w:val="21"/>
                <w:highlight w:val="none"/>
                <w:lang w:bidi="ar"/>
              </w:rPr>
              <w:t xml:space="preserve">（数量≥13个）：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陕西渭南华山景区、2.宝鸡市太白山旅游景区、3.黄河壶口瀑布旅游区（陕西段）、4.白鹿原影视城、5.陕西历史博物馆、6.延安革命纪念馆、7.秦始皇兵马俑博物馆、8.大慈恩寺大雁塔、9.大明宫遗址公园、10.大唐芙蓉园、11.延安市黄帝陵景区、12.西安城墙、13.法门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23.宁夏</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1.宁夏沙湖旅游景区、2.沙坡头旅游景区、3.西夏陵、4.西夏风情园、5.将台堡、6.镇北堡西部影城、7.水洞沟遗址旅游区、8.六盘山国家森林公园、9.六盘山红军长征景区、10.单家集夜话;</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24.甘肃</w:t>
            </w:r>
            <w:r>
              <w:rPr>
                <w:rFonts w:hint="eastAsia" w:ascii="宋体" w:hAnsi="宋体" w:eastAsia="宋体" w:cs="宋体"/>
                <w:color w:val="000000"/>
                <w:szCs w:val="21"/>
                <w:highlight w:val="none"/>
                <w:lang w:bidi="ar"/>
              </w:rPr>
              <w:t xml:space="preserve">（数量≥6个）：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1.古浪战役纪念馆、2.会宁红军长征胜利纪念馆、3.甘肃天水麦积山景区、4.鸣沙山月牙泉景区、5.哈达铺红军长征纪念馆、6.崆峒山;</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25.天津</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1.平津战役纪念馆、2.天津盘山风景名胜区、3.天津古文化街旅游区(津门故里)、4.九顶山风景区、5.八仙山风景区、6.蓟州溶洞、7.李叔同纪念馆、8.梁启超纪念馆、9.元明清天妃宫遗址博物馆、10.曹禺故居;</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26.上海</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1.中共一大会址纪念馆、2.四行仓库抗战纪念馆、3.中共四大纪念馆、4.国歌展示馆、5.上海科技馆、6.建党100周年新一大展馆、7.上海野生动物园、8.上海豫园；</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27.云南</w:t>
            </w:r>
            <w:r>
              <w:rPr>
                <w:rFonts w:hint="eastAsia" w:ascii="宋体" w:hAnsi="宋体" w:eastAsia="宋体" w:cs="宋体"/>
                <w:color w:val="000000"/>
                <w:szCs w:val="21"/>
                <w:highlight w:val="none"/>
                <w:lang w:bidi="ar"/>
              </w:rPr>
              <w:t xml:space="preserve">（数量≥5个）: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1.红军长征过丽江指挥部纪念馆、2.丽江古城景区、3.云南石林景区、4.西双版纳植物园、5.理洱源地热国旅游景区；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28.河北</w:t>
            </w:r>
            <w:r>
              <w:rPr>
                <w:rFonts w:hint="eastAsia" w:ascii="宋体" w:hAnsi="宋体" w:eastAsia="宋体" w:cs="宋体"/>
                <w:color w:val="000000"/>
                <w:szCs w:val="21"/>
                <w:highlight w:val="none"/>
                <w:lang w:bidi="ar"/>
              </w:rPr>
              <w:t xml:space="preserve">（数量≥8个）: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1.西柏坡纪念馆、2.晋察冀边区革命纪念馆、3.正定古城、4.邢台内丘扁鹊庙、5.娲皇宫风景名胜区、6.孟姜女庙、7.承德避暑山庄、8隆兴寺;</w:t>
            </w:r>
            <w:r>
              <w:rPr>
                <w:rFonts w:hint="eastAsia" w:ascii="宋体" w:hAnsi="宋体" w:eastAsia="宋体" w:cs="宋体"/>
                <w:color w:val="000000"/>
                <w:szCs w:val="21"/>
                <w:highlight w:val="none"/>
                <w:lang w:bidi="ar"/>
              </w:rPr>
              <w:br w:type="textWrapping" w:clear="all"/>
            </w:r>
            <w:r>
              <w:rPr>
                <w:rFonts w:hint="eastAsia" w:ascii="宋体" w:hAnsi="宋体" w:eastAsia="宋体" w:cs="宋体"/>
                <w:b/>
                <w:bCs/>
                <w:color w:val="000000"/>
                <w:szCs w:val="21"/>
                <w:highlight w:val="none"/>
                <w:lang w:bidi="ar"/>
              </w:rPr>
              <w:t xml:space="preserve">29.新疆</w:t>
            </w:r>
            <w:r>
              <w:rPr>
                <w:rFonts w:hint="eastAsia" w:ascii="宋体" w:hAnsi="宋体" w:eastAsia="宋体" w:cs="宋体"/>
                <w:color w:val="000000"/>
                <w:szCs w:val="21"/>
                <w:highlight w:val="none"/>
                <w:lang w:bidi="ar"/>
              </w:rPr>
              <w:t xml:space="preserve">（数量≥10个）:</w:t>
            </w:r>
            <w:r>
              <w:rPr>
                <w:rFonts w:hint="eastAsia" w:ascii="宋体" w:hAnsi="宋体" w:eastAsia="宋体" w:cs="宋体"/>
                <w:color w:val="000000"/>
                <w:szCs w:val="21"/>
                <w:highlight w:val="none"/>
                <w:lang w:bidi="ar"/>
              </w:rPr>
            </w:r>
            <w:r/>
          </w:p>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1.天山天池风景名胜景区、2.火焰山景区、3.阿勒泰地区喀纳斯景区、4.可可托海世界地质公园、5.新疆喀什噶尔老城景区、6.吐鲁番葡萄沟景区、7.那拉提景区、8.赛里木湖、9.帕米尔旅游区、10.坎儿井。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（三）导游专业动漫教学资源库</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▲1）导游基础知识动漫教学资源（≥33个）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（1）中国旅游业发展历程上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（2）中国旅游业发展历程下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（3）中国传统节日—春节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（4）中国传统节日—端午节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（5）中国传统节日—元宵节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（6）四大菜系—鲁菜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（7）四大菜系—粤菜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（8）四大菜系—苏菜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（9）四大菜系—川菜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（10）中国茶文化—青茶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（11）中国茶文化—白茶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（12）中国茶文化—绿茶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（13）中国茶文化—黄茶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（14）中国茶文化—黑茶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（15）中国茶文化—红茶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（16）中国传统工艺—风筝</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（17）中国四大发明—火药、造纸术、印刷术、指南针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（18）中国餐饮文化之豆腐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（19）中国主食文化之饺子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（20）中国游记文化-徐霞客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（21）少数民族怎样过中秋一</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（22）少数民族怎样过中秋二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（23）少数民族怎样过中秋三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（24）中国菜肴文化—火锅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（25）中国菜肴文化—鱼</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（26）中国游记文化-陶渊明</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（27）中国游记文化-水经注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（28）中国葬式文化-悬棺</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（29）中国山水文化-京杭大运河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（30）中国建筑文化-古塔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（31）中国山水文化-五岳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（32）中国少数民族文化-回回帽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（33）中国古典园林的要素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▲2）导游业务知识动漫教学资源（≥15个）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（1）认识导游人员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（2）导游人员的从业素质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（3）导游人员的职责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（4）导游人员的服务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（5）导游接团前服务准备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（6）导游服务的准备上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（7）导游服务的准备下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（8）赴饭店途中服务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（9）入住服务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（10）核对商定日程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（11）参观游览服务上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（12）参观游览服务下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（13）食购娱服务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（14）送站服务上</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（15）送站服务下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▲3）导游带团业务案例动漫教学资源（≥30个）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（1）地陪送团没有自始至終改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（2）导游人员如何帮助旅游者购买中国古玩字画改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（3）改正确预防和处理中暑现象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（4）当地没有会讲德语的地陪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（5）导游人员不了解旅游者的需求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（6）导游人员没有坚持正确的意见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（7）导游人员如何消除怯场心理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（8）导游人员要正确对待投诉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（9）导游员带团队到不熟悉的地方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（10）导游员回答不了客人提出的问题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（11）导游员如何接待小朋友旅游团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（12）好心耽误了乘机时间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（13）客房中遗失了某件物品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（14）客人不听导游人员的讲解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（15）客人希望朋友随团活动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（16）客人要求换房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（17）旅游团突遇山洪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（18）旅游者出现食物中毒现象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（19）旅游者突然发病意外死亡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（20）旅游者希望多买点中药带出国境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（21）旅游者要求参加计划外的娱乐项目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（22）旅游者要求先回宾馆再用餐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（23）游客丢失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（24）游客请求导游人员转递物品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（25）漏接事件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（26）公共场合不能随便散发宗教宣传品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（27）地陪送团没有自始至终（二）</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（28）旅游者希望延长逗留时间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（29）正确处理火灾事故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（30）游客在用餐时因醉酒摔倒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▲4）导游业务突发事件应急处理教学动漫资源（≥25个）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（1）华侨护照丢失现象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（2）旅游者走失现象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（3）公幵场合散发宗教宣传品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（4）导游员漏接事故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（5）不幸错过上山缆车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（6）旅游者出现食物中毒现象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（7）导游人员如何帮助旅游者购买中国古玩字画</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（8）正确预防和处理中暑现象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（9）正确处理火灾事故</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（10）正确处理途中交通堵塞现象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（11）客房中遗失了某件物品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（12）旅游者不想进商店购物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（13）导游员如何接待小朋友旅游团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（14）旅游者希望多买点中药带出国境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（15）全陪和领队之间有矛盾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（16）游客燃香进入佛殿现象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（17）客人丢失钱物的处理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（18）旅游者溺水现象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（19）旅游过程中发生地震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（20）导游人员要正确对待投诉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（21）错接事故处理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（22）替游客转交东西事件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（23）导游员回答不了客人提出的问题</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（24）旅游团回程买不到卧铺票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（25）旅游者深夜在下榻的宾馆吵闹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lang w:eastAsia="zh-CN" w:bidi="ar"/>
              </w:rPr>
              <w:t xml:space="preserve">“一带一路”沿线国家</w:t>
            </w:r>
            <w:r>
              <w:rPr>
                <w:rFonts w:hint="eastAsia" w:ascii="宋体" w:hAnsi="宋体" w:eastAsia="宋体" w:cs="宋体"/>
                <w:color w:val="000000"/>
                <w:szCs w:val="21"/>
                <w:highlight w:val="none"/>
                <w:lang w:bidi="ar"/>
              </w:rPr>
              <w:t xml:space="preserve">导游基础知识动画课件资源（≥40个）</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（1）贵州茅台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（2）吐鲁番葡萄</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（3）印尼弗洛雷斯巴贾瓦咖啡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（4）埃及莲花香精</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（5）几内亚马森塔咖啡</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（6）喀麦隆Kilichi干辣牛肉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（7）肯尼亚蒙内铁路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（8）泰国茉莉香米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（9）马来西亚砂拉越黑胡椒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（10）临潼石榴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（11）南汇水蜜桃</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（12）四川会理石榴</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（13）四川蜀绣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（14）四川郫县豆瓣酱</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（15）四川宜宾五粮液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（16）延川红枣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（17）越南鱼露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（18）宗明老毛蟹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（19）蓝田玉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（20）汉中仙毫</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（21）宗明老白酒。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（22）德国慕尼黑啤酒</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（23）安溪铁观音</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（24）灵武长枣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（25）武夷岩茶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（26）英德红茶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（27）酒泉夜光杯</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（28）库尔勒香梨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（29）昆仑玉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（30）临泽小枣</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（31）宁夏枸杞</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（32）青海茶卡盐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（33）青海冬虫夏草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（34）庆阳苹果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（35）文县纹党</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（36）香山亚砂西瓜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（37）新疆哈密瓜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（38）重庆涪陵榨菜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（39）重庆万州红桔</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（40）重庆永州豆豉</w:t>
            </w:r>
            <w:r>
              <w:rPr>
                <w:rFonts w:hint="eastAsia" w:ascii="宋体" w:hAnsi="宋体" w:eastAsia="宋体" w:cs="宋体"/>
                <w:color w:val="000000"/>
                <w:szCs w:val="21"/>
                <w:highlight w:val="none"/>
              </w:rPr>
            </w:r>
            <w:r/>
          </w:p>
        </w:tc>
      </w:tr>
      <w:tr>
        <w:trPr>
          <w:trHeight w:val="3090"/>
        </w:trPr>
        <w:tc>
          <w:tcPr>
            <w:tcBorders>
              <w:top w:val="single" w:color="000000" w:sz="4" w:space="0"/>
              <w:left w:val="single" w:color="000000" w:sz="4" w:space="0"/>
              <w:bottom w:val="single" w:color="000000" w:sz="4" w:space="0"/>
              <w:right w:val="single" w:color="000000" w:sz="4" w:space="0"/>
            </w:tcBorders>
            <w:tcW w:w="232" w:type="dxa"/>
            <w:vAlign w:val="center"/>
            <w:textDirection w:val="lrTb"/>
            <w:noWrap/>
          </w:tcPr>
          <w:p>
            <w:pPr>
              <w:pStyle w:val="726"/>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726"/>
              <w:jc w:val="left"/>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融媒体图表编辑软件</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726"/>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一、融媒编辑能力</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提供图片编辑功能、图表编辑功能、视频编辑功能及交互图文编辑器功能，让用户可以便捷高效的处理稿件中的图片、视频、图表素材及制作交互性较强的图文作品。</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提供接口对接交互图文编辑器，网页专题编辑器、H5简约版编辑器、H5编辑器专业版和H5模版编辑器，使得五个编辑器在修改图片时，可直接调用图片编辑功能插件进行图片快编和美化。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1.2图片编辑具体功能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用户可以在浏览器中直接对图片进行快编操作。H5编辑器套件内数据联通共用，一站式全场景满足用户的实际生产要求，用户在交互图文编辑器、网页专题编辑器、H5专业版编辑器、H5简约版编辑器和H5模版编辑器中可直接调用图片编辑功能，对作品内容所需的图片进行快编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图片编辑功能支持常用的图片快编操作，例如剪裁、旋转、画笔、图形、插入素材、插入文字、蒙版图片、滤镜、打开图片、导出图片等。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▲1）图片编辑功能界面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图片编辑功能界面分为编辑舞台、功能栏、快捷操作等3个区域。编辑舞台是对图片进行生产编辑的预览和执行区域，功能栏可选用适用的快编工具，快捷操作栏包含常用的撤销、缩放浏览、导出等操作。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▲2）打开待编图片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打开]，选中需要编辑的图片即可导入待编图片。本地文件可通过素材库“+”添加。如果用户在交互图文编辑器、H5专业版编辑器、H5简约版编辑器直接调用图片编辑功能，则系统将自动读取并显示待编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3）剪裁图片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点击[剪裁]，用户可根据需求把图片剪裁为所需的长宽比例。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4）旋转图片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支持将图片X轴翻转、Y轴翻转，将图片沿Z轴旋转特定角度。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5）画笔工具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支持画笔功能，可绘制直线、任意线条、马赛克画笔，用户可根据需求设置线条颜色和线条宽度。</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6）图形工具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支持绘制常用图形，如矩形、圆形、三角形，用户可根据需求设置图形填充色、边框色以及边框宽度。绘制后，可拖拽图形边框，微调图形大小。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7）插入图片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点击[插入]，可在已有图片上叠加新图片，实现“图片水印”的效果。叠加图片进入舞台后，用户可通过拖拽边框调整大小，拖动图片调整位置。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8）添加文字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图片编辑功能支持文字功能，实现“文字水印”的效果。用户可编写文字内容并设定字体、字号、颜色、位置。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▲9）蒙版图片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[蒙版图片]可实现蒙版遮罩功能，把特定图片遮罩在底层图片上，最终显示两层图片的重叠部分。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10）滤镜工具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图片编辑功能支持丰富的滤镜功能，例如灰度、亮度、对比度、饱和度、反色、做旧、模糊、素描等滤镜特效。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11）导出图片</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图片编辑功能支持将已完成的图片保存至素材库、或导出至本地。支持设置导出长宽尺寸、导出格式、图片压缩比例等。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2.图表编辑功能概述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媒体用户使用图表编辑功能可快速把数据文件转化为易读直观的图表，并存为图片、动画素材应用在作品中，生成形态丰富的数据新闻作品。图表编辑功能提供多种可视化图表模板，覆盖不同新媒体的数据可视化呈现需求。图表编辑功能支持导入excel数据文件，快速生成图表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图表编辑功能需要与其它编辑器集成对接，实现集约化、一站式编辑管理；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提供接口对接交互图文编辑器、网页专题编辑器，图表编辑功能生成的图表素材，可保存为H5动画，供交互图文编辑器、网页专题编辑器直接读取并引用动态的图表素材，实现内容互通的操作效果。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提供接口对接H5简约版编辑器、H5编辑器专业版和H5模版编辑器，使得三个H5编辑器在插入数据图表时，可调用图表编辑功能插件进行图表编改和美化。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▲2.2图表编辑具体功能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1）导入数据和录入数据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支持导入标准的xls及csv格式的数据文件，以此生成图表。图表编辑功能提供所见即所得的数据编辑功能，用户也可直接在二维表格上输入、修改图表数据，并即时反应到新的图表形态中。</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2）图表模板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提供饼状图表、折线图表、柱状图表、散点图表、雷达图表等多种图表模版。同一种类图表还提供多种个性化样式，例如饼状图可提供环状图表、3D饼状图表、彩虹图表等，满足媒体用户不同数据可是化需求。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3）图表属性控制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通过设置图表参数，达到调整图表的呈现形式。不同的图表具备不同的属性参数。例如饼状图的参数如下：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A.标题文字、字号、颜色的设置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B.图表的色系选择</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C.图表宽高比、背景颜色</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D.是否显示动画设置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4)图表素材导出功能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完成图表制作后，媒体用户可将数据图表导出为jpg、png、svg格式的图片以及H5格式的动态动画。导出的图表图片可作为素材应用至图文作品、H5融媒作品中。导出的H5格式图表，可保留动画和互动特性，应用在图文、H5融媒作品中，可呈现动画和交互的动态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3.视频编辑功能概述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视频编辑功能需要与其它编辑器集成对接，实现集约化、一站式编辑管理；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提供接口对接交互图文编辑器，网页专题编辑器、H5简约版编辑器、H5编辑器专业版和H5模版编辑器，使得五个编辑器在编辑视频时，可直接调用视频编辑功能插件进行视频快编和美化。</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3.2视频编辑具体功能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视频编辑功能与H5编辑器套件所有作品数据联通共用，一站式全场景满足用户的实际生产要求，用户在交互图文编辑器、网页专题编辑器、H5专业版编辑器、H5简约版编辑器、H5模版编辑器中可直接调用视频编辑功能，在浏览器上直接使用编辑器对作品内容所需的视频进行快编处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支持常用的视频剪辑和快编操作，例如设置视频宽高比、选中图文音视素材、时间轴工具、多轨功能、保存工程文件、协同编辑、导出视频等。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▲1）视频编辑功能界面与舞台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界面分为功能栏、音视轨剪辑区、预览区域以及快捷操作等4个区域。功能栏可选用视音图文素材、选用滤镜特效、转场特效等；音视轨剪辑区对视频、音频、字幕、特效等素材进行生产剪辑快编执行区域；预览区域可即时查看剪辑效果；快捷操作栏包含常用的新建、打开、保存、分享、导出等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2）选择视频宽高比例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用户进入时，首先需要设置视频宽高比，系统默认是常用的16:9比例。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3）打开视音图文素材</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点击[素材]/[文字]，用户可将视频、音频、图片、字幕等素材拖拽至下方的轨道中，进行相应的组合、剪辑操作。本地的视频、音频、图片等素材，可点击“+”进行上传。</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4）多轨功能和时间轴工具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音视轨剪辑区是用户对视频、音频、字幕、特效等素材进行生产剪辑快编执行区域，支持缩放时间轴，裁剪、删除视频段，设置视频段参数等功能。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5）添加音频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在[素材]中拖拽音频至下方音频轨道，可给视频添加背景音乐、配音等。可在时间轴上拖拽设置音频的播放位置，在设置区域可设置音频播放长度、音量大小。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6）添加字幕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文字]功能菜单，选择字幕形式并拖拽至下方字幕轨道，可给视频添加字幕、弹幕等效果。可在时间轴上拖动设置字幕的时间位置及播放时长，在设置区域可设置字幕在视频中的显示位置、文字内容、播放长度、字体格式、字体大小、颜色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7）添加图片（静帧）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在[素材]功能菜单，拖拽图片至下方视频轨道，可实现视频的片头、片尾、静帧等效果。支持在时间轴上拖动设置图片的播放时长。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8）滤镜工具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在[滤镜]功能菜单，选择滤镜效果并拖拽至下方滤镜轨道，可实现视频滤镜特效。支持在时间轴上拖动设置滤镜的时长和位置。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9）叠附工具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在[叠附]功能菜单，选择叠附样式并拖拽至下方叠附轨道，可在视频图像上实现叠附特效。支持在时间轴上拖动设置叠附的时长和位置，双击叠附轨道中的对象，可设置叠附的尺寸大小和淡入淡出效果。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10）转场工具</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在[转场]功能菜单，选择转场样式并拖拽至下方视频轨道，可在视频段之间上实现转场特效。支持基地展开/收起、基地放大/缩小、对角线展开/收起、水平展开/收起等丰富的转场效果。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11）手机预览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面向新媒体传播的应用场景，支持手机预览功能。点击[预览]按钮生成二维码，用户即可使用手机扫码并在手机上查看视频效果。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12）导出视频</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支持将已完成的视频保存至素材库、或导出至本地。支持设置视频图像尺寸、图像画质、导出格式等参数。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4.交互图文编辑器功能概述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于生产包含文字、图片、视频等各种资源的稿件。除了常见的图文形式，交互图文编辑器还可将H5简约版编辑器、H5专业版编辑器、H5模版编辑器以及图表编辑功能生产的H5作品作为动画素材，创作可播放动画的新型交互图文新闻。交互图文编辑器采用流式排版技术，图文稿件自适配屏幕大小并自动重排内容，以适用于图文新闻、图文专题等场景的生产需求。</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4.1文件数据兼容性</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工具套件容包含8个媒体编辑器，交互图文编辑器需要与其它编辑器集成对接，实现集约化、一站式编辑管理；</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提供接口对接H5简约版编辑器、H5专业版编辑器、H5模版编辑器、图表编辑功能，使得另四个编辑器生成的H5融媒稿件可作为动画素材，应用至专题稿件，实现内容互通的操作效果；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支持编辑北京时间、听听FM稿件格式。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4.2交互图文编辑器具体功能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▲1）编辑舞台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编辑舞台是生产内容的操作窗口，用户可在编辑舞台编写文字、排放图片、引用素材、引用样式，符合新媒体稿件编辑的操作习惯，具备稿件编辑区、文本设置、段落设置等功能，可录入稿件标题和正文，如文字、图片、视频、音频等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▲2）素材应用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交互图文编辑器与融媒新闻生产工具套件的素材库集成，实现素材内容互通共用。在交互图文编辑器中直接查看、引用平台上的H5动画作品和素材库中的采访素材。引用H5文件是本交互图文编辑器的创新技术，把平台用户的H5稿件作为动画素材，插入图文稿件中，图文稿件在阅读时将同时播放H5动画，打造新颖创新的融媒体交互图文形式。用户可插入所需的图、文、音、视、H5等媒体素材，并按需进行自由混合排版。</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3）排版样式功能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（1）样式库：本交互图文编辑器内置上百种常见的新媒体图文稿件的排版样式，包括标题样式、图文混排样式、正文样式、图片布局样式、列表样式、引导分隔样式等；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模版样式：本图文编辑器面向媒体用户提供了两会、盘点等常用的专题报道样式。模版样式由小标题、图文段落、内容模块分隔等多个模块组成，媒体用户可按需选用每个模版样式中的一个或多个模块，可整体使用也可分开使用，也可选用不同专题样式的不同模块；</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（3）样式排版工具：支持对排版样式内部的内容分块块作细化编改，例如设置内容背景和形状、设置内容分块的排列方式、设置内容分块的高宽比例、设置文本的对齐方式、设置内容分块的四边边距等；</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一键转化样式模版：编辑器支持用户自定义设计样式模板，可将内容中任何一个段落的排版内容一键转化为样式模版，供今后直接使用。自定义设计的样式模板，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（5）一键转化专题模板：媒体用户可将全版图文内容的排版样式一键转化为专题模版，供今后直接使用。用户可根据个人习惯，存储至个人文件夹下分目录。</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4）交互svg样式</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▲支持svg样式的编辑使用。</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5）稿件批注和修订功能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当用户所在团队下，多个人员对同一片图文稿件进行编改时，可设置修订模式，使用大花脸形式显示被修订的内容。在团队协同编辑中，便于原作者查看已改内容。同时，原作者可点击具体修订部分，在浮窗中选择接受或不接受修订。</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6）外部文件转文字功能</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用户可将外部的word文件、mp3音频、jpg图片、png图片导入图文编辑器，编辑器将自动识别外部文件并转换为图文稿件的正文内容。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7）稿件格式设置</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在稿件属性栏，用户可查看和设置稿件的基本信息。支持从图片素材选择封面、查看既定分发渠道、查看作者、编辑分享摘要、编辑分享关键词。编辑器兼容公众号推文格式，可将正文、稿件缩略图、分享配置等信息直接推送至微信公众平台。</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▲8）稿件操作</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（1）稿件预览。提前预览稿件的阅读效果。用户在编辑生成过程中随时查看稿件传播的呈现形式，如稿件样式、图片效果、文案效果。供编辑用户参考，并根据制作目标随时编辑、调整稿件内容。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（2）稿件保存。保存当前完成编辑操作和稿件内容。</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（3）发布/提交。新闻稿件制作完成后，发布/发布模块支持用户将成稿提交至项目建设时指定的服务器。如指定路径为自有发布服务器，则图文稿件直接提交发布服务器，并在互联网上传播、推广。</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（4）新建稿件，新建并编辑一篇新的图文稿件。</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9）审核流程</w:t>
            </w:r>
            <w:r>
              <w:rPr>
                <w:rFonts w:hint="eastAsia" w:ascii="宋体" w:hAnsi="宋体" w:eastAsia="宋体" w:cs="宋体"/>
                <w:color w:val="000000"/>
                <w:szCs w:val="21"/>
                <w:highlight w:val="none"/>
                <w:lang w:bidi="ar"/>
              </w:rPr>
              <w:br w:type="textWrapping" w:clear="all"/>
            </w:r>
            <w:r>
              <w:rPr>
                <w:rFonts w:hint="eastAsia" w:ascii="宋体" w:hAnsi="宋体" w:eastAsia="宋体" w:cs="宋体"/>
                <w:color w:val="000000"/>
                <w:szCs w:val="21"/>
                <w:highlight w:val="none"/>
                <w:lang w:bidi="ar"/>
              </w:rPr>
              <w:t xml:space="preserve">支持内容保存后走系统统一审核流程。</w:t>
            </w:r>
            <w:r>
              <w:rPr>
                <w:rFonts w:hint="eastAsia" w:ascii="宋体" w:hAnsi="宋体" w:eastAsia="宋体" w:cs="宋体"/>
                <w:color w:val="000000"/>
                <w:szCs w:val="21"/>
                <w:highlight w:val="none"/>
              </w:rPr>
            </w:r>
            <w:r/>
          </w:p>
        </w:tc>
      </w:tr>
    </w:tbl>
    <w:p>
      <w:pPr>
        <w:pStyle w:val="726"/>
        <w:rPr>
          <w:rFonts w:ascii="Calibri" w:hAnsi="Calibri" w:eastAsia="宋体" w:cs="Times New Roman"/>
          <w:color w:val="000000"/>
          <w:highlight w:val="none"/>
        </w:rPr>
      </w:pPr>
      <w:r>
        <w:rPr>
          <w:rFonts w:ascii="Calibri" w:hAnsi="Calibri" w:eastAsia="宋体" w:cs="Times New Roman"/>
          <w:color w:val="000000"/>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四</w:t>
      </w:r>
      <w:r>
        <w:rPr>
          <w:rFonts w:ascii="Times New Roman" w:hAnsi="Times New Roman" w:eastAsia="宋体" w:cs="Times New Roman"/>
          <w:b/>
          <w:color w:val="000000"/>
          <w:sz w:val="24"/>
          <w:szCs w:val="24"/>
          <w:highlight w:val="none"/>
        </w:rPr>
        <w:t xml:space="preserve">、供货要求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1.交货期：</w:t>
      </w:r>
      <w:r>
        <w:rPr>
          <w:rFonts w:hint="eastAsia" w:ascii="宋体" w:hAnsi="宋体" w:eastAsia="宋体" w:cs="宋体"/>
          <w:i/>
          <w:iCs/>
          <w:color w:val="000000"/>
          <w:sz w:val="24"/>
          <w:szCs w:val="24"/>
          <w:highlight w:val="none"/>
          <w:u w:val="single"/>
        </w:rPr>
        <w:t xml:space="preserve">90个日历天</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2.交货方式：送货上门。</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3.交货地点：采购人指定地点。</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五</w:t>
      </w:r>
      <w:r>
        <w:rPr>
          <w:rFonts w:ascii="Times New Roman" w:hAnsi="Times New Roman" w:eastAsia="宋体" w:cs="Times New Roman"/>
          <w:b/>
          <w:color w:val="000000"/>
          <w:sz w:val="24"/>
          <w:szCs w:val="24"/>
          <w:highlight w:val="none"/>
        </w:rPr>
        <w:t xml:space="preserve">、安装调试要求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1.中标单位应遵守现场的一切规章制度，文明施工；并根据甲方的需要，在规定的时间内，保证质量完成报价所提供设备的安装、调试及运行。</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2.安装前应对采购单位（甲方）现场进行详细考察，确保安装过程的成功。施工过程应严格执行相关的强弱电施工规范，并保证施工安全。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3.设备安装、调试所需的工具、仪表及安装材料由中标单位自行解决。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5.中标单位派出的安装人员安全责任由中标单位自行承担，派出人员应具备相关的专业知识、技术水平、相应资质和能力，熟悉本合同所述货物的规格、技术指标及安装要求。</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六、履约验收要求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3.投标人中标后须按投标材料展示所展示产品向招标人提供，如中标人所供产品与投标材料展示不符，招标人有权要求中标人更换，如更换后产品仍不一致，招标人将不予办理验收程序。</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5.招标人对中标人提供的货物在使用前进行调试时，中标人需负责安装并培训招标人的使用操作人员，并协助招标人一起调试，直到符合技术要求，招标人才做最终验收。</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七、培训要求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1.中标人承诺完成设备调试后，提供现场培训教学，培训天数不少于2天。</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2.培训内容为软件平台使用。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3.培训地点为采购人指定地点。</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八、售后服务要求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（1）质保期：</w:t>
      </w:r>
      <w:r>
        <w:rPr>
          <w:rFonts w:hint="eastAsia" w:ascii="Times New Roman" w:hAnsi="Times New Roman" w:eastAsia="宋体" w:cs="Times New Roman"/>
          <w:i/>
          <w:iCs/>
          <w:color w:val="000000"/>
          <w:sz w:val="24"/>
          <w:highlight w:val="none"/>
          <w:u w:val="single"/>
          <w:lang w:val="en-US" w:eastAsia="zh-CN"/>
        </w:rPr>
        <w:t xml:space="preserve">按国家质保要求执行</w:t>
      </w:r>
      <w:r>
        <w:rPr>
          <w:rFonts w:hint="eastAsia" w:ascii="Times New Roman" w:hAnsi="Times New Roman" w:eastAsia="宋体" w:cs="Times New Roman"/>
          <w:i/>
          <w:iCs/>
          <w:color w:val="000000"/>
          <w:sz w:val="24"/>
          <w:highlight w:val="none"/>
          <w:u w:val="single"/>
        </w:rPr>
        <w:t xml:space="preserve">。</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（2）投标人需要提供完善的售后服务体系、安装调试方案、出现质量问题时解决的措施及效率、维护措施方案等。</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（3）投标人需承诺</w:t>
      </w:r>
      <w:r>
        <w:rPr>
          <w:rFonts w:ascii="Times New Roman" w:hAnsi="Times New Roman" w:eastAsia="宋体" w:cs="Times New Roman"/>
          <w:color w:val="000000"/>
          <w:sz w:val="24"/>
          <w:szCs w:val="24"/>
          <w:highlight w:val="none"/>
        </w:rPr>
        <w:t xml:space="preserve">派遣</w:t>
      </w: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人</w:t>
      </w:r>
      <w:r>
        <w:rPr>
          <w:rFonts w:hint="eastAsia" w:ascii="Times New Roman" w:hAnsi="Times New Roman" w:eastAsia="宋体" w:cs="Times New Roman"/>
          <w:color w:val="000000"/>
          <w:sz w:val="24"/>
          <w:szCs w:val="24"/>
          <w:highlight w:val="none"/>
        </w:rPr>
        <w:t xml:space="preserve">以上成员</w:t>
      </w:r>
      <w:r>
        <w:rPr>
          <w:rFonts w:ascii="Times New Roman" w:hAnsi="Times New Roman" w:eastAsia="宋体" w:cs="Times New Roman"/>
          <w:color w:val="000000"/>
          <w:sz w:val="24"/>
          <w:szCs w:val="24"/>
          <w:highlight w:val="none"/>
        </w:rPr>
        <w:t xml:space="preserve">进行</w:t>
      </w:r>
      <w:r>
        <w:rPr>
          <w:rFonts w:hint="eastAsia" w:ascii="Times New Roman" w:hAnsi="Times New Roman" w:eastAsia="宋体" w:cs="Times New Roman"/>
          <w:color w:val="000000"/>
          <w:sz w:val="24"/>
          <w:szCs w:val="24"/>
          <w:highlight w:val="none"/>
        </w:rPr>
        <w:t xml:space="preserve">驻场服务</w:t>
      </w:r>
      <w:r>
        <w:rPr>
          <w:rFonts w:ascii="Times New Roman" w:hAnsi="Times New Roman" w:eastAsia="宋体" w:cs="Times New Roman"/>
          <w:color w:val="000000"/>
          <w:sz w:val="24"/>
          <w:szCs w:val="24"/>
          <w:highlight w:val="none"/>
        </w:rPr>
        <w:t xml:space="preserve">，负责项目的管理</w:t>
      </w:r>
      <w:r>
        <w:rPr>
          <w:rFonts w:hint="eastAsia" w:ascii="Times New Roman" w:hAnsi="Times New Roman" w:eastAsia="宋体" w:cs="Times New Roman"/>
          <w:color w:val="000000"/>
          <w:sz w:val="24"/>
          <w:szCs w:val="24"/>
          <w:highlight w:val="none"/>
        </w:rPr>
        <w:t xml:space="preserve">、服务</w:t>
      </w:r>
      <w:r>
        <w:rPr>
          <w:rFonts w:ascii="Times New Roman" w:hAnsi="Times New Roman" w:eastAsia="宋体" w:cs="Times New Roman"/>
          <w:color w:val="000000"/>
          <w:sz w:val="24"/>
          <w:szCs w:val="24"/>
          <w:highlight w:val="none"/>
        </w:rPr>
        <w:t xml:space="preserve">和监督</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（4）其它要求：</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①因中标人的原因出现问题，应免费到现场进行再次调试，直至系统恢复正常为止。</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②保修期内，免费提供所有硬件设备的维修及软件维护、升级等技术支持服务；所有设备维修服务、软件维护、升级均为上门服务，由此产生的费用均不再向采购人收取。</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④技术后援支持服务：为今后招标人系统中主要设备、软件和系统功能扩充、升级提供技术支持服务。</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九、投标报价要求</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1．投标报价包括生产、供货、</w:t>
      </w:r>
      <w:r>
        <w:rPr>
          <w:rFonts w:hint="eastAsia" w:ascii="Times New Roman" w:hAnsi="Times New Roman" w:eastAsia="宋体" w:cs="Times New Roman"/>
          <w:color w:val="000000"/>
          <w:sz w:val="24"/>
          <w:szCs w:val="24"/>
          <w:highlight w:val="none"/>
          <w:lang w:val="zh-CN"/>
        </w:rPr>
        <w:t xml:space="preserve">包装、</w:t>
      </w:r>
      <w:r>
        <w:rPr>
          <w:rFonts w:hint="eastAsia" w:ascii="Times New Roman" w:hAnsi="Times New Roman" w:eastAsia="宋体" w:cs="Times New Roman"/>
          <w:color w:val="000000"/>
          <w:sz w:val="24"/>
          <w:szCs w:val="24"/>
          <w:highlight w:val="none"/>
        </w:rPr>
        <w:t xml:space="preserve">运输、装卸、安装、</w:t>
      </w:r>
      <w:r>
        <w:rPr>
          <w:rFonts w:hint="eastAsia" w:ascii="Times New Roman" w:hAnsi="Times New Roman" w:eastAsia="宋体" w:cs="Times New Roman"/>
          <w:color w:val="000000"/>
          <w:sz w:val="24"/>
          <w:szCs w:val="24"/>
          <w:highlight w:val="none"/>
          <w:lang w:val="zh-CN"/>
        </w:rPr>
        <w:t xml:space="preserve">配件、</w:t>
      </w:r>
      <w:r>
        <w:rPr>
          <w:rFonts w:hint="eastAsia" w:ascii="Times New Roman" w:hAnsi="Times New Roman" w:eastAsia="宋体" w:cs="Times New Roman"/>
          <w:color w:val="000000"/>
          <w:sz w:val="24"/>
          <w:szCs w:val="24"/>
          <w:highlight w:val="none"/>
        </w:rPr>
        <w:t xml:space="preserve">调试、检验、培训及售后服务、税金和保险等费用以及采购文件规定的其他费用。除合同价款外，采购人不支付其他任何费用。</w:t>
      </w:r>
      <w:r>
        <w:rPr>
          <w:rFonts w:ascii="Times New Roman" w:hAnsi="Times New Roman"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2.投标人按照采购清单所列数量报投标单价和总价。</w:t>
      </w:r>
      <w:r>
        <w:rPr>
          <w:rFonts w:ascii="Times New Roman" w:hAnsi="Times New Roman"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十、付款方式与履约保证金</w:t>
      </w:r>
      <w:r>
        <w:rPr>
          <w:rFonts w:ascii="Times New Roman" w:hAnsi="Times New Roman" w:eastAsia="宋体" w:cs="Times New Roman"/>
          <w:b/>
          <w:color w:val="000000"/>
          <w:sz w:val="24"/>
          <w:szCs w:val="24"/>
          <w:highlight w:val="none"/>
        </w:rPr>
      </w:r>
      <w:r/>
    </w:p>
    <w:p>
      <w:pPr>
        <w:pStyle w:val="726"/>
        <w:ind w:firstLine="480"/>
        <w:jc w:val="left"/>
        <w:spacing w:line="360" w:lineRule="auto"/>
        <w:rPr>
          <w:rFonts w:hint="eastAsia" w:ascii="宋体" w:hAnsi="宋体" w:eastAsia="宋体" w:cs="Times New Roman"/>
          <w:i/>
          <w:iCs/>
          <w:color w:val="000000"/>
          <w:sz w:val="24"/>
          <w:szCs w:val="24"/>
          <w:highlight w:val="none"/>
          <w:u w:val="single"/>
        </w:rPr>
      </w:pPr>
      <w:r>
        <w:rPr>
          <w:rFonts w:hint="eastAsia" w:ascii="宋体" w:hAnsi="宋体" w:eastAsia="宋体" w:cs="Times New Roman"/>
          <w:i/>
          <w:iCs/>
          <w:color w:val="000000"/>
          <w:sz w:val="24"/>
          <w:szCs w:val="24"/>
          <w:highlight w:val="none"/>
          <w:u w:val="single"/>
        </w:rPr>
        <w:t xml:space="preserve">1.付款方式</w:t>
      </w:r>
      <w:r>
        <w:rPr>
          <w:rFonts w:hint="eastAsia" w:ascii="宋体" w:hAnsi="宋体"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合同签订后，待全部货物交付完成，安装调试无质量问题并验收合格，经结算审计后按审定价付至100%。</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项目中涉及工程装修部分，完工验收合格，经结算审计付款审定价的97%，剩余3%作为质保金，待缺陷责任期满后无质量问题付清余款（无息）。</w:t>
      </w:r>
      <w:r>
        <w:rPr>
          <w:rFonts w:hint="eastAsia"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ascii="Times New Roman" w:hAnsi="Times New Roman" w:eastAsia="宋体" w:cs="Times New Roman"/>
          <w:i/>
          <w:iCs/>
          <w:color w:val="000000"/>
          <w:sz w:val="24"/>
          <w:szCs w:val="24"/>
          <w:highlight w:val="none"/>
          <w:u w:val="single"/>
        </w:rPr>
      </w:pPr>
      <w:r>
        <w:rPr>
          <w:rFonts w:hint="eastAsia" w:ascii="Times New Roman" w:hAnsi="Times New Roman" w:eastAsia="宋体" w:cs="Times New Roman"/>
          <w:i/>
          <w:iCs/>
          <w:color w:val="000000"/>
          <w:sz w:val="24"/>
          <w:szCs w:val="24"/>
          <w:highlight w:val="none"/>
          <w:u w:val="single"/>
        </w:rPr>
        <w:t xml:space="preserve">所有付款节点，供应商均需提供对应合规发票。</w:t>
      </w:r>
      <w:r>
        <w:rPr>
          <w:rFonts w:ascii="Times New Roman" w:hAnsi="Times New Roman" w:eastAsia="宋体" w:cs="Times New Roman"/>
          <w:i/>
          <w:iCs/>
          <w:color w:val="000000"/>
          <w:sz w:val="24"/>
          <w:szCs w:val="24"/>
          <w:highlight w:val="none"/>
          <w:u w:val="singl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2.履约保证金</w:t>
      </w:r>
      <w:r>
        <w:rPr>
          <w:rFonts w:hint="eastAsia" w:ascii="宋体" w:hAnsi="宋体" w:eastAsia="宋体" w:cs="Times New Roman"/>
          <w:color w:val="000000"/>
          <w:sz w:val="24"/>
          <w:szCs w:val="24"/>
          <w:highlight w:val="none"/>
        </w:rPr>
      </w:r>
      <w:r/>
    </w:p>
    <w:p>
      <w:pPr>
        <w:pStyle w:val="726"/>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本项目不收取履约保证金。</w:t>
      </w:r>
      <w:r>
        <w:rPr>
          <w:rFonts w:hint="eastAsia" w:ascii="宋体" w:hAnsi="宋体" w:eastAsia="宋体" w:cs="Times New Roman"/>
          <w:color w:val="000000"/>
          <w:sz w:val="24"/>
          <w:szCs w:val="24"/>
          <w:highlight w:val="none"/>
        </w:rPr>
      </w:r>
      <w:r/>
    </w:p>
    <w:p>
      <w:pPr>
        <w:pStyle w:val="726"/>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十一、其他</w:t>
      </w:r>
      <w:r>
        <w:rPr>
          <w:rFonts w:ascii="Times New Roman" w:hAnsi="Times New Roman" w:eastAsia="宋体" w:cs="Times New Roman"/>
          <w:b/>
          <w:color w:val="000000"/>
          <w:sz w:val="24"/>
          <w:szCs w:val="24"/>
          <w:highlight w:val="none"/>
        </w:rPr>
      </w:r>
      <w:r/>
    </w:p>
    <w:p>
      <w:pPr>
        <w:pStyle w:val="72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本项目报价不得超过预算价（最高限价）。</w:t>
      </w:r>
      <w:r>
        <w:rPr>
          <w:rFonts w:hint="eastAsia" w:ascii="宋体" w:hAnsi="宋体" w:eastAsia="宋体" w:cs="Times New Roman"/>
          <w:color w:val="000000"/>
          <w:sz w:val="24"/>
          <w:szCs w:val="24"/>
          <w:highlight w:val="none"/>
        </w:rPr>
      </w:r>
      <w:r/>
    </w:p>
    <w:p>
      <w:pPr>
        <w:pStyle w:val="726"/>
        <w:ind w:firstLine="480"/>
        <w:jc w:val="left"/>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r>
        <w:rPr>
          <w:rFonts w:ascii="Times New Roman" w:hAnsi="Times New Roman" w:eastAsia="宋体" w:cs="Times New Roman"/>
          <w:color w:val="000000"/>
          <w:sz w:val="24"/>
          <w:szCs w:val="24"/>
          <w:highlight w:val="none"/>
        </w:rPr>
      </w:r>
      <w:r/>
    </w:p>
    <w:p>
      <w:pPr>
        <w:pStyle w:val="75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27"/>
        <w:numPr>
          <w:ilvl w:val="0"/>
          <w:numId w:val="0"/>
        </w:numPr>
        <w:spacing w:line="360" w:lineRule="auto"/>
        <w:tabs>
          <w:tab w:val="left" w:pos="360" w:leader="none"/>
        </w:tabs>
        <w:rPr>
          <w:rFonts w:hint="eastAsia" w:ascii="宋体" w:hAnsi="宋体" w:eastAsia="宋体" w:cs="宋体"/>
          <w:color w:val="000000"/>
          <w:sz w:val="24"/>
          <w:highlight w:val="none"/>
        </w:rPr>
      </w:pPr>
      <w:r/>
      <w:bookmarkStart w:id="25" w:name="_Toc150765440"/>
      <w:r>
        <w:rPr>
          <w:rFonts w:hint="eastAsia" w:ascii="宋体" w:hAnsi="宋体" w:eastAsia="宋体" w:cs="宋体"/>
          <w:color w:val="000000"/>
          <w:highlight w:val="none"/>
        </w:rPr>
        <w:t xml:space="preserve">第七章评标办法</w:t>
      </w:r>
      <w:bookmarkEnd w:id="21"/>
      <w:r/>
      <w:bookmarkEnd w:id="25"/>
      <w:r>
        <w:rPr>
          <w:rFonts w:hint="eastAsia" w:ascii="宋体" w:hAnsi="宋体" w:eastAsia="宋体" w:cs="宋体"/>
          <w:color w:val="000000"/>
          <w:sz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bCs/>
          <w:color w:val="000000"/>
          <w:sz w:val="24"/>
          <w:szCs w:val="24"/>
          <w:highlight w:val="none"/>
        </w:rPr>
        <w:t xml:space="preserve">评标委员会构成</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72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（一）评标时，评标委员会以招标文件为评标依据，评标委员会各成员独立对每个投标人的投标文件进行评价，并汇总每个投标人的得分。</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rPr>
          <w:rFonts w:hint="eastAsia" w:ascii="宋体" w:hAnsi="宋体" w:eastAsia="宋体" w:cs="宋体"/>
          <w:color w:val="000000"/>
          <w:sz w:val="24"/>
          <w:szCs w:val="24"/>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（三）总得分 =价格分 + 商务技术分 </w:t>
      </w:r>
      <w:r>
        <w:rPr>
          <w:rFonts w:hint="eastAsia" w:ascii="宋体" w:hAnsi="宋体" w:eastAsia="宋体" w:cs="宋体"/>
          <w:color w:val="000000"/>
          <w:sz w:val="24"/>
          <w:szCs w:val="24"/>
          <w:highlight w:val="none"/>
        </w:rPr>
      </w:r>
      <w:r/>
    </w:p>
    <w:p>
      <w:pPr>
        <w:pStyle w:val="726"/>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30"/>
          <w:szCs w:val="30"/>
          <w:highlight w:val="none"/>
        </w:rPr>
        <w:outlineLvl w:val="2"/>
      </w:pPr>
      <w:r/>
      <w:bookmarkEnd w:id="22"/>
      <w:r/>
      <w:bookmarkEnd w:id="23"/>
      <w:r>
        <w:rPr>
          <w:rFonts w:hint="eastAsia" w:ascii="宋体" w:hAnsi="宋体" w:eastAsia="宋体" w:cs="Arial"/>
          <w:b/>
          <w:color w:val="000000"/>
          <w:sz w:val="30"/>
          <w:szCs w:val="30"/>
          <w:highlight w:val="none"/>
        </w:rPr>
        <w:t xml:space="preserve">分包一：</w:t>
      </w:r>
      <w:r>
        <w:rPr>
          <w:rFonts w:hint="eastAsia" w:ascii="宋体" w:hAnsi="宋体" w:eastAsia="Arial" w:cs="Arial"/>
          <w:b/>
          <w:color w:val="000000"/>
          <w:sz w:val="30"/>
          <w:szCs w:val="30"/>
          <w:highlight w:val="none"/>
        </w:rPr>
        <w:t xml:space="preserve">综合评分法</w:t>
      </w:r>
      <w:r>
        <w:rPr>
          <w:rFonts w:ascii="宋体" w:hAnsi="宋体" w:eastAsia="Arial" w:cs="Arial"/>
          <w:b/>
          <w:color w:val="000000"/>
          <w:sz w:val="30"/>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（2）商务分（4</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投标供应商自2022年1月1日以来</w:t>
            </w:r>
            <w:r>
              <w:rPr>
                <w:rFonts w:ascii="宋体" w:hAnsi="宋体" w:eastAsia="宋体" w:cs="宋体"/>
                <w:bCs/>
                <w:color w:val="000000"/>
                <w:sz w:val="24"/>
                <w:szCs w:val="24"/>
                <w:highlight w:val="none"/>
                <w:lang w:val="en-US"/>
              </w:rPr>
              <w:t xml:space="preserve">承担过</w:t>
            </w:r>
            <w:r>
              <w:rPr>
                <w:rFonts w:hint="eastAsia" w:ascii="宋体" w:hAnsi="宋体" w:eastAsia="宋体" w:cs="宋体"/>
                <w:bCs/>
                <w:color w:val="000000"/>
                <w:sz w:val="24"/>
                <w:szCs w:val="24"/>
                <w:highlight w:val="none"/>
                <w:lang w:val="en-US" w:eastAsia="zh-CN"/>
              </w:rPr>
              <w:t xml:space="preserve">与院校合作</w:t>
            </w:r>
            <w:r>
              <w:rPr>
                <w:rFonts w:hint="eastAsia" w:ascii="宋体" w:hAnsi="宋体" w:eastAsia="宋体" w:cs="宋体"/>
                <w:bCs/>
                <w:color w:val="000000"/>
                <w:sz w:val="24"/>
                <w:szCs w:val="24"/>
                <w:highlight w:val="none"/>
              </w:rPr>
              <w:t xml:space="preserve">项目的，有一个得2分，最高得6分。（时间以合同签订时间为准，投标时需提供合同原件扫描件并加盖单位电子签章上传在投标文件中，未提供或提供不全不得分）</w:t>
            </w:r>
            <w:r>
              <w:rPr>
                <w:rFonts w:hint="eastAsia" w:ascii="宋体" w:hAnsi="宋体" w:eastAsia="宋体" w:cs="宋体"/>
                <w:bCs/>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企业实力</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1.投标供应商</w:t>
            </w:r>
            <w:r>
              <w:rPr>
                <w:rFonts w:hint="eastAsia" w:ascii="宋体" w:hAnsi="宋体" w:eastAsia="宋体" w:cs="宋体"/>
                <w:color w:val="000000"/>
                <w:sz w:val="24"/>
                <w:szCs w:val="24"/>
                <w:highlight w:val="none"/>
                <w:lang w:val="zh-CN"/>
              </w:rPr>
              <w:t xml:space="preserve">具备</w:t>
            </w:r>
            <w:r>
              <w:rPr>
                <w:rFonts w:ascii="宋体" w:hAnsi="宋体" w:eastAsia="宋体" w:cs="宋体"/>
                <w:sz w:val="24"/>
                <w:szCs w:val="24"/>
              </w:rPr>
              <w:t xml:space="preserve">ISO27001信息安全管理体系认证、ISO20000 信息技术服务管理体系认证的</w:t>
            </w:r>
            <w:r>
              <w:rPr>
                <w:rFonts w:hint="eastAsia" w:ascii="宋体" w:hAnsi="宋体" w:eastAsia="宋体" w:cs="宋体"/>
                <w:color w:val="000000"/>
                <w:sz w:val="24"/>
                <w:szCs w:val="24"/>
                <w:highlight w:val="none"/>
              </w:rPr>
              <w:t xml:space="preserve">，提供一个得2分，最高得4分。（</w:t>
            </w:r>
            <w:r>
              <w:rPr>
                <w:rFonts w:hint="eastAsia" w:ascii="宋体" w:hAnsi="宋体" w:eastAsia="宋体" w:cs="宋体"/>
                <w:color w:val="000000"/>
                <w:sz w:val="24"/>
                <w:szCs w:val="24"/>
                <w:highlight w:val="none"/>
                <w:lang w:val="zh-CN"/>
              </w:rPr>
              <w:t xml:space="preserve">需附上证书（</w:t>
            </w:r>
            <w:r>
              <w:rPr>
                <w:rFonts w:hint="eastAsia"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zh-CN"/>
              </w:rPr>
              <w:t xml:space="preserve">）证明，证书须在</w:t>
            </w:r>
            <w:r>
              <w:rPr>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color w:val="000000"/>
                <w:sz w:val="24"/>
                <w:szCs w:val="24"/>
                <w:highlight w:val="none"/>
                <w:lang w:val="zh-CN"/>
              </w:rPr>
              <w:t xml:space="preserve">期内，</w:t>
            </w:r>
            <w:r>
              <w:rPr>
                <w:rFonts w:hint="eastAsia" w:ascii="宋体" w:hAnsi="宋体" w:eastAsia="宋体" w:cs="宋体"/>
                <w:color w:val="000000"/>
                <w:sz w:val="24"/>
                <w:szCs w:val="24"/>
                <w:highlight w:val="none"/>
              </w:rPr>
              <w:t xml:space="preserve">并加盖投标供应商公章）</w:t>
            </w:r>
            <w:r>
              <w:rPr>
                <w:rFonts w:hint="eastAsia" w:ascii="宋体" w:hAnsi="宋体" w:eastAsia="宋体" w:cs="宋体"/>
                <w:bCs/>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确保投标供应商能有效承托本项目，投标供应商的项目实施人员须具备能够监督进度、发现问题、组建团队、并在合作中对项目维护的不断优化的作用。投标供应商的项目实施人员投标时须提供具有融媒体、电子商务或者旅游管理的高级技师职业技能等级证书的，提供一份得2分；最高得2分。（</w:t>
            </w:r>
            <w:r>
              <w:rPr>
                <w:rFonts w:hint="eastAsia" w:ascii="宋体" w:hAnsi="宋体" w:eastAsia="宋体" w:cs="宋体"/>
                <w:bCs/>
                <w:color w:val="000000"/>
                <w:sz w:val="24"/>
                <w:szCs w:val="24"/>
                <w:highlight w:val="none"/>
                <w:lang w:val="zh-CN"/>
              </w:rPr>
              <w:t xml:space="preserve">投标时须提交该</w:t>
            </w:r>
            <w:r>
              <w:rPr>
                <w:rFonts w:hint="eastAsia" w:ascii="宋体" w:hAnsi="宋体" w:eastAsia="宋体" w:cs="宋体"/>
                <w:bCs/>
                <w:color w:val="000000"/>
                <w:sz w:val="24"/>
                <w:szCs w:val="24"/>
                <w:highlight w:val="none"/>
              </w:rPr>
              <w:t xml:space="preserve">获证人员证书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lang w:val="zh-CN"/>
              </w:rPr>
              <w:t xml:space="preserve">件及近三个月中任意一个月投标人为其缴纳的社保证明文件（</w:t>
            </w:r>
            <w:r>
              <w:rPr>
                <w:rFonts w:hint="eastAsia" w:ascii="宋体" w:hAnsi="宋体" w:eastAsia="宋体" w:cs="宋体"/>
                <w:bCs/>
                <w:color w:val="000000"/>
                <w:sz w:val="24"/>
                <w:szCs w:val="24"/>
                <w:highlight w:val="none"/>
              </w:rPr>
              <w:t xml:space="preserve">须</w:t>
            </w:r>
            <w:r>
              <w:rPr>
                <w:rFonts w:hint="eastAsia" w:ascii="宋体" w:hAnsi="宋体" w:eastAsia="宋体" w:cs="宋体"/>
                <w:bCs/>
                <w:color w:val="000000"/>
                <w:sz w:val="24"/>
                <w:szCs w:val="24"/>
                <w:highlight w:val="none"/>
                <w:lang w:val="zh-CN"/>
              </w:rPr>
              <w:t xml:space="preserve">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lang w:val="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3.为保障驻场运维服务的专业性与人员稳定性，</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驻场运维团队须配备持有NISP一级信息安全资质的专业人员，投标时须提供NISP一级证书复印件及近三个月中任意一个月投标人为其缴纳的社保证明文件（须加盖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公章），每提供一名符合证书资质且社保真实的驻场人员证明得2分，最高得4分，未提供证书或社保证明材料、证书与社保单位不一致、或未按要求加盖公章的案例均不得分。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（21分）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numPr>
                <w:ilvl w:val="0"/>
                <w:numId w:val="0"/>
              </w:numPr>
              <w:ind w:firstLine="480"/>
              <w:jc w:val="left"/>
              <w:spacing w:line="360" w:lineRule="auto"/>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投标供应商提供针对本项目的实施方案，包含但不限于</w:t>
            </w:r>
            <w:r>
              <w:rPr>
                <w:rFonts w:hint="eastAsia" w:ascii="宋体" w:hAnsi="宋体" w:eastAsia="宋体" w:cs="宋体"/>
                <w:bCs/>
                <w:color w:val="000000"/>
                <w:sz w:val="24"/>
                <w:szCs w:val="24"/>
                <w:highlight w:val="none"/>
              </w:rPr>
            </w:r>
            <w:r/>
          </w:p>
          <w:p>
            <w:pPr>
              <w:pStyle w:val="726"/>
              <w:numPr>
                <w:ilvl w:val="0"/>
                <w:numId w:val="0"/>
              </w:numPr>
              <w:ind w:firstLine="480"/>
              <w:jc w:val="left"/>
              <w:spacing w:line="360" w:lineRule="auto"/>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1.提供本项目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建设方案（7分）；</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需包含6个核心模块（项目背景与学校需求适配分析、建设目标与核心指标、整体架构设计、建设内容、学校场景特殊适配方案、建设可行性分析）；每个模块内容详实，明确贴合本学校办学规模、场地条件、教学需求，可直接指导落地实施，无模糊表述得6-7分；</w:t>
            </w:r>
            <w:r>
              <w:rPr>
                <w:rFonts w:hint="eastAsia" w:ascii="宋体" w:hAnsi="宋体" w:eastAsia="宋体" w:cs="宋体"/>
                <w:bCs/>
                <w:color w:val="000000"/>
                <w:sz w:val="24"/>
                <w:szCs w:val="24"/>
                <w:highlight w:val="none"/>
                <w:lang w:val="en-US" w:eastAsia="zh-CN"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包含上述4-5个核心模块；内容较完整，能结合学校基本需求，无明显逻辑漏洞，可操作性较强，但部分模块缺乏细节（如无明确适配学校场地的具体说明）得3-5分；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包含上述3个及以上核心模块；内容基本完整，能提及学校项目建设需求，基本满足实施框架，但针对性不足（未结合学校教学场景、场地限制等具体情况），部分环节可操作性一般得1-2分。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未提供建设方案，或方案缺失核心模块（不足3个），无法支撑项目建设落地的不得分。</w:t>
            </w:r>
            <w:r>
              <w:rPr>
                <w:rFonts w:ascii="宋体" w:hAnsi="宋体" w:eastAsia="宋体" w:cs="宋体"/>
                <w:bCs/>
                <w:color w:val="000000"/>
                <w:sz w:val="24"/>
                <w:szCs w:val="24"/>
                <w:highlight w:val="none"/>
                <w:lang w:bidi="ar"/>
              </w:rPr>
            </w:r>
            <w:r/>
          </w:p>
          <w:p>
            <w:pPr>
              <w:pStyle w:val="726"/>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bidi="ar"/>
              </w:rPr>
            </w:pPr>
            <w:r>
              <w:rPr>
                <w:rFonts w:hint="eastAsia" w:ascii="宋体" w:hAnsi="宋体" w:eastAsia="宋体" w:cs="宋体"/>
                <w:bCs/>
                <w:color w:val="000000"/>
                <w:sz w:val="24"/>
                <w:szCs w:val="24"/>
                <w:highlight w:val="none"/>
                <w:lang w:bidi="ar"/>
              </w:rPr>
              <w:t xml:space="preserve">2.提供项目进度安排、组织架构、风险控制管理、质量保障措施、安装与调试、验收方案、培训方案等方案</w:t>
            </w: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7分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726"/>
              <w:numPr>
                <w:ilvl w:val="0"/>
                <w:numId w:val="0"/>
              </w:numPr>
              <w:ind w:firstLine="480"/>
              <w:jc w:val="left"/>
              <w:spacing w:line="360" w:lineRule="auto"/>
              <w:widowControl/>
              <w:rPr>
                <w:rFonts w:ascii="Calibri" w:hAnsi="Calibri" w:eastAsia="宋体" w:cs="Times New Roman"/>
                <w:color w:val="000000"/>
                <w:szCs w:val="24"/>
                <w:highlight w:val="none"/>
              </w:rPr>
            </w:pPr>
            <w:r>
              <w:rPr>
                <w:rFonts w:hint="eastAsia" w:ascii="宋体" w:hAnsi="宋体" w:eastAsia="宋体" w:cs="宋体"/>
                <w:bCs/>
                <w:color w:val="000000"/>
                <w:sz w:val="24"/>
                <w:szCs w:val="24"/>
                <w:highlight w:val="none"/>
                <w:lang w:val="en-US" w:eastAsia="zh-CN" w:bidi="ar"/>
              </w:rPr>
              <w:t xml:space="preserve">要求以上</w:t>
            </w:r>
            <w:r>
              <w:rPr>
                <w:rFonts w:hint="eastAsia" w:ascii="宋体" w:hAnsi="宋体" w:eastAsia="宋体" w:cs="宋体"/>
                <w:bCs/>
                <w:color w:val="000000"/>
                <w:sz w:val="24"/>
                <w:szCs w:val="24"/>
                <w:highlight w:val="none"/>
              </w:rPr>
              <w:t xml:space="preserve">方案详细完整、有针对性、可操作性强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以上方案内容提供1个得1分，最高得7分；方案内容不完整、不具备针对性、可操作性或者未提供上述方案的不得分</w:t>
            </w:r>
            <w:r>
              <w:rPr>
                <w:rFonts w:ascii="Calibri" w:hAnsi="Calibri" w:eastAsia="宋体" w:cs="Times New Roman"/>
                <w:color w:val="000000"/>
                <w:szCs w:val="24"/>
                <w:highlight w:val="none"/>
              </w:rPr>
            </w:r>
            <w:r/>
          </w:p>
          <w:p>
            <w:pPr>
              <w:pStyle w:val="726"/>
              <w:numPr>
                <w:ilvl w:val="0"/>
                <w:numId w:val="0"/>
              </w:num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3.提供本项目相关的设计，包括平面图、效果图、施工图。</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widowControl/>
              <w:rPr>
                <w:rFonts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设计图纸：</w:t>
            </w:r>
            <w:r>
              <w:rPr>
                <w:rFonts w:hint="eastAsia" w:ascii="宋体" w:hAnsi="宋体" w:eastAsia="宋体" w:cs="宋体"/>
                <w:color w:val="000000"/>
                <w:sz w:val="24"/>
                <w:szCs w:val="24"/>
                <w:highlight w:val="none"/>
                <w:u w:val="none"/>
                <w:lang w:val="en-US" w:eastAsia="zh-CN" w:bidi="ar"/>
              </w:rPr>
              <w:t xml:space="preserve">包含平面图（</w:t>
            </w:r>
            <w:r>
              <w:rPr>
                <w:rFonts w:hint="eastAsia" w:ascii="宋体" w:hAnsi="宋体" w:eastAsia="宋体" w:cs="宋体"/>
                <w:color w:val="000000"/>
                <w:sz w:val="24"/>
                <w:szCs w:val="24"/>
                <w:highlight w:val="none"/>
                <w:u w:val="none"/>
                <w:lang w:bidi="ar"/>
              </w:rPr>
              <w:t xml:space="preserve">标注详细尺寸、功能分区</w:t>
            </w:r>
            <w:r>
              <w:rPr>
                <w:rFonts w:hint="eastAsia" w:ascii="宋体" w:hAnsi="宋体" w:eastAsia="宋体" w:cs="宋体"/>
                <w:color w:val="000000"/>
                <w:sz w:val="24"/>
                <w:szCs w:val="24"/>
                <w:highlight w:val="none"/>
                <w:u w:val="none"/>
                <w:lang w:val="en-US" w:eastAsia="zh-CN" w:bidi="ar"/>
              </w:rPr>
              <w:t xml:space="preserve">合理）、效果图（</w:t>
            </w:r>
            <w:r>
              <w:rPr>
                <w:rFonts w:hint="eastAsia" w:ascii="宋体" w:hAnsi="宋体" w:eastAsia="宋体" w:cs="宋体"/>
                <w:color w:val="000000"/>
                <w:sz w:val="24"/>
                <w:szCs w:val="24"/>
                <w:highlight w:val="none"/>
                <w:lang w:eastAsia="zh-CN" w:bidi="ar"/>
              </w:rPr>
              <w:t xml:space="preserve">不低于</w:t>
            </w: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张，含整体</w:t>
            </w:r>
            <w:r>
              <w:rPr>
                <w:rFonts w:hint="eastAsia" w:ascii="宋体" w:hAnsi="宋体" w:eastAsia="宋体" w:cs="宋体"/>
                <w:color w:val="000000"/>
                <w:sz w:val="24"/>
                <w:szCs w:val="24"/>
                <w:highlight w:val="none"/>
                <w:lang w:eastAsia="zh-CN" w:bidi="ar"/>
              </w:rPr>
              <w:t xml:space="preserve">鸟瞰图</w:t>
            </w:r>
            <w:r>
              <w:rPr>
                <w:rFonts w:hint="eastAsia" w:ascii="宋体" w:hAnsi="宋体" w:eastAsia="宋体" w:cs="宋体"/>
                <w:color w:val="000000"/>
                <w:sz w:val="24"/>
                <w:szCs w:val="24"/>
                <w:highlight w:val="none"/>
                <w:lang w:bidi="ar"/>
              </w:rPr>
              <w:t xml:space="preserve">、核心功能区域，色彩搭配贴合校园氛围</w:t>
            </w:r>
            <w:r>
              <w:rPr>
                <w:rFonts w:hint="eastAsia" w:ascii="宋体" w:hAnsi="宋体" w:eastAsia="宋体" w:cs="宋体"/>
                <w:color w:val="000000"/>
                <w:sz w:val="24"/>
                <w:szCs w:val="24"/>
                <w:highlight w:val="none"/>
                <w:u w:val="none"/>
                <w:lang w:val="en-US" w:eastAsia="zh-CN" w:bidi="ar"/>
              </w:rPr>
              <w:t xml:space="preserve">）、施工图（</w:t>
            </w:r>
            <w:r>
              <w:rPr>
                <w:rFonts w:hint="eastAsia" w:ascii="宋体" w:hAnsi="宋体" w:eastAsia="宋体" w:cs="宋体"/>
                <w:color w:val="000000"/>
                <w:sz w:val="24"/>
                <w:szCs w:val="24"/>
                <w:highlight w:val="none"/>
                <w:lang w:bidi="ar"/>
              </w:rPr>
              <w:t xml:space="preserve">含</w:t>
            </w:r>
            <w:r>
              <w:rPr>
                <w:rFonts w:hint="eastAsia" w:ascii="宋体" w:hAnsi="宋体" w:eastAsia="宋体" w:cs="宋体"/>
                <w:color w:val="000000"/>
                <w:sz w:val="24"/>
                <w:szCs w:val="24"/>
                <w:highlight w:val="none"/>
                <w:lang w:eastAsia="zh-CN" w:bidi="ar"/>
              </w:rPr>
              <w:t xml:space="preserve">平面</w:t>
            </w:r>
            <w:r>
              <w:rPr>
                <w:rFonts w:hint="eastAsia" w:ascii="宋体" w:hAnsi="宋体" w:eastAsia="宋体" w:cs="宋体"/>
                <w:color w:val="000000"/>
                <w:sz w:val="24"/>
                <w:szCs w:val="24"/>
                <w:highlight w:val="none"/>
                <w:lang w:val="en-US" w:eastAsia="zh-CN" w:bidi="ar"/>
              </w:rPr>
              <w:t xml:space="preserve">布置</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地面、</w:t>
            </w:r>
            <w:r>
              <w:rPr>
                <w:rFonts w:hint="eastAsia" w:ascii="宋体" w:hAnsi="宋体" w:eastAsia="宋体" w:cs="宋体"/>
                <w:color w:val="000000"/>
                <w:sz w:val="24"/>
                <w:szCs w:val="24"/>
                <w:highlight w:val="none"/>
                <w:lang w:val="en-US" w:eastAsia="zh-CN" w:bidi="ar"/>
              </w:rPr>
              <w:t xml:space="preserve">顶面、电路、上下水路</w:t>
            </w:r>
            <w:r>
              <w:rPr>
                <w:rFonts w:hint="eastAsia" w:ascii="宋体" w:hAnsi="宋体" w:eastAsia="宋体" w:cs="宋体"/>
                <w:color w:val="000000"/>
                <w:sz w:val="24"/>
                <w:szCs w:val="24"/>
                <w:highlight w:val="none"/>
                <w:lang w:bidi="ar"/>
              </w:rPr>
              <w:t xml:space="preserve">等各图纸，标注详细参数、施工</w:t>
            </w:r>
            <w:r>
              <w:rPr>
                <w:rFonts w:hint="eastAsia" w:ascii="宋体" w:hAnsi="宋体" w:eastAsia="宋体" w:cs="宋体"/>
                <w:color w:val="000000"/>
                <w:sz w:val="24"/>
                <w:szCs w:val="24"/>
                <w:highlight w:val="none"/>
                <w:lang w:eastAsia="zh-CN" w:bidi="ar"/>
              </w:rPr>
              <w:t xml:space="preserve">说明</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图纸，图纸齐全、标注清晰，美观度</w:t>
            </w:r>
            <w:r>
              <w:rPr>
                <w:rFonts w:hint="eastAsia" w:ascii="宋体" w:hAnsi="宋体" w:eastAsia="宋体" w:cs="宋体"/>
                <w:color w:val="000000"/>
                <w:sz w:val="24"/>
                <w:szCs w:val="24"/>
                <w:highlight w:val="none"/>
                <w:u w:val="none"/>
                <w:lang w:val="en-US" w:eastAsia="zh-CN" w:bidi="ar"/>
              </w:rPr>
              <w:t xml:space="preserve">高</w:t>
            </w:r>
            <w:r>
              <w:rPr>
                <w:rFonts w:hint="eastAsia" w:ascii="宋体" w:hAnsi="宋体" w:eastAsia="宋体" w:cs="宋体"/>
                <w:color w:val="000000"/>
                <w:sz w:val="24"/>
                <w:szCs w:val="24"/>
                <w:highlight w:val="none"/>
                <w:lang w:val="en-US" w:eastAsia="zh-CN" w:bidi="ar"/>
              </w:rPr>
              <w:t xml:space="preserve">，能</w:t>
            </w:r>
            <w:r>
              <w:rPr>
                <w:rFonts w:hint="eastAsia" w:ascii="宋体" w:hAnsi="宋体" w:eastAsia="宋体" w:cs="宋体"/>
                <w:color w:val="000000"/>
                <w:sz w:val="24"/>
                <w:szCs w:val="24"/>
                <w:highlight w:val="none"/>
                <w:u w:val="none"/>
                <w:lang w:val="en-US" w:eastAsia="zh-CN" w:bidi="ar"/>
              </w:rPr>
              <w:t xml:space="preserve">完全</w:t>
            </w:r>
            <w:r>
              <w:rPr>
                <w:rFonts w:hint="eastAsia" w:ascii="宋体" w:hAnsi="宋体" w:eastAsia="宋体" w:cs="宋体"/>
                <w:color w:val="000000"/>
                <w:sz w:val="24"/>
                <w:szCs w:val="24"/>
                <w:highlight w:val="none"/>
                <w:lang w:val="en-US" w:eastAsia="zh-CN" w:bidi="ar"/>
              </w:rPr>
              <w:t xml:space="preserve">满足学校实际建设需求</w:t>
            </w:r>
            <w:r>
              <w:rPr>
                <w:rFonts w:hint="eastAsia" w:ascii="宋体" w:hAnsi="宋体" w:eastAsia="宋体" w:cs="宋体"/>
                <w:color w:val="000000"/>
                <w:sz w:val="24"/>
                <w:szCs w:val="24"/>
                <w:highlight w:val="none"/>
                <w:u w:val="none"/>
                <w:lang w:val="en-US" w:eastAsia="zh-CN" w:bidi="ar"/>
              </w:rPr>
              <w:t xml:space="preserve">得6-7分；</w:t>
            </w:r>
            <w:r>
              <w:rPr>
                <w:rFonts w:ascii="宋体" w:hAnsi="宋体" w:eastAsia="宋体" w:cs="宋体"/>
                <w:color w:val="000000"/>
                <w:sz w:val="24"/>
                <w:szCs w:val="24"/>
                <w:highlight w:val="none"/>
                <w:lang w:bidi="ar"/>
              </w:rPr>
            </w:r>
            <w:r/>
          </w:p>
          <w:p>
            <w:pPr>
              <w:pStyle w:val="726"/>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设计图纸：包含平面图</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u w:val="none"/>
                <w:lang w:bidi="ar"/>
              </w:rPr>
              <w:t xml:space="preserve">标注</w:t>
            </w:r>
            <w:r>
              <w:rPr>
                <w:rFonts w:hint="eastAsia" w:ascii="宋体" w:hAnsi="宋体" w:eastAsia="宋体" w:cs="宋体"/>
                <w:color w:val="000000"/>
                <w:sz w:val="24"/>
                <w:szCs w:val="24"/>
                <w:highlight w:val="none"/>
                <w:u w:val="none"/>
                <w:lang w:val="en-US" w:eastAsia="zh-CN" w:bidi="ar"/>
              </w:rPr>
              <w:t xml:space="preserve">基本</w:t>
            </w:r>
            <w:r>
              <w:rPr>
                <w:rFonts w:hint="eastAsia" w:ascii="宋体" w:hAnsi="宋体" w:eastAsia="宋体" w:cs="宋体"/>
                <w:color w:val="000000"/>
                <w:sz w:val="24"/>
                <w:szCs w:val="24"/>
                <w:highlight w:val="none"/>
                <w:u w:val="none"/>
                <w:lang w:bidi="ar"/>
              </w:rPr>
              <w:t xml:space="preserve">尺寸、功能分区</w:t>
            </w:r>
            <w:r>
              <w:rPr>
                <w:rFonts w:hint="eastAsia" w:ascii="宋体" w:hAnsi="宋体" w:eastAsia="宋体" w:cs="宋体"/>
                <w:color w:val="000000"/>
                <w:sz w:val="24"/>
                <w:szCs w:val="24"/>
                <w:highlight w:val="none"/>
                <w:u w:val="none"/>
                <w:lang w:val="en-US" w:eastAsia="zh-CN" w:bidi="ar"/>
              </w:rPr>
              <w:t xml:space="preserve">较合理）</w:t>
            </w:r>
            <w:r>
              <w:rPr>
                <w:rFonts w:hint="eastAsia" w:ascii="宋体" w:hAnsi="宋体" w:eastAsia="宋体" w:cs="宋体"/>
                <w:color w:val="000000"/>
                <w:sz w:val="24"/>
                <w:szCs w:val="24"/>
                <w:highlight w:val="none"/>
                <w:lang w:bidi="ar"/>
              </w:rPr>
              <w:t xml:space="preserve">、效果图（</w:t>
            </w:r>
            <w:r>
              <w:rPr>
                <w:rFonts w:hint="eastAsia" w:ascii="宋体" w:hAnsi="宋体" w:eastAsia="宋体" w:cs="宋体"/>
                <w:color w:val="000000"/>
                <w:sz w:val="24"/>
                <w:szCs w:val="24"/>
                <w:highlight w:val="none"/>
                <w:lang w:val="en-US" w:eastAsia="zh-CN" w:bidi="ar"/>
              </w:rPr>
              <w:t xml:space="preserve">不低于10张，</w:t>
            </w:r>
            <w:r>
              <w:rPr>
                <w:rFonts w:hint="eastAsia" w:ascii="宋体" w:hAnsi="宋体" w:eastAsia="宋体" w:cs="宋体"/>
                <w:color w:val="000000"/>
                <w:sz w:val="24"/>
                <w:szCs w:val="24"/>
                <w:highlight w:val="none"/>
                <w:lang w:bidi="ar"/>
              </w:rPr>
              <w:t xml:space="preserve">含核心功能区域，色彩搭配贴合校园氛围）、施工图（图纸）；设计方案及图纸基本符合本项目招标要求，贴合学校场地实际情况，无重大冲突、遗漏</w:t>
            </w:r>
            <w:r>
              <w:rPr>
                <w:rFonts w:hint="eastAsia" w:ascii="宋体" w:hAnsi="宋体" w:eastAsia="宋体" w:cs="宋体"/>
                <w:color w:val="000000"/>
                <w:sz w:val="24"/>
                <w:szCs w:val="24"/>
                <w:highlight w:val="none"/>
                <w:lang w:val="en-US" w:eastAsia="zh-CN" w:bidi="ar"/>
              </w:rPr>
              <w:t xml:space="preserve">得3-5分；</w:t>
            </w:r>
            <w:r>
              <w:rPr>
                <w:rFonts w:hint="eastAsia" w:ascii="宋体" w:hAnsi="宋体" w:eastAsia="宋体" w:cs="宋体"/>
                <w:color w:val="000000"/>
                <w:sz w:val="24"/>
                <w:szCs w:val="24"/>
                <w:highlight w:val="none"/>
                <w:lang w:val="en-US" w:eastAsia="zh-CN" w:bidi="ar"/>
              </w:rPr>
            </w:r>
            <w:r/>
          </w:p>
          <w:p>
            <w:pPr>
              <w:pStyle w:val="726"/>
              <w:numPr>
                <w:ilvl w:val="0"/>
                <w:numId w:val="0"/>
              </w:numPr>
              <w:ind w:left="0" w:firstLine="480"/>
              <w:jc w:val="left"/>
              <w:spacing w:before="0" w:after="0" w:line="360" w:lineRule="auto"/>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设计图纸：缺少1类核心图纸（平面图、效果图、施工图中任意1类），</w:t>
            </w:r>
            <w:r>
              <w:rPr>
                <w:rFonts w:hint="eastAsia" w:ascii="宋体" w:hAnsi="宋体" w:eastAsia="宋体" w:cs="宋体"/>
                <w:color w:val="000000"/>
                <w:sz w:val="24"/>
                <w:szCs w:val="24"/>
                <w:highlight w:val="none"/>
                <w:lang w:eastAsia="zh-CN" w:bidi="ar"/>
              </w:rPr>
              <w:t xml:space="preserve">效果图（</w:t>
            </w:r>
            <w:r>
              <w:rPr>
                <w:rFonts w:hint="eastAsia" w:ascii="宋体" w:hAnsi="宋体" w:eastAsia="宋体" w:cs="宋体"/>
                <w:color w:val="000000"/>
                <w:sz w:val="24"/>
                <w:szCs w:val="24"/>
                <w:highlight w:val="none"/>
                <w:lang w:val="en-US" w:eastAsia="zh-CN" w:bidi="ar"/>
              </w:rPr>
              <w:t xml:space="preserve">少于9张，</w:t>
            </w:r>
            <w:r>
              <w:rPr>
                <w:rFonts w:hint="eastAsia" w:ascii="宋体" w:hAnsi="宋体" w:eastAsia="宋体" w:cs="宋体"/>
                <w:color w:val="000000"/>
                <w:sz w:val="24"/>
                <w:szCs w:val="24"/>
                <w:highlight w:val="none"/>
                <w:lang w:bidi="ar"/>
              </w:rPr>
              <w:t xml:space="preserve">含核心功能区域，色彩搭配贴合校园氛围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；图纸质量：线条基本清晰、标注不够规范，美观度一般，需大幅修改才能用于施工</w:t>
            </w:r>
            <w:r>
              <w:rPr>
                <w:rFonts w:hint="eastAsia" w:ascii="宋体" w:hAnsi="宋体" w:eastAsia="宋体" w:cs="宋体"/>
                <w:color w:val="000000"/>
                <w:sz w:val="24"/>
                <w:szCs w:val="24"/>
                <w:highlight w:val="none"/>
                <w:lang w:val="en-US" w:eastAsia="zh-CN" w:bidi="ar"/>
              </w:rPr>
              <w:t xml:space="preserve">的得1-2分；</w:t>
            </w:r>
            <w:r>
              <w:rPr>
                <w:rFonts w:ascii="宋体" w:hAnsi="宋体" w:eastAsia="宋体" w:cs="宋体"/>
                <w:color w:val="000000"/>
                <w:sz w:val="24"/>
                <w:szCs w:val="24"/>
                <w:highlight w:val="none"/>
                <w:lang w:bidi="ar"/>
              </w:rPr>
            </w:r>
            <w:r/>
          </w:p>
          <w:p>
            <w:pPr>
              <w:pStyle w:val="726"/>
              <w:numPr>
                <w:ilvl w:val="0"/>
                <w:numId w:val="0"/>
              </w:numPr>
              <w:ind w:firstLine="480"/>
              <w:jc w:val="left"/>
              <w:spacing w:line="360" w:lineRule="auto"/>
              <w:widowControl/>
              <w:rPr>
                <w:rFonts w:ascii="Calibri" w:hAnsi="Calibri" w:eastAsia="宋体" w:cs="Times New Roman"/>
                <w:color w:val="000000"/>
                <w:szCs w:val="24"/>
                <w:highlight w:val="none"/>
              </w:rPr>
            </w:pPr>
            <w:r>
              <w:rPr>
                <w:rFonts w:hint="eastAsia" w:ascii="宋体" w:hAnsi="宋体" w:eastAsia="宋体" w:cs="宋体"/>
                <w:color w:val="000000"/>
                <w:sz w:val="24"/>
                <w:szCs w:val="24"/>
                <w:highlight w:val="none"/>
                <w:lang w:bidi="ar"/>
              </w:rPr>
              <w:t xml:space="preserve">未提供设计图纸；设计图纸缺失2类及以上；或设计方案、图纸与本项目招标要求、学校场地实际情况严重不符，无法修改使用</w:t>
            </w:r>
            <w:r>
              <w:rPr>
                <w:rFonts w:hint="eastAsia" w:ascii="宋体" w:hAnsi="宋体" w:eastAsia="宋体" w:cs="宋体"/>
                <w:color w:val="000000"/>
                <w:sz w:val="24"/>
                <w:szCs w:val="24"/>
                <w:highlight w:val="none"/>
                <w:lang w:val="en-US" w:eastAsia="zh-CN" w:bidi="ar"/>
              </w:rPr>
              <w:t xml:space="preserve">的不得分。</w:t>
            </w:r>
            <w:r>
              <w:rPr>
                <w:rFonts w:ascii="Calibri" w:hAnsi="Calibri" w:eastAsia="宋体" w:cs="Times New Roman"/>
                <w:color w:val="000000"/>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售后保障</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一般咨询及故障报修1小时内响应，紧急故障30分钟内响应、</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的得3分；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1小时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的得2分；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2小时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的得1分；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未提供售后</w:t>
            </w:r>
            <w:r>
              <w:rPr>
                <w:rFonts w:hint="eastAsia" w:ascii="宋体" w:hAnsi="宋体" w:eastAsia="宋体" w:cs="宋体"/>
                <w:bCs/>
                <w:color w:val="000000"/>
                <w:sz w:val="24"/>
                <w:szCs w:val="24"/>
                <w:highlight w:val="none"/>
                <w:lang w:val="en-US" w:eastAsia="zh-CN"/>
              </w:rPr>
              <w:t xml:space="preserve">服务承诺函</w:t>
            </w:r>
            <w:r>
              <w:rPr>
                <w:rFonts w:hint="eastAsia" w:ascii="宋体" w:hAnsi="宋体" w:eastAsia="宋体" w:cs="宋体"/>
                <w:bCs/>
                <w:color w:val="000000"/>
                <w:sz w:val="24"/>
                <w:szCs w:val="24"/>
                <w:highlight w:val="none"/>
              </w:rPr>
              <w:t xml:space="preserve">的不得分。</w:t>
            </w:r>
            <w:r>
              <w:rPr>
                <w:rFonts w:hint="eastAsia" w:ascii="宋体" w:hAnsi="宋体" w:eastAsia="宋体" w:cs="宋体"/>
                <w:color w:val="000000"/>
                <w:sz w:val="24"/>
                <w:szCs w:val="24"/>
                <w:highlight w:val="none"/>
              </w:rPr>
            </w:r>
            <w:r/>
          </w:p>
        </w:tc>
      </w:tr>
    </w:tbl>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技术参数响应</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根据投标供应商对磋商文件服务要求响应程度，考察产品配置、技术参数。</w:t>
            </w:r>
            <w:r>
              <w:rPr>
                <w:rFonts w:hint="eastAsia" w:ascii="宋体" w:hAnsi="宋体" w:eastAsia="宋体" w:cs="宋体"/>
                <w:bCs/>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带“▲”标识的技术参数为重要参数，每一条“▲”参数需根据要求提供相应软件界面截图或其它证明材料，不提供或者提供不完全满足要求的一项扣2分，扣完为止。（上述所有扫描件均须加盖投标人公章）</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r>
              <w:rPr>
                <w:rFonts w:hint="eastAsia" w:ascii="宋体" w:hAnsi="宋体" w:eastAsia="宋体" w:cs="宋体"/>
                <w:b/>
                <w:bCs/>
                <w:color w:val="000000"/>
                <w:sz w:val="24"/>
                <w:szCs w:val="24"/>
                <w:highlight w:val="none"/>
              </w:rPr>
            </w:r>
            <w:r/>
          </w:p>
        </w:tc>
      </w:tr>
    </w:tbl>
    <w:p>
      <w:pPr>
        <w:pStyle w:val="726"/>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jc w:val="both"/>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Arial"/>
          <w:b/>
          <w:color w:val="000000"/>
          <w:sz w:val="30"/>
          <w:szCs w:val="30"/>
          <w:highlight w:val="none"/>
        </w:rPr>
        <w:outlineLvl w:val="2"/>
      </w:pPr>
      <w:r>
        <w:rPr>
          <w:rFonts w:hint="eastAsia" w:ascii="宋体" w:hAnsi="宋体" w:eastAsia="宋体" w:cs="Arial"/>
          <w:b/>
          <w:color w:val="000000"/>
          <w:sz w:val="30"/>
          <w:szCs w:val="30"/>
          <w:highlight w:val="none"/>
        </w:rPr>
      </w:r>
      <w:r/>
    </w:p>
    <w:p>
      <w:pPr>
        <w:pStyle w:val="72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30"/>
          <w:szCs w:val="30"/>
          <w:highlight w:val="none"/>
        </w:rPr>
        <w:outlineLvl w:val="2"/>
      </w:pPr>
      <w:r>
        <w:rPr>
          <w:rFonts w:hint="eastAsia" w:ascii="宋体" w:hAnsi="宋体" w:eastAsia="宋体" w:cs="Arial"/>
          <w:b/>
          <w:color w:val="000000"/>
          <w:sz w:val="30"/>
          <w:szCs w:val="30"/>
          <w:highlight w:val="none"/>
        </w:rPr>
        <w:t xml:space="preserve">分包二：</w:t>
      </w:r>
      <w:r>
        <w:rPr>
          <w:rFonts w:hint="eastAsia" w:ascii="宋体" w:hAnsi="宋体" w:eastAsia="Arial" w:cs="Arial"/>
          <w:b/>
          <w:color w:val="000000"/>
          <w:sz w:val="30"/>
          <w:szCs w:val="30"/>
          <w:highlight w:val="none"/>
        </w:rPr>
        <w:t xml:space="preserve">综合评分法</w:t>
      </w:r>
      <w:r>
        <w:rPr>
          <w:rFonts w:ascii="宋体" w:hAnsi="宋体" w:eastAsia="Arial" w:cs="Arial"/>
          <w:b/>
          <w:color w:val="000000"/>
          <w:sz w:val="30"/>
          <w:szCs w:val="30"/>
          <w:highlight w:val="none"/>
        </w:rPr>
      </w:r>
      <w:r/>
    </w:p>
    <w:p>
      <w:pPr>
        <w:pStyle w:val="7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投标报价得分=（评标基准价/投标报价）×30分</w:t>
      </w:r>
      <w:r>
        <w:rPr>
          <w:rFonts w:hint="eastAsia" w:ascii="宋体" w:hAnsi="宋体" w:eastAsia="宋体" w:cs="宋体"/>
          <w:color w:val="000000"/>
          <w:sz w:val="24"/>
          <w:szCs w:val="24"/>
          <w:highlight w:val="none"/>
        </w:rPr>
      </w:r>
      <w:r/>
    </w:p>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宋体"/>
          <w:color w:val="000000"/>
          <w:sz w:val="24"/>
          <w:szCs w:val="24"/>
          <w:highlight w:val="none"/>
        </w:rPr>
      </w:r>
      <w:r/>
    </w:p>
    <w:p>
      <w:pPr>
        <w:pStyle w:val="726"/>
        <w:numPr>
          <w:ilvl w:val="0"/>
          <w:numId w:val="3"/>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商务分（</w:t>
      </w:r>
      <w:r>
        <w:rPr>
          <w:rFonts w:hint="eastAsia"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投标供应商自2022年1月1日以来承担过</w:t>
            </w:r>
            <w:r>
              <w:rPr>
                <w:rFonts w:hint="eastAsia" w:ascii="宋体" w:hAnsi="宋体" w:eastAsia="宋体" w:cs="宋体"/>
                <w:bCs/>
                <w:color w:val="000000"/>
                <w:sz w:val="24"/>
                <w:szCs w:val="24"/>
                <w:highlight w:val="none"/>
                <w:lang w:val="en-US" w:eastAsia="zh-CN"/>
              </w:rPr>
              <w:t xml:space="preserve">与院校合作</w:t>
            </w:r>
            <w:r>
              <w:rPr>
                <w:rFonts w:hint="eastAsia" w:ascii="宋体" w:hAnsi="宋体" w:eastAsia="宋体" w:cs="宋体"/>
                <w:bCs/>
                <w:color w:val="000000"/>
                <w:sz w:val="24"/>
                <w:szCs w:val="24"/>
                <w:highlight w:val="none"/>
              </w:rPr>
              <w:t xml:space="preserve">项目的，有一个得2分，最高得6分。（时间以合同签订时间为准，投标时需提供合同原件扫描件并加盖单位电子签章上传在投标文件中，未提供或提供不全不得分）</w:t>
            </w:r>
            <w:r>
              <w:rPr>
                <w:rFonts w:hint="eastAsia" w:ascii="宋体" w:hAnsi="宋体" w:eastAsia="宋体" w:cs="宋体"/>
                <w:bCs/>
                <w:color w:val="000000"/>
                <w:sz w:val="24"/>
                <w:szCs w:val="24"/>
                <w:highlight w:val="none"/>
              </w:rPr>
            </w:r>
            <w:r/>
          </w:p>
        </w:tc>
      </w:tr>
      <w:tr>
        <w:trPr>
          <w:trHeight w:val="474"/>
        </w:trPr>
        <w:tc>
          <w:tcPr>
            <w:tcW w:w="1660" w:type="dxa"/>
            <w:vAlign w:val="center"/>
            <w:textDirection w:val="lrTb"/>
            <w:noWrap w:val="false"/>
          </w:tcPr>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企业实力</w:t>
            </w:r>
            <w:r>
              <w:rPr>
                <w:rFonts w:hint="eastAsia" w:ascii="宋体" w:hAnsi="宋体" w:eastAsia="宋体" w:cs="宋体"/>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1.投标供应商</w:t>
            </w:r>
            <w:r>
              <w:rPr>
                <w:rFonts w:hint="eastAsia" w:ascii="宋体" w:hAnsi="宋体" w:eastAsia="宋体" w:cs="宋体"/>
                <w:color w:val="000000"/>
                <w:sz w:val="24"/>
                <w:szCs w:val="24"/>
                <w:highlight w:val="none"/>
                <w:lang w:val="zh-CN"/>
              </w:rPr>
              <w:t xml:space="preserve">具备</w:t>
            </w:r>
            <w:r>
              <w:rPr>
                <w:rFonts w:ascii="宋体" w:hAnsi="宋体" w:eastAsia="宋体" w:cs="宋体"/>
                <w:sz w:val="24"/>
                <w:szCs w:val="24"/>
              </w:rPr>
              <w:t xml:space="preserve">ISO27001信息安全管理体系认证、ISO20000 信息技术服务管理体系认证的</w:t>
            </w:r>
            <w:r>
              <w:rPr>
                <w:rFonts w:hint="eastAsia" w:ascii="宋体" w:hAnsi="宋体" w:eastAsia="宋体" w:cs="宋体"/>
                <w:color w:val="000000"/>
                <w:sz w:val="24"/>
                <w:szCs w:val="24"/>
                <w:highlight w:val="none"/>
              </w:rPr>
              <w:t xml:space="preserve">，提供一个得2分，最高得4分。（</w:t>
            </w:r>
            <w:r>
              <w:rPr>
                <w:rFonts w:hint="eastAsia" w:ascii="宋体" w:hAnsi="宋体" w:eastAsia="宋体" w:cs="宋体"/>
                <w:color w:val="000000"/>
                <w:sz w:val="24"/>
                <w:szCs w:val="24"/>
                <w:highlight w:val="none"/>
                <w:lang w:val="zh-CN"/>
              </w:rPr>
              <w:t xml:space="preserve">需附上证书（</w:t>
            </w:r>
            <w:r>
              <w:rPr>
                <w:rFonts w:hint="eastAsia"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zh-CN"/>
              </w:rPr>
              <w:t xml:space="preserve">）证明，证书须在</w:t>
            </w:r>
            <w:r>
              <w:rPr>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color w:val="000000"/>
                <w:sz w:val="24"/>
                <w:szCs w:val="24"/>
                <w:highlight w:val="none"/>
                <w:lang w:val="zh-CN"/>
              </w:rPr>
              <w:t xml:space="preserve">期内，</w:t>
            </w:r>
            <w:r>
              <w:rPr>
                <w:rFonts w:hint="eastAsia" w:ascii="宋体" w:hAnsi="宋体" w:eastAsia="宋体" w:cs="宋体"/>
                <w:color w:val="000000"/>
                <w:sz w:val="24"/>
                <w:szCs w:val="24"/>
                <w:highlight w:val="none"/>
              </w:rPr>
              <w:t xml:space="preserve">并加盖投标供应商公章）</w:t>
            </w:r>
            <w:r>
              <w:rPr>
                <w:rFonts w:hint="eastAsia" w:ascii="宋体" w:hAnsi="宋体" w:eastAsia="宋体" w:cs="宋体"/>
                <w:bCs/>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确保投标供应商能有效承托本项目，投标供应商的项目实施人员须具备能够监督进度、发现问题、组建团队、并在合作中对项目维护的不断优化的作用。投标供应商的项目实施人员投标时须提供具有融媒体、电子商务、网络直播或者旅游管理的高级技师职业技能等级证书的，提供一份得3分；最高得3分。（</w:t>
            </w:r>
            <w:r>
              <w:rPr>
                <w:rFonts w:hint="eastAsia" w:ascii="宋体" w:hAnsi="宋体" w:eastAsia="宋体" w:cs="宋体"/>
                <w:bCs/>
                <w:color w:val="000000"/>
                <w:sz w:val="24"/>
                <w:szCs w:val="24"/>
                <w:highlight w:val="none"/>
                <w:lang w:val="zh-CN"/>
              </w:rPr>
              <w:t xml:space="preserve">投标时须提交该</w:t>
            </w:r>
            <w:r>
              <w:rPr>
                <w:rFonts w:hint="eastAsia" w:ascii="宋体" w:hAnsi="宋体" w:eastAsia="宋体" w:cs="宋体"/>
                <w:bCs/>
                <w:color w:val="000000"/>
                <w:sz w:val="24"/>
                <w:szCs w:val="24"/>
                <w:highlight w:val="none"/>
              </w:rPr>
              <w:t xml:space="preserve">获证人员证书</w:t>
            </w:r>
            <w:r>
              <w:rPr>
                <w:rFonts w:hint="eastAsia" w:ascii="宋体" w:hAnsi="宋体" w:eastAsia="宋体" w:cs="宋体"/>
                <w:bCs/>
                <w:color w:val="000000"/>
                <w:sz w:val="24"/>
                <w:szCs w:val="24"/>
                <w:highlight w:val="none"/>
                <w:lang w:val="en-US" w:eastAsia="zh-CN"/>
              </w:rPr>
              <w:t xml:space="preserve">扫描</w:t>
            </w:r>
            <w:r>
              <w:rPr>
                <w:rFonts w:hint="eastAsia" w:ascii="宋体" w:hAnsi="宋体" w:eastAsia="宋体" w:cs="宋体"/>
                <w:bCs/>
                <w:color w:val="000000"/>
                <w:sz w:val="24"/>
                <w:szCs w:val="24"/>
                <w:highlight w:val="none"/>
                <w:lang w:val="zh-CN"/>
              </w:rPr>
              <w:t xml:space="preserve">件及近三个月中任意一个月投标人为其缴纳的社保证明文件（</w:t>
            </w:r>
            <w:r>
              <w:rPr>
                <w:rFonts w:hint="eastAsia" w:ascii="宋体" w:hAnsi="宋体" w:eastAsia="宋体" w:cs="宋体"/>
                <w:bCs/>
                <w:color w:val="000000"/>
                <w:sz w:val="24"/>
                <w:szCs w:val="24"/>
                <w:highlight w:val="none"/>
              </w:rPr>
              <w:t xml:space="preserve">须</w:t>
            </w:r>
            <w:r>
              <w:rPr>
                <w:rFonts w:hint="eastAsia" w:ascii="宋体" w:hAnsi="宋体" w:eastAsia="宋体" w:cs="宋体"/>
                <w:bCs/>
                <w:color w:val="000000"/>
                <w:sz w:val="24"/>
                <w:szCs w:val="24"/>
                <w:highlight w:val="none"/>
                <w:lang w:val="zh-CN"/>
              </w:rPr>
              <w:t xml:space="preserve">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lang w:val="zh-CN"/>
              </w:rPr>
              <w:t xml:space="preserve">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6"/>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3.为保障驻场运维服务的专业性与人员稳定性，</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驻场运维团队须配备持有NISP一级信息安全资质的专业人员，投标时须提供NISP一级证书复印件及近三个月内任意一个月投标人为其缴纳的社保证明文件（须加盖</w:t>
            </w:r>
            <w:r>
              <w:rPr>
                <w:rFonts w:hint="eastAsia" w:ascii="宋体" w:hAnsi="宋体" w:eastAsia="宋体" w:cs="宋体"/>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公章），每提供一名符合证书资质且社保真实的驻场人员证明得2分，最高得4分，未提供证书或社保证明材料、证书与社保单位不一致、或未按要求加盖公章的案例均不得分。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（16分）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numPr>
                <w:ilvl w:val="0"/>
                <w:numId w:val="0"/>
              </w:numPr>
              <w:ind w:firstLine="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投标供应商提供针对本项目的实施方案，包含但不限于</w:t>
            </w:r>
            <w:r>
              <w:rPr>
                <w:rFonts w:hint="eastAsia" w:ascii="宋体" w:hAnsi="宋体" w:eastAsia="宋体" w:cs="宋体"/>
                <w:bCs/>
                <w:color w:val="000000"/>
                <w:sz w:val="24"/>
                <w:szCs w:val="24"/>
                <w:highlight w:val="none"/>
              </w:rPr>
            </w:r>
            <w:r/>
          </w:p>
          <w:p>
            <w:pPr>
              <w:pStyle w:val="726"/>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1.提供本项目</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建设方案（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需包含6个核心模块（项目背景与学校需求适配分析、建设目标与核心指标、整体架构设计、建设内容、学校场景特殊适配方案、建设可行性分析）；每个模块内容详实，明确贴合本学校办学规模、场地条件、教学需求，可直接指导落地实施，无模糊表述得7-9分；</w:t>
            </w:r>
            <w:r>
              <w:rPr>
                <w:rFonts w:hint="eastAsia" w:ascii="宋体" w:hAnsi="宋体" w:eastAsia="宋体" w:cs="宋体"/>
                <w:bCs/>
                <w:color w:val="000000"/>
                <w:sz w:val="24"/>
                <w:szCs w:val="24"/>
                <w:highlight w:val="none"/>
                <w:lang w:val="en-US" w:eastAsia="zh-CN"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包含上述4-5个核心模块；内容较完整，能结合学校基本需求，无明显逻辑漏洞，可操作性较强，但部分模块缺乏细节（如无明确适配学校场地的具体说明）得4-6分；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包含上述3个及以上核心模块；内容基本完整，能提及学校项目建设需求，基本满足实施框架，但针对性不足（未结合学校教学场景、场地限制等具体情况），部分环节可操作性一般得1-3分。</w:t>
            </w:r>
            <w:r>
              <w:rPr>
                <w:rFonts w:ascii="宋体" w:hAnsi="宋体" w:eastAsia="宋体" w:cs="宋体"/>
                <w:bCs/>
                <w:color w:val="000000"/>
                <w:sz w:val="24"/>
                <w:szCs w:val="24"/>
                <w:highlight w:val="none"/>
                <w:lang w:bidi="ar"/>
              </w:rPr>
            </w:r>
            <w:r/>
          </w:p>
          <w:p>
            <w:pPr>
              <w:pStyle w:val="726"/>
              <w:ind w:firstLine="480"/>
              <w:jc w:val="left"/>
              <w:keepLines w:val="0"/>
              <w:keepNext w:val="0"/>
              <w:spacing w:line="360" w:lineRule="auto"/>
              <w:shd w:val="clear" w:color="auto" w:fill="ffffff"/>
              <w:widowControl/>
              <w:rPr>
                <w:rFonts w:hint="eastAsia"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未提供建设方案，或方案缺失核心模块（不足3个），无法支撑项目建设落地的不得分。</w:t>
            </w:r>
            <w:r>
              <w:rPr>
                <w:rFonts w:hint="eastAsia" w:ascii="宋体" w:hAnsi="宋体" w:eastAsia="宋体" w:cs="宋体"/>
                <w:bCs/>
                <w:color w:val="000000"/>
                <w:sz w:val="24"/>
                <w:szCs w:val="24"/>
                <w:highlight w:val="none"/>
                <w:lang w:bidi="ar"/>
              </w:rPr>
            </w:r>
            <w:r/>
          </w:p>
          <w:p>
            <w:pPr>
              <w:pStyle w:val="726"/>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bidi="ar"/>
              </w:rPr>
            </w:pPr>
            <w:r>
              <w:rPr>
                <w:rFonts w:hint="eastAsia" w:ascii="宋体" w:hAnsi="宋体" w:eastAsia="宋体" w:cs="宋体"/>
                <w:bCs/>
                <w:color w:val="000000"/>
                <w:sz w:val="24"/>
                <w:szCs w:val="24"/>
                <w:highlight w:val="none"/>
                <w:lang w:bidi="ar"/>
              </w:rPr>
              <w:t xml:space="preserve">2.提供项目进度安排、组织架构、风险控制管理、质量保障措施、安装与调试、验收方案、培训方案等方案</w:t>
            </w:r>
            <w:r>
              <w:rPr>
                <w:rFonts w:hint="eastAsia" w:ascii="宋体" w:hAnsi="宋体" w:eastAsia="宋体" w:cs="宋体"/>
                <w:bCs/>
                <w:color w:val="000000"/>
                <w:sz w:val="24"/>
                <w:szCs w:val="24"/>
                <w:highlight w:val="none"/>
                <w:lang w:val="en-US" w:eastAsia="zh-CN" w:bidi="ar"/>
              </w:rPr>
              <w:t xml:space="preserve">内容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7分</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726"/>
              <w:ind w:firstLine="480"/>
              <w:jc w:val="left"/>
              <w:spacing w:line="360" w:lineRule="auto"/>
              <w:shd w:val="clear" w:color="auto" w:fill="ffffff"/>
              <w:widowControl/>
              <w:rPr>
                <w:rFonts w:ascii="Calibri" w:hAnsi="Calibri" w:eastAsia="宋体" w:cs="Times New Roman"/>
                <w:color w:val="000000"/>
                <w:szCs w:val="24"/>
                <w:highlight w:val="none"/>
              </w:rPr>
            </w:pPr>
            <w:r>
              <w:rPr>
                <w:rFonts w:hint="eastAsia" w:ascii="宋体" w:hAnsi="宋体" w:eastAsia="宋体" w:cs="宋体"/>
                <w:bCs/>
                <w:color w:val="000000"/>
                <w:sz w:val="24"/>
                <w:szCs w:val="24"/>
                <w:highlight w:val="none"/>
                <w:lang w:val="en-US" w:eastAsia="zh-CN" w:bidi="ar"/>
              </w:rPr>
              <w:t xml:space="preserve">要求以上</w:t>
            </w:r>
            <w:r>
              <w:rPr>
                <w:rFonts w:hint="eastAsia" w:ascii="宋体" w:hAnsi="宋体" w:eastAsia="宋体" w:cs="宋体"/>
                <w:bCs/>
                <w:color w:val="000000"/>
                <w:sz w:val="24"/>
                <w:szCs w:val="24"/>
                <w:highlight w:val="none"/>
              </w:rPr>
              <w:t xml:space="preserve">方案详细完整、有针对性、可操作性强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以上方案内容提供1个得1分，最高得7分；方案内容不完整、不具备针对性、可操作性或者未提供上述方案的不得分。</w:t>
            </w:r>
            <w:r>
              <w:rPr>
                <w:rFonts w:ascii="Calibri" w:hAnsi="Calibri" w:eastAsia="宋体" w:cs="Times New Roman"/>
                <w:color w:val="000000"/>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售后保障</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一般咨询及故障报修1小时内响应，紧急故障30分钟内响应、</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的得5分；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1小时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的得3分；</w:t>
            </w:r>
            <w:r>
              <w:rPr>
                <w:rFonts w:hint="eastAsia" w:ascii="宋体" w:hAnsi="宋体" w:eastAsia="宋体" w:cs="宋体"/>
                <w:bCs/>
                <w:color w:val="000000"/>
                <w:sz w:val="24"/>
                <w:szCs w:val="24"/>
                <w:highlight w:val="none"/>
              </w:rPr>
              <w:t xml:space="preserve">（提供承诺函）</w:t>
            </w:r>
            <w:r>
              <w:rPr>
                <w:rFonts w:ascii="宋体" w:hAnsi="宋体" w:eastAsia="宋体" w:cs="宋体"/>
                <w:bCs/>
                <w:color w:val="000000"/>
                <w:sz w:val="24"/>
                <w:szCs w:val="24"/>
                <w:highlight w:val="none"/>
                <w:lang w:val="en-US" w:eastAsia="zh-CN"/>
              </w:rPr>
            </w:r>
            <w:r/>
          </w:p>
          <w:p>
            <w:pPr>
              <w:pStyle w:val="726"/>
              <w:ind w:firstLine="480"/>
              <w:spacing w:line="360" w:lineRule="auto"/>
              <w:shd w:val="clear" w:color="auto" w:fill="ffffff"/>
              <w:widowControl/>
              <w:rPr>
                <w:color w:val="000000"/>
                <w:highlight w:val="none"/>
              </w:rPr>
            </w:pPr>
            <w:r>
              <w:rPr>
                <w:rFonts w:hint="eastAsia" w:ascii="宋体" w:hAnsi="宋体" w:eastAsia="宋体" w:cs="宋体"/>
                <w:bCs/>
                <w:color w:val="000000"/>
                <w:sz w:val="24"/>
                <w:szCs w:val="24"/>
                <w:highlight w:val="none"/>
                <w:lang w:val="en-US" w:eastAsia="zh-CN"/>
              </w:rPr>
              <w:t xml:space="preserve">投标供应商承诺</w:t>
            </w:r>
            <w:r>
              <w:rPr>
                <w:rFonts w:hint="eastAsia" w:ascii="宋体" w:hAnsi="宋体" w:eastAsia="宋体" w:cs="宋体"/>
                <w:bCs/>
                <w:color w:val="000000"/>
                <w:sz w:val="24"/>
                <w:szCs w:val="24"/>
                <w:highlight w:val="none"/>
              </w:rPr>
              <w:t xml:space="preserve">一般咨询及故障报修</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小时内响应，紧急故障</w:t>
            </w:r>
            <w:r>
              <w:rPr>
                <w:rFonts w:hint="eastAsia" w:ascii="宋体" w:hAnsi="宋体" w:eastAsia="宋体" w:cs="宋体"/>
                <w:bCs/>
                <w:color w:val="000000"/>
                <w:sz w:val="24"/>
                <w:szCs w:val="24"/>
                <w:highlight w:val="none"/>
                <w:lang w:val="en-US" w:eastAsia="zh-CN"/>
              </w:rPr>
              <w:t xml:space="preserve">2小时</w:t>
            </w:r>
            <w:r>
              <w:rPr>
                <w:rFonts w:hint="eastAsia" w:ascii="宋体" w:hAnsi="宋体" w:eastAsia="宋体" w:cs="宋体"/>
                <w:bCs/>
                <w:color w:val="000000"/>
                <w:sz w:val="24"/>
                <w:szCs w:val="24"/>
                <w:highlight w:val="none"/>
              </w:rPr>
              <w:t xml:space="preserve">内响应、</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小时内抵达现场（如需现场处理）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一般故障</w:t>
            </w: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小时内解决，重大故障</w:t>
            </w: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rPr>
              <w:t xml:space="preserve">小时内解决</w:t>
            </w:r>
            <w:r>
              <w:rPr>
                <w:rFonts w:hint="eastAsia" w:ascii="宋体" w:hAnsi="宋体" w:eastAsia="宋体" w:cs="宋体"/>
                <w:bCs/>
                <w:color w:val="000000"/>
                <w:sz w:val="24"/>
                <w:szCs w:val="24"/>
                <w:highlight w:val="none"/>
                <w:lang w:val="en-US" w:eastAsia="zh-CN"/>
              </w:rPr>
              <w:t xml:space="preserve">的得1分；</w:t>
            </w:r>
            <w:r>
              <w:rPr>
                <w:rFonts w:hint="eastAsia" w:ascii="宋体" w:hAnsi="宋体" w:eastAsia="宋体" w:cs="宋体"/>
                <w:bCs/>
                <w:color w:val="000000"/>
                <w:sz w:val="24"/>
                <w:szCs w:val="24"/>
                <w:highlight w:val="none"/>
              </w:rPr>
              <w:t xml:space="preserve">（提供承诺函）</w:t>
            </w:r>
            <w:r>
              <w:rPr>
                <w:color w:val="000000"/>
                <w:highlight w:val="none"/>
              </w:rPr>
            </w:r>
            <w:r/>
          </w:p>
          <w:p>
            <w:pPr>
              <w:pStyle w:val="72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未提供售后</w:t>
            </w:r>
            <w:r>
              <w:rPr>
                <w:rFonts w:hint="eastAsia" w:ascii="宋体" w:hAnsi="宋体" w:eastAsia="宋体" w:cs="宋体"/>
                <w:bCs/>
                <w:color w:val="000000"/>
                <w:sz w:val="24"/>
                <w:szCs w:val="24"/>
                <w:highlight w:val="none"/>
                <w:lang w:val="en-US" w:eastAsia="zh-CN"/>
              </w:rPr>
              <w:t xml:space="preserve">服务承诺函</w:t>
            </w:r>
            <w:r>
              <w:rPr>
                <w:rFonts w:hint="eastAsia" w:ascii="宋体" w:hAnsi="宋体" w:eastAsia="宋体" w:cs="宋体"/>
                <w:bCs/>
                <w:color w:val="000000"/>
                <w:sz w:val="24"/>
                <w:szCs w:val="24"/>
                <w:highlight w:val="none"/>
              </w:rPr>
              <w:t xml:space="preserve">的不得分。</w:t>
            </w:r>
            <w:r>
              <w:rPr>
                <w:rFonts w:hint="eastAsia" w:ascii="宋体" w:hAnsi="宋体" w:eastAsia="宋体" w:cs="宋体"/>
                <w:color w:val="000000"/>
                <w:sz w:val="24"/>
                <w:szCs w:val="24"/>
                <w:highlight w:val="none"/>
              </w:rPr>
            </w:r>
            <w:r/>
          </w:p>
        </w:tc>
      </w:tr>
    </w:tbl>
    <w:p>
      <w:pPr>
        <w:pStyle w:val="72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（3）技术分（3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621"/>
        </w:trPr>
        <w:tc>
          <w:tcPr>
            <w:tcW w:w="1660" w:type="dxa"/>
            <w:vAlign w:val="center"/>
            <w:textDirection w:val="lrTb"/>
            <w:noWrap w:val="false"/>
          </w:tcPr>
          <w:p>
            <w:pPr>
              <w:pStyle w:val="726"/>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技术参数响应</w:t>
            </w:r>
            <w:r>
              <w:rPr>
                <w:rFonts w:hint="eastAsia" w:ascii="宋体" w:hAnsi="宋体" w:eastAsia="宋体" w:cs="宋体"/>
                <w:bCs/>
                <w:color w:val="000000"/>
                <w:sz w:val="24"/>
                <w:szCs w:val="24"/>
                <w:highlight w:val="none"/>
              </w:rPr>
            </w:r>
            <w:r/>
          </w:p>
          <w:p>
            <w:pPr>
              <w:pStyle w:val="72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r>
            <w:r/>
          </w:p>
        </w:tc>
        <w:tc>
          <w:tcPr>
            <w:tcW w:w="6845" w:type="dxa"/>
            <w:vAlign w:val="center"/>
            <w:textDirection w:val="lrTb"/>
            <w:noWrap w:val="false"/>
          </w:tcPr>
          <w:p>
            <w:pPr>
              <w:pStyle w:val="72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根据投标供应商对磋商文件服务要求响应程度，考察产品配置、技术参数。</w:t>
            </w:r>
            <w:r>
              <w:rPr>
                <w:rFonts w:hint="eastAsia" w:ascii="宋体" w:hAnsi="宋体" w:eastAsia="宋体" w:cs="宋体"/>
                <w:bCs/>
                <w:color w:val="000000"/>
                <w:sz w:val="24"/>
                <w:szCs w:val="24"/>
                <w:highlight w:val="none"/>
              </w:rPr>
            </w:r>
            <w:r/>
          </w:p>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带“▲”标识的技术参数为重要参数，每一条“▲”参数需根据要求提供相应软件界面截图或其它证明材料，不提供或者提供不完全满足要求的一项扣2分，扣完为止。（上述所有扫描件均须加盖投标人公章）</w:t>
            </w:r>
            <w:r>
              <w:rPr>
                <w:rFonts w:hint="eastAsia" w:ascii="宋体" w:hAnsi="宋体" w:eastAsia="宋体" w:cs="宋体"/>
                <w:color w:val="000000"/>
                <w:sz w:val="24"/>
                <w:szCs w:val="24"/>
                <w:highlight w:val="none"/>
              </w:rPr>
            </w:r>
            <w:r/>
          </w:p>
          <w:p>
            <w:pPr>
              <w:pStyle w:val="72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r>
              <w:rPr>
                <w:rFonts w:hint="eastAsia" w:ascii="宋体" w:hAnsi="宋体" w:eastAsia="宋体" w:cs="宋体"/>
                <w:b/>
                <w:bCs/>
                <w:color w:val="000000"/>
                <w:sz w:val="24"/>
                <w:szCs w:val="24"/>
                <w:highlight w:val="none"/>
              </w:rPr>
            </w:r>
            <w:r/>
          </w:p>
        </w:tc>
      </w:tr>
    </w:tbl>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S Mincho">
    <w:panose1 w:val="02020603050405090304"/>
  </w:font>
  <w:font w:name="仿宋">
    <w:panose1 w:val="02010609060101010101"/>
  </w:font>
  <w:font w:name="等线">
    <w:panose1 w:val="02010600030101010101"/>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华文中宋">
    <w:panose1 w:val="02010600040101010101"/>
  </w:font>
  <w:font w:name="Verdana">
    <w:panose1 w:val="020B0604030504040204"/>
  </w:font>
  <w:font w:name="黑体">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tabs>
        <w:tab w:val="center" w:pos="4153" w:leader="none"/>
        <w:tab w:val="right" w:pos="8306" w:leader="none"/>
      </w:tabs>
      <w:rPr>
        <w:rFonts w:ascii="Calibri" w:hAnsi="Calibri" w:eastAsia="宋体" w:cs="Times New Roman"/>
        <w:sz w:val="18"/>
        <w:szCs w:val="24"/>
      </w:rPr>
    </w:pPr>
    <w:r>
      <w:rPr>
        <w:rFonts w:ascii="Calibri" w:hAnsi="Calibri"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6"/>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一</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6"/>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一</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726"/>
                    </w:pPr>
                    <w:r/>
                    <w:r/>
                  </w:p>
                </w:txbxContent>
              </v:textbox>
            </v:shape>
          </w:pict>
        </mc:Fallback>
      </mc:AlternateContent>
    </w:r>
    <w:r>
      <w:rPr>
        <w:rFonts w:ascii="Calibri" w:hAnsi="Calibri" w:eastAsia="宋体" w:cs="Times New Roman"/>
        <w:sz w:val="18"/>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726"/>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single" w:color="000000" w:sz="6" w:space="1"/>
      </w:pBdr>
    </w:pPr>
    <w:r>
      <w:rPr>
        <w:rFonts w:hint="eastAsia"/>
        <w:lang w:eastAsia="zh-CN"/>
      </w:rPr>
      <w:t xml:space="preserve">中和德汇工程技术有限公司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nothing"/>
      <w:lvlText w:val="%1、"/>
      <w:lvlJc w:val="left"/>
      <w:pPr>
        <w:pStyle w:val="726"/>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7"/>
      <w:isLgl w:val="false"/>
      <w:suff w:val="tab"/>
      <w:lvlText w:val="%1"/>
      <w:lvlJc w:val="left"/>
      <w:pPr>
        <w:pStyle w:val="726"/>
        <w:ind w:left="284" w:hanging="284"/>
        <w:tabs>
          <w:tab w:val="num" w:pos="360" w:leader="none"/>
        </w:tabs>
      </w:pPr>
      <w:rPr>
        <w:rFonts w:ascii="Times New Roman" w:hAnsi="Times New Roman"/>
        <w:b/>
        <w:i w:val="0"/>
        <w:sz w:val="28"/>
      </w:rPr>
    </w:lvl>
    <w:lvl w:ilvl="1">
      <w:start w:val="1"/>
      <w:numFmt w:val="decimal"/>
      <w:pStyle w:val="728"/>
      <w:isLgl w:val="false"/>
      <w:suff w:val="tab"/>
      <w:lvlText w:val="%1.%2"/>
      <w:lvlJc w:val="left"/>
      <w:pPr>
        <w:pStyle w:val="726"/>
        <w:ind w:left="1021" w:hanging="596"/>
        <w:tabs>
          <w:tab w:val="num" w:pos="1021" w:leader="none"/>
        </w:tabs>
      </w:pPr>
      <w:rPr>
        <w:rFonts w:ascii="Times New Roman" w:hAnsi="Times New Roman"/>
        <w:b/>
        <w:i w:val="0"/>
        <w:sz w:val="28"/>
      </w:rPr>
    </w:lvl>
    <w:lvl w:ilvl="2">
      <w:start w:val="1"/>
      <w:numFmt w:val="decimal"/>
      <w:pStyle w:val="729"/>
      <w:isLgl w:val="false"/>
      <w:suff w:val="tab"/>
      <w:lvlText w:val="%1.%2.%3"/>
      <w:lvlJc w:val="left"/>
      <w:pPr>
        <w:pStyle w:val="726"/>
        <w:ind w:left="1588" w:hanging="737"/>
        <w:tabs>
          <w:tab w:val="num" w:pos="1588" w:leader="none"/>
        </w:tabs>
      </w:pPr>
      <w:rPr>
        <w:rFonts w:ascii="Times New Roman" w:hAnsi="Times New Roman"/>
        <w:b/>
        <w:i w:val="0"/>
        <w:sz w:val="24"/>
      </w:rPr>
    </w:lvl>
    <w:lvl w:ilvl="3">
      <w:start w:val="1"/>
      <w:numFmt w:val="decimal"/>
      <w:pStyle w:val="730"/>
      <w:isLgl w:val="false"/>
      <w:suff w:val="tab"/>
      <w:lvlText w:val="%1.%2.%3.%4"/>
      <w:lvlJc w:val="left"/>
      <w:pPr>
        <w:pStyle w:val="72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26"/>
        <w:ind w:left="2551" w:hanging="850"/>
        <w:tabs>
          <w:tab w:val="num" w:pos="3141" w:leader="none"/>
        </w:tabs>
      </w:pPr>
      <w:rPr>
        <w:rFonts w:hint="eastAsia"/>
      </w:rPr>
    </w:lvl>
    <w:lvl w:ilvl="5">
      <w:start w:val="1"/>
      <w:numFmt w:val="decimal"/>
      <w:isLgl w:val="false"/>
      <w:suff w:val="tab"/>
      <w:lvlText w:val="%1.%2.%3.%4.%5.%6"/>
      <w:lvlJc w:val="left"/>
      <w:pPr>
        <w:pStyle w:val="726"/>
        <w:ind w:left="3260" w:hanging="1134"/>
        <w:tabs>
          <w:tab w:val="num" w:pos="3566" w:leader="none"/>
        </w:tabs>
      </w:pPr>
      <w:rPr>
        <w:rFonts w:hint="eastAsia"/>
      </w:rPr>
    </w:lvl>
    <w:lvl w:ilvl="6">
      <w:start w:val="1"/>
      <w:numFmt w:val="decimal"/>
      <w:isLgl w:val="false"/>
      <w:suff w:val="tab"/>
      <w:lvlText w:val="%1.%2.%3.%4.%5.%6.%7"/>
      <w:lvlJc w:val="left"/>
      <w:pPr>
        <w:pStyle w:val="726"/>
        <w:ind w:left="3827" w:hanging="1276"/>
        <w:tabs>
          <w:tab w:val="num" w:pos="4351" w:leader="none"/>
        </w:tabs>
      </w:pPr>
      <w:rPr>
        <w:rFonts w:hint="eastAsia"/>
      </w:rPr>
    </w:lvl>
    <w:lvl w:ilvl="7">
      <w:start w:val="1"/>
      <w:numFmt w:val="decimal"/>
      <w:isLgl w:val="false"/>
      <w:suff w:val="tab"/>
      <w:lvlText w:val="%1.%2.%3.%4.%5.%6.%7.%8"/>
      <w:lvlJc w:val="left"/>
      <w:pPr>
        <w:pStyle w:val="726"/>
        <w:ind w:left="4394" w:hanging="1418"/>
        <w:tabs>
          <w:tab w:val="num" w:pos="5136" w:leader="none"/>
        </w:tabs>
      </w:pPr>
      <w:rPr>
        <w:rFonts w:hint="eastAsia"/>
      </w:rPr>
    </w:lvl>
    <w:lvl w:ilvl="8">
      <w:start w:val="1"/>
      <w:numFmt w:val="decimal"/>
      <w:isLgl w:val="false"/>
      <w:suff w:val="tab"/>
      <w:lvlText w:val="%1.%2.%3.%4.%5.%6.%7.%8.%9"/>
      <w:lvlJc w:val="left"/>
      <w:pPr>
        <w:pStyle w:val="726"/>
        <w:ind w:left="5102" w:hanging="1700"/>
        <w:tabs>
          <w:tab w:val="num"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26"/>
    <w:next w:val="726"/>
    <w:link w:val="810"/>
    <w:uiPriority w:val="9"/>
    <w:unhideWhenUsed/>
    <w:qFormat/>
    <w:pPr>
      <w:keepLines/>
      <w:keepNext/>
      <w:spacing w:before="360" w:after="200"/>
      <w:outlineLvl w:val="1"/>
    </w:pPr>
    <w:rPr>
      <w:rFonts w:ascii="Arial" w:hAnsi="Arial" w:eastAsia="Arial" w:cs="Arial"/>
      <w:sz w:val="34"/>
    </w:rPr>
  </w:style>
  <w:style w:type="paragraph" w:styleId="16">
    <w:name w:val="Heading 3"/>
    <w:basedOn w:val="726"/>
    <w:next w:val="726"/>
    <w:link w:val="81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6"/>
    <w:next w:val="726"/>
    <w:link w:val="81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6"/>
    <w:next w:val="726"/>
    <w:link w:val="81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6"/>
    <w:next w:val="726"/>
    <w:link w:val="81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6"/>
    <w:next w:val="726"/>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6"/>
    <w:next w:val="726"/>
    <w:link w:val="81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6"/>
    <w:next w:val="726"/>
    <w:link w:val="81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6"/>
    <w:next w:val="726"/>
    <w:link w:val="796"/>
    <w:uiPriority w:val="10"/>
    <w:qFormat/>
    <w:pPr>
      <w:contextualSpacing/>
      <w:spacing w:before="300" w:after="200"/>
    </w:pPr>
    <w:rPr>
      <w:sz w:val="48"/>
      <w:szCs w:val="48"/>
    </w:rPr>
  </w:style>
  <w:style w:type="paragraph" w:styleId="35">
    <w:name w:val="Subtitle"/>
    <w:basedOn w:val="726"/>
    <w:next w:val="726"/>
    <w:link w:val="819"/>
    <w:uiPriority w:val="11"/>
    <w:qFormat/>
    <w:pPr>
      <w:spacing w:before="200" w:after="200"/>
    </w:pPr>
    <w:rPr>
      <w:sz w:val="24"/>
      <w:szCs w:val="24"/>
    </w:rPr>
  </w:style>
  <w:style w:type="paragraph" w:styleId="41">
    <w:name w:val="Header"/>
    <w:basedOn w:val="726"/>
    <w:link w:val="966"/>
    <w:uiPriority w:val="99"/>
    <w:unhideWhenUsed/>
    <w:pPr>
      <w:spacing w:after="0" w:line="240" w:lineRule="auto"/>
      <w:tabs>
        <w:tab w:val="center" w:pos="7143" w:leader="none"/>
        <w:tab w:val="right" w:pos="14287" w:leader="none"/>
      </w:tabs>
    </w:pPr>
  </w:style>
  <w:style w:type="paragraph" w:styleId="43">
    <w:name w:val="Footer"/>
    <w:basedOn w:val="726"/>
    <w:link w:val="825"/>
    <w:uiPriority w:val="99"/>
    <w:unhideWhenUsed/>
    <w:pPr>
      <w:spacing w:after="0" w:line="240" w:lineRule="auto"/>
      <w:tabs>
        <w:tab w:val="center" w:pos="7143" w:leader="none"/>
        <w:tab w:val="right" w:pos="14287" w:leader="none"/>
      </w:tabs>
    </w:pPr>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6"/>
    <w:link w:val="78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6"/>
    <w:link w:val="77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rFonts w:ascii="Calibri" w:hAnsi="Calibri" w:eastAsia="Arial" w:cs="Times New Roman"/>
      <w:sz w:val="21"/>
      <w:szCs w:val="22"/>
      <w:lang w:val="en-US" w:eastAsia="zh-CN" w:bidi="ar-SA"/>
    </w:rPr>
  </w:style>
  <w:style w:type="paragraph" w:styleId="727">
    <w:name w:val="标题 1"/>
    <w:basedOn w:val="726"/>
    <w:next w:val="726"/>
    <w:link w:val="738"/>
    <w:qFormat/>
    <w:pPr>
      <w:numPr>
        <w:ilvl w:val="0"/>
        <w:numId w:val="1"/>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728">
    <w:name w:val="标题 2"/>
    <w:basedOn w:val="726"/>
    <w:next w:val="726"/>
    <w:link w:val="739"/>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paragraph" w:styleId="729">
    <w:name w:val="标题 3"/>
    <w:basedOn w:val="726"/>
    <w:next w:val="726"/>
    <w:link w:val="740"/>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paragraph" w:styleId="730">
    <w:name w:val="标题 4"/>
    <w:basedOn w:val="726"/>
    <w:next w:val="726"/>
    <w:link w:val="741"/>
    <w:qFormat/>
    <w:pPr>
      <w:numPr>
        <w:ilvl w:val="3"/>
        <w:numId w:val="1"/>
      </w:numPr>
      <w:ind w:left="0" w:firstLine="200"/>
      <w:spacing w:before="120" w:line="360" w:lineRule="auto"/>
      <w:tabs>
        <w:tab w:val="left" w:pos="360" w:leader="none"/>
      </w:tabs>
      <w:outlineLvl w:val="3"/>
    </w:pPr>
    <w:rPr>
      <w:rFonts w:ascii="Arial" w:hAnsi="Times New Roman" w:eastAsia="黑体" w:cs="Times New Roman"/>
      <w:sz w:val="28"/>
      <w:szCs w:val="20"/>
    </w:rPr>
  </w:style>
  <w:style w:type="paragraph" w:styleId="731">
    <w:name w:val="标题 5"/>
    <w:basedOn w:val="726"/>
    <w:next w:val="726"/>
    <w:link w:val="742"/>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32">
    <w:name w:val="标题 6"/>
    <w:basedOn w:val="726"/>
    <w:next w:val="726"/>
    <w:link w:val="743"/>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33">
    <w:name w:val="标题 7"/>
    <w:basedOn w:val="726"/>
    <w:next w:val="726"/>
    <w:link w:val="744"/>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34">
    <w:name w:val="标题 8"/>
    <w:basedOn w:val="726"/>
    <w:next w:val="726"/>
    <w:link w:val="745"/>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35">
    <w:name w:val="标题 9"/>
    <w:basedOn w:val="726"/>
    <w:next w:val="726"/>
    <w:link w:val="746"/>
    <w:unhideWhenUsed/>
    <w:qFormat/>
    <w:pPr>
      <w:ind w:firstLine="922"/>
      <w:keepLines/>
      <w:keepNext/>
      <w:spacing w:before="240" w:after="64" w:line="320" w:lineRule="auto"/>
      <w:outlineLvl w:val="8"/>
    </w:pPr>
    <w:rPr>
      <w:rFonts w:ascii="Cambria" w:hAnsi="Cambria" w:eastAsia="宋体" w:cs="Times New Roman"/>
      <w:szCs w:val="21"/>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character" w:styleId="738">
    <w:name w:val="标题 1 Char"/>
    <w:basedOn w:val="736"/>
    <w:next w:val="738"/>
    <w:link w:val="727"/>
    <w:qFormat/>
    <w:rPr>
      <w:rFonts w:ascii="Times New Roman" w:hAnsi="Times New Roman" w:eastAsia="黑体" w:cs="Times New Roman"/>
      <w:b/>
      <w:sz w:val="36"/>
      <w:szCs w:val="20"/>
    </w:rPr>
  </w:style>
  <w:style w:type="character" w:styleId="739">
    <w:name w:val="标题 2 Char"/>
    <w:basedOn w:val="736"/>
    <w:next w:val="739"/>
    <w:link w:val="728"/>
    <w:qFormat/>
    <w:rPr>
      <w:rFonts w:ascii="Times New Roman" w:hAnsi="Times New Roman" w:eastAsia="黑体" w:cs="Times New Roman"/>
      <w:b/>
      <w:sz w:val="28"/>
      <w:szCs w:val="20"/>
    </w:rPr>
  </w:style>
  <w:style w:type="character" w:styleId="740">
    <w:name w:val="标题 3 Char"/>
    <w:basedOn w:val="736"/>
    <w:next w:val="740"/>
    <w:link w:val="729"/>
    <w:qFormat/>
    <w:rPr>
      <w:rFonts w:ascii="Times New Roman" w:hAnsi="Times New Roman" w:eastAsia="黑体" w:cs="Times New Roman"/>
      <w:b/>
      <w:sz w:val="28"/>
      <w:szCs w:val="20"/>
    </w:rPr>
  </w:style>
  <w:style w:type="character" w:styleId="741">
    <w:name w:val="标题 4 Char"/>
    <w:basedOn w:val="736"/>
    <w:next w:val="741"/>
    <w:link w:val="730"/>
    <w:qFormat/>
    <w:rPr>
      <w:rFonts w:ascii="Arial" w:hAnsi="Times New Roman" w:eastAsia="黑体" w:cs="Times New Roman"/>
      <w:sz w:val="28"/>
      <w:szCs w:val="20"/>
    </w:rPr>
  </w:style>
  <w:style w:type="character" w:styleId="742">
    <w:name w:val="标题 5 Char"/>
    <w:basedOn w:val="736"/>
    <w:next w:val="742"/>
    <w:link w:val="731"/>
    <w:semiHidden/>
    <w:qFormat/>
    <w:rPr>
      <w:rFonts w:ascii="Times New Roman" w:hAnsi="Times New Roman" w:eastAsia="宋体" w:cs="Times New Roman"/>
      <w:b/>
      <w:bCs/>
      <w:sz w:val="28"/>
      <w:szCs w:val="28"/>
    </w:rPr>
  </w:style>
  <w:style w:type="character" w:styleId="743">
    <w:name w:val="标题 6 Char"/>
    <w:basedOn w:val="736"/>
    <w:next w:val="743"/>
    <w:link w:val="732"/>
    <w:semiHidden/>
    <w:qFormat/>
    <w:rPr>
      <w:rFonts w:ascii="Cambria" w:hAnsi="Cambria" w:eastAsia="宋体" w:cs="Times New Roman"/>
      <w:b/>
      <w:bCs/>
      <w:sz w:val="24"/>
      <w:szCs w:val="24"/>
    </w:rPr>
  </w:style>
  <w:style w:type="character" w:styleId="744">
    <w:name w:val="标题 7 Char"/>
    <w:basedOn w:val="736"/>
    <w:next w:val="744"/>
    <w:link w:val="733"/>
    <w:semiHidden/>
    <w:qFormat/>
    <w:rPr>
      <w:rFonts w:ascii="Times New Roman" w:hAnsi="Times New Roman" w:eastAsia="宋体" w:cs="Times New Roman"/>
      <w:b/>
      <w:bCs/>
      <w:sz w:val="24"/>
      <w:szCs w:val="24"/>
    </w:rPr>
  </w:style>
  <w:style w:type="character" w:styleId="745">
    <w:name w:val="标题 8 Char"/>
    <w:basedOn w:val="736"/>
    <w:next w:val="745"/>
    <w:link w:val="734"/>
    <w:semiHidden/>
    <w:qFormat/>
    <w:rPr>
      <w:rFonts w:ascii="Cambria" w:hAnsi="Cambria" w:eastAsia="宋体" w:cs="Times New Roman"/>
      <w:sz w:val="24"/>
      <w:szCs w:val="24"/>
    </w:rPr>
  </w:style>
  <w:style w:type="character" w:styleId="746">
    <w:name w:val="标题 9 Char"/>
    <w:basedOn w:val="736"/>
    <w:next w:val="746"/>
    <w:link w:val="735"/>
    <w:semiHidden/>
    <w:qFormat/>
    <w:rPr>
      <w:rFonts w:ascii="Cambria" w:hAnsi="Cambria" w:eastAsia="宋体" w:cs="Times New Roman"/>
      <w:szCs w:val="21"/>
    </w:rPr>
  </w:style>
  <w:style w:type="paragraph" w:styleId="747">
    <w:name w:val="目录 7"/>
    <w:basedOn w:val="726"/>
    <w:next w:val="726"/>
    <w:link w:val="726"/>
    <w:uiPriority w:val="39"/>
    <w:unhideWhenUsed/>
    <w:qFormat/>
    <w:pPr>
      <w:ind w:left="1701" w:right="0" w:firstLine="0"/>
      <w:spacing w:after="57"/>
    </w:pPr>
  </w:style>
  <w:style w:type="paragraph" w:styleId="748">
    <w:name w:val="正文缩进"/>
    <w:basedOn w:val="726"/>
    <w:next w:val="748"/>
    <w:link w:val="726"/>
    <w:qFormat/>
    <w:pPr>
      <w:jc w:val="left"/>
    </w:pPr>
    <w:rPr>
      <w:rFonts w:ascii="Times New Roman" w:hAnsi="Times New Roman" w:eastAsia="宋体" w:cs="Times New Roman"/>
      <w:spacing w:val="-35"/>
      <w:szCs w:val="24"/>
    </w:rPr>
  </w:style>
  <w:style w:type="paragraph" w:styleId="749">
    <w:name w:val="题注"/>
    <w:basedOn w:val="726"/>
    <w:next w:val="726"/>
    <w:link w:val="726"/>
    <w:uiPriority w:val="35"/>
    <w:unhideWhenUsed/>
    <w:qFormat/>
    <w:pPr>
      <w:spacing w:line="276" w:lineRule="auto"/>
    </w:pPr>
    <w:rPr>
      <w:b/>
      <w:bCs/>
      <w:color w:val="4f81bd"/>
      <w:sz w:val="18"/>
      <w:szCs w:val="18"/>
    </w:rPr>
  </w:style>
  <w:style w:type="paragraph" w:styleId="750">
    <w:name w:val="文档结构图"/>
    <w:basedOn w:val="726"/>
    <w:next w:val="750"/>
    <w:link w:val="751"/>
    <w:uiPriority w:val="99"/>
    <w:unhideWhenUsed/>
    <w:qFormat/>
    <w:rPr>
      <w:rFonts w:ascii="宋体" w:eastAsia="宋体"/>
      <w:sz w:val="18"/>
      <w:szCs w:val="18"/>
    </w:rPr>
  </w:style>
  <w:style w:type="character" w:styleId="751">
    <w:name w:val="文档结构图 Char"/>
    <w:basedOn w:val="736"/>
    <w:next w:val="751"/>
    <w:link w:val="750"/>
    <w:uiPriority w:val="99"/>
    <w:semiHidden/>
    <w:qFormat/>
    <w:rPr>
      <w:rFonts w:ascii="宋体" w:eastAsia="宋体"/>
      <w:sz w:val="18"/>
      <w:szCs w:val="18"/>
    </w:rPr>
  </w:style>
  <w:style w:type="paragraph" w:styleId="752">
    <w:name w:val="批注文字"/>
    <w:basedOn w:val="726"/>
    <w:next w:val="752"/>
    <w:link w:val="753"/>
    <w:qFormat/>
    <w:pPr>
      <w:ind w:firstLine="922"/>
      <w:jc w:val="left"/>
      <w:spacing w:line="360" w:lineRule="auto"/>
    </w:pPr>
    <w:rPr>
      <w:rFonts w:ascii="Times New Roman" w:hAnsi="Times New Roman" w:eastAsia="宋体" w:cs="Times New Roman"/>
      <w:szCs w:val="24"/>
    </w:rPr>
  </w:style>
  <w:style w:type="character" w:styleId="753">
    <w:name w:val="批注文字 Char"/>
    <w:basedOn w:val="736"/>
    <w:next w:val="753"/>
    <w:link w:val="752"/>
    <w:qFormat/>
    <w:rPr>
      <w:rFonts w:ascii="Times New Roman" w:hAnsi="Times New Roman" w:eastAsia="宋体" w:cs="Times New Roman"/>
      <w:szCs w:val="24"/>
    </w:rPr>
  </w:style>
  <w:style w:type="paragraph" w:styleId="754">
    <w:name w:val="正文文本 3"/>
    <w:basedOn w:val="726"/>
    <w:next w:val="754"/>
    <w:link w:val="755"/>
    <w:qFormat/>
    <w:pPr>
      <w:spacing w:after="120"/>
    </w:pPr>
    <w:rPr>
      <w:rFonts w:ascii="Times New Roman" w:hAnsi="Times New Roman" w:eastAsia="宋体" w:cs="Times New Roman"/>
      <w:sz w:val="16"/>
      <w:szCs w:val="16"/>
    </w:rPr>
  </w:style>
  <w:style w:type="character" w:styleId="755">
    <w:name w:val="正文文本 3 Char"/>
    <w:basedOn w:val="736"/>
    <w:next w:val="755"/>
    <w:link w:val="754"/>
    <w:qFormat/>
    <w:rPr>
      <w:rFonts w:ascii="Times New Roman" w:hAnsi="Times New Roman" w:eastAsia="宋体" w:cs="Times New Roman"/>
      <w:sz w:val="16"/>
      <w:szCs w:val="16"/>
    </w:rPr>
  </w:style>
  <w:style w:type="paragraph" w:styleId="756">
    <w:name w:val="正文文本"/>
    <w:basedOn w:val="726"/>
    <w:next w:val="726"/>
    <w:link w:val="726"/>
    <w:qFormat/>
    <w:rPr>
      <w:rFonts w:ascii="金山简黑体" w:hAnsi="Courier New" w:eastAsia="金山简黑体"/>
      <w:b/>
      <w:spacing w:val="-8"/>
      <w:sz w:val="44"/>
      <w:szCs w:val="20"/>
    </w:rPr>
  </w:style>
  <w:style w:type="paragraph" w:styleId="757">
    <w:name w:val="正文文本缩进"/>
    <w:basedOn w:val="726"/>
    <w:next w:val="757"/>
    <w:link w:val="758"/>
    <w:qFormat/>
    <w:pPr>
      <w:ind w:firstLine="640"/>
      <w:spacing w:line="500" w:lineRule="exact"/>
      <w:tabs>
        <w:tab w:val="left" w:pos="675" w:leader="none"/>
      </w:tabs>
    </w:pPr>
    <w:rPr>
      <w:rFonts w:ascii="FangSong_GB2312" w:hAnsi="Times New Roman" w:eastAsia="FangSong_GB2312" w:cs="Times New Roman"/>
      <w:sz w:val="32"/>
      <w:szCs w:val="24"/>
    </w:rPr>
  </w:style>
  <w:style w:type="character" w:styleId="758">
    <w:name w:val="正文文本缩进 Char"/>
    <w:basedOn w:val="736"/>
    <w:next w:val="758"/>
    <w:link w:val="757"/>
    <w:qFormat/>
    <w:rPr>
      <w:rFonts w:ascii="FangSong_GB2312" w:hAnsi="Times New Roman" w:eastAsia="FangSong_GB2312" w:cs="Times New Roman"/>
      <w:sz w:val="32"/>
      <w:szCs w:val="24"/>
    </w:rPr>
  </w:style>
  <w:style w:type="paragraph" w:styleId="759">
    <w:name w:val="列表 2"/>
    <w:basedOn w:val="726"/>
    <w:next w:val="759"/>
    <w:link w:val="726"/>
    <w:qFormat/>
    <w:pPr>
      <w:ind w:left="840" w:hanging="420"/>
    </w:pPr>
    <w:rPr>
      <w:rFonts w:ascii="隶书" w:hAnsi="Times New Roman" w:eastAsia="FangSong_GB2312" w:cs="Times New Roman"/>
      <w:color w:val="000000"/>
      <w:sz w:val="32"/>
      <w:szCs w:val="20"/>
    </w:rPr>
  </w:style>
  <w:style w:type="paragraph" w:styleId="760">
    <w:name w:val="目录 5"/>
    <w:basedOn w:val="726"/>
    <w:next w:val="726"/>
    <w:link w:val="726"/>
    <w:uiPriority w:val="39"/>
    <w:unhideWhenUsed/>
    <w:qFormat/>
    <w:pPr>
      <w:ind w:left="1134" w:right="0" w:firstLine="0"/>
      <w:spacing w:after="57"/>
    </w:pPr>
  </w:style>
  <w:style w:type="paragraph" w:styleId="761">
    <w:name w:val="目录 3"/>
    <w:basedOn w:val="726"/>
    <w:next w:val="726"/>
    <w:link w:val="726"/>
    <w:uiPriority w:val="39"/>
    <w:unhideWhenUsed/>
    <w:qFormat/>
    <w:pPr>
      <w:ind w:left="420" w:firstLine="922"/>
      <w:jc w:val="left"/>
      <w:spacing w:line="360" w:lineRule="auto"/>
    </w:pPr>
    <w:rPr>
      <w:rFonts w:ascii="Calibri" w:hAnsi="Calibri" w:eastAsia="宋体" w:cs="Times New Roman"/>
      <w:sz w:val="20"/>
      <w:szCs w:val="20"/>
    </w:rPr>
  </w:style>
  <w:style w:type="paragraph" w:styleId="762">
    <w:name w:val="纯文本"/>
    <w:basedOn w:val="726"/>
    <w:next w:val="762"/>
    <w:link w:val="763"/>
    <w:qFormat/>
    <w:pPr>
      <w:ind w:firstLine="922"/>
      <w:spacing w:line="360" w:lineRule="auto"/>
    </w:pPr>
    <w:rPr>
      <w:rFonts w:ascii="宋体" w:hAnsi="Courier New"/>
    </w:rPr>
  </w:style>
  <w:style w:type="character" w:styleId="763">
    <w:name w:val="纯文本 Char"/>
    <w:next w:val="763"/>
    <w:link w:val="762"/>
    <w:qFormat/>
    <w:rPr>
      <w:rFonts w:ascii="宋体" w:hAnsi="Courier New"/>
    </w:rPr>
  </w:style>
  <w:style w:type="paragraph" w:styleId="764">
    <w:name w:val="目录 8"/>
    <w:basedOn w:val="726"/>
    <w:next w:val="726"/>
    <w:link w:val="726"/>
    <w:uiPriority w:val="39"/>
    <w:unhideWhenUsed/>
    <w:qFormat/>
    <w:pPr>
      <w:ind w:left="1984" w:right="0" w:firstLine="0"/>
      <w:spacing w:after="57"/>
    </w:pPr>
  </w:style>
  <w:style w:type="paragraph" w:styleId="765">
    <w:name w:val="日期"/>
    <w:basedOn w:val="726"/>
    <w:next w:val="726"/>
    <w:link w:val="766"/>
    <w:qFormat/>
    <w:pPr>
      <w:ind w:left="100"/>
    </w:pPr>
    <w:rPr>
      <w:rFonts w:ascii="FangSong_GB2312" w:hAnsi="Times New Roman" w:eastAsia="FangSong_GB2312" w:cs="Times New Roman"/>
      <w:sz w:val="32"/>
      <w:szCs w:val="24"/>
    </w:rPr>
  </w:style>
  <w:style w:type="character" w:styleId="766">
    <w:name w:val="日期 Char"/>
    <w:basedOn w:val="736"/>
    <w:next w:val="766"/>
    <w:link w:val="765"/>
    <w:qFormat/>
    <w:rPr>
      <w:rFonts w:ascii="FangSong_GB2312" w:hAnsi="Times New Roman" w:eastAsia="FangSong_GB2312" w:cs="Times New Roman"/>
      <w:sz w:val="32"/>
      <w:szCs w:val="24"/>
    </w:rPr>
  </w:style>
  <w:style w:type="paragraph" w:styleId="767">
    <w:name w:val="正文文本缩进 2"/>
    <w:basedOn w:val="726"/>
    <w:next w:val="767"/>
    <w:link w:val="768"/>
    <w:qFormat/>
    <w:pPr>
      <w:ind w:firstLine="645"/>
      <w:spacing w:line="440" w:lineRule="exact"/>
    </w:pPr>
    <w:rPr>
      <w:rFonts w:ascii="Times New Roman" w:hAnsi="Times New Roman" w:eastAsia="FangSong_GB2312" w:cs="Times New Roman"/>
      <w:sz w:val="32"/>
      <w:szCs w:val="24"/>
    </w:rPr>
  </w:style>
  <w:style w:type="character" w:styleId="768">
    <w:name w:val="正文文本缩进 2 Char"/>
    <w:basedOn w:val="736"/>
    <w:next w:val="768"/>
    <w:link w:val="767"/>
    <w:qFormat/>
    <w:rPr>
      <w:rFonts w:ascii="Times New Roman" w:hAnsi="Times New Roman" w:eastAsia="FangSong_GB2312" w:cs="Times New Roman"/>
      <w:sz w:val="32"/>
      <w:szCs w:val="24"/>
    </w:rPr>
  </w:style>
  <w:style w:type="paragraph" w:styleId="769">
    <w:name w:val="尾注文本"/>
    <w:basedOn w:val="726"/>
    <w:next w:val="769"/>
    <w:link w:val="770"/>
    <w:uiPriority w:val="99"/>
    <w:unhideWhenUsed/>
    <w:qFormat/>
    <w:pPr>
      <w:spacing w:after="0" w:line="240" w:lineRule="auto"/>
    </w:pPr>
    <w:rPr>
      <w:sz w:val="20"/>
    </w:rPr>
  </w:style>
  <w:style w:type="character" w:styleId="770">
    <w:name w:val="Endnote Text Char"/>
    <w:next w:val="770"/>
    <w:link w:val="769"/>
    <w:uiPriority w:val="99"/>
    <w:qFormat/>
    <w:rPr>
      <w:sz w:val="20"/>
    </w:rPr>
  </w:style>
  <w:style w:type="paragraph" w:styleId="771">
    <w:name w:val="批注框文本"/>
    <w:basedOn w:val="726"/>
    <w:next w:val="771"/>
    <w:link w:val="772"/>
    <w:semiHidden/>
    <w:qFormat/>
    <w:pPr>
      <w:ind w:firstLine="922"/>
    </w:pPr>
    <w:rPr>
      <w:rFonts w:ascii="Times New Roman" w:hAnsi="Times New Roman" w:eastAsia="宋体" w:cs="Times New Roman"/>
      <w:sz w:val="18"/>
      <w:szCs w:val="18"/>
    </w:rPr>
  </w:style>
  <w:style w:type="character" w:styleId="772">
    <w:name w:val="批注框文本 Char"/>
    <w:basedOn w:val="736"/>
    <w:next w:val="772"/>
    <w:link w:val="771"/>
    <w:semiHidden/>
    <w:qFormat/>
    <w:rPr>
      <w:rFonts w:ascii="Times New Roman" w:hAnsi="Times New Roman" w:eastAsia="宋体" w:cs="Times New Roman"/>
      <w:sz w:val="18"/>
      <w:szCs w:val="18"/>
    </w:rPr>
  </w:style>
  <w:style w:type="paragraph" w:styleId="773">
    <w:name w:val="页脚"/>
    <w:basedOn w:val="726"/>
    <w:next w:val="773"/>
    <w:link w:val="774"/>
    <w:qFormat/>
    <w:pPr>
      <w:jc w:val="left"/>
      <w:tabs>
        <w:tab w:val="center" w:pos="4153" w:leader="none"/>
        <w:tab w:val="right" w:pos="8306" w:leader="none"/>
      </w:tabs>
    </w:pPr>
    <w:rPr>
      <w:rFonts w:ascii="Times New Roman" w:hAnsi="Times New Roman" w:eastAsia="宋体" w:cs="Times New Roman"/>
      <w:sz w:val="18"/>
      <w:szCs w:val="18"/>
    </w:rPr>
  </w:style>
  <w:style w:type="character" w:styleId="774">
    <w:name w:val="页脚 Char"/>
    <w:basedOn w:val="736"/>
    <w:next w:val="774"/>
    <w:link w:val="773"/>
    <w:qFormat/>
    <w:rPr>
      <w:sz w:val="18"/>
      <w:szCs w:val="18"/>
    </w:rPr>
  </w:style>
  <w:style w:type="paragraph" w:styleId="775">
    <w:name w:val="页眉"/>
    <w:basedOn w:val="726"/>
    <w:next w:val="775"/>
    <w:link w:val="77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6">
    <w:name w:val="页眉 Char"/>
    <w:basedOn w:val="736"/>
    <w:next w:val="776"/>
    <w:link w:val="775"/>
    <w:qFormat/>
    <w:rPr>
      <w:rFonts w:ascii="Times New Roman" w:hAnsi="Times New Roman" w:eastAsia="宋体" w:cs="Times New Roman"/>
      <w:sz w:val="18"/>
      <w:szCs w:val="18"/>
    </w:rPr>
  </w:style>
  <w:style w:type="paragraph" w:styleId="777">
    <w:name w:val="目录 1"/>
    <w:basedOn w:val="726"/>
    <w:next w:val="726"/>
    <w:link w:val="726"/>
    <w:uiPriority w:val="39"/>
    <w:qFormat/>
    <w:pPr>
      <w:ind w:firstLine="922"/>
      <w:jc w:val="left"/>
      <w:spacing w:before="120" w:line="360" w:lineRule="auto"/>
    </w:pPr>
    <w:rPr>
      <w:rFonts w:ascii="Calibri" w:hAnsi="Calibri" w:eastAsia="宋体" w:cs="Times New Roman"/>
      <w:b/>
      <w:bCs/>
      <w:i/>
      <w:iCs/>
      <w:sz w:val="24"/>
      <w:szCs w:val="24"/>
    </w:rPr>
  </w:style>
  <w:style w:type="paragraph" w:styleId="778">
    <w:name w:val="目录 4"/>
    <w:basedOn w:val="726"/>
    <w:next w:val="726"/>
    <w:link w:val="726"/>
    <w:uiPriority w:val="39"/>
    <w:unhideWhenUsed/>
    <w:qFormat/>
    <w:pPr>
      <w:ind w:left="850" w:right="0" w:firstLine="0"/>
      <w:spacing w:after="57"/>
    </w:pPr>
  </w:style>
  <w:style w:type="paragraph" w:styleId="779">
    <w:name w:val="副标题"/>
    <w:basedOn w:val="726"/>
    <w:next w:val="726"/>
    <w:link w:val="780"/>
    <w:qFormat/>
    <w:pPr>
      <w:ind w:firstLine="922"/>
      <w:jc w:val="center"/>
      <w:spacing w:before="240" w:after="60" w:line="312" w:lineRule="auto"/>
      <w:outlineLvl w:val="1"/>
    </w:pPr>
    <w:rPr>
      <w:rFonts w:ascii="Cambria" w:hAnsi="Cambria"/>
      <w:b/>
      <w:bCs/>
      <w:sz w:val="32"/>
      <w:szCs w:val="32"/>
    </w:rPr>
  </w:style>
  <w:style w:type="character" w:styleId="780">
    <w:name w:val="副标题 Char"/>
    <w:next w:val="780"/>
    <w:link w:val="779"/>
    <w:qFormat/>
    <w:rPr>
      <w:rFonts w:ascii="Cambria" w:hAnsi="Cambria"/>
      <w:b/>
      <w:bCs/>
      <w:sz w:val="32"/>
      <w:szCs w:val="32"/>
    </w:rPr>
  </w:style>
  <w:style w:type="paragraph" w:styleId="781">
    <w:name w:val="脚注文本"/>
    <w:basedOn w:val="726"/>
    <w:next w:val="781"/>
    <w:link w:val="782"/>
    <w:uiPriority w:val="99"/>
    <w:unhideWhenUsed/>
    <w:qFormat/>
    <w:pPr>
      <w:spacing w:after="40" w:line="240" w:lineRule="auto"/>
    </w:pPr>
    <w:rPr>
      <w:sz w:val="18"/>
    </w:rPr>
  </w:style>
  <w:style w:type="character" w:styleId="782">
    <w:name w:val="Footnote Text Char"/>
    <w:next w:val="782"/>
    <w:link w:val="781"/>
    <w:uiPriority w:val="99"/>
    <w:qFormat/>
    <w:rPr>
      <w:sz w:val="18"/>
    </w:rPr>
  </w:style>
  <w:style w:type="paragraph" w:styleId="783">
    <w:name w:val="目录 6"/>
    <w:basedOn w:val="726"/>
    <w:next w:val="726"/>
    <w:link w:val="726"/>
    <w:uiPriority w:val="39"/>
    <w:unhideWhenUsed/>
    <w:qFormat/>
    <w:pPr>
      <w:ind w:left="1417" w:right="0" w:firstLine="0"/>
      <w:spacing w:after="57"/>
    </w:pPr>
  </w:style>
  <w:style w:type="paragraph" w:styleId="784">
    <w:name w:val="正文文本缩进 3"/>
    <w:basedOn w:val="726"/>
    <w:next w:val="784"/>
    <w:link w:val="785"/>
    <w:qFormat/>
    <w:pPr>
      <w:ind w:firstLine="800"/>
      <w:spacing w:line="360" w:lineRule="auto"/>
    </w:pPr>
    <w:rPr>
      <w:rFonts w:ascii="FangSong_GB2312" w:hAnsi="华文中宋" w:eastAsia="FangSong_GB2312" w:cs="Times New Roman"/>
      <w:sz w:val="32"/>
      <w:szCs w:val="32"/>
    </w:rPr>
  </w:style>
  <w:style w:type="character" w:styleId="785">
    <w:name w:val="正文文本缩进 3 Char"/>
    <w:basedOn w:val="736"/>
    <w:next w:val="785"/>
    <w:link w:val="784"/>
    <w:qFormat/>
    <w:rPr>
      <w:rFonts w:ascii="FangSong_GB2312" w:hAnsi="华文中宋" w:eastAsia="FangSong_GB2312" w:cs="Times New Roman"/>
      <w:sz w:val="32"/>
      <w:szCs w:val="32"/>
    </w:rPr>
  </w:style>
  <w:style w:type="paragraph" w:styleId="786">
    <w:name w:val="图表目录"/>
    <w:basedOn w:val="726"/>
    <w:next w:val="726"/>
    <w:link w:val="726"/>
    <w:uiPriority w:val="99"/>
    <w:unhideWhenUsed/>
    <w:qFormat/>
    <w:pPr>
      <w:spacing w:after="0" w:afterAutospacing="0"/>
    </w:pPr>
  </w:style>
  <w:style w:type="paragraph" w:styleId="787">
    <w:name w:val="目录 2"/>
    <w:basedOn w:val="726"/>
    <w:next w:val="726"/>
    <w:link w:val="726"/>
    <w:uiPriority w:val="39"/>
    <w:unhideWhenUsed/>
    <w:qFormat/>
    <w:pPr>
      <w:ind w:left="210" w:firstLine="922"/>
      <w:jc w:val="left"/>
      <w:spacing w:before="120" w:line="360" w:lineRule="auto"/>
    </w:pPr>
    <w:rPr>
      <w:rFonts w:ascii="Calibri" w:hAnsi="Calibri" w:eastAsia="宋体" w:cs="Times New Roman"/>
      <w:b/>
      <w:bCs/>
      <w:sz w:val="22"/>
    </w:rPr>
  </w:style>
  <w:style w:type="paragraph" w:styleId="788">
    <w:name w:val="目录 9"/>
    <w:basedOn w:val="726"/>
    <w:next w:val="726"/>
    <w:link w:val="726"/>
    <w:uiPriority w:val="39"/>
    <w:unhideWhenUsed/>
    <w:qFormat/>
    <w:pPr>
      <w:ind w:left="2268" w:right="0" w:firstLine="0"/>
      <w:spacing w:after="57"/>
    </w:pPr>
  </w:style>
  <w:style w:type="paragraph" w:styleId="789">
    <w:name w:val="正文文本 2"/>
    <w:basedOn w:val="726"/>
    <w:next w:val="789"/>
    <w:link w:val="790"/>
    <w:qFormat/>
    <w:pPr>
      <w:jc w:val="center"/>
    </w:pPr>
    <w:rPr>
      <w:rFonts w:ascii="Times New Roman" w:hAnsi="Times New Roman" w:eastAsia="宋体" w:cs="Times New Roman"/>
      <w:szCs w:val="24"/>
    </w:rPr>
  </w:style>
  <w:style w:type="character" w:styleId="790">
    <w:name w:val="正文文本 2 Char"/>
    <w:basedOn w:val="736"/>
    <w:next w:val="790"/>
    <w:link w:val="789"/>
    <w:qFormat/>
    <w:rPr>
      <w:rFonts w:ascii="Times New Roman" w:hAnsi="Times New Roman" w:eastAsia="宋体" w:cs="Times New Roman"/>
      <w:sz w:val="21"/>
      <w:szCs w:val="24"/>
    </w:rPr>
  </w:style>
  <w:style w:type="paragraph" w:styleId="791">
    <w:name w:val="HTML 预设格式"/>
    <w:basedOn w:val="726"/>
    <w:next w:val="791"/>
    <w:link w:val="792"/>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92">
    <w:name w:val="HTML 预设格式 Char"/>
    <w:next w:val="792"/>
    <w:link w:val="791"/>
    <w:qFormat/>
    <w:rPr>
      <w:rFonts w:ascii="宋体" w:hAnsi="宋体" w:cs="宋体"/>
      <w:sz w:val="24"/>
      <w:szCs w:val="24"/>
    </w:rPr>
  </w:style>
  <w:style w:type="paragraph" w:styleId="793">
    <w:name w:val="普通(网站)"/>
    <w:basedOn w:val="726"/>
    <w:next w:val="793"/>
    <w:link w:val="726"/>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94">
    <w:name w:val="索引 1"/>
    <w:basedOn w:val="726"/>
    <w:next w:val="726"/>
    <w:link w:val="726"/>
    <w:qFormat/>
    <w:pPr>
      <w:ind w:firstLine="200"/>
      <w:spacing w:line="360" w:lineRule="auto"/>
    </w:pPr>
    <w:rPr>
      <w:rFonts w:ascii="Times New Roman" w:hAnsi="Times New Roman" w:eastAsia="宋体" w:cs="Times New Roman"/>
      <w:szCs w:val="24"/>
    </w:rPr>
  </w:style>
  <w:style w:type="paragraph" w:styleId="795">
    <w:name w:val="标题"/>
    <w:basedOn w:val="726"/>
    <w:next w:val="726"/>
    <w:link w:val="796"/>
    <w:uiPriority w:val="10"/>
    <w:qFormat/>
    <w:pPr>
      <w:contextualSpacing/>
      <w:spacing w:before="300" w:after="200"/>
    </w:pPr>
    <w:rPr>
      <w:sz w:val="48"/>
      <w:szCs w:val="48"/>
    </w:rPr>
  </w:style>
  <w:style w:type="character" w:styleId="796">
    <w:name w:val="Title Char"/>
    <w:basedOn w:val="736"/>
    <w:next w:val="796"/>
    <w:link w:val="795"/>
    <w:uiPriority w:val="10"/>
    <w:qFormat/>
    <w:rPr>
      <w:sz w:val="48"/>
      <w:szCs w:val="48"/>
    </w:rPr>
  </w:style>
  <w:style w:type="paragraph" w:styleId="797">
    <w:name w:val="批注主题"/>
    <w:basedOn w:val="752"/>
    <w:next w:val="752"/>
    <w:link w:val="798"/>
    <w:unhideWhenUsed/>
    <w:qFormat/>
    <w:pPr>
      <w:ind w:firstLine="0"/>
      <w:spacing w:line="240" w:lineRule="auto"/>
    </w:pPr>
    <w:rPr>
      <w:rFonts w:ascii="Calibri" w:hAnsi="Calibri" w:eastAsia="Arial" w:cs="Times New Roman"/>
      <w:b/>
      <w:bCs/>
      <w:szCs w:val="22"/>
    </w:rPr>
  </w:style>
  <w:style w:type="character" w:styleId="798">
    <w:name w:val="批注主题 Char"/>
    <w:basedOn w:val="753"/>
    <w:next w:val="798"/>
    <w:link w:val="797"/>
    <w:uiPriority w:val="99"/>
    <w:semiHidden/>
    <w:qFormat/>
    <w:rPr>
      <w:rFonts w:ascii="Times New Roman" w:hAnsi="Times New Roman" w:eastAsia="宋体" w:cs="Times New Roman"/>
      <w:b/>
      <w:bCs/>
      <w:szCs w:val="24"/>
    </w:rPr>
  </w:style>
  <w:style w:type="paragraph" w:styleId="799">
    <w:name w:val="正文首行缩进"/>
    <w:next w:val="799"/>
    <w:link w:val="726"/>
    <w:qFormat/>
    <w:pPr>
      <w:ind w:firstLine="420"/>
      <w:jc w:val="both"/>
      <w:spacing w:after="120"/>
      <w:widowControl w:val="off"/>
    </w:pPr>
    <w:rPr>
      <w:rFonts w:ascii="Times New Roman" w:hAnsi="Times New Roman" w:eastAsia="仿宋" w:cs="Times New Roman"/>
      <w:b/>
      <w:bCs/>
      <w:color w:val="ff0000"/>
      <w:sz w:val="21"/>
      <w:szCs w:val="24"/>
      <w:lang w:val="zh-CN"/>
    </w:rPr>
  </w:style>
  <w:style w:type="table" w:styleId="800">
    <w:name w:val="网格型"/>
    <w:basedOn w:val="737"/>
    <w:next w:val="800"/>
    <w:link w:val="726"/>
    <w:uiPriority w:val="99"/>
    <w:qFormat/>
    <w:rPr>
      <w:rFonts w:ascii="Calibri" w:hAnsi="Calibri"/>
    </w:rPr>
    <w:tblPr/>
  </w:style>
  <w:style w:type="character" w:styleId="801">
    <w:name w:val="要点"/>
    <w:next w:val="801"/>
    <w:link w:val="726"/>
    <w:qFormat/>
    <w:rPr>
      <w:b/>
      <w:bCs/>
    </w:rPr>
  </w:style>
  <w:style w:type="character" w:styleId="802">
    <w:name w:val="尾注引用"/>
    <w:basedOn w:val="736"/>
    <w:next w:val="802"/>
    <w:link w:val="726"/>
    <w:uiPriority w:val="99"/>
    <w:unhideWhenUsed/>
    <w:qFormat/>
    <w:rPr>
      <w:vertAlign w:val="superscript"/>
    </w:rPr>
  </w:style>
  <w:style w:type="character" w:styleId="803">
    <w:name w:val="页码"/>
    <w:next w:val="803"/>
    <w:link w:val="726"/>
    <w:qFormat/>
  </w:style>
  <w:style w:type="character" w:styleId="804">
    <w:name w:val="已访问的超链接"/>
    <w:next w:val="804"/>
    <w:link w:val="726"/>
    <w:unhideWhenUsed/>
    <w:qFormat/>
    <w:rPr>
      <w:color w:val="800080"/>
      <w:u w:val="single"/>
    </w:rPr>
  </w:style>
  <w:style w:type="character" w:styleId="805">
    <w:name w:val="超链接"/>
    <w:next w:val="805"/>
    <w:link w:val="726"/>
    <w:uiPriority w:val="99"/>
    <w:qFormat/>
    <w:rPr>
      <w:color w:val="0000ff"/>
      <w:u w:val="single"/>
    </w:rPr>
  </w:style>
  <w:style w:type="character" w:styleId="806">
    <w:name w:val="批注引用"/>
    <w:next w:val="806"/>
    <w:link w:val="726"/>
    <w:qFormat/>
    <w:rPr>
      <w:sz w:val="21"/>
      <w:szCs w:val="21"/>
    </w:rPr>
  </w:style>
  <w:style w:type="character" w:styleId="807">
    <w:name w:val="脚注引用"/>
    <w:basedOn w:val="736"/>
    <w:next w:val="807"/>
    <w:link w:val="726"/>
    <w:uiPriority w:val="99"/>
    <w:unhideWhenUsed/>
    <w:qFormat/>
    <w:rPr>
      <w:vertAlign w:val="superscript"/>
    </w:rPr>
  </w:style>
  <w:style w:type="character" w:styleId="808">
    <w:name w:val="页脚 Char1"/>
    <w:next w:val="808"/>
    <w:link w:val="773"/>
    <w:qFormat/>
    <w:rPr>
      <w:rFonts w:ascii="Times New Roman" w:hAnsi="Times New Roman" w:eastAsia="宋体" w:cs="Times New Roman"/>
      <w:sz w:val="18"/>
      <w:szCs w:val="18"/>
    </w:rPr>
  </w:style>
  <w:style w:type="character" w:styleId="809">
    <w:name w:val="Heading 1 Char"/>
    <w:basedOn w:val="736"/>
    <w:next w:val="809"/>
    <w:link w:val="726"/>
    <w:uiPriority w:val="9"/>
    <w:qFormat/>
    <w:rPr>
      <w:rFonts w:ascii="Arial" w:hAnsi="Arial" w:eastAsia="Arial" w:cs="Arial"/>
      <w:sz w:val="40"/>
      <w:szCs w:val="40"/>
    </w:rPr>
  </w:style>
  <w:style w:type="character" w:styleId="810">
    <w:name w:val="Heading 2 Char"/>
    <w:basedOn w:val="736"/>
    <w:next w:val="810"/>
    <w:link w:val="726"/>
    <w:uiPriority w:val="9"/>
    <w:qFormat/>
    <w:rPr>
      <w:rFonts w:ascii="Arial" w:hAnsi="Arial" w:eastAsia="Arial" w:cs="Arial"/>
      <w:sz w:val="34"/>
    </w:rPr>
  </w:style>
  <w:style w:type="character" w:styleId="811">
    <w:name w:val="Heading 3 Char"/>
    <w:basedOn w:val="736"/>
    <w:next w:val="811"/>
    <w:link w:val="726"/>
    <w:uiPriority w:val="9"/>
    <w:qFormat/>
    <w:rPr>
      <w:rFonts w:ascii="Arial" w:hAnsi="Arial" w:eastAsia="Arial" w:cs="Arial"/>
      <w:sz w:val="30"/>
      <w:szCs w:val="30"/>
    </w:rPr>
  </w:style>
  <w:style w:type="character" w:styleId="812">
    <w:name w:val="Heading 4 Char"/>
    <w:basedOn w:val="736"/>
    <w:next w:val="812"/>
    <w:link w:val="726"/>
    <w:uiPriority w:val="9"/>
    <w:qFormat/>
    <w:rPr>
      <w:rFonts w:ascii="Arial" w:hAnsi="Arial" w:eastAsia="Arial" w:cs="Arial"/>
      <w:b/>
      <w:bCs/>
      <w:sz w:val="26"/>
      <w:szCs w:val="26"/>
    </w:rPr>
  </w:style>
  <w:style w:type="character" w:styleId="813">
    <w:name w:val="Heading 5 Char"/>
    <w:basedOn w:val="736"/>
    <w:next w:val="813"/>
    <w:link w:val="726"/>
    <w:uiPriority w:val="9"/>
    <w:qFormat/>
    <w:rPr>
      <w:rFonts w:ascii="Arial" w:hAnsi="Arial" w:eastAsia="Arial" w:cs="Arial"/>
      <w:b/>
      <w:bCs/>
      <w:sz w:val="24"/>
      <w:szCs w:val="24"/>
    </w:rPr>
  </w:style>
  <w:style w:type="character" w:styleId="814">
    <w:name w:val="Heading 6 Char"/>
    <w:basedOn w:val="736"/>
    <w:next w:val="814"/>
    <w:link w:val="726"/>
    <w:uiPriority w:val="9"/>
    <w:qFormat/>
    <w:rPr>
      <w:rFonts w:ascii="Arial" w:hAnsi="Arial" w:eastAsia="Arial" w:cs="Arial"/>
      <w:b/>
      <w:bCs/>
      <w:sz w:val="22"/>
      <w:szCs w:val="22"/>
    </w:rPr>
  </w:style>
  <w:style w:type="character" w:styleId="815">
    <w:name w:val="Heading 7 Char"/>
    <w:basedOn w:val="736"/>
    <w:next w:val="815"/>
    <w:link w:val="726"/>
    <w:uiPriority w:val="9"/>
    <w:qFormat/>
    <w:rPr>
      <w:rFonts w:ascii="Arial" w:hAnsi="Arial" w:eastAsia="Arial" w:cs="Arial"/>
      <w:b/>
      <w:bCs/>
      <w:i/>
      <w:iCs/>
      <w:sz w:val="22"/>
      <w:szCs w:val="22"/>
    </w:rPr>
  </w:style>
  <w:style w:type="character" w:styleId="816">
    <w:name w:val="Heading 8 Char"/>
    <w:basedOn w:val="736"/>
    <w:next w:val="816"/>
    <w:link w:val="726"/>
    <w:uiPriority w:val="9"/>
    <w:qFormat/>
    <w:rPr>
      <w:rFonts w:ascii="Arial" w:hAnsi="Arial" w:eastAsia="Arial" w:cs="Arial"/>
      <w:i/>
      <w:iCs/>
      <w:sz w:val="22"/>
      <w:szCs w:val="22"/>
    </w:rPr>
  </w:style>
  <w:style w:type="character" w:styleId="817">
    <w:name w:val="Heading 9 Char"/>
    <w:basedOn w:val="736"/>
    <w:next w:val="817"/>
    <w:link w:val="726"/>
    <w:uiPriority w:val="9"/>
    <w:qFormat/>
    <w:rPr>
      <w:rFonts w:ascii="Arial" w:hAnsi="Arial" w:eastAsia="Arial" w:cs="Arial"/>
      <w:i/>
      <w:iCs/>
      <w:sz w:val="21"/>
      <w:szCs w:val="21"/>
    </w:rPr>
  </w:style>
  <w:style w:type="paragraph" w:styleId="818">
    <w:name w:val="No Spacing"/>
    <w:next w:val="818"/>
    <w:link w:val="726"/>
    <w:uiPriority w:val="1"/>
    <w:qFormat/>
    <w:pPr>
      <w:spacing w:before="0" w:after="0" w:line="240" w:lineRule="auto"/>
    </w:pPr>
    <w:rPr>
      <w:rFonts w:ascii="Times New Roman" w:hAnsi="Times New Roman" w:eastAsia="Arial" w:cs="Times New Roman"/>
    </w:rPr>
  </w:style>
  <w:style w:type="character" w:styleId="819">
    <w:name w:val="Subtitle Char"/>
    <w:basedOn w:val="736"/>
    <w:next w:val="819"/>
    <w:link w:val="726"/>
    <w:uiPriority w:val="11"/>
    <w:qFormat/>
    <w:rPr>
      <w:sz w:val="24"/>
      <w:szCs w:val="24"/>
    </w:rPr>
  </w:style>
  <w:style w:type="paragraph" w:styleId="820">
    <w:name w:val="Quote"/>
    <w:basedOn w:val="726"/>
    <w:next w:val="726"/>
    <w:link w:val="821"/>
    <w:uiPriority w:val="29"/>
    <w:qFormat/>
    <w:pPr>
      <w:ind w:left="720" w:right="720"/>
    </w:pPr>
    <w:rPr>
      <w:i/>
    </w:rPr>
  </w:style>
  <w:style w:type="character" w:styleId="821">
    <w:name w:val="Quote Char"/>
    <w:next w:val="821"/>
    <w:link w:val="820"/>
    <w:uiPriority w:val="29"/>
    <w:qFormat/>
    <w:rPr>
      <w:i/>
    </w:rPr>
  </w:style>
  <w:style w:type="paragraph" w:styleId="822">
    <w:name w:val="Intense Quote"/>
    <w:basedOn w:val="726"/>
    <w:next w:val="726"/>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next w:val="823"/>
    <w:link w:val="822"/>
    <w:uiPriority w:val="30"/>
    <w:qFormat/>
    <w:rPr>
      <w:i/>
    </w:rPr>
  </w:style>
  <w:style w:type="character" w:styleId="824">
    <w:name w:val="Footer Char"/>
    <w:basedOn w:val="736"/>
    <w:next w:val="824"/>
    <w:link w:val="726"/>
    <w:uiPriority w:val="99"/>
    <w:qFormat/>
  </w:style>
  <w:style w:type="character" w:styleId="825">
    <w:name w:val="Caption Char"/>
    <w:next w:val="825"/>
    <w:link w:val="726"/>
    <w:uiPriority w:val="99"/>
    <w:qFormat/>
  </w:style>
  <w:style w:type="table" w:styleId="826">
    <w:name w:val="Table Grid Light"/>
    <w:basedOn w:val="737"/>
    <w:next w:val="826"/>
    <w:link w:val="726"/>
    <w:uiPriority w:val="59"/>
    <w:qFormat/>
    <w:pPr>
      <w:spacing w:after="0" w:line="240" w:lineRule="auto"/>
    </w:pPr>
    <w:tblPr/>
  </w:style>
  <w:style w:type="table" w:styleId="827">
    <w:name w:val="Plain Table 1"/>
    <w:basedOn w:val="737"/>
    <w:next w:val="827"/>
    <w:link w:val="726"/>
    <w:uiPriority w:val="59"/>
    <w:qFormat/>
    <w:pPr>
      <w:spacing w:after="0" w:line="240" w:lineRule="auto"/>
    </w:pPr>
    <w:tblPr/>
  </w:style>
  <w:style w:type="table" w:styleId="828">
    <w:name w:val="Plain Table 2"/>
    <w:basedOn w:val="737"/>
    <w:next w:val="828"/>
    <w:link w:val="726"/>
    <w:uiPriority w:val="59"/>
    <w:qFormat/>
    <w:pPr>
      <w:spacing w:after="0" w:line="240" w:lineRule="auto"/>
    </w:pPr>
    <w:tblPr/>
  </w:style>
  <w:style w:type="table" w:styleId="829">
    <w:name w:val="Plain Table 3"/>
    <w:basedOn w:val="737"/>
    <w:next w:val="829"/>
    <w:link w:val="726"/>
    <w:uiPriority w:val="99"/>
    <w:qFormat/>
    <w:pPr>
      <w:spacing w:after="0" w:line="240" w:lineRule="auto"/>
    </w:pPr>
    <w:tblPr/>
  </w:style>
  <w:style w:type="table" w:styleId="830">
    <w:name w:val="Plain Table 4"/>
    <w:basedOn w:val="737"/>
    <w:next w:val="830"/>
    <w:link w:val="726"/>
    <w:uiPriority w:val="99"/>
    <w:qFormat/>
    <w:pPr>
      <w:spacing w:after="0" w:line="240" w:lineRule="auto"/>
    </w:pPr>
    <w:tblPr/>
  </w:style>
  <w:style w:type="table" w:styleId="831">
    <w:name w:val="Plain Table 5"/>
    <w:basedOn w:val="737"/>
    <w:next w:val="831"/>
    <w:link w:val="726"/>
    <w:uiPriority w:val="99"/>
    <w:qFormat/>
    <w:pPr>
      <w:spacing w:after="0" w:line="240" w:lineRule="auto"/>
    </w:pPr>
    <w:tblPr/>
  </w:style>
  <w:style w:type="table" w:styleId="832">
    <w:name w:val="Grid Table 1 Light"/>
    <w:basedOn w:val="737"/>
    <w:next w:val="832"/>
    <w:link w:val="726"/>
    <w:uiPriority w:val="99"/>
    <w:qFormat/>
    <w:pPr>
      <w:spacing w:after="0" w:line="240" w:lineRule="auto"/>
    </w:pPr>
    <w:tblPr/>
  </w:style>
  <w:style w:type="table" w:styleId="833">
    <w:name w:val="Grid Table 1 Light - Accent 1"/>
    <w:basedOn w:val="737"/>
    <w:next w:val="833"/>
    <w:link w:val="726"/>
    <w:uiPriority w:val="99"/>
    <w:qFormat/>
    <w:pPr>
      <w:spacing w:after="0" w:line="240" w:lineRule="auto"/>
    </w:pPr>
    <w:tblPr/>
  </w:style>
  <w:style w:type="table" w:styleId="834">
    <w:name w:val="Grid Table 1 Light - Accent 2"/>
    <w:basedOn w:val="737"/>
    <w:next w:val="834"/>
    <w:link w:val="726"/>
    <w:uiPriority w:val="99"/>
    <w:qFormat/>
    <w:pPr>
      <w:spacing w:after="0" w:line="240" w:lineRule="auto"/>
    </w:pPr>
    <w:tblPr/>
  </w:style>
  <w:style w:type="table" w:styleId="835">
    <w:name w:val="Grid Table 1 Light - Accent 3"/>
    <w:basedOn w:val="737"/>
    <w:next w:val="835"/>
    <w:link w:val="726"/>
    <w:uiPriority w:val="99"/>
    <w:qFormat/>
    <w:pPr>
      <w:spacing w:after="0" w:line="240" w:lineRule="auto"/>
    </w:pPr>
    <w:tblPr/>
  </w:style>
  <w:style w:type="table" w:styleId="836">
    <w:name w:val="Grid Table 1 Light - Accent 4"/>
    <w:basedOn w:val="737"/>
    <w:next w:val="836"/>
    <w:link w:val="726"/>
    <w:uiPriority w:val="99"/>
    <w:qFormat/>
    <w:pPr>
      <w:spacing w:after="0" w:line="240" w:lineRule="auto"/>
    </w:pPr>
    <w:tblPr/>
  </w:style>
  <w:style w:type="table" w:styleId="837">
    <w:name w:val="Grid Table 1 Light - Accent 5"/>
    <w:basedOn w:val="737"/>
    <w:next w:val="837"/>
    <w:link w:val="726"/>
    <w:uiPriority w:val="99"/>
    <w:qFormat/>
    <w:pPr>
      <w:spacing w:after="0" w:line="240" w:lineRule="auto"/>
    </w:pPr>
    <w:tblPr/>
  </w:style>
  <w:style w:type="table" w:styleId="838">
    <w:name w:val="Grid Table 1 Light - Accent 6"/>
    <w:basedOn w:val="737"/>
    <w:next w:val="838"/>
    <w:link w:val="726"/>
    <w:uiPriority w:val="99"/>
    <w:qFormat/>
    <w:pPr>
      <w:spacing w:after="0" w:line="240" w:lineRule="auto"/>
    </w:pPr>
    <w:tblPr/>
  </w:style>
  <w:style w:type="table" w:styleId="839">
    <w:name w:val="Grid Table 2"/>
    <w:basedOn w:val="737"/>
    <w:next w:val="839"/>
    <w:link w:val="726"/>
    <w:uiPriority w:val="99"/>
    <w:qFormat/>
    <w:pPr>
      <w:spacing w:after="0" w:line="240" w:lineRule="auto"/>
    </w:pPr>
    <w:tblPr/>
  </w:style>
  <w:style w:type="table" w:styleId="840">
    <w:name w:val="Grid Table 2 - Accent 2"/>
    <w:basedOn w:val="737"/>
    <w:next w:val="840"/>
    <w:link w:val="726"/>
    <w:uiPriority w:val="99"/>
    <w:qFormat/>
    <w:pPr>
      <w:spacing w:after="0" w:line="240" w:lineRule="auto"/>
    </w:pPr>
    <w:tblPr/>
  </w:style>
  <w:style w:type="table" w:styleId="841">
    <w:name w:val="Grid Table 2 - Accent 3"/>
    <w:basedOn w:val="737"/>
    <w:next w:val="841"/>
    <w:link w:val="726"/>
    <w:uiPriority w:val="99"/>
    <w:qFormat/>
    <w:pPr>
      <w:spacing w:after="0" w:line="240" w:lineRule="auto"/>
    </w:pPr>
    <w:tblPr/>
  </w:style>
  <w:style w:type="table" w:styleId="842">
    <w:name w:val="Grid Table 2 - Accent 4"/>
    <w:basedOn w:val="737"/>
    <w:next w:val="842"/>
    <w:link w:val="726"/>
    <w:uiPriority w:val="99"/>
    <w:qFormat/>
    <w:pPr>
      <w:spacing w:after="0" w:line="240" w:lineRule="auto"/>
    </w:pPr>
    <w:tblPr/>
  </w:style>
  <w:style w:type="table" w:styleId="843">
    <w:name w:val="Grid Table 2 - Accent 5"/>
    <w:basedOn w:val="737"/>
    <w:next w:val="843"/>
    <w:link w:val="726"/>
    <w:uiPriority w:val="99"/>
    <w:qFormat/>
    <w:pPr>
      <w:spacing w:after="0" w:line="240" w:lineRule="auto"/>
    </w:pPr>
    <w:tblPr/>
  </w:style>
  <w:style w:type="table" w:styleId="844">
    <w:name w:val="Grid Table 2 - Accent 6"/>
    <w:basedOn w:val="737"/>
    <w:next w:val="844"/>
    <w:link w:val="726"/>
    <w:uiPriority w:val="99"/>
    <w:qFormat/>
    <w:pPr>
      <w:spacing w:after="0" w:line="240" w:lineRule="auto"/>
    </w:pPr>
    <w:tblPr/>
  </w:style>
  <w:style w:type="table" w:styleId="845">
    <w:name w:val="Grid Table 3"/>
    <w:basedOn w:val="737"/>
    <w:next w:val="845"/>
    <w:link w:val="726"/>
    <w:uiPriority w:val="99"/>
    <w:qFormat/>
    <w:pPr>
      <w:spacing w:after="0" w:line="240" w:lineRule="auto"/>
    </w:pPr>
    <w:tblPr/>
  </w:style>
  <w:style w:type="table" w:styleId="846">
    <w:name w:val="Grid Table 3 - Accent 1"/>
    <w:basedOn w:val="737"/>
    <w:next w:val="846"/>
    <w:link w:val="726"/>
    <w:uiPriority w:val="99"/>
    <w:qFormat/>
    <w:pPr>
      <w:spacing w:after="0" w:line="240" w:lineRule="auto"/>
    </w:pPr>
    <w:tblPr/>
  </w:style>
  <w:style w:type="table" w:styleId="847">
    <w:name w:val="Grid Table 3 - Accent 2"/>
    <w:basedOn w:val="737"/>
    <w:next w:val="847"/>
    <w:link w:val="726"/>
    <w:uiPriority w:val="99"/>
    <w:qFormat/>
    <w:pPr>
      <w:spacing w:after="0" w:line="240" w:lineRule="auto"/>
    </w:pPr>
    <w:tblPr/>
  </w:style>
  <w:style w:type="table" w:styleId="848">
    <w:name w:val="Grid Table 3 - Accent 3"/>
    <w:basedOn w:val="737"/>
    <w:next w:val="848"/>
    <w:link w:val="726"/>
    <w:uiPriority w:val="99"/>
    <w:qFormat/>
    <w:pPr>
      <w:spacing w:after="0" w:line="240" w:lineRule="auto"/>
    </w:pPr>
    <w:tblPr/>
  </w:style>
  <w:style w:type="table" w:styleId="849">
    <w:name w:val="Grid Table 3 - Accent 4"/>
    <w:basedOn w:val="737"/>
    <w:next w:val="849"/>
    <w:link w:val="726"/>
    <w:uiPriority w:val="99"/>
    <w:qFormat/>
    <w:pPr>
      <w:spacing w:after="0" w:line="240" w:lineRule="auto"/>
    </w:pPr>
    <w:tblPr/>
  </w:style>
  <w:style w:type="table" w:styleId="850">
    <w:name w:val="Grid Table 3 - Accent 5"/>
    <w:basedOn w:val="737"/>
    <w:next w:val="850"/>
    <w:link w:val="726"/>
    <w:uiPriority w:val="99"/>
    <w:qFormat/>
    <w:pPr>
      <w:spacing w:after="0" w:line="240" w:lineRule="auto"/>
    </w:pPr>
    <w:tblPr/>
  </w:style>
  <w:style w:type="table" w:styleId="851">
    <w:name w:val="Grid Table 3 - Accent 6"/>
    <w:basedOn w:val="737"/>
    <w:next w:val="851"/>
    <w:link w:val="726"/>
    <w:uiPriority w:val="99"/>
    <w:qFormat/>
    <w:pPr>
      <w:spacing w:after="0" w:line="240" w:lineRule="auto"/>
    </w:pPr>
    <w:tblPr/>
  </w:style>
  <w:style w:type="table" w:styleId="852">
    <w:name w:val="Grid Table 4"/>
    <w:basedOn w:val="737"/>
    <w:next w:val="852"/>
    <w:link w:val="726"/>
    <w:uiPriority w:val="59"/>
    <w:qFormat/>
    <w:pPr>
      <w:spacing w:after="0" w:line="240" w:lineRule="auto"/>
    </w:pPr>
    <w:tblPr/>
  </w:style>
  <w:style w:type="table" w:styleId="853">
    <w:name w:val="Grid Table 4 - Accent 1"/>
    <w:basedOn w:val="737"/>
    <w:next w:val="853"/>
    <w:link w:val="726"/>
    <w:uiPriority w:val="59"/>
    <w:qFormat/>
    <w:pPr>
      <w:spacing w:after="0" w:line="240" w:lineRule="auto"/>
    </w:pPr>
    <w:tblPr/>
  </w:style>
  <w:style w:type="table" w:styleId="854">
    <w:name w:val="Grid Table 4 - Accent 2"/>
    <w:basedOn w:val="737"/>
    <w:next w:val="854"/>
    <w:link w:val="726"/>
    <w:uiPriority w:val="59"/>
    <w:qFormat/>
    <w:pPr>
      <w:spacing w:after="0" w:line="240" w:lineRule="auto"/>
    </w:pPr>
    <w:tblPr/>
  </w:style>
  <w:style w:type="table" w:styleId="855">
    <w:name w:val="Grid Table 4 - Accent 3"/>
    <w:basedOn w:val="737"/>
    <w:next w:val="855"/>
    <w:link w:val="726"/>
    <w:uiPriority w:val="59"/>
    <w:qFormat/>
    <w:pPr>
      <w:spacing w:after="0" w:line="240" w:lineRule="auto"/>
    </w:pPr>
    <w:tblPr/>
  </w:style>
  <w:style w:type="table" w:styleId="856">
    <w:name w:val="Grid Table 4 - Accent 4"/>
    <w:basedOn w:val="737"/>
    <w:next w:val="856"/>
    <w:link w:val="726"/>
    <w:uiPriority w:val="59"/>
    <w:qFormat/>
    <w:pPr>
      <w:spacing w:after="0" w:line="240" w:lineRule="auto"/>
    </w:pPr>
    <w:tblPr/>
  </w:style>
  <w:style w:type="table" w:styleId="857">
    <w:name w:val="Grid Table 4 - Accent 5"/>
    <w:basedOn w:val="737"/>
    <w:next w:val="857"/>
    <w:link w:val="726"/>
    <w:uiPriority w:val="59"/>
    <w:qFormat/>
    <w:pPr>
      <w:spacing w:after="0" w:line="240" w:lineRule="auto"/>
    </w:pPr>
    <w:tblPr/>
  </w:style>
  <w:style w:type="table" w:styleId="858">
    <w:name w:val="Grid Table 4 - Accent 6"/>
    <w:basedOn w:val="737"/>
    <w:next w:val="858"/>
    <w:link w:val="726"/>
    <w:uiPriority w:val="59"/>
    <w:qFormat/>
    <w:pPr>
      <w:spacing w:after="0" w:line="240" w:lineRule="auto"/>
    </w:pPr>
    <w:tblPr/>
  </w:style>
  <w:style w:type="table" w:styleId="859">
    <w:name w:val="Grid Table 5 Dark"/>
    <w:basedOn w:val="737"/>
    <w:next w:val="859"/>
    <w:link w:val="726"/>
    <w:uiPriority w:val="99"/>
    <w:qFormat/>
    <w:pPr>
      <w:spacing w:after="0" w:line="240" w:lineRule="auto"/>
    </w:pPr>
    <w:tblPr/>
  </w:style>
  <w:style w:type="table" w:styleId="860">
    <w:name w:val="Grid Table 5 Dark- Accent 1"/>
    <w:basedOn w:val="737"/>
    <w:next w:val="860"/>
    <w:link w:val="726"/>
    <w:uiPriority w:val="99"/>
    <w:qFormat/>
    <w:pPr>
      <w:spacing w:after="0" w:line="240" w:lineRule="auto"/>
    </w:pPr>
    <w:tblPr/>
  </w:style>
  <w:style w:type="table" w:styleId="861">
    <w:name w:val="Grid Table 5 Dark - Accent 2"/>
    <w:basedOn w:val="737"/>
    <w:next w:val="861"/>
    <w:link w:val="726"/>
    <w:uiPriority w:val="99"/>
    <w:qFormat/>
    <w:pPr>
      <w:spacing w:after="0" w:line="240" w:lineRule="auto"/>
    </w:pPr>
    <w:tblPr/>
  </w:style>
  <w:style w:type="table" w:styleId="862">
    <w:name w:val="Grid Table 5 Dark - Accent 3"/>
    <w:basedOn w:val="737"/>
    <w:next w:val="862"/>
    <w:link w:val="726"/>
    <w:uiPriority w:val="99"/>
    <w:qFormat/>
    <w:pPr>
      <w:spacing w:after="0" w:line="240" w:lineRule="auto"/>
    </w:pPr>
    <w:tblPr/>
  </w:style>
  <w:style w:type="table" w:styleId="863">
    <w:name w:val="Grid Table 5 Dark- Accent 4"/>
    <w:basedOn w:val="737"/>
    <w:next w:val="863"/>
    <w:link w:val="726"/>
    <w:uiPriority w:val="99"/>
    <w:qFormat/>
    <w:pPr>
      <w:spacing w:after="0" w:line="240" w:lineRule="auto"/>
    </w:pPr>
    <w:tblPr/>
  </w:style>
  <w:style w:type="table" w:styleId="864">
    <w:name w:val="Grid Table 5 Dark - Accent 5"/>
    <w:basedOn w:val="737"/>
    <w:next w:val="864"/>
    <w:link w:val="726"/>
    <w:uiPriority w:val="99"/>
    <w:qFormat/>
    <w:pPr>
      <w:spacing w:after="0" w:line="240" w:lineRule="auto"/>
    </w:pPr>
    <w:tblPr/>
  </w:style>
  <w:style w:type="table" w:styleId="865">
    <w:name w:val="Grid Table 5 Dark - Accent 6"/>
    <w:basedOn w:val="737"/>
    <w:next w:val="865"/>
    <w:link w:val="726"/>
    <w:uiPriority w:val="99"/>
    <w:qFormat/>
    <w:pPr>
      <w:spacing w:after="0" w:line="240" w:lineRule="auto"/>
    </w:pPr>
    <w:tblPr/>
  </w:style>
  <w:style w:type="table" w:styleId="866">
    <w:name w:val="Grid Table 6 Colorful"/>
    <w:basedOn w:val="737"/>
    <w:next w:val="866"/>
    <w:link w:val="726"/>
    <w:uiPriority w:val="99"/>
    <w:qFormat/>
    <w:pPr>
      <w:spacing w:after="0" w:line="240" w:lineRule="auto"/>
    </w:pPr>
    <w:tblPr/>
  </w:style>
  <w:style w:type="table" w:styleId="867">
    <w:name w:val="Grid Table 6 Colorful - Accent 1"/>
    <w:basedOn w:val="737"/>
    <w:next w:val="867"/>
    <w:link w:val="726"/>
    <w:uiPriority w:val="99"/>
    <w:qFormat/>
    <w:pPr>
      <w:spacing w:after="0" w:line="240" w:lineRule="auto"/>
    </w:pPr>
    <w:tblPr/>
  </w:style>
  <w:style w:type="table" w:styleId="868">
    <w:name w:val="Grid Table 6 Colorful - Accent 2"/>
    <w:basedOn w:val="737"/>
    <w:next w:val="868"/>
    <w:link w:val="726"/>
    <w:uiPriority w:val="99"/>
    <w:qFormat/>
    <w:pPr>
      <w:spacing w:after="0" w:line="240" w:lineRule="auto"/>
    </w:pPr>
    <w:tblPr/>
  </w:style>
  <w:style w:type="table" w:styleId="869">
    <w:name w:val="Grid Table 6 Colorful - Accent 3"/>
    <w:basedOn w:val="737"/>
    <w:next w:val="869"/>
    <w:link w:val="726"/>
    <w:uiPriority w:val="99"/>
    <w:qFormat/>
    <w:pPr>
      <w:spacing w:after="0" w:line="240" w:lineRule="auto"/>
    </w:pPr>
    <w:tblPr/>
  </w:style>
  <w:style w:type="table" w:styleId="870">
    <w:name w:val="Grid Table 6 Colorful - Accent 4"/>
    <w:basedOn w:val="737"/>
    <w:next w:val="870"/>
    <w:link w:val="726"/>
    <w:uiPriority w:val="99"/>
    <w:qFormat/>
    <w:pPr>
      <w:spacing w:after="0" w:line="240" w:lineRule="auto"/>
    </w:pPr>
    <w:tblPr/>
  </w:style>
  <w:style w:type="table" w:styleId="871">
    <w:name w:val="Grid Table 6 Colorful - Accent 5"/>
    <w:basedOn w:val="737"/>
    <w:next w:val="871"/>
    <w:link w:val="726"/>
    <w:uiPriority w:val="99"/>
    <w:qFormat/>
    <w:pPr>
      <w:spacing w:after="0" w:line="240" w:lineRule="auto"/>
    </w:pPr>
    <w:tblPr/>
  </w:style>
  <w:style w:type="table" w:styleId="872">
    <w:name w:val="Grid Table 6 Colorful - Accent 6"/>
    <w:basedOn w:val="737"/>
    <w:next w:val="872"/>
    <w:link w:val="726"/>
    <w:uiPriority w:val="99"/>
    <w:qFormat/>
    <w:pPr>
      <w:spacing w:after="0" w:line="240" w:lineRule="auto"/>
    </w:pPr>
    <w:tblPr/>
  </w:style>
  <w:style w:type="table" w:styleId="873">
    <w:name w:val="Grid Table 7 Colorful"/>
    <w:basedOn w:val="737"/>
    <w:next w:val="873"/>
    <w:link w:val="726"/>
    <w:uiPriority w:val="99"/>
    <w:qFormat/>
    <w:pPr>
      <w:spacing w:after="0" w:line="240" w:lineRule="auto"/>
    </w:pPr>
    <w:tblPr/>
  </w:style>
  <w:style w:type="table" w:styleId="874">
    <w:name w:val="Grid Table 7 Colorful - Accent 1"/>
    <w:basedOn w:val="737"/>
    <w:next w:val="874"/>
    <w:link w:val="726"/>
    <w:uiPriority w:val="99"/>
    <w:qFormat/>
    <w:pPr>
      <w:spacing w:after="0" w:line="240" w:lineRule="auto"/>
    </w:pPr>
    <w:tblPr/>
  </w:style>
  <w:style w:type="table" w:styleId="875">
    <w:name w:val="Grid Table 7 Colorful - Accent 2"/>
    <w:basedOn w:val="737"/>
    <w:next w:val="875"/>
    <w:link w:val="726"/>
    <w:uiPriority w:val="99"/>
    <w:qFormat/>
    <w:pPr>
      <w:spacing w:after="0" w:line="240" w:lineRule="auto"/>
    </w:pPr>
    <w:tblPr/>
  </w:style>
  <w:style w:type="table" w:styleId="876">
    <w:name w:val="Grid Table 7 Colorful - Accent 3"/>
    <w:basedOn w:val="737"/>
    <w:next w:val="876"/>
    <w:link w:val="726"/>
    <w:uiPriority w:val="99"/>
    <w:qFormat/>
    <w:pPr>
      <w:spacing w:after="0" w:line="240" w:lineRule="auto"/>
    </w:pPr>
    <w:tblPr/>
  </w:style>
  <w:style w:type="table" w:styleId="877">
    <w:name w:val="Grid Table 7 Colorful - Accent 4"/>
    <w:basedOn w:val="737"/>
    <w:next w:val="877"/>
    <w:link w:val="726"/>
    <w:uiPriority w:val="99"/>
    <w:qFormat/>
    <w:pPr>
      <w:spacing w:after="0" w:line="240" w:lineRule="auto"/>
    </w:pPr>
    <w:tblPr/>
  </w:style>
  <w:style w:type="table" w:styleId="878">
    <w:name w:val="Grid Table 7 Colorful - Accent 5"/>
    <w:basedOn w:val="737"/>
    <w:next w:val="878"/>
    <w:link w:val="726"/>
    <w:uiPriority w:val="99"/>
    <w:qFormat/>
    <w:pPr>
      <w:spacing w:after="0" w:line="240" w:lineRule="auto"/>
    </w:pPr>
    <w:tblPr/>
  </w:style>
  <w:style w:type="table" w:styleId="879">
    <w:name w:val="Grid Table 7 Colorful - Accent 6"/>
    <w:basedOn w:val="737"/>
    <w:next w:val="879"/>
    <w:link w:val="726"/>
    <w:uiPriority w:val="99"/>
    <w:qFormat/>
    <w:pPr>
      <w:spacing w:after="0" w:line="240" w:lineRule="auto"/>
    </w:pPr>
    <w:tblPr/>
  </w:style>
  <w:style w:type="table" w:styleId="880">
    <w:name w:val="List Table 1 Light"/>
    <w:basedOn w:val="737"/>
    <w:next w:val="880"/>
    <w:link w:val="726"/>
    <w:uiPriority w:val="99"/>
    <w:qFormat/>
    <w:pPr>
      <w:spacing w:after="0" w:line="240" w:lineRule="auto"/>
    </w:pPr>
    <w:tblPr/>
  </w:style>
  <w:style w:type="table" w:styleId="881">
    <w:name w:val="List Table 1 Light - Accent 1"/>
    <w:basedOn w:val="737"/>
    <w:next w:val="881"/>
    <w:link w:val="726"/>
    <w:uiPriority w:val="99"/>
    <w:qFormat/>
    <w:pPr>
      <w:spacing w:after="0" w:line="240" w:lineRule="auto"/>
    </w:pPr>
    <w:tblPr/>
  </w:style>
  <w:style w:type="table" w:styleId="882">
    <w:name w:val="List Table 1 Light - Accent 2"/>
    <w:basedOn w:val="737"/>
    <w:next w:val="882"/>
    <w:link w:val="726"/>
    <w:uiPriority w:val="99"/>
    <w:qFormat/>
    <w:pPr>
      <w:spacing w:after="0" w:line="240" w:lineRule="auto"/>
    </w:pPr>
    <w:tblPr/>
  </w:style>
  <w:style w:type="table" w:styleId="883">
    <w:name w:val="List Table 1 Light - Accent 3"/>
    <w:basedOn w:val="737"/>
    <w:next w:val="883"/>
    <w:link w:val="726"/>
    <w:uiPriority w:val="99"/>
    <w:qFormat/>
    <w:pPr>
      <w:spacing w:after="0" w:line="240" w:lineRule="auto"/>
    </w:pPr>
    <w:tblPr/>
  </w:style>
  <w:style w:type="table" w:styleId="884">
    <w:name w:val="List Table 1 Light - Accent 4"/>
    <w:basedOn w:val="737"/>
    <w:next w:val="884"/>
    <w:link w:val="726"/>
    <w:uiPriority w:val="99"/>
    <w:qFormat/>
    <w:pPr>
      <w:spacing w:after="0" w:line="240" w:lineRule="auto"/>
    </w:pPr>
    <w:tblPr/>
  </w:style>
  <w:style w:type="table" w:styleId="885">
    <w:name w:val="List Table 1 Light - Accent 5"/>
    <w:basedOn w:val="737"/>
    <w:next w:val="885"/>
    <w:link w:val="726"/>
    <w:uiPriority w:val="99"/>
    <w:qFormat/>
    <w:pPr>
      <w:spacing w:after="0" w:line="240" w:lineRule="auto"/>
    </w:pPr>
    <w:tblPr/>
  </w:style>
  <w:style w:type="table" w:styleId="886">
    <w:name w:val="List Table 1 Light - Accent 6"/>
    <w:basedOn w:val="737"/>
    <w:next w:val="886"/>
    <w:link w:val="726"/>
    <w:uiPriority w:val="99"/>
    <w:qFormat/>
    <w:pPr>
      <w:spacing w:after="0" w:line="240" w:lineRule="auto"/>
    </w:pPr>
    <w:tblPr/>
  </w:style>
  <w:style w:type="table" w:styleId="887">
    <w:name w:val="List Table 2"/>
    <w:basedOn w:val="737"/>
    <w:next w:val="887"/>
    <w:link w:val="726"/>
    <w:uiPriority w:val="99"/>
    <w:qFormat/>
    <w:pPr>
      <w:spacing w:after="0" w:line="240" w:lineRule="auto"/>
    </w:pPr>
    <w:tblPr/>
  </w:style>
  <w:style w:type="table" w:styleId="888">
    <w:name w:val="List Table 2 - Accent 1"/>
    <w:basedOn w:val="737"/>
    <w:next w:val="888"/>
    <w:link w:val="726"/>
    <w:uiPriority w:val="99"/>
    <w:qFormat/>
    <w:pPr>
      <w:spacing w:after="0" w:line="240" w:lineRule="auto"/>
    </w:pPr>
    <w:tblPr/>
  </w:style>
  <w:style w:type="table" w:styleId="889">
    <w:name w:val="List Table 2 - Accent 2"/>
    <w:basedOn w:val="737"/>
    <w:next w:val="889"/>
    <w:link w:val="726"/>
    <w:uiPriority w:val="99"/>
    <w:qFormat/>
    <w:pPr>
      <w:spacing w:after="0" w:line="240" w:lineRule="auto"/>
    </w:pPr>
    <w:tblPr/>
  </w:style>
  <w:style w:type="table" w:styleId="890">
    <w:name w:val="List Table 2 - Accent 3"/>
    <w:basedOn w:val="737"/>
    <w:next w:val="890"/>
    <w:link w:val="726"/>
    <w:uiPriority w:val="99"/>
    <w:qFormat/>
    <w:pPr>
      <w:spacing w:after="0" w:line="240" w:lineRule="auto"/>
    </w:pPr>
    <w:tblPr/>
  </w:style>
  <w:style w:type="table" w:styleId="891">
    <w:name w:val="List Table 2 - Accent 4"/>
    <w:basedOn w:val="737"/>
    <w:next w:val="891"/>
    <w:link w:val="726"/>
    <w:uiPriority w:val="99"/>
    <w:qFormat/>
    <w:pPr>
      <w:spacing w:after="0" w:line="240" w:lineRule="auto"/>
    </w:pPr>
    <w:tblPr/>
  </w:style>
  <w:style w:type="table" w:styleId="892">
    <w:name w:val="List Table 2 - Accent 5"/>
    <w:basedOn w:val="737"/>
    <w:next w:val="892"/>
    <w:link w:val="726"/>
    <w:uiPriority w:val="99"/>
    <w:qFormat/>
    <w:pPr>
      <w:spacing w:after="0" w:line="240" w:lineRule="auto"/>
    </w:pPr>
    <w:tblPr/>
  </w:style>
  <w:style w:type="table" w:styleId="893">
    <w:name w:val="List Table 2 - Accent 6"/>
    <w:basedOn w:val="737"/>
    <w:next w:val="893"/>
    <w:link w:val="726"/>
    <w:uiPriority w:val="99"/>
    <w:qFormat/>
    <w:pPr>
      <w:spacing w:after="0" w:line="240" w:lineRule="auto"/>
    </w:pPr>
    <w:tblPr/>
  </w:style>
  <w:style w:type="table" w:styleId="894">
    <w:name w:val="List Table 3"/>
    <w:basedOn w:val="737"/>
    <w:next w:val="894"/>
    <w:link w:val="726"/>
    <w:uiPriority w:val="99"/>
    <w:qFormat/>
    <w:pPr>
      <w:spacing w:after="0" w:line="240" w:lineRule="auto"/>
    </w:pPr>
    <w:tblPr/>
  </w:style>
  <w:style w:type="table" w:styleId="895">
    <w:name w:val="List Table 3 - Accent 1"/>
    <w:basedOn w:val="737"/>
    <w:next w:val="895"/>
    <w:link w:val="726"/>
    <w:uiPriority w:val="99"/>
    <w:qFormat/>
    <w:pPr>
      <w:spacing w:after="0" w:line="240" w:lineRule="auto"/>
    </w:pPr>
    <w:tblPr/>
  </w:style>
  <w:style w:type="table" w:styleId="896">
    <w:name w:val="List Table 3 - Accent 2"/>
    <w:basedOn w:val="737"/>
    <w:next w:val="896"/>
    <w:link w:val="726"/>
    <w:uiPriority w:val="99"/>
    <w:qFormat/>
    <w:pPr>
      <w:spacing w:after="0" w:line="240" w:lineRule="auto"/>
    </w:pPr>
    <w:tblPr/>
  </w:style>
  <w:style w:type="table" w:styleId="897">
    <w:name w:val="List Table 3 - Accent 3"/>
    <w:basedOn w:val="737"/>
    <w:next w:val="897"/>
    <w:link w:val="726"/>
    <w:uiPriority w:val="99"/>
    <w:qFormat/>
    <w:pPr>
      <w:spacing w:after="0" w:line="240" w:lineRule="auto"/>
    </w:pPr>
    <w:tblPr/>
  </w:style>
  <w:style w:type="table" w:styleId="898">
    <w:name w:val="List Table 3 - Accent 4"/>
    <w:basedOn w:val="737"/>
    <w:next w:val="898"/>
    <w:link w:val="726"/>
    <w:uiPriority w:val="99"/>
    <w:qFormat/>
    <w:pPr>
      <w:spacing w:after="0" w:line="240" w:lineRule="auto"/>
    </w:pPr>
    <w:tblPr/>
  </w:style>
  <w:style w:type="table" w:styleId="899">
    <w:name w:val="List Table 3 - Accent 5"/>
    <w:basedOn w:val="737"/>
    <w:next w:val="899"/>
    <w:link w:val="726"/>
    <w:uiPriority w:val="99"/>
    <w:qFormat/>
    <w:pPr>
      <w:spacing w:after="0" w:line="240" w:lineRule="auto"/>
    </w:pPr>
    <w:tblPr/>
  </w:style>
  <w:style w:type="table" w:styleId="900">
    <w:name w:val="List Table 3 - Accent 6"/>
    <w:basedOn w:val="737"/>
    <w:next w:val="900"/>
    <w:link w:val="726"/>
    <w:uiPriority w:val="99"/>
    <w:qFormat/>
    <w:pPr>
      <w:spacing w:after="0" w:line="240" w:lineRule="auto"/>
    </w:pPr>
    <w:tblPr/>
  </w:style>
  <w:style w:type="table" w:styleId="901">
    <w:name w:val="List Table 4"/>
    <w:basedOn w:val="737"/>
    <w:next w:val="901"/>
    <w:link w:val="726"/>
    <w:uiPriority w:val="99"/>
    <w:qFormat/>
    <w:pPr>
      <w:spacing w:after="0" w:line="240" w:lineRule="auto"/>
    </w:pPr>
    <w:tblPr/>
  </w:style>
  <w:style w:type="table" w:styleId="902">
    <w:name w:val="List Table 4 - Accent 1"/>
    <w:basedOn w:val="737"/>
    <w:next w:val="902"/>
    <w:link w:val="726"/>
    <w:uiPriority w:val="99"/>
    <w:qFormat/>
    <w:pPr>
      <w:spacing w:after="0" w:line="240" w:lineRule="auto"/>
    </w:pPr>
    <w:tblPr/>
  </w:style>
  <w:style w:type="table" w:styleId="903">
    <w:name w:val="List Table 4 - Accent 2"/>
    <w:basedOn w:val="737"/>
    <w:next w:val="903"/>
    <w:link w:val="726"/>
    <w:uiPriority w:val="99"/>
    <w:qFormat/>
    <w:pPr>
      <w:spacing w:after="0" w:line="240" w:lineRule="auto"/>
    </w:pPr>
    <w:tblPr/>
  </w:style>
  <w:style w:type="table" w:styleId="904">
    <w:name w:val="List Table 4 - Accent 3"/>
    <w:basedOn w:val="737"/>
    <w:next w:val="904"/>
    <w:link w:val="726"/>
    <w:uiPriority w:val="99"/>
    <w:qFormat/>
    <w:pPr>
      <w:spacing w:after="0" w:line="240" w:lineRule="auto"/>
    </w:pPr>
    <w:tblPr/>
  </w:style>
  <w:style w:type="table" w:styleId="905">
    <w:name w:val="List Table 4 - Accent 4"/>
    <w:basedOn w:val="737"/>
    <w:next w:val="905"/>
    <w:link w:val="726"/>
    <w:uiPriority w:val="99"/>
    <w:qFormat/>
    <w:pPr>
      <w:spacing w:after="0" w:line="240" w:lineRule="auto"/>
    </w:pPr>
    <w:tblPr/>
  </w:style>
  <w:style w:type="table" w:styleId="906">
    <w:name w:val="List Table 4 - Accent 5"/>
    <w:basedOn w:val="737"/>
    <w:next w:val="906"/>
    <w:link w:val="726"/>
    <w:uiPriority w:val="99"/>
    <w:qFormat/>
    <w:pPr>
      <w:spacing w:after="0" w:line="240" w:lineRule="auto"/>
    </w:pPr>
    <w:tblPr/>
  </w:style>
  <w:style w:type="table" w:styleId="907">
    <w:name w:val="List Table 4 - Accent 6"/>
    <w:basedOn w:val="737"/>
    <w:next w:val="907"/>
    <w:link w:val="726"/>
    <w:uiPriority w:val="99"/>
    <w:qFormat/>
    <w:pPr>
      <w:spacing w:after="0" w:line="240" w:lineRule="auto"/>
    </w:pPr>
    <w:tblPr/>
  </w:style>
  <w:style w:type="table" w:styleId="908">
    <w:name w:val="List Table 5 Dark"/>
    <w:basedOn w:val="737"/>
    <w:next w:val="908"/>
    <w:link w:val="726"/>
    <w:uiPriority w:val="99"/>
    <w:qFormat/>
    <w:pPr>
      <w:spacing w:after="0" w:line="240" w:lineRule="auto"/>
    </w:pPr>
    <w:tblPr/>
  </w:style>
  <w:style w:type="table" w:styleId="909">
    <w:name w:val="List Table 5 Dark - Accent 1"/>
    <w:basedOn w:val="737"/>
    <w:next w:val="909"/>
    <w:link w:val="726"/>
    <w:uiPriority w:val="99"/>
    <w:qFormat/>
    <w:pPr>
      <w:spacing w:after="0" w:line="240" w:lineRule="auto"/>
    </w:pPr>
    <w:tblPr/>
  </w:style>
  <w:style w:type="table" w:styleId="910">
    <w:name w:val="List Table 5 Dark - Accent 2"/>
    <w:basedOn w:val="737"/>
    <w:next w:val="910"/>
    <w:link w:val="726"/>
    <w:uiPriority w:val="99"/>
    <w:qFormat/>
    <w:pPr>
      <w:spacing w:after="0" w:line="240" w:lineRule="auto"/>
    </w:pPr>
    <w:tblPr/>
  </w:style>
  <w:style w:type="table" w:styleId="911">
    <w:name w:val="List Table 5 Dark - Accent 3"/>
    <w:basedOn w:val="737"/>
    <w:next w:val="911"/>
    <w:link w:val="726"/>
    <w:uiPriority w:val="99"/>
    <w:qFormat/>
    <w:pPr>
      <w:spacing w:after="0" w:line="240" w:lineRule="auto"/>
    </w:pPr>
    <w:tblPr/>
  </w:style>
  <w:style w:type="table" w:styleId="912">
    <w:name w:val="List Table 5 Dark - Accent 4"/>
    <w:basedOn w:val="737"/>
    <w:next w:val="912"/>
    <w:link w:val="726"/>
    <w:uiPriority w:val="99"/>
    <w:qFormat/>
    <w:pPr>
      <w:spacing w:after="0" w:line="240" w:lineRule="auto"/>
    </w:pPr>
    <w:tblPr/>
  </w:style>
  <w:style w:type="table" w:styleId="913">
    <w:name w:val="List Table 5 Dark - Accent 5"/>
    <w:basedOn w:val="737"/>
    <w:next w:val="913"/>
    <w:link w:val="726"/>
    <w:uiPriority w:val="99"/>
    <w:qFormat/>
    <w:pPr>
      <w:spacing w:after="0" w:line="240" w:lineRule="auto"/>
    </w:pPr>
    <w:tblPr/>
  </w:style>
  <w:style w:type="table" w:styleId="914">
    <w:name w:val="List Table 5 Dark - Accent 6"/>
    <w:basedOn w:val="737"/>
    <w:next w:val="914"/>
    <w:link w:val="726"/>
    <w:uiPriority w:val="99"/>
    <w:qFormat/>
    <w:pPr>
      <w:spacing w:after="0" w:line="240" w:lineRule="auto"/>
    </w:pPr>
    <w:tblPr/>
  </w:style>
  <w:style w:type="table" w:styleId="915">
    <w:name w:val="List Table 6 Colorful"/>
    <w:basedOn w:val="737"/>
    <w:next w:val="915"/>
    <w:link w:val="726"/>
    <w:uiPriority w:val="99"/>
    <w:qFormat/>
    <w:pPr>
      <w:spacing w:after="0" w:line="240" w:lineRule="auto"/>
    </w:pPr>
    <w:tblPr/>
  </w:style>
  <w:style w:type="table" w:styleId="916">
    <w:name w:val="List Table 6 Colorful - Accent 1"/>
    <w:basedOn w:val="737"/>
    <w:next w:val="916"/>
    <w:link w:val="726"/>
    <w:uiPriority w:val="99"/>
    <w:qFormat/>
    <w:pPr>
      <w:spacing w:after="0" w:line="240" w:lineRule="auto"/>
    </w:pPr>
    <w:tblPr/>
  </w:style>
  <w:style w:type="table" w:styleId="917">
    <w:name w:val="List Table 6 Colorful - Accent 2"/>
    <w:basedOn w:val="737"/>
    <w:next w:val="917"/>
    <w:link w:val="726"/>
    <w:uiPriority w:val="99"/>
    <w:qFormat/>
    <w:pPr>
      <w:spacing w:after="0" w:line="240" w:lineRule="auto"/>
    </w:pPr>
    <w:tblPr/>
  </w:style>
  <w:style w:type="table" w:styleId="918">
    <w:name w:val="List Table 6 Colorful - Accent 3"/>
    <w:basedOn w:val="737"/>
    <w:next w:val="918"/>
    <w:link w:val="726"/>
    <w:uiPriority w:val="99"/>
    <w:qFormat/>
    <w:pPr>
      <w:spacing w:after="0" w:line="240" w:lineRule="auto"/>
    </w:pPr>
    <w:tblPr/>
  </w:style>
  <w:style w:type="table" w:styleId="919">
    <w:name w:val="List Table 6 Colorful - Accent 4"/>
    <w:basedOn w:val="737"/>
    <w:next w:val="919"/>
    <w:link w:val="726"/>
    <w:uiPriority w:val="99"/>
    <w:qFormat/>
    <w:pPr>
      <w:spacing w:after="0" w:line="240" w:lineRule="auto"/>
    </w:pPr>
    <w:tblPr/>
  </w:style>
  <w:style w:type="table" w:styleId="920">
    <w:name w:val="List Table 6 Colorful - Accent 5"/>
    <w:basedOn w:val="737"/>
    <w:next w:val="920"/>
    <w:link w:val="726"/>
    <w:uiPriority w:val="99"/>
    <w:qFormat/>
    <w:pPr>
      <w:spacing w:after="0" w:line="240" w:lineRule="auto"/>
    </w:pPr>
    <w:tblPr/>
  </w:style>
  <w:style w:type="table" w:styleId="921">
    <w:name w:val="List Table 6 Colorful - Accent 6"/>
    <w:basedOn w:val="737"/>
    <w:next w:val="921"/>
    <w:link w:val="726"/>
    <w:uiPriority w:val="99"/>
    <w:qFormat/>
    <w:pPr>
      <w:spacing w:after="0" w:line="240" w:lineRule="auto"/>
    </w:pPr>
    <w:tblPr/>
  </w:style>
  <w:style w:type="table" w:styleId="922">
    <w:name w:val="List Table 7 Colorful"/>
    <w:basedOn w:val="737"/>
    <w:next w:val="922"/>
    <w:link w:val="726"/>
    <w:uiPriority w:val="99"/>
    <w:qFormat/>
    <w:pPr>
      <w:spacing w:after="0" w:line="240" w:lineRule="auto"/>
    </w:pPr>
    <w:tblPr/>
  </w:style>
  <w:style w:type="table" w:styleId="923">
    <w:name w:val="List Table 7 Colorful - Accent 1"/>
    <w:basedOn w:val="737"/>
    <w:next w:val="923"/>
    <w:link w:val="726"/>
    <w:uiPriority w:val="99"/>
    <w:qFormat/>
    <w:pPr>
      <w:spacing w:after="0" w:line="240" w:lineRule="auto"/>
    </w:pPr>
    <w:tblPr/>
  </w:style>
  <w:style w:type="table" w:styleId="924">
    <w:name w:val="List Table 7 Colorful - Accent 2"/>
    <w:basedOn w:val="737"/>
    <w:next w:val="924"/>
    <w:link w:val="726"/>
    <w:uiPriority w:val="99"/>
    <w:qFormat/>
    <w:pPr>
      <w:spacing w:after="0" w:line="240" w:lineRule="auto"/>
    </w:pPr>
    <w:tblPr/>
  </w:style>
  <w:style w:type="table" w:styleId="925">
    <w:name w:val="List Table 7 Colorful - Accent 3"/>
    <w:basedOn w:val="737"/>
    <w:next w:val="925"/>
    <w:link w:val="726"/>
    <w:uiPriority w:val="99"/>
    <w:qFormat/>
    <w:pPr>
      <w:spacing w:after="0" w:line="240" w:lineRule="auto"/>
    </w:pPr>
    <w:tblPr/>
  </w:style>
  <w:style w:type="table" w:styleId="926">
    <w:name w:val="List Table 7 Colorful - Accent 4"/>
    <w:basedOn w:val="737"/>
    <w:next w:val="926"/>
    <w:link w:val="726"/>
    <w:uiPriority w:val="99"/>
    <w:qFormat/>
    <w:pPr>
      <w:spacing w:after="0" w:line="240" w:lineRule="auto"/>
    </w:pPr>
    <w:tblPr/>
  </w:style>
  <w:style w:type="table" w:styleId="927">
    <w:name w:val="List Table 7 Colorful - Accent 5"/>
    <w:basedOn w:val="737"/>
    <w:next w:val="927"/>
    <w:link w:val="726"/>
    <w:uiPriority w:val="99"/>
    <w:qFormat/>
    <w:pPr>
      <w:spacing w:after="0" w:line="240" w:lineRule="auto"/>
    </w:pPr>
    <w:tblPr/>
  </w:style>
  <w:style w:type="table" w:styleId="928">
    <w:name w:val="List Table 7 Colorful - Accent 6"/>
    <w:basedOn w:val="737"/>
    <w:next w:val="928"/>
    <w:link w:val="726"/>
    <w:uiPriority w:val="99"/>
    <w:qFormat/>
    <w:pPr>
      <w:spacing w:after="0" w:line="240" w:lineRule="auto"/>
    </w:pPr>
    <w:tblPr/>
  </w:style>
  <w:style w:type="table" w:styleId="929">
    <w:name w:val="Lined - Accent"/>
    <w:basedOn w:val="737"/>
    <w:next w:val="929"/>
    <w:link w:val="726"/>
    <w:uiPriority w:val="99"/>
    <w:qFormat/>
    <w:pPr>
      <w:spacing w:after="0" w:line="240" w:lineRule="auto"/>
    </w:pPr>
    <w:rPr>
      <w:color w:val="404040"/>
    </w:rPr>
    <w:tblPr/>
  </w:style>
  <w:style w:type="table" w:styleId="930">
    <w:name w:val="Lined - Accent 1"/>
    <w:basedOn w:val="737"/>
    <w:next w:val="930"/>
    <w:link w:val="726"/>
    <w:uiPriority w:val="99"/>
    <w:qFormat/>
    <w:pPr>
      <w:spacing w:after="0" w:line="240" w:lineRule="auto"/>
    </w:pPr>
    <w:rPr>
      <w:color w:val="404040"/>
    </w:rPr>
    <w:tblPr/>
  </w:style>
  <w:style w:type="table" w:styleId="931">
    <w:name w:val="Lined - Accent 2"/>
    <w:basedOn w:val="737"/>
    <w:next w:val="931"/>
    <w:link w:val="726"/>
    <w:uiPriority w:val="99"/>
    <w:qFormat/>
    <w:pPr>
      <w:spacing w:after="0" w:line="240" w:lineRule="auto"/>
    </w:pPr>
    <w:rPr>
      <w:color w:val="404040"/>
    </w:rPr>
    <w:tblPr/>
  </w:style>
  <w:style w:type="table" w:styleId="932">
    <w:name w:val="Lined - Accent 3"/>
    <w:basedOn w:val="737"/>
    <w:next w:val="932"/>
    <w:link w:val="726"/>
    <w:uiPriority w:val="99"/>
    <w:qFormat/>
    <w:pPr>
      <w:spacing w:after="0" w:line="240" w:lineRule="auto"/>
    </w:pPr>
    <w:rPr>
      <w:color w:val="404040"/>
    </w:rPr>
    <w:tblPr/>
  </w:style>
  <w:style w:type="table" w:styleId="933">
    <w:name w:val="Lined - Accent 4"/>
    <w:basedOn w:val="737"/>
    <w:next w:val="933"/>
    <w:link w:val="726"/>
    <w:uiPriority w:val="99"/>
    <w:qFormat/>
    <w:pPr>
      <w:spacing w:after="0" w:line="240" w:lineRule="auto"/>
    </w:pPr>
    <w:rPr>
      <w:color w:val="404040"/>
    </w:rPr>
    <w:tblPr/>
  </w:style>
  <w:style w:type="table" w:styleId="934">
    <w:name w:val="Lined - Accent 5"/>
    <w:basedOn w:val="737"/>
    <w:next w:val="934"/>
    <w:link w:val="726"/>
    <w:uiPriority w:val="99"/>
    <w:qFormat/>
    <w:pPr>
      <w:spacing w:after="0" w:line="240" w:lineRule="auto"/>
    </w:pPr>
    <w:rPr>
      <w:color w:val="404040"/>
    </w:rPr>
    <w:tblPr/>
  </w:style>
  <w:style w:type="table" w:styleId="935">
    <w:name w:val="Lined - Accent 6"/>
    <w:basedOn w:val="737"/>
    <w:next w:val="935"/>
    <w:link w:val="726"/>
    <w:uiPriority w:val="99"/>
    <w:qFormat/>
    <w:pPr>
      <w:spacing w:after="0" w:line="240" w:lineRule="auto"/>
    </w:pPr>
    <w:rPr>
      <w:color w:val="404040"/>
    </w:rPr>
    <w:tblPr/>
  </w:style>
  <w:style w:type="table" w:styleId="936">
    <w:name w:val="Bordered &amp; Lined - Accent"/>
    <w:basedOn w:val="737"/>
    <w:next w:val="936"/>
    <w:link w:val="726"/>
    <w:uiPriority w:val="99"/>
    <w:qFormat/>
    <w:pPr>
      <w:spacing w:after="0" w:line="240" w:lineRule="auto"/>
    </w:pPr>
    <w:rPr>
      <w:color w:val="404040"/>
    </w:rPr>
    <w:tblPr/>
  </w:style>
  <w:style w:type="table" w:styleId="937">
    <w:name w:val="Bordered &amp; Lined - Accent 1"/>
    <w:basedOn w:val="737"/>
    <w:next w:val="937"/>
    <w:link w:val="726"/>
    <w:uiPriority w:val="99"/>
    <w:qFormat/>
    <w:pPr>
      <w:spacing w:after="0" w:line="240" w:lineRule="auto"/>
    </w:pPr>
    <w:rPr>
      <w:color w:val="404040"/>
    </w:rPr>
    <w:tblPr/>
  </w:style>
  <w:style w:type="table" w:styleId="938">
    <w:name w:val="Bordered &amp; Lined - Accent 2"/>
    <w:basedOn w:val="737"/>
    <w:next w:val="938"/>
    <w:link w:val="726"/>
    <w:uiPriority w:val="99"/>
    <w:qFormat/>
    <w:pPr>
      <w:spacing w:after="0" w:line="240" w:lineRule="auto"/>
    </w:pPr>
    <w:rPr>
      <w:color w:val="404040"/>
    </w:rPr>
    <w:tblPr/>
  </w:style>
  <w:style w:type="table" w:styleId="939">
    <w:name w:val="Bordered &amp; Lined - Accent 3"/>
    <w:basedOn w:val="737"/>
    <w:next w:val="939"/>
    <w:link w:val="726"/>
    <w:uiPriority w:val="99"/>
    <w:qFormat/>
    <w:pPr>
      <w:spacing w:after="0" w:line="240" w:lineRule="auto"/>
    </w:pPr>
    <w:rPr>
      <w:color w:val="404040"/>
    </w:rPr>
    <w:tblPr/>
  </w:style>
  <w:style w:type="table" w:styleId="940">
    <w:name w:val="Bordered &amp; Lined - Accent 4"/>
    <w:basedOn w:val="737"/>
    <w:next w:val="940"/>
    <w:link w:val="726"/>
    <w:uiPriority w:val="99"/>
    <w:qFormat/>
    <w:pPr>
      <w:spacing w:after="0" w:line="240" w:lineRule="auto"/>
    </w:pPr>
    <w:rPr>
      <w:color w:val="404040"/>
    </w:rPr>
    <w:tblPr/>
  </w:style>
  <w:style w:type="table" w:styleId="941">
    <w:name w:val="Bordered &amp; Lined - Accent 5"/>
    <w:basedOn w:val="737"/>
    <w:next w:val="941"/>
    <w:link w:val="726"/>
    <w:uiPriority w:val="99"/>
    <w:qFormat/>
    <w:pPr>
      <w:spacing w:after="0" w:line="240" w:lineRule="auto"/>
    </w:pPr>
    <w:rPr>
      <w:color w:val="404040"/>
    </w:rPr>
    <w:tblPr/>
  </w:style>
  <w:style w:type="table" w:styleId="942">
    <w:name w:val="Bordered &amp; Lined - Accent 6"/>
    <w:basedOn w:val="737"/>
    <w:next w:val="942"/>
    <w:link w:val="726"/>
    <w:uiPriority w:val="99"/>
    <w:qFormat/>
    <w:pPr>
      <w:spacing w:after="0" w:line="240" w:lineRule="auto"/>
    </w:pPr>
    <w:rPr>
      <w:color w:val="404040"/>
    </w:rPr>
    <w:tblPr/>
  </w:style>
  <w:style w:type="table" w:styleId="943">
    <w:name w:val="Bordered"/>
    <w:basedOn w:val="737"/>
    <w:next w:val="943"/>
    <w:link w:val="726"/>
    <w:uiPriority w:val="99"/>
    <w:qFormat/>
    <w:pPr>
      <w:spacing w:after="0" w:line="240" w:lineRule="auto"/>
    </w:pPr>
    <w:tblPr/>
  </w:style>
  <w:style w:type="table" w:styleId="944">
    <w:name w:val="Bordered - Accent 1"/>
    <w:basedOn w:val="737"/>
    <w:next w:val="944"/>
    <w:link w:val="726"/>
    <w:uiPriority w:val="99"/>
    <w:qFormat/>
    <w:pPr>
      <w:spacing w:after="0" w:line="240" w:lineRule="auto"/>
    </w:pPr>
    <w:tblPr/>
  </w:style>
  <w:style w:type="table" w:styleId="945">
    <w:name w:val="Bordered - Accent 2"/>
    <w:basedOn w:val="737"/>
    <w:next w:val="945"/>
    <w:link w:val="726"/>
    <w:uiPriority w:val="99"/>
    <w:qFormat/>
    <w:pPr>
      <w:spacing w:after="0" w:line="240" w:lineRule="auto"/>
    </w:pPr>
    <w:tblPr/>
  </w:style>
  <w:style w:type="table" w:styleId="946">
    <w:name w:val="Bordered - Accent 3"/>
    <w:basedOn w:val="737"/>
    <w:next w:val="946"/>
    <w:link w:val="726"/>
    <w:uiPriority w:val="99"/>
    <w:qFormat/>
    <w:pPr>
      <w:spacing w:after="0" w:line="240" w:lineRule="auto"/>
    </w:pPr>
    <w:tblPr/>
  </w:style>
  <w:style w:type="table" w:styleId="947">
    <w:name w:val="Bordered - Accent 4"/>
    <w:basedOn w:val="737"/>
    <w:next w:val="947"/>
    <w:link w:val="726"/>
    <w:uiPriority w:val="99"/>
    <w:qFormat/>
    <w:pPr>
      <w:spacing w:after="0" w:line="240" w:lineRule="auto"/>
    </w:pPr>
    <w:tblPr/>
  </w:style>
  <w:style w:type="table" w:styleId="948">
    <w:name w:val="Bordered - Accent 5"/>
    <w:basedOn w:val="737"/>
    <w:next w:val="948"/>
    <w:link w:val="726"/>
    <w:uiPriority w:val="99"/>
    <w:qFormat/>
    <w:pPr>
      <w:spacing w:after="0" w:line="240" w:lineRule="auto"/>
    </w:pPr>
    <w:tblPr/>
  </w:style>
  <w:style w:type="table" w:styleId="949">
    <w:name w:val="Bordered - Accent 6"/>
    <w:basedOn w:val="737"/>
    <w:next w:val="949"/>
    <w:link w:val="726"/>
    <w:uiPriority w:val="99"/>
    <w:qFormat/>
    <w:pPr>
      <w:spacing w:after="0" w:line="240" w:lineRule="auto"/>
    </w:pPr>
    <w:tblPr/>
  </w:style>
  <w:style w:type="paragraph" w:styleId="950">
    <w:name w:val="TOC Heading"/>
    <w:next w:val="950"/>
    <w:link w:val="726"/>
    <w:uiPriority w:val="39"/>
    <w:unhideWhenUsed/>
    <w:qFormat/>
    <w:rPr>
      <w:rFonts w:ascii="Times New Roman" w:hAnsi="Times New Roman" w:eastAsia="Arial" w:cs="Times New Roman"/>
    </w:rPr>
  </w:style>
  <w:style w:type="paragraph" w:styleId="951">
    <w:name w:val="正文_13"/>
    <w:next w:val="951"/>
    <w:link w:val="726"/>
    <w:qFormat/>
    <w:pPr>
      <w:jc w:val="both"/>
      <w:widowControl w:val="off"/>
    </w:pPr>
    <w:rPr>
      <w:rFonts w:ascii="Times New Roman" w:hAnsi="Times New Roman" w:eastAsia="宋体" w:cs="Times New Roman"/>
      <w:sz w:val="21"/>
      <w:szCs w:val="24"/>
      <w:lang w:val="en-US" w:eastAsia="zh-CN" w:bidi="ar-SA"/>
    </w:rPr>
  </w:style>
  <w:style w:type="paragraph" w:styleId="952">
    <w:name w:val="Char"/>
    <w:basedOn w:val="726"/>
    <w:next w:val="952"/>
    <w:link w:val="726"/>
    <w:qFormat/>
    <w:pPr>
      <w:ind w:firstLine="922"/>
      <w:jc w:val="left"/>
      <w:spacing w:after="160" w:line="240" w:lineRule="exact"/>
      <w:widowControl/>
    </w:pPr>
    <w:rPr>
      <w:rFonts w:ascii="Arial" w:hAnsi="Arial" w:eastAsia="Times New Roman" w:cs="Verdana"/>
      <w:b/>
      <w:sz w:val="24"/>
      <w:szCs w:val="20"/>
      <w:lang w:eastAsia="en-US"/>
    </w:rPr>
  </w:style>
  <w:style w:type="paragraph" w:styleId="953">
    <w:name w:val="1"/>
    <w:basedOn w:val="726"/>
    <w:next w:val="953"/>
    <w:link w:val="954"/>
    <w:qFormat/>
    <w:pPr>
      <w:jc w:val="left"/>
      <w:spacing w:line="360" w:lineRule="auto"/>
    </w:pPr>
    <w:rPr>
      <w:szCs w:val="24"/>
    </w:rPr>
  </w:style>
  <w:style w:type="character" w:styleId="954">
    <w:name w:val="1 Char"/>
    <w:next w:val="954"/>
    <w:link w:val="953"/>
    <w:qFormat/>
    <w:rPr>
      <w:szCs w:val="24"/>
    </w:rPr>
  </w:style>
  <w:style w:type="paragraph" w:styleId="955">
    <w:name w:val="List Paragraph"/>
    <w:basedOn w:val="726"/>
    <w:next w:val="955"/>
    <w:link w:val="726"/>
    <w:qFormat/>
    <w:pPr>
      <w:ind w:firstLine="420"/>
      <w:spacing w:line="360" w:lineRule="auto"/>
    </w:pPr>
    <w:rPr>
      <w:rFonts w:ascii="Times New Roman" w:hAnsi="Times New Roman" w:eastAsia="宋体" w:cs="Times New Roman"/>
      <w:szCs w:val="24"/>
    </w:rPr>
  </w:style>
  <w:style w:type="paragraph" w:styleId="956">
    <w:name w:val="TOC 标题1"/>
    <w:basedOn w:val="727"/>
    <w:next w:val="726"/>
    <w:link w:val="726"/>
    <w:uiPriority w:val="39"/>
    <w:qFormat/>
    <w:pPr>
      <w:numPr>
        <w:ilvl w:val="0"/>
        <w:numId w:val="0"/>
      </w:numPr>
      <w:jc w:val="left"/>
      <w:spacing w:before="480" w:line="276" w:lineRule="auto"/>
      <w:widowControl/>
      <w:tabs>
        <w:tab w:val="clear" w:pos="360" w:leader="none"/>
      </w:tabs>
      <w:outlineLvl w:val="9"/>
    </w:pPr>
    <w:rPr>
      <w:rFonts w:ascii="Cambria" w:hAnsi="Cambria" w:eastAsia="宋体"/>
      <w:bCs/>
      <w:color w:val="365f91"/>
      <w:szCs w:val="28"/>
    </w:rPr>
  </w:style>
  <w:style w:type="paragraph" w:styleId="957">
    <w:name w:val="Default"/>
    <w:next w:val="957"/>
    <w:link w:val="958"/>
    <w:uiPriority w:val="99"/>
    <w:qFormat/>
    <w:pPr>
      <w:widowControl w:val="off"/>
    </w:pPr>
    <w:rPr>
      <w:rFonts w:ascii="MS Mincho" w:hAnsi="Calibri" w:eastAsia="宋体" w:cs="Times New Roman"/>
      <w:color w:val="000000"/>
      <w:sz w:val="21"/>
      <w:szCs w:val="24"/>
      <w:lang w:val="en-US" w:eastAsia="zh-CN" w:bidi="ar-SA"/>
    </w:rPr>
  </w:style>
  <w:style w:type="character" w:styleId="958">
    <w:name w:val="Default Char"/>
    <w:next w:val="958"/>
    <w:link w:val="957"/>
    <w:uiPriority w:val="99"/>
    <w:qFormat/>
    <w:rPr>
      <w:rFonts w:ascii="MS Mincho" w:hAnsi="Calibri" w:eastAsia="宋体" w:cs="Times New Roman"/>
      <w:color w:val="000000"/>
      <w:szCs w:val="24"/>
    </w:rPr>
  </w:style>
  <w:style w:type="character" w:styleId="959">
    <w:name w:val="HTML 预设格式 Char1"/>
    <w:basedOn w:val="736"/>
    <w:next w:val="959"/>
    <w:link w:val="726"/>
    <w:uiPriority w:val="99"/>
    <w:semiHidden/>
    <w:qFormat/>
    <w:rPr>
      <w:rFonts w:ascii="Courier New" w:hAnsi="Courier New" w:cs="Courier New"/>
      <w:sz w:val="20"/>
      <w:szCs w:val="20"/>
    </w:rPr>
  </w:style>
  <w:style w:type="character" w:styleId="960">
    <w:name w:val="普通正文 Char"/>
    <w:next w:val="960"/>
    <w:link w:val="961"/>
    <w:qFormat/>
    <w:rPr>
      <w:rFonts w:ascii="Arial" w:hAnsi="Arial"/>
      <w:sz w:val="24"/>
      <w:szCs w:val="24"/>
    </w:rPr>
  </w:style>
  <w:style w:type="paragraph" w:styleId="961">
    <w:name w:val="普通正文"/>
    <w:basedOn w:val="726"/>
    <w:next w:val="961"/>
    <w:link w:val="960"/>
    <w:qFormat/>
    <w:pPr>
      <w:ind w:firstLine="480"/>
      <w:jc w:val="left"/>
      <w:spacing w:before="120" w:after="120" w:line="360" w:lineRule="auto"/>
    </w:pPr>
    <w:rPr>
      <w:rFonts w:ascii="Arial" w:hAnsi="Arial"/>
      <w:sz w:val="24"/>
      <w:szCs w:val="24"/>
    </w:rPr>
  </w:style>
  <w:style w:type="paragraph" w:styleId="962">
    <w:name w:val="Char1"/>
    <w:basedOn w:val="726"/>
    <w:next w:val="962"/>
    <w:link w:val="726"/>
    <w:qFormat/>
    <w:pPr>
      <w:ind w:firstLine="922"/>
      <w:spacing w:line="360" w:lineRule="auto"/>
      <w:tabs>
        <w:tab w:val="left" w:pos="360" w:leader="none"/>
      </w:tabs>
    </w:pPr>
    <w:rPr>
      <w:rFonts w:ascii="Times New Roman" w:hAnsi="Times New Roman" w:eastAsia="宋体" w:cs="Times New Roman"/>
      <w:sz w:val="24"/>
      <w:szCs w:val="24"/>
    </w:rPr>
  </w:style>
  <w:style w:type="paragraph" w:styleId="963">
    <w:name w:val="修订1"/>
    <w:next w:val="963"/>
    <w:link w:val="726"/>
    <w:uiPriority w:val="99"/>
    <w:semiHidden/>
    <w:qFormat/>
    <w:rPr>
      <w:rFonts w:ascii="Calibri" w:hAnsi="Calibri" w:eastAsia="Arial" w:cs="Times New Roman"/>
      <w:sz w:val="21"/>
      <w:szCs w:val="22"/>
      <w:lang w:val="en-US" w:eastAsia="zh-CN" w:bidi="ar-SA"/>
    </w:rPr>
  </w:style>
  <w:style w:type="paragraph" w:styleId="964">
    <w:name w:val="段"/>
    <w:next w:val="726"/>
    <w:link w:val="726"/>
    <w:qFormat/>
    <w:pPr>
      <w:ind w:firstLine="200"/>
      <w:jc w:val="both"/>
    </w:pPr>
    <w:rPr>
      <w:rFonts w:ascii="宋体" w:hAnsi="Times New Roman" w:eastAsia="宋体" w:cs="Times New Roman"/>
      <w:sz w:val="21"/>
      <w:szCs w:val="22"/>
      <w:lang w:val="en-US" w:eastAsia="zh-CN" w:bidi="ar-SA"/>
    </w:rPr>
  </w:style>
  <w:style w:type="table" w:styleId="965">
    <w:name w:val="网格型1"/>
    <w:basedOn w:val="737"/>
    <w:next w:val="965"/>
    <w:link w:val="726"/>
    <w:qFormat/>
    <w:pPr>
      <w:jc w:val="both"/>
      <w:widowControl w:val="off"/>
    </w:pPr>
    <w:tblPr/>
  </w:style>
  <w:style w:type="character" w:styleId="966">
    <w:name w:val="Header Char"/>
    <w:next w:val="966"/>
    <w:link w:val="726"/>
    <w:qFormat/>
    <w:rPr>
      <w:rFonts w:cs="Times New Roman"/>
      <w:sz w:val="18"/>
      <w:szCs w:val="18"/>
    </w:rPr>
  </w:style>
  <w:style w:type="character" w:styleId="967">
    <w:name w:val="style341"/>
    <w:next w:val="967"/>
    <w:link w:val="726"/>
    <w:qFormat/>
  </w:style>
  <w:style w:type="paragraph" w:styleId="968">
    <w:name w:val="p0"/>
    <w:basedOn w:val="726"/>
    <w:next w:val="968"/>
    <w:link w:val="726"/>
    <w:qFormat/>
    <w:pPr>
      <w:widowControl/>
    </w:pPr>
    <w:rPr>
      <w:rFonts w:ascii="Calibri" w:hAnsi="Calibri" w:eastAsia="宋体" w:cs="宋体"/>
      <w:szCs w:val="21"/>
    </w:rPr>
  </w:style>
  <w:style w:type="paragraph" w:styleId="969">
    <w:name w:val="Char Char Char Char Char1 Char Char Char"/>
    <w:basedOn w:val="726"/>
    <w:next w:val="969"/>
    <w:link w:val="726"/>
    <w:qFormat/>
    <w:pPr>
      <w:jc w:val="left"/>
      <w:spacing w:after="160" w:line="240" w:lineRule="exact"/>
      <w:widowControl/>
    </w:pPr>
    <w:rPr>
      <w:rFonts w:ascii="Times New Roman" w:hAnsi="Times New Roman" w:eastAsia="宋体" w:cs="Times New Roman"/>
      <w:szCs w:val="24"/>
    </w:rPr>
  </w:style>
  <w:style w:type="paragraph" w:styleId="970">
    <w:name w:val="p15"/>
    <w:basedOn w:val="726"/>
    <w:next w:val="970"/>
    <w:link w:val="726"/>
    <w:qFormat/>
    <w:pPr>
      <w:ind w:firstLine="420"/>
      <w:widowControl/>
    </w:pPr>
    <w:rPr>
      <w:rFonts w:ascii="Calibri" w:hAnsi="Calibri" w:eastAsia="宋体" w:cs="宋体"/>
      <w:szCs w:val="21"/>
    </w:rPr>
  </w:style>
  <w:style w:type="paragraph" w:styleId="971">
    <w:name w:val="_Style 31"/>
    <w:basedOn w:val="726"/>
    <w:next w:val="971"/>
    <w:link w:val="726"/>
    <w:qFormat/>
    <w:pPr>
      <w:jc w:val="left"/>
      <w:spacing w:after="160" w:line="240" w:lineRule="exact"/>
      <w:widowControl/>
    </w:pPr>
    <w:rPr>
      <w:rFonts w:ascii="Verdana" w:hAnsi="Verdana" w:eastAsia="FangSong_GB2312" w:cs="Times New Roman"/>
      <w:sz w:val="24"/>
      <w:szCs w:val="20"/>
      <w:lang w:eastAsia="en-US"/>
    </w:rPr>
  </w:style>
  <w:style w:type="paragraph" w:styleId="972">
    <w:name w:val="_Style 3"/>
    <w:basedOn w:val="726"/>
    <w:next w:val="972"/>
    <w:link w:val="726"/>
    <w:qFormat/>
    <w:pPr>
      <w:jc w:val="left"/>
      <w:spacing w:after="160" w:line="240" w:lineRule="exact"/>
      <w:widowControl/>
    </w:pPr>
    <w:rPr>
      <w:rFonts w:ascii="Verdana" w:hAnsi="Verdana" w:eastAsia="FangSong_GB2312" w:cs="Times New Roman"/>
      <w:sz w:val="24"/>
      <w:szCs w:val="20"/>
      <w:lang w:eastAsia="en-US"/>
    </w:rPr>
  </w:style>
  <w:style w:type="paragraph" w:styleId="973">
    <w:name w:val="Char2"/>
    <w:basedOn w:val="726"/>
    <w:next w:val="973"/>
    <w:link w:val="726"/>
    <w:qFormat/>
    <w:pPr>
      <w:tabs>
        <w:tab w:val="left" w:pos="360" w:leader="none"/>
      </w:tabs>
    </w:pPr>
    <w:rPr>
      <w:rFonts w:ascii="Times New Roman" w:hAnsi="Times New Roman" w:eastAsia="宋体" w:cs="Times New Roman"/>
      <w:sz w:val="24"/>
      <w:szCs w:val="24"/>
    </w:rPr>
  </w:style>
  <w:style w:type="paragraph" w:styleId="974">
    <w:name w:val="Char Char Char Char Char Char Char Char Char"/>
    <w:basedOn w:val="726"/>
    <w:next w:val="974"/>
    <w:link w:val="726"/>
    <w:qFormat/>
    <w:pPr>
      <w:jc w:val="left"/>
      <w:spacing w:after="160" w:line="240" w:lineRule="exact"/>
      <w:widowControl/>
    </w:pPr>
    <w:rPr>
      <w:rFonts w:ascii="Verdana" w:hAnsi="Verdana" w:eastAsia="FangSong_GB2312" w:cs="Times New Roman"/>
      <w:sz w:val="24"/>
      <w:szCs w:val="20"/>
      <w:lang w:eastAsia="en-US"/>
    </w:rPr>
  </w:style>
  <w:style w:type="character" w:styleId="975">
    <w:name w:val="font01"/>
    <w:next w:val="975"/>
    <w:link w:val="726"/>
    <w:qFormat/>
    <w:rPr>
      <w:rFonts w:hint="eastAsia" w:ascii="宋体" w:hAnsi="宋体" w:eastAsia="宋体" w:cs="宋体"/>
      <w:color w:val="000000"/>
      <w:sz w:val="22"/>
      <w:szCs w:val="22"/>
      <w:u w:val="none"/>
    </w:rPr>
  </w:style>
  <w:style w:type="character" w:styleId="976">
    <w:name w:val="font11"/>
    <w:next w:val="976"/>
    <w:link w:val="726"/>
    <w:qFormat/>
    <w:rPr>
      <w:rFonts w:hint="eastAsia" w:ascii="宋体" w:hAnsi="宋体" w:eastAsia="宋体" w:cs="宋体"/>
      <w:color w:val="ff0000"/>
      <w:sz w:val="22"/>
      <w:szCs w:val="22"/>
      <w:u w:val="none"/>
    </w:rPr>
  </w:style>
  <w:style w:type="character" w:styleId="977">
    <w:name w:val="font31"/>
    <w:basedOn w:val="736"/>
    <w:next w:val="977"/>
    <w:link w:val="726"/>
    <w:qFormat/>
    <w:rPr>
      <w:rFonts w:hint="eastAsia" w:ascii="仿宋" w:hAnsi="仿宋" w:eastAsia="仿宋" w:cs="仿宋"/>
      <w:b/>
      <w:bCs/>
      <w:color w:val="000000"/>
      <w:sz w:val="16"/>
      <w:szCs w:val="16"/>
      <w:u w:val="none"/>
    </w:rPr>
  </w:style>
  <w:style w:type="character" w:styleId="978">
    <w:name w:val="font21"/>
    <w:basedOn w:val="736"/>
    <w:next w:val="978"/>
    <w:link w:val="726"/>
    <w:qFormat/>
    <w:rPr>
      <w:rFonts w:hint="eastAsia" w:ascii="仿宋" w:hAnsi="仿宋" w:eastAsia="仿宋" w:cs="仿宋"/>
      <w:color w:val="000000"/>
      <w:sz w:val="16"/>
      <w:szCs w:val="16"/>
      <w:u w:val="none"/>
    </w:rPr>
  </w:style>
  <w:style w:type="character" w:styleId="979">
    <w:name w:val="font41"/>
    <w:basedOn w:val="736"/>
    <w:next w:val="979"/>
    <w:link w:val="726"/>
    <w:qFormat/>
    <w:rPr>
      <w:rFonts w:hint="eastAsia" w:ascii="仿宋" w:hAnsi="仿宋" w:eastAsia="仿宋" w:cs="仿宋"/>
      <w:b/>
      <w:bCs/>
      <w:color w:val="ff0000"/>
      <w:sz w:val="16"/>
      <w:szCs w:val="16"/>
      <w:u w:val="none"/>
    </w:rPr>
  </w:style>
  <w:style w:type="paragraph" w:styleId="980">
    <w:name w:val="列出段落1"/>
    <w:basedOn w:val="726"/>
    <w:next w:val="980"/>
    <w:link w:val="726"/>
    <w:uiPriority w:val="99"/>
    <w:qFormat/>
    <w:pPr>
      <w:ind w:firstLine="420"/>
    </w:pPr>
    <w:rPr>
      <w:rFonts w:ascii="Calibri" w:hAnsi="Calibri" w:eastAsia="宋体" w:cs="Times New Roman"/>
    </w:rPr>
  </w:style>
  <w:style w:type="paragraph" w:styleId="981">
    <w:name w:val="paragraph"/>
    <w:basedOn w:val="726"/>
    <w:next w:val="981"/>
    <w:link w:val="726"/>
    <w:qFormat/>
    <w:pPr>
      <w:jc w:val="left"/>
      <w:spacing w:before="100" w:beforeAutospacing="1" w:after="100" w:afterAutospacing="1"/>
      <w:widowControl/>
    </w:pPr>
    <w:rPr>
      <w:rFonts w:ascii="宋体" w:hAnsi="宋体" w:cs="宋体"/>
      <w:sz w:val="24"/>
      <w:szCs w:val="24"/>
    </w:rPr>
  </w:style>
  <w:style w:type="paragraph" w:styleId="982">
    <w:name w:val="Preistext2"/>
    <w:basedOn w:val="726"/>
    <w:next w:val="982"/>
    <w:link w:val="726"/>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83">
    <w:name w:val="正文 New New New New New New New New New New New New New"/>
    <w:next w:val="983"/>
    <w:link w:val="726"/>
    <w:qFormat/>
    <w:pPr>
      <w:jc w:val="both"/>
      <w:widowControl w:val="off"/>
    </w:pPr>
    <w:rPr>
      <w:rFonts w:ascii="Times New Roman" w:hAnsi="Times New Roman" w:eastAsia="宋体" w:cs="Times New Roman"/>
      <w:sz w:val="21"/>
      <w:lang w:val="en-US" w:eastAsia="zh-CN" w:bidi="ar-SA"/>
    </w:rPr>
  </w:style>
  <w:style w:type="table" w:styleId="984">
    <w:name w:val="Grid Table 2 - Accent 1"/>
    <w:basedOn w:val="737"/>
    <w:next w:val="984"/>
    <w:link w:val="726"/>
    <w:uiPriority w:val="99"/>
    <w:qFormat/>
    <w:tblPr/>
  </w:style>
  <w:style w:type="paragraph" w:styleId="985">
    <w:name w:val="正文1"/>
    <w:basedOn w:val="726"/>
    <w:next w:val="726"/>
    <w:link w:val="726"/>
    <w:qFormat/>
    <w:rPr>
      <w:rFonts w:ascii="Times New Roman" w:hAnsi="Times New Roman" w:eastAsia="宋体" w:cs="Times New Roman"/>
      <w:szCs w:val="24"/>
    </w:rPr>
  </w:style>
  <w:style w:type="paragraph" w:styleId="986">
    <w:name w:val="Heading 1"/>
    <w:basedOn w:val="726"/>
    <w:next w:val="726"/>
    <w:link w:val="726"/>
    <w:qFormat/>
    <w:pPr>
      <w:jc w:val="center"/>
      <w:keepLines/>
      <w:keepNext/>
      <w:spacing w:line="360" w:lineRule="auto"/>
      <w:widowControl/>
      <w:outlineLvl w:val="0"/>
    </w:pPr>
    <w:rPr>
      <w:rFonts w:ascii="Arial" w:hAnsi="Arial" w:eastAsia="宋体" w:cs="Arial"/>
      <w:b/>
      <w:sz w:val="36"/>
      <w:szCs w:val="40"/>
    </w:rPr>
  </w:style>
  <w:style w:type="table" w:styleId="987">
    <w:name w:val="网格型6"/>
    <w:basedOn w:val="737"/>
    <w:next w:val="987"/>
    <w:link w:val="726"/>
    <w:uiPriority w:val="99"/>
    <w:unhideWhenUsed/>
    <w:qFormat/>
    <w:pPr>
      <w:jc w:val="both"/>
      <w:widowControl w:val="off"/>
    </w:pPr>
    <w:tblPr/>
  </w:style>
  <w:style w:type="table" w:styleId="988">
    <w:name w:val="网格型3"/>
    <w:basedOn w:val="737"/>
    <w:next w:val="988"/>
    <w:link w:val="726"/>
    <w:uiPriority w:val="99"/>
    <w:unhideWhenUsed/>
    <w:qFormat/>
    <w:pPr>
      <w:jc w:val="both"/>
      <w:widowControl w:val="off"/>
    </w:pPr>
    <w:rPr>
      <w:rFonts w:eastAsia="宋体"/>
    </w:rPr>
    <w:tblPr/>
  </w:style>
  <w:style w:type="paragraph" w:styleId="989">
    <w:name w:val="样式 样式 左侧:  2 字符 + 左侧:  0.85 厘米 首行缩进:  2 字符1"/>
    <w:basedOn w:val="726"/>
    <w:next w:val="989"/>
    <w:link w:val="726"/>
    <w:qFormat/>
    <w:pPr>
      <w:ind w:left="482" w:firstLine="200"/>
    </w:pPr>
    <w:rPr>
      <w:rFonts w:ascii="Times New Roman" w:hAnsi="Times New Roman" w:eastAsia="宋体" w:cs="宋体"/>
      <w:szCs w:val="20"/>
    </w:rPr>
  </w:style>
  <w:style w:type="character" w:styleId="990">
    <w:name w:val="font61"/>
    <w:basedOn w:val="736"/>
    <w:next w:val="990"/>
    <w:link w:val="726"/>
    <w:qFormat/>
    <w:rPr>
      <w:rFonts w:ascii="等线" w:hAnsi="等线" w:eastAsia="等线" w:cs="等线"/>
      <w:color w:val="000000"/>
      <w:sz w:val="24"/>
      <w:szCs w:val="24"/>
      <w:u w:val="none"/>
    </w:rPr>
  </w:style>
  <w:style w:type="character" w:styleId="67731" w:default="1">
    <w:name w:val="Default Paragraph Font"/>
    <w:uiPriority w:val="1"/>
    <w:semiHidden/>
    <w:unhideWhenUsed/>
  </w:style>
  <w:style w:type="numbering" w:styleId="67732" w:default="1">
    <w:name w:val="No List"/>
    <w:uiPriority w:val="99"/>
    <w:semiHidden/>
    <w:unhideWhenUsed/>
  </w:style>
  <w:style w:type="table" w:styleId="677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陈健</cp:lastModifiedBy>
  <cp:revision>72</cp:revision>
  <dcterms:created xsi:type="dcterms:W3CDTF">2021-07-28T12:14:00Z</dcterms:created>
  <dcterms:modified xsi:type="dcterms:W3CDTF">2026-03-25T07:10:50Z</dcterms:modified>
</cp:coreProperties>
</file>