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32"/>
        </w:rPr>
        <w:t xml:space="preserve">通州区2026年度城乡建设用地增减挂钩和耕地占补平衡项目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区级核验管理服务项目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1"/>
          <w:sz w:val="3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项目名称：通州区</w:t>
      </w:r>
      <w:r>
        <w:rPr>
          <w:rFonts w:ascii="Times New Roman" w:hAnsi="Times New Roman" w:eastAsia="Times New Roman" w:cs="Times New Roman"/>
          <w:b/>
          <w:color w:val="000000"/>
          <w:sz w:val="28"/>
        </w:rPr>
        <w:t xml:space="preserve">2026</w:t>
      </w:r>
      <w:r>
        <w:rPr>
          <w:rFonts w:ascii="SimSun" w:hAnsi="SimSun" w:eastAsia="SimSun" w:cs="SimSun"/>
          <w:b/>
          <w:color w:val="000000"/>
          <w:sz w:val="28"/>
        </w:rPr>
        <w:t xml:space="preserve">年度城乡建设用地增减挂钩和耕地占补平衡项目区级核验管理服务项目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Arial" w:hAnsi="Arial" w:eastAsia="Arial" w:cs="Arial"/>
          <w:b/>
          <w:color w:val="000000"/>
          <w:sz w:val="28"/>
        </w:rPr>
        <w:t xml:space="preserve">JSZC-320612-HSGL-C2026-0016</w:t>
      </w: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招标单位：</w:t>
      </w:r>
      <w:r>
        <w:rPr>
          <w:rFonts w:ascii="SimSun" w:hAnsi="SimSun" w:eastAsia="SimSun" w:cs="SimSun"/>
          <w:b/>
          <w:color w:val="000000"/>
          <w:sz w:val="30"/>
          <w:u w:val="single"/>
        </w:rPr>
        <w:t xml:space="preserve">南通市通州自然资源和规划局</w:t>
      </w:r>
      <w:r/>
    </w:p>
    <w:p>
      <w:pPr>
        <w:ind w:left="0" w:right="0" w:firstLine="1494"/>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招标代理：</w:t>
      </w:r>
      <w:r>
        <w:rPr>
          <w:rFonts w:ascii="SimSun" w:hAnsi="SimSun" w:eastAsia="SimSun" w:cs="SimSun"/>
          <w:b/>
          <w:color w:val="000000"/>
          <w:sz w:val="30"/>
          <w:u w:val="single"/>
        </w:rPr>
        <w:t xml:space="preserve"> 江苏衡晟项目管理咨询有限公司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2026年3月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竞争性磋商文件备案表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943909"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spacing w:before="120" w:after="120" w:line="85"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第一章采购邀请</w:t>
      </w:r>
      <w:r>
        <w:rPr>
          <w:rFonts w:ascii="SimSun" w:hAnsi="SimSun" w:eastAsia="SimSun" w:cs="SimSun"/>
          <w:color w:val="000000"/>
          <w:sz w:val="36"/>
        </w:rPr>
        <w:t xml:space="preserve">…………………</w:t>
      </w:r>
      <w:r>
        <w:rPr>
          <w:rFonts w:ascii="SimHei" w:hAnsi="SimHei" w:eastAsia="SimHei" w:cs="SimHei"/>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第二章磋商须知</w:t>
      </w:r>
      <w:r>
        <w:rPr>
          <w:rFonts w:ascii="SimSun" w:hAnsi="SimSun" w:eastAsia="SimSun" w:cs="SimSun"/>
          <w:color w:val="000000"/>
          <w:sz w:val="36"/>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第三章合同条款及格式…………………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第四章项目需求…………………………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第五章评审方法和评审标准</w:t>
      </w:r>
      <w:r>
        <w:rPr>
          <w:rFonts w:ascii="SimSun" w:hAnsi="SimSun" w:eastAsia="SimSun" w:cs="SimSun"/>
          <w:color w:val="000000"/>
          <w:sz w:val="36"/>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第六章磋商响应文件格式</w:t>
      </w:r>
      <w:r>
        <w:rPr>
          <w:rFonts w:ascii="SimSun" w:hAnsi="SimSun" w:eastAsia="SimSun" w:cs="SimSun"/>
          <w:color w:val="000000"/>
          <w:sz w:val="36"/>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 采购邀请</w:t>
      </w:r>
      <w:r>
        <w:rPr>
          <w:rFonts w:ascii="SimHei" w:hAnsi="SimHei" w:eastAsia="SimHei" w:cs="SimHei"/>
          <w:b/>
          <w:color w:val="000000"/>
          <w:sz w:val="44"/>
          <w:u w:val="none"/>
        </w:rPr>
        <w:t xml:space="preserve">（磋商公告）</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受南通市通州自然资源和规划局的委托，江苏衡晟项目管理咨询有限公司就通州区2026年度城乡建设用地增减挂钩和耕地占补平衡项目区级核验管理服务项目([项目编号 JSZC-320612-HSGL-C2026-0016])实施政府采购，本次采购采用竞争性磋商方式，欢迎符合条件的供应商参加磋商。</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项目概况：通州区2026年度城乡建设用地增减挂钩和耕地占补平衡项目区级核验管理服务项目的潜在供应商可在“江苏省政府采购网”自行免费下载采购文件，并于 2026年4月10日14点 00分（北京时间）前提交响应文件。</w:t>
      </w:r>
      <w:r/>
    </w:p>
    <w:p>
      <w:pPr>
        <w:ind w:left="42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1.项目编号：JSZC-320612-HSGL-C2026-0016</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2.项目名称：通州区2026年度城乡建设用地增减挂钩和耕地占补平衡项目区级核验管理服务项目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4.预算金额：本项目采购预算为150万元（人民币）。本项目设定最高限价。本项目最高限价为：</w:t>
      </w:r>
      <w:r>
        <w:rPr>
          <w:rFonts w:ascii="SimSun" w:hAnsi="SimSun" w:eastAsia="SimSun" w:cs="SimSun"/>
          <w:b/>
          <w:color w:val="000000"/>
          <w:sz w:val="24"/>
        </w:rPr>
        <w:t xml:space="preserve">200元/亩（包括验收、勘测定界、高清正射影像、拍照和备案等），投标报价超过最高限价的为无效投标。</w:t>
      </w:r>
      <w:r>
        <w:rPr>
          <w:rFonts w:ascii="SimSun" w:hAnsi="SimSun" w:eastAsia="SimSun" w:cs="SimSun"/>
          <w:color w:val="000000"/>
          <w:sz w:val="24"/>
        </w:rPr>
        <w:t xml:space="preserve">（本项目结算金额按最终实际完成的面积×中标单价）。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5.项目需求：切实履行耕地保护职责，加强新增耕地管理，按照《自然资源部 农业农村部关于改革完善耕地占补平衡管理的通知》（自然资发〔2024〕204号）、《江苏省自然资源厅 江苏省农业农村厅关于改革耕地占补平衡强化以补定占管理的通知》（苏自然资发〔2024〕356号）文件要求以及上级部门后续出台的占补平衡新增耕地指标工作方面的相关要求，切实提升我区城乡建设用地增减挂钩和耕地占补平衡项目建设水平，加快推进项目实施、验收、备案等全流程监管，加快推进复垦项目指标产生，确保实现补充的耕地数量、质量双平衡，结合通州实际</w:t>
      </w:r>
      <w:r>
        <w:rPr>
          <w:rFonts w:ascii="SimSun" w:hAnsi="SimSun" w:eastAsia="SimSun" w:cs="SimSun"/>
          <w:color w:val="000000"/>
          <w:sz w:val="24"/>
        </w:rPr>
        <w:t xml:space="preserve">，开展通州区2026年度城乡建设用地增减挂钩和耕地占补平衡项目区级核验管理服务工作（详见磋商文件第四章）。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6.项目类型：服务。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7.本项目是否专门面向中小企业采购：是。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8.合同履行期限：合同签订后1年，必须在采购人规定的时间内分期分批完成通州区城乡建设用地增减挂钩和耕地占补平衡项目区级核验管理服务及其他相关工作。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9.本次采购标的对应的中小企业划分标准所属行业为：其他未列明行业。</w:t>
      </w:r>
      <w:r/>
    </w:p>
    <w:p>
      <w:pPr>
        <w:ind w:left="42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法人或者其他组织的营业执照等证明文件（含事业单位法人登记证书），自然人的身份证明；</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1.2上一年度（2024或2025年度）的财务状况报告（成立不满一年无需提供）；</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需提供证明材料）</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供应商提供的货物、工程或者服务符合下列情形的，享受本办法规定的中小企业扶持政策：</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（一）在货物采购项目中，货物由中小企业制造，即货物由中小企业生产且使用该中小企业商号或者注册商标；</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（二）工程采购项目中，工程由中小企业承建，即工程施工单位为中小企业；</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（三）在服务采购项目中，服务由中小企业承接，即提供服务的人员为中小企业依照《中华人民共和国劳动合同法》订立劳动合同的从业人员。</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在货物采购项目中，供应商提供的货物既有中小企业制造货物，也有大型企业制造货物的，不享受本办法规定的中小企业扶持政策。</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进一步落实优化政府采购营商环境相关要求的通知》（通财购〔2023〕4号）的规定，对经主管预算单位统筹后未预留份额专门面向中小企业采购的项目，以及预留份额项目中的非预留部分采购包，采购人、采购代理机构应在评审中对小微企业报价给予10%（工程项目为5%）的优惠扣除。</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4.本项目不接受联合体参与磋商。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（二）本项目的特定资格要求：投标人</w:t>
      </w:r>
      <w:r>
        <w:rPr>
          <w:rFonts w:ascii="SimSun" w:hAnsi="SimSun" w:eastAsia="SimSun" w:cs="SimSun"/>
          <w:b/>
          <w:color w:val="000000"/>
          <w:sz w:val="24"/>
          <w:u w:val="single"/>
        </w:rPr>
        <w:t xml:space="preserve">必须具有行政主管部门颁发的甲级测绘资质证书，专业范围必须同时包含工程测量、界线与不动产测绘、摄影测量与遥感。</w:t>
      </w:r>
      <w:r/>
    </w:p>
    <w:p>
      <w:pPr>
        <w:ind w:left="42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2026年4月10日14点00分</w:t>
      </w:r>
      <w:r>
        <w:rPr>
          <w:rFonts w:ascii="SimSun" w:hAnsi="SimSun" w:eastAsia="SimSun" w:cs="SimSun"/>
          <w:color w:val="000000"/>
          <w:sz w:val="24"/>
        </w:rPr>
        <w:t xml:space="preserve">（北京时间）。</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磋商公告及磋商文件公告期限为自本公告发布之日起5个工作日。</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1、本次采购不收取磋商保证金。</w:t>
      </w:r>
      <w:r/>
    </w:p>
    <w:p>
      <w:pPr>
        <w:pStyle w:val="12"/>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2、本项目需进行二次磋商报价。</w:t>
      </w:r>
      <w:r/>
    </w:p>
    <w:p>
      <w:pPr>
        <w:ind w:left="0" w:right="0" w:firstLine="498"/>
        <w:jc w:val="both"/>
        <w:spacing w:before="143" w:after="143"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南通市通州自然资源和规划局</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南通市通州区金沙街道大庆路127号</w:t>
      </w: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马先生</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15996660039</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2.招标代理信息</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南通市通州区朝霞路奥建大厦1-502</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高先生 </w:t>
      </w: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15106289000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交易系统软件维护人员：0519-86722801、0519-86722806</w:t>
      </w:r>
      <w:r/>
    </w:p>
    <w:p>
      <w:pPr>
        <w:pStyle w:val="14"/>
        <w:ind w:left="0" w:right="0" w:firstLine="265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第二章磋商须知</w:t>
      </w:r>
      <w:r/>
    </w:p>
    <w:p>
      <w:pPr>
        <w:ind w:left="0" w:right="0" w:firstLine="498"/>
        <w:jc w:val="both"/>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1、采购方式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4、磋商费用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4.1供应商应自行承担所有与参加本次磋商有关的费用，无论磋商过程中的做法和结果如何，采购人和采购代理在任何情况下均无义务和责任承担这些费用。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4.2本次磋商交采购人不收取标书工本费与成交服务费。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本项目招标代理费按照《关于印发江苏省招标代理服务收费的指导意见》苏招协【2022】002号文差额定率分档累进法计算汇总后的50%计取，由中标单位支付，请投标报价综合考虑。</w:t>
      </w:r>
      <w:r/>
    </w:p>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200"/>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r>
    </w:tbl>
    <w:p>
      <w:pPr>
        <w:ind w:left="0" w:right="0" w:firstLine="372"/>
        <w:jc w:val="both"/>
        <w:spacing w:before="156" w:after="156"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w:t>
      </w:r>
      <w:r/>
    </w:p>
    <w:p>
      <w:pPr>
        <w:ind w:left="0" w:right="0" w:firstLine="301"/>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磋商文件的约束力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供应商一旦参加本项目采购活动，即被认为接受了本磋商文件的规定和约束。</w:t>
      </w:r>
      <w:r/>
    </w:p>
    <w:p>
      <w:pPr>
        <w:ind w:left="0" w:right="0" w:firstLine="321"/>
        <w:jc w:val="both"/>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6、磋商文件构成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请仔细检查磋商文件是否齐全，如有缺漏请立即与采购人或采购代理联系解决。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7、磋商文件的澄清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任何要求对磋商文件进行澄清的供应商，应在磋商截止期5日前按磋商公告中的通讯地址，以书面形式通知采购人和采购代理。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8、磋商文件的澄清和修改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更正公告内容将作为磋商文件的组成部分，并对供应商具有约束力。不足5日的，采购人将顺延提交首次响应文件截止时间。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9、响应文件的语言及度量衡单位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10、响应文件构成</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11、证明磋商响应标的符合磋商文件规定的文件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12、分项报价表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13、技术要求响应及偏离表、商务要求响应及偏离表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14、服务承诺、培训计划、人员安排及其他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15、磋商响应函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16、磋商有效期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7</w:t>
      </w:r>
      <w:r>
        <w:rPr>
          <w:rFonts w:ascii="SimHei" w:hAnsi="SimHei" w:eastAsia="SimHei" w:cs="SimHei"/>
          <w:color w:val="000000"/>
          <w:sz w:val="28"/>
        </w:rPr>
        <w:t xml:space="preserve">、磋商有效期的延长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交采购人的这一要求而放弃磋商，同意延长磋商有效期的供应商既不能要求也不允许修改其响应文件。受磋商有效期约束的所有权利与义务均延长至新的有效期。</w:t>
      </w:r>
      <w:r/>
    </w:p>
    <w:p>
      <w:pPr>
        <w:ind w:left="0" w:right="0" w:firstLine="482"/>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8</w:t>
      </w:r>
      <w:r>
        <w:rPr>
          <w:rFonts w:ascii="SimHei" w:hAnsi="SimHei" w:eastAsia="SimHei" w:cs="SimHei"/>
          <w:color w:val="000000"/>
          <w:sz w:val="28"/>
        </w:rPr>
        <w:t xml:space="preserve">、电子磋商响应文件的递交</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280" w:after="29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0</w:t>
      </w:r>
      <w:r>
        <w:rPr>
          <w:rFonts w:ascii="SimHei" w:hAnsi="SimHei" w:eastAsia="SimHei" w:cs="SimHei"/>
          <w:color w:val="000000"/>
          <w:sz w:val="28"/>
        </w:rPr>
        <w:t xml:space="preserve">、响应文件的拒收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采购人或采购代理拒绝接收在其规定的提交响应文件截止时间后上传的任何电子响应文件。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1</w:t>
      </w:r>
      <w:r>
        <w:rPr>
          <w:rFonts w:ascii="SimHei" w:hAnsi="SimHei" w:eastAsia="SimHei" w:cs="SimHei"/>
          <w:color w:val="000000"/>
          <w:sz w:val="28"/>
        </w:rPr>
        <w:t xml:space="preserve">、响应文件的撤回和修改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22、响应文件解密</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3</w:t>
      </w:r>
      <w:r>
        <w:rPr>
          <w:rFonts w:ascii="SimHei" w:hAnsi="SimHei" w:eastAsia="SimHei" w:cs="SimHei"/>
          <w:color w:val="000000"/>
          <w:sz w:val="28"/>
        </w:rPr>
        <w:t xml:space="preserve">、磋商小组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23.1采购人或采购代理将组织磋商小组对响应文件进行评审。磋商小组由采购人代表和有关技术、经济等方面的专家组成，且人员构成符合政府采购有关规定。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24.1磋商小组、采购人和采购代理工作人员、相关监督人员等与评审工作有关的人员，对评审情况以及在评审过程中获悉的国家秘密、商业秘密负有保密责任。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24.3在项目评审期间，采购人采购代理将设专门人员与供应商联系。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采购人和磋商小组不向未成交的供应商解释未成交原因，也不公布评审过程中的相关细节。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5</w:t>
      </w:r>
      <w:r>
        <w:rPr>
          <w:rFonts w:ascii="SimHei" w:hAnsi="SimHei" w:eastAsia="SimHei" w:cs="SimHei"/>
          <w:color w:val="000000"/>
          <w:sz w:val="28"/>
        </w:rPr>
        <w:t xml:space="preserve">、评审过程中的的澄清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6</w:t>
      </w:r>
      <w:r>
        <w:rPr>
          <w:rFonts w:ascii="SimHei" w:hAnsi="SimHei" w:eastAsia="SimHei" w:cs="SimHei"/>
          <w:color w:val="000000"/>
          <w:sz w:val="28"/>
        </w:rPr>
        <w:t xml:space="preserve">、对响应文件的审查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26.3.6不符合磋商文件中规定的实质性要求和条件的（本磋商文件中斜体且有下划线部分为实质性要求和条件）。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26.6供应商在项目评审全过程中应保持通讯畅通，并安排专人与采购人或采购代理及磋商小组联系。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7</w:t>
      </w:r>
      <w:r>
        <w:rPr>
          <w:rFonts w:ascii="SimHei" w:hAnsi="SimHei" w:eastAsia="SimHei" w:cs="SimHei"/>
          <w:color w:val="000000"/>
          <w:sz w:val="28"/>
        </w:rPr>
        <w:t xml:space="preserve">、磋商程序及评审方法和评审标准</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43"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7"/>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28.2采购人从评审报告提出的成交候选供应商中，按照排序由高到低的原则确定成交供应商。采购人确定成交供应商后，采购人或采购代理将在“江苏政府采购网”发布成交结果公告，公告期限为1个工作日。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28.3.2与评审专家、采购人、其他供应商或者交易中心工作人员恶意串通的。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28.3.3向评审专家、采购人或采购代理工作人员行贿或者提供其他不正当利益的。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458" w:right="0" w:firstLine="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供应商应当在法定质疑期内一次性提出针对同一采购程序环节的质疑。供应商如在法定期限内对同一采购程序环节提出多次质疑的，采购人和采购代理将只对供应商第一次质疑作出答复。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采购人及采购代理只接收以纸质原件形式送达的质疑,建议供应商尽量通过邮寄方式提交质疑</w:t>
      </w:r>
      <w:r>
        <w:rPr>
          <w:rFonts w:ascii="SimSun" w:hAnsi="SimSun" w:eastAsia="SimSun" w:cs="SimSun"/>
          <w:b/>
          <w:color w:val="000000"/>
          <w:sz w:val="24"/>
        </w:rPr>
        <w:t xml:space="preserve">（采购人和采购代理不接受未填写快递运单的快件）</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3"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履约验收的基本要求：中标供应商应按照合同约定的时间、质量、数量等要求完成该项目的编制和上报工作。在项目实施过程中，需严格遵守国家和地方相关法律法规、政策标准以及行业规范，确保方案的科学性、合理性与可行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履约验收的实施主体：由采购人南通市通州自然资源和规划局作为实施主体，负责组织开展本项目的履约验收工作。也可根据实际需要取得相关部门批复，或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33.3.履约验收的时间方式：在中标供应商完成实施方案编制并提交全部成果文件后30个工作日内，采购人应组织开展履约验收工作，</w:t>
      </w:r>
      <w:r>
        <w:rPr>
          <w:rFonts w:ascii="Calibri" w:hAnsi="Calibri" w:eastAsia="Calibri" w:cs="Calibri"/>
          <w:color w:val="000000"/>
          <w:sz w:val="24"/>
        </w:rPr>
        <w:t xml:space="preserve">并向供应商发出《政府采购履约验收通知单》</w:t>
      </w:r>
      <w:r>
        <w:rPr>
          <w:rFonts w:ascii="SimSun" w:hAnsi="SimSun" w:eastAsia="SimSun" w:cs="SimSun"/>
          <w:color w:val="000000"/>
          <w:sz w:val="24"/>
        </w:rPr>
        <w:t xml:space="preserve">。验收方式包括但不限于资料审查、现场核查、专家评审等。资料审查需对中标供应商提交的成果文件完整性、规范性、准确性进行审查；现场核查针对方案涉及的项目现场情况进行实地查看；专家评审则邀请相关领域专家组成评审小组，对实施方案的科学性、合理性等进行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履约验收的内容：涵盖实施方案的完整性，包含项目背景、目标任务、实施范围、实施步骤、保障措施等内容；合规性，符合国家和地方有关城乡建设用地增减挂钩的法律法规、政策标准；可行性，方案提出的实施措施、技术路线等具有可操作性，能在实际工作中有效实施；成果文件质量，成果文件格式规范、内容准确、图表清晰，满足采购人使用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33.5.履约验收的标准：成果文件应符合相关标准规范。满足采购人在采购文件和合同中提出的其他具体要求 ，如成果文件提交时间、成果文件份数等。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33.6</w:t>
      </w:r>
      <w:r>
        <w:rPr>
          <w:rFonts w:ascii="SimSun" w:hAnsi="SimSun" w:eastAsia="SimSun" w:cs="SimSun"/>
          <w:color w:val="000000"/>
          <w:sz w:val="24"/>
        </w:rPr>
        <w:t xml:space="preserve">。</w:t>
      </w:r>
      <w:r>
        <w:rPr>
          <w:rFonts w:ascii="Calibri" w:hAnsi="Calibri" w:eastAsia="Calibri" w:cs="Calibri"/>
          <w:color w:val="000000"/>
          <w:sz w:val="24"/>
        </w:rPr>
        <w:t xml:space="preserve">采购人、供应商应当对验收小组出具的验收意见进行确认，并形成政府采购履约验收书。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34、履约保证金：无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35、政府采购履约资金扶持政策</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pStyle w:val="12"/>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
        </w:numPr>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合同条款及格式</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通州区2026年度城乡建设用地增减挂钩和耕地占补平衡项目区级核验管理服务项目政府采购供需合同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5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甲方(需方)：</w:t>
      </w:r>
      <w:r>
        <w:rPr>
          <w:rFonts w:ascii="SimSun" w:hAnsi="SimSun" w:eastAsia="SimSun" w:cs="SimSun"/>
          <w:b/>
          <w:color w:val="000000"/>
          <w:sz w:val="24"/>
          <w:u w:val="single"/>
        </w:rPr>
        <w:t xml:space="preserve">南通市通州区自然资源和规划局</w:t>
      </w:r>
      <w:r/>
    </w:p>
    <w:p>
      <w:pPr>
        <w:ind w:left="0" w:right="0" w:firstLine="35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乙方(供方)：</w:t>
      </w:r>
      <w:r/>
    </w:p>
    <w:p>
      <w:pPr>
        <w:ind w:left="0" w:right="0" w:firstLine="35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rPr>
          <w:rFonts w:ascii="SimSun" w:hAnsi="SimSun" w:eastAsia="SimSun" w:cs="SimSun"/>
          <w:b/>
          <w:color w:val="000000"/>
          <w:sz w:val="24"/>
          <w:u w:val="single"/>
        </w:rPr>
        <w:t xml:space="preserve">通州区自然资源和规划局</w:t>
      </w:r>
      <w:r/>
    </w:p>
    <w:p>
      <w:pPr>
        <w:ind w:left="0" w:right="0" w:firstLine="35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rPr>
          <w:rFonts w:ascii="SimSun" w:hAnsi="SimSun" w:eastAsia="SimSun" w:cs="SimSun"/>
          <w:b/>
          <w:color w:val="000000"/>
          <w:sz w:val="24"/>
          <w:u w:val="single"/>
        </w:rPr>
        <w:t xml:space="preserve"> 2026年  月 日 </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根据通州区2026年度城乡建设用地增减挂钩和耕地占补平衡项目区级核验管理服务项目中标（成交）通知书，甲乙双方本着公平自愿和诚实信用的原则,订立如下供需合同：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rPr>
          <w:rFonts w:ascii="SimSun" w:hAnsi="SimSun" w:eastAsia="SimSun" w:cs="SimSun"/>
          <w:b/>
          <w:color w:val="000000"/>
          <w:sz w:val="21"/>
          <w:u w:val="single"/>
        </w:rPr>
        <w:t xml:space="preserve">通州区2026年度城乡建设用地增减挂钩和耕地占补平衡项目区级核验管理服务项目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二、服务内容</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本次招标范围为</w:t>
      </w:r>
      <w:r>
        <w:rPr>
          <w:rFonts w:ascii="SimSun" w:hAnsi="SimSun" w:eastAsia="SimSun" w:cs="SimSun"/>
          <w:b/>
          <w:color w:val="000000"/>
          <w:sz w:val="21"/>
          <w:u w:val="single"/>
        </w:rPr>
        <w:t xml:space="preserve">通州区</w:t>
      </w:r>
      <w:r>
        <w:rPr>
          <w:rFonts w:ascii="Times New Roman" w:hAnsi="Times New Roman" w:eastAsia="Times New Roman" w:cs="Times New Roman"/>
          <w:b/>
          <w:color w:val="000000"/>
          <w:sz w:val="21"/>
          <w:u w:val="single"/>
        </w:rPr>
        <w:t xml:space="preserve">2026</w:t>
      </w:r>
      <w:r>
        <w:rPr>
          <w:rFonts w:ascii="SimSun" w:hAnsi="SimSun" w:eastAsia="SimSun" w:cs="SimSun"/>
          <w:b/>
          <w:color w:val="000000"/>
          <w:sz w:val="21"/>
          <w:u w:val="single"/>
        </w:rPr>
        <w:t xml:space="preserve">年度城乡建设用地增减挂钩和耕地占补平衡项目区级核验管理服务项目</w:t>
      </w:r>
      <w:r>
        <w:rPr>
          <w:rFonts w:ascii="SimSun" w:hAnsi="SimSun" w:eastAsia="SimSun" w:cs="SimSun"/>
          <w:color w:val="000000"/>
          <w:sz w:val="24"/>
        </w:rPr>
        <w:t xml:space="preserve">，本次项目主要任务：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国家和省有关法律法规和政策文件为主导，以增加有效耕地面积为目标，以国家和省有关技术规范为依据，提高耕地增减挂钩和占补平衡补充耕地项目库项目整治质量，保障项目的技术可行性、经济合理性和实施可操作性，确保实现补充的耕地数量、质量双平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1、工作目标</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为切实履行耕地保护职责，加强新增耕地管理，按照《自然资源部 农业农村部关于改革完善耕地占补平衡管理的通知》（自然资发〔2024〕204号）、《江苏省自然资源厅 江苏省农业农村厅关于改革耕地占补平衡强化以补定占管理的通知》（苏自然资发〔2024〕356号）文件要求以及上级部门后续出台的占补平衡新增耕地指标工作方面的相关要求，</w:t>
      </w:r>
      <w:r>
        <w:rPr>
          <w:rFonts w:ascii="SimSun" w:hAnsi="SimSun" w:eastAsia="SimSun" w:cs="SimSun"/>
          <w:color w:val="000000"/>
          <w:sz w:val="24"/>
        </w:rPr>
        <w:t xml:space="preserve">切实提升我区城乡建设用地增减挂钩和耕地占补平衡项目建设水平，加快推进项目实施、验收、备案等全流程监管，加快推进复垦项目指标产生，确保实现补充的耕地数量、质量双平衡，结合通州实际，开展通州区2026年度城乡建设用地增减挂钩和耕地占补平衡项目区级核验管理服务工作</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2、工作任务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逐个项目地块实地勘测定界、现场拍照和高清正射影像（优于0.2米）相结合的方式，对通州区城乡建设用地增减挂钩和耕地占补平衡项目进行竣工验收核查，对入库项目地块竣工后进行现场核实范围，并编制符合要求的勘测定界图，勘测定界工作程序包括查阅有关文件、搜集图件和勘测资料、现场踏勘、实地核查、勘测定界、拍摄实地照片、获取高清正射影像（优于0.2米），提交成果资料、编制竣工勘测定界报告，配合验收环节。耕地占补平衡项目地块在省、市系统完成信息录入，逻辑检查，合规审查，数据分析，图层处理及通过调查云实地拍照、录视频举证。</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三、合同金额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本合同金额为（大写）：</w:t>
      </w:r>
      <w:r>
        <w:rPr>
          <w:rFonts w:ascii="SimSun" w:hAnsi="SimSun" w:eastAsia="SimSun" w:cs="SimSun"/>
          <w:color w:val="000000"/>
          <w:sz w:val="24"/>
          <w:u w:val="single"/>
        </w:rPr>
        <w:t xml:space="preserve">（总单价）：元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亩【</w:t>
      </w:r>
      <w:r>
        <w:rPr>
          <w:rFonts w:ascii="SimSun" w:hAnsi="SimSun" w:eastAsia="SimSun" w:cs="SimSun"/>
          <w:color w:val="000000"/>
          <w:sz w:val="24"/>
        </w:rPr>
        <w:t xml:space="preserve">本项目结算金额按最终实际完成的面积×中标单价】。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包括本次采购项目的所有费用（包括完成该项工作所需的所有费用，包含人员工资、加班费、各项福利、劳动保险、车旅费、餐费、员工补助、工作人员必要的住宿费、办公费、管理费、为本招标项目提供服务所需的仪器设备、各类耗材、公共耗能费、评审会务费（含专家评审费、会务接待费）、调研费、相关材料分析费、验收费及相关协调费用、规费、利润、税金等完成本项目所需的一切费用。同时，合同总价也应包含合同履行过程中可能发生的一切风险。）甲方不承担合同金额以外的任何费用和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四、转包或分包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乙方不得将相关服务进行转包。未经甲方同意，乙方也不得随意采用分包的形式履行合同，否则甲方有权终止合同。转包或分包造成甲方损失的，乙方应承担相应赔偿责任。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五、相关要求：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1、乙方应严格按照规范及采购文件等相关要求组织实施。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2、本项目实施人员必须是投标文件中提供的人员，乙方不得以任何原因和方式将合同转包、分包或雇用其他作业人员进行生产。一经发现有上述情况的，将按违约处理，甲方有权拒付合同额。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3、在合同实施期间，合同价不随国家政策或法规、标准及任何市场因素的变化而进行调整。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4、乙方在履行合同过程中，一切安全责任由乙方承担，甲方不承担任何责任和费用。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5、乙方提供的服务必须全部达到采购文件各项要求，国家或行业有规定的，还要符合相应规定。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六、项目服务期：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一年。合同签订后必须在甲方规定的时间内分期分批该项目的全部工作及其他相关工作。</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七、测绘基准及技术要求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1.平面坐标系统：采用2000国家大地坐标系。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2.高程系统：采用1985国家高程基准。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3.投影方式：采用高斯-克吕格投影，按3°分带,中央子午线为120°。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4.耕地最小上图面积：新增耕地面积不小于200平方米。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5.计量单位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长度单位采用米（m）；面积计算单位采用平方米（㎡）；面积统计汇总单位采用公顷（h㎡）和亩。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设备包括GNSS定位测量设备、手持激光测距仪、全站仪、无人机；互联网拍照设备；计算机、平板电脑、软件系统；移动通信设备、交通工具等。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八、款项支付</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w:t>
      </w:r>
      <w:r>
        <w:rPr>
          <w:rFonts w:ascii="SimSun" w:hAnsi="SimSun" w:eastAsia="SimSun" w:cs="SimSun"/>
          <w:b/>
          <w:color w:val="000000"/>
          <w:sz w:val="24"/>
          <w:u w:val="none"/>
        </w:rPr>
        <w:t xml:space="preserve">合同签订后，根据验收进度拨付。完成区级初验上报市级验收后根据完成工程量拨付</w:t>
      </w:r>
      <w:r>
        <w:rPr>
          <w:rFonts w:ascii="Times New Roman" w:hAnsi="Times New Roman" w:eastAsia="Times New Roman" w:cs="Times New Roman"/>
          <w:b/>
          <w:color w:val="000000"/>
          <w:sz w:val="24"/>
          <w:u w:val="none"/>
        </w:rPr>
        <w:t xml:space="preserve">40%</w:t>
      </w:r>
      <w:r>
        <w:rPr>
          <w:rFonts w:ascii="SimSun" w:hAnsi="SimSun" w:eastAsia="SimSun" w:cs="SimSun"/>
          <w:b/>
          <w:color w:val="000000"/>
          <w:sz w:val="24"/>
          <w:u w:val="none"/>
        </w:rPr>
        <w:t xml:space="preserve">，通过市级验收后拨付至完成工程量的</w:t>
      </w:r>
      <w:r>
        <w:rPr>
          <w:rFonts w:ascii="Times New Roman" w:hAnsi="Times New Roman" w:eastAsia="Times New Roman" w:cs="Times New Roman"/>
          <w:b/>
          <w:color w:val="000000"/>
          <w:sz w:val="24"/>
          <w:u w:val="none"/>
        </w:rPr>
        <w:t xml:space="preserve">70%</w:t>
      </w:r>
      <w:r>
        <w:rPr>
          <w:rFonts w:ascii="SimSun" w:hAnsi="SimSun" w:eastAsia="SimSun" w:cs="SimSun"/>
          <w:b/>
          <w:color w:val="000000"/>
          <w:sz w:val="24"/>
          <w:u w:val="none"/>
        </w:rPr>
        <w:t xml:space="preserve">，完成省备案后拨付尾款。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）乙方凭经采购合同、验收批复证明及正式发票，按规定进行资金结算，否则采购人有权拒付且不承担任何违约责任。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九、税费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本合同执行中相关的一切税费均由乙方负担。</w:t>
      </w:r>
      <w:r/>
    </w:p>
    <w:p>
      <w:pPr>
        <w:ind w:left="479" w:right="0" w:firstLine="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十、质量保证及后续服务</w:t>
      </w:r>
      <w:r/>
    </w:p>
    <w:p>
      <w:pPr>
        <w:ind w:left="479" w:right="0" w:firstLine="6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1.乙方应按采购（招标）文件规定向甲方提供服务。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2.乙方提供的成果应准确、全面、完整，并对成果负终身责任，若乙方提供的成果被甲方或他人发现错漏，乙方应负责免费提供后续服务，根据实际情况按以下办法处理：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（1）重做或补充：由乙方承担所发生的全部费用，直至符合合同约定的要求，若造成逾期提交成果的应按约定承担逾期提交的违约责任。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（2）甲方有权根据乙方违约的事实决定解除合同，若造成甲方损失的，乙方需赔偿甲方损失。</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1．甲方无正当理由拒绝接受服务的，甲方向乙方偿付合同款项百分之</w:t>
      </w:r>
      <w:r>
        <w:rPr>
          <w:rFonts w:ascii="SimSun" w:hAnsi="SimSun" w:eastAsia="SimSun" w:cs="SimSun"/>
          <w:color w:val="000000"/>
          <w:sz w:val="24"/>
          <w:u w:val="single"/>
        </w:rPr>
        <w:t xml:space="preserve">  二十</w:t>
      </w:r>
      <w:r>
        <w:rPr>
          <w:rFonts w:ascii="SimSun" w:hAnsi="SimSun" w:eastAsia="SimSun" w:cs="SimSun"/>
          <w:color w:val="000000"/>
          <w:sz w:val="24"/>
        </w:rPr>
        <w:t xml:space="preserve">作为违约金。</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2．甲方无故逾期验收或逾期办理款项支付手续的,甲方应按逾期付款总额每日万分之</w:t>
      </w:r>
      <w:r>
        <w:rPr>
          <w:rFonts w:ascii="SimSun" w:hAnsi="SimSun" w:eastAsia="SimSun" w:cs="SimSun"/>
          <w:color w:val="000000"/>
          <w:sz w:val="24"/>
          <w:u w:val="single"/>
        </w:rPr>
        <w:t xml:space="preserve">伍</w:t>
      </w:r>
      <w:r>
        <w:rPr>
          <w:rFonts w:ascii="SimSun" w:hAnsi="SimSun" w:eastAsia="SimSun" w:cs="SimSun"/>
          <w:color w:val="000000"/>
          <w:sz w:val="24"/>
        </w:rPr>
        <w:t xml:space="preserve">向乙方支付违约金。</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乙方未能如期提供服务的，每日向甲方支付合同款项的千分之</w:t>
      </w:r>
      <w:r>
        <w:rPr>
          <w:rFonts w:ascii="SimSun" w:hAnsi="SimSun" w:eastAsia="SimSun" w:cs="SimSun"/>
          <w:color w:val="000000"/>
          <w:sz w:val="24"/>
          <w:u w:val="single"/>
        </w:rPr>
        <w:t xml:space="preserve"> 伍</w:t>
      </w:r>
      <w:r>
        <w:rPr>
          <w:rFonts w:ascii="SimSun" w:hAnsi="SimSun" w:eastAsia="SimSun" w:cs="SimSun"/>
          <w:color w:val="000000"/>
          <w:sz w:val="24"/>
        </w:rPr>
        <w:t xml:space="preserve">作为违约金。乙方超过约定日期</w:t>
      </w:r>
      <w:r>
        <w:rPr>
          <w:rFonts w:ascii="SimSun" w:hAnsi="SimSun" w:eastAsia="SimSun" w:cs="SimSun"/>
          <w:color w:val="000000"/>
          <w:sz w:val="24"/>
          <w:u w:val="single"/>
        </w:rPr>
        <w:t xml:space="preserve">  3 </w:t>
      </w:r>
      <w:r>
        <w:rPr>
          <w:rFonts w:ascii="SimSun" w:hAnsi="SimSun" w:eastAsia="SimSun" w:cs="SimSun"/>
          <w:color w:val="000000"/>
          <w:sz w:val="24"/>
        </w:rPr>
        <w:t xml:space="preserve">个工作日仍不能提供服务，或在服务期内，乙方未按合同和甲方要求累计3次（含3次）不能在规定时间内及时提供服务的，甲方可解除本合同。乙方因未能如期提供服务或因其他违约行为导致甲方解除合同的，乙方应向甲方支付合同总值</w:t>
      </w:r>
      <w:r>
        <w:rPr>
          <w:rFonts w:ascii="SimSun" w:hAnsi="SimSun" w:eastAsia="SimSun" w:cs="SimSun"/>
          <w:color w:val="000000"/>
          <w:sz w:val="24"/>
          <w:u w:val="single"/>
        </w:rPr>
        <w:t xml:space="preserve">  30 %</w:t>
      </w:r>
      <w:r>
        <w:rPr>
          <w:rFonts w:ascii="SimSun" w:hAnsi="SimSun" w:eastAsia="SimSun" w:cs="SimSun"/>
          <w:color w:val="000000"/>
          <w:sz w:val="24"/>
        </w:rPr>
        <w:t xml:space="preserve">的违约金，如造成甲方损失超过违约金的，超出部分由乙方继续承担赔偿责任。</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4.如因乙方责任导致项目地块被上级验收确认核减的，对应地块的费用不予支付,并另行扣付其三倍费用作为违约金。</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5.如乙方提供的成果被查明弄虚作假的，甲方可解除本合同。乙方因弄虚作假导致甲方解除合同的，乙方应向甲方支付合同总值</w:t>
      </w:r>
      <w:r>
        <w:rPr>
          <w:rFonts w:ascii="SimSun" w:hAnsi="SimSun" w:eastAsia="SimSun" w:cs="SimSun"/>
          <w:color w:val="000000"/>
          <w:sz w:val="24"/>
          <w:u w:val="single"/>
        </w:rPr>
        <w:t xml:space="preserve"> 30 %</w:t>
      </w:r>
      <w:r>
        <w:rPr>
          <w:rFonts w:ascii="SimSun" w:hAnsi="SimSun" w:eastAsia="SimSun" w:cs="SimSun"/>
          <w:color w:val="000000"/>
          <w:sz w:val="24"/>
        </w:rPr>
        <w:t xml:space="preserve">的违约金，如造成甲方损失超过违约金的，超出部分由乙方继续承担赔偿责任。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十二、合同纠纷处理</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本合同执行过程中发生纠纷，由甲乙双方协商解决；或提交当地相关部门调解；协商或调解不成,则任何一方均可以依法提出仲裁或向甲方所在地人民法院提起诉讼。</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十三、组成本合同的文件包括：</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⒈ 本合同条款；</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⒉ 本项目的政府采购（招标）文件和供方应标（投标）文件；</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⒊ 本项目在采购过程中供需双方签署的全部文字和图片资料；</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⒋ 甲乙双方其它按规定约定事宜。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十五、本合同内容如有冲突，以政府采购（招标）文件为准。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w:t>
      </w:r>
      <w:r>
        <w:rPr>
          <w:rFonts w:ascii="SimSun" w:hAnsi="SimSun" w:eastAsia="SimSun" w:cs="SimSun"/>
          <w:color w:val="000000"/>
          <w:sz w:val="24"/>
        </w:rPr>
        <w:t xml:space="preserve">本合同由甲乙双方签字盖章后生效。（多页合同甲乙双方必须加盖骑缝公章）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十七、合同备案：</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本合同一式捌份，甲乙双方各执肆份。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甲方（需方）（盖章）：乙方（供方）（盖章）：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法定（授权）代表人：法定（授权）代表人：</w:t>
      </w:r>
      <w:r/>
    </w:p>
    <w:p>
      <w:pPr>
        <w:ind w:left="0" w:right="0" w:firstLine="504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开户银行：</w:t>
      </w:r>
      <w:r/>
    </w:p>
    <w:p>
      <w:pPr>
        <w:ind w:left="0" w:right="0" w:firstLine="52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账号：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廉政合同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南通市通州自然资源和规划局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经公开招标，乙方中标甲方</w:t>
      </w:r>
      <w:r>
        <w:rPr>
          <w:rFonts w:ascii="SimSun" w:hAnsi="SimSun" w:eastAsia="SimSun" w:cs="SimSun"/>
          <w:b/>
          <w:color w:val="000000"/>
          <w:sz w:val="24"/>
          <w:u w:val="single"/>
        </w:rPr>
        <w:t xml:space="preserve">                 项目，中标价；甲方项目负责人：，职务：，联系方式：；乙方项目负责人：，联系人，联系方式：。</w:t>
      </w:r>
      <w:r>
        <w:rPr>
          <w:rFonts w:ascii="SimSun" w:hAnsi="SimSun" w:eastAsia="SimSun" w:cs="SimSun"/>
          <w:color w:val="000000"/>
          <w:sz w:val="24"/>
        </w:rPr>
        <w:t xml:space="preserve">为贯彻落实《关于实行党风廉政建设责任制的规定》《中国共产党党员领导干部廉洁从政若干准则》等规定，加强甲方项目服务和政府采购活动中党风廉政建设，甲乙双方协商一致，签订本廉政合同。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第一条甲乙双方的权利和义务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（一）严格遵守党和国家有关法律法规及党风廉政建设各项规定。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（二）严格执行项目服务和政府采购管理的法律法规和规章制度，坚持公平、公正、公开、诚信原则（法律认定的商业秘密和合同文件另有规定除外）开展业务活动，严禁损害国家和集体利益。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（三）严格执行</w:t>
      </w:r>
      <w:r>
        <w:rPr>
          <w:rFonts w:ascii="SimSun" w:hAnsi="SimSun" w:eastAsia="SimSun" w:cs="SimSun"/>
          <w:b/>
          <w:color w:val="000000"/>
          <w:sz w:val="24"/>
          <w:u w:val="single"/>
        </w:rPr>
        <w:t xml:space="preserve">项目招投标文件和合同等</w:t>
      </w:r>
      <w:r>
        <w:rPr>
          <w:rFonts w:ascii="SimSun" w:hAnsi="SimSun" w:eastAsia="SimSun" w:cs="SimSun"/>
          <w:color w:val="000000"/>
          <w:sz w:val="24"/>
        </w:rPr>
        <w:t xml:space="preserve">各项规定。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（四）建立健全本方党风廉政建设等内控制度，开展反腐倡廉、财经制度等宣传教育，加强本方工作人员监督管理，严肃查处违纪违规行为。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（五）发现对方违反党风廉政建设规定的，提醒和督促对方纠正；发现严重违法违纪行为的，向纪检监察和司法机关举报。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第二条甲方在廉政建设方面的义务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（一）甲方及其工作人员不准让乙方支付、报销应由甲方及其工作人员个人支付的费用，不准利用职务便利为乙方谋取不当利益。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（二）甲方及其工作人员不准要求或者接受乙方可能影响公正执行公务的礼品礼金、宴请或者旅游、健身、娱乐等活动安排；不准要求乙方提供交通工具、通讯工具、高档办公用品等。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（三）甲方及其工作人员不准要求或者接受乙方以给特定关系人安排工作为名，使特定关系人不实际工作却获取薪酬；不准违反规定从事项目转包、分包等经济活动。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及其工作人员不得利用职务便利为乙方谋取利益，由乙方出资“合作”开办公司或进行其他合作投资，或委托乙方投资证券、期货或其他委托理财名义，未实际出资而获取“收益”，或虽然实际出资，但获取“收益”明显高于出资应得收益；或授意乙方将有关财物给予特定关系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（五）甲方及其工作人员不得有其他违反党风廉政建设的行为。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第三条乙方在廉政建设方面义务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（一）乙方不准以任何形式向甲方及其工作人员馈赠现金、电子红包、虚拟货币、有价证券、支付凭证及干股等礼品礼金，或以赌博等交易形式非法赠送甲方财物。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（二）乙方不准以任何名义为甲方及其工作人员报销应由甲方及其工作人员个人支付的费用。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（三）乙方不准为甲方工作人员住房装修、婚丧嫁娶、特定关系人出国（境）旅游提供方便；不准为甲方工作人员的特定关系人以安排工作为名，使其不实际工作却获取薪酬。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（四）乙方不准为甲方及其工作人员赠送、以明显低于市场价购置、以劣换优、以借为名赠送交通工具、通讯工具、高档办公用品等。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（五）乙方及其工作人员不得有其他违反党风廉政建设的行为。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（一）甲方及其工作人员违反本《廉政合同》有关规定的，由通州区纪检监察部门和甲方上级主管部门对违纪违规人员进行查处；构成犯罪的，移交司法机关处理；给乙方造成损失的，按规定予以赔偿。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（二）乙方及其工作人员违反本《廉政合同》有关规定的，</w:t>
      </w:r>
      <w:r>
        <w:rPr>
          <w:rFonts w:ascii="SimSun" w:hAnsi="SimSun" w:eastAsia="SimSun" w:cs="SimSun"/>
          <w:b/>
          <w:color w:val="000000"/>
          <w:sz w:val="24"/>
        </w:rPr>
        <w:t xml:space="preserve">甲方将乙方列入黑名单，五年内禁止乙方及其工作人员参与甲方项目投标</w:t>
      </w:r>
      <w:r>
        <w:rPr>
          <w:rFonts w:ascii="SimSun" w:hAnsi="SimSun" w:eastAsia="SimSun" w:cs="SimSun"/>
          <w:color w:val="000000"/>
          <w:sz w:val="24"/>
        </w:rPr>
        <w:t xml:space="preserve">，并将相关信息通报通州区公共资源交易部门和甲方上级主管部门。构成犯罪的，移交司法机关处理；给甲方造成损失的，按规定予以赔偿。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检查方式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约情况由甲乙双方自查、互查或联合检查，以及各级纪检监察、审计、财政和甲方上级主管部门检查，并接受社会各界监督。检查方式包括但不限于问卷调查、询问座谈、查阅资料等，检查时间、次数等双方协商确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w:t>
      </w:r>
      <w:r>
        <w:rPr>
          <w:rFonts w:ascii="SimSun" w:hAnsi="SimSun" w:eastAsia="SimSun" w:cs="SimSun"/>
          <w:b/>
          <w:color w:val="000000"/>
          <w:sz w:val="24"/>
        </w:rPr>
        <w:t xml:space="preserve">本合同长期有效，甲乙双方及其工作人员终生负责。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第七条本合同一式</w:t>
      </w:r>
      <w:r>
        <w:rPr>
          <w:rFonts w:ascii="SimSun" w:hAnsi="SimSun" w:eastAsia="SimSun" w:cs="SimSun"/>
          <w:b/>
          <w:color w:val="000000"/>
          <w:sz w:val="24"/>
          <w:u w:val="single"/>
        </w:rPr>
        <w:t xml:space="preserve">陆</w:t>
      </w:r>
      <w:r>
        <w:rPr>
          <w:rFonts w:ascii="SimSun" w:hAnsi="SimSun" w:eastAsia="SimSun" w:cs="SimSun"/>
          <w:b/>
          <w:color w:val="000000"/>
          <w:sz w:val="24"/>
        </w:rPr>
        <w:t xml:space="preserve">份</w:t>
      </w:r>
      <w:r>
        <w:rPr>
          <w:rFonts w:ascii="SimSun" w:hAnsi="SimSun" w:eastAsia="SimSun" w:cs="SimSun"/>
          <w:color w:val="000000"/>
          <w:sz w:val="24"/>
        </w:rPr>
        <w:t xml:space="preserve">，甲方执</w:t>
      </w:r>
      <w:r>
        <w:rPr>
          <w:rFonts w:ascii="SimSun" w:hAnsi="SimSun" w:eastAsia="SimSun" w:cs="SimSun"/>
          <w:b/>
          <w:color w:val="000000"/>
          <w:sz w:val="24"/>
          <w:u w:val="single"/>
        </w:rPr>
        <w:t xml:space="preserve">叁</w:t>
      </w:r>
      <w:r>
        <w:rPr>
          <w:rFonts w:ascii="SimSun" w:hAnsi="SimSun" w:eastAsia="SimSun" w:cs="SimSun"/>
          <w:b/>
          <w:color w:val="000000"/>
          <w:sz w:val="24"/>
        </w:rPr>
        <w:t xml:space="preserve">份</w:t>
      </w:r>
      <w:r>
        <w:rPr>
          <w:rFonts w:ascii="SimSun" w:hAnsi="SimSun" w:eastAsia="SimSun" w:cs="SimSun"/>
          <w:color w:val="000000"/>
          <w:sz w:val="24"/>
        </w:rPr>
        <w:t xml:space="preserve">，乙方执</w:t>
      </w:r>
      <w:r>
        <w:rPr>
          <w:rFonts w:ascii="SimSun" w:hAnsi="SimSun" w:eastAsia="SimSun" w:cs="SimSun"/>
          <w:b/>
          <w:color w:val="000000"/>
          <w:sz w:val="24"/>
          <w:u w:val="single"/>
        </w:rPr>
        <w:t xml:space="preserve">贰</w:t>
      </w:r>
      <w:r>
        <w:rPr>
          <w:rFonts w:ascii="SimSun" w:hAnsi="SimSun" w:eastAsia="SimSun" w:cs="SimSun"/>
          <w:b/>
          <w:color w:val="000000"/>
          <w:sz w:val="24"/>
        </w:rPr>
        <w:t xml:space="preserve">份</w:t>
      </w:r>
      <w:r>
        <w:rPr>
          <w:rFonts w:ascii="SimSun" w:hAnsi="SimSun" w:eastAsia="SimSun" w:cs="SimSun"/>
          <w:color w:val="000000"/>
          <w:sz w:val="24"/>
        </w:rPr>
        <w:t xml:space="preserve">，通州区纪检监察部门派驻甲方纪检监察组备案壹份。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甲方:（盖章）南通市通州自然资源和规划局              乙方:（盖章）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法定代表人（或授权代理人）（签名或盖章）：法定代表人（或授权代理人）（签名或盖章）：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签订日期：年月日签订日期：年月日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2"/>
        </w:numPr>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项目需求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6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为切实履行耕地保护职责，加强新增耕地管理，按照《自然资源部 农业农村部关于改革完善耕地占补平衡管理的通知》（自然资发〔2024〕204号）、《江苏省自然资源厅 江苏省农业农村厅关于改革耕地占补平衡强化以补定占管理的通知》（苏自然资发〔2024〕356号）文件要求以及上级部门后续出台的占补平衡新增耕地指标工作方面的相关要求，</w:t>
      </w:r>
      <w:r>
        <w:rPr>
          <w:rFonts w:ascii="SimSun" w:hAnsi="SimSun" w:eastAsia="SimSun" w:cs="SimSun"/>
          <w:color w:val="000000"/>
          <w:sz w:val="24"/>
        </w:rPr>
        <w:t xml:space="preserve">切实提升我区城乡建设用地增减挂钩和耕地占补平衡项目建设水平，加快推进项目实施、验收、备案等全流程监管，加快推进复垦项目指标产生，确保实现补充的耕地数量、质量双平衡，结合通州实际，开展通州区2026年度城乡建设用地增减挂钩和耕地占补平衡项目区级核验管理服务工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二、项目主要任务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国家和省有关法律法规和政策文件为主导，以增加有效耕地面积为目标，以国家和省有关技术规范为依据，提高耕地增减挂钩和占补平衡补充耕地项目整治质量，保障项目的技术可行性、经济合理性和实施可操作性，确保实现补充的耕地数量、质量双平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逐个项目地块实地勘测定界、现场拍照和高清正射影像（优于0.2米）相结合的方式，对我区新增耕地项目进行竣工验收核查，对入库项目地块竣工后进行现场核实范围，并编制符合要求的勘测定界图，勘测定界工作程序包括查阅有关文件、搜集图件和勘测资料、现场踏勘、实地核查、勘测定界、拍摄实地照片、获取高清正射影像（优于0.2米），提交成果资料、编制竣工勘测定界报告，配合验收环节。其技术要求包括控制测量、实地测绘、正射影像图制作、实地核查、实地拍照、面积计算和汇总绘图、配合开展市核查后整改、报告编写和成果整理归档等。耕地占补</w:t>
      </w:r>
      <w:r>
        <w:rPr>
          <w:rFonts w:ascii="SimSun" w:hAnsi="SimSun" w:eastAsia="SimSun" w:cs="SimSun"/>
          <w:color w:val="000000"/>
          <w:sz w:val="24"/>
        </w:rPr>
        <w:t xml:space="preserve">平衡项目地块在省相关系统完成信息录入，逻辑检查，合规审查，数据分析，图层处理及通过调查云实地拍照、录视频举证。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控制测量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采用RTK测量方式求解转换参数和布设勘测定界和影像获取所需控制点，包含平面及高程。搜集测区及其周边布设的控制点资料（平面精度不低于D级GPS，高程精度不低于二等），选取合理的控制点进行坐标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实地测绘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1）一般采用RTK测量，特殊情况时采用全站仪测量。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2）每次生产作业前后，必须利用布设的控制点对坐标转换参数进行验证，当满足限差要求后方能实施后续作业。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3.正射影像图制作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制作各个项目的正射影像图，正射影像图范围不小于项目范围外20米。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无人机正射影像图制作工作流程主要包括无人机影像数据获取、影像预处理、空中三角测量、正射影像图生成等步骤。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3.1航线设计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在无人机外业获取影像的过程中，航线的设计起着至关重要的作用，合理的航线设计不仅能够确保获取的影像符合行业标准，而且可以在大区域影像获取中减少航飞架次，避免人力、物力的浪费。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（1）航线布设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对于大于1平米千米的区域，航线布设必须要保证足够的航向重叠和旁向重叠，实现无缝航测任务区域。</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（2）航高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根据航高计算公式进行计算，如下公式：</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04875" cy="1905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767176" name=""/>
                        <pic:cNvPicPr>
                          <a:picLocks noChangeAspect="1"/>
                        </pic:cNvPicPr>
                        <pic:nvPr/>
                      </pic:nvPicPr>
                      <pic:blipFill>
                        <a:blip/>
                        <a:stretch/>
                      </pic:blipFill>
                      <pic:spPr bwMode="auto">
                        <a:xfrm>
                          <a:off x="0" y="0"/>
                          <a:ext cx="904874" cy="1904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2pt;height:15.0pt;mso-wrap-distance-left:0.0pt;mso-wrap-distance-top:0.0pt;mso-wrap-distance-right:0.0pt;mso-wrap-distance-bottom:0.0pt;" stroked="false">
                <v:path textboxrect="0,0,0,0"/>
              </v:shape>
            </w:pict>
          </mc:Fallback>
        </mc:AlternateConten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式中，</w:t>
      </w:r>
      <w:r>
        <w:rPr>
          <w:rFonts w:ascii="Times New Roman" w:hAnsi="Times New Roman" w:eastAsia="Times New Roman" w:cs="Times New Roman"/>
          <w:color w:val="000000"/>
          <w:sz w:val="24"/>
        </w:rPr>
        <w:t xml:space="preserve">h</w:t>
      </w:r>
      <w:r>
        <w:rPr>
          <w:rFonts w:ascii="SimSun" w:hAnsi="SimSun" w:eastAsia="SimSun" w:cs="SimSun"/>
          <w:color w:val="000000"/>
          <w:sz w:val="24"/>
        </w:rPr>
        <w:t xml:space="preserve">为相对航高，</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为相机焦距，</w:t>
      </w:r>
      <w:r>
        <w:rPr>
          <w:rFonts w:ascii="Times New Roman" w:hAnsi="Times New Roman" w:eastAsia="Times New Roman" w:cs="Times New Roman"/>
          <w:color w:val="000000"/>
          <w:sz w:val="24"/>
        </w:rPr>
        <w:t xml:space="preserve">GSD</w:t>
      </w:r>
      <w:r>
        <w:rPr>
          <w:rFonts w:ascii="SimSun" w:hAnsi="SimSun" w:eastAsia="SimSun" w:cs="SimSun"/>
          <w:color w:val="000000"/>
          <w:sz w:val="24"/>
        </w:rPr>
        <w:t xml:space="preserve">为地面分辨率，</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为像元尺寸大小。</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地面分辨率与成图比例尺对应关系</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72"/>
        <w:gridCol w:w="4572"/>
      </w:tblGrid>
      <w:tr>
        <w:trPr>
          <w:trHeight w:val="4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测图比例尺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地面分辨率（米）</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0.05</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在实际航飞过程中，由于地形、限飞区、补摄等限制，存在同一测区有多个不同航高的飞行架次。同一航线上相邻像片的航高差不应大于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米，最大航高与最小航高之差不应大于</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米，实际航高与设计航高之差不应大于</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米。</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）旋偏角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由于无人机体积小、重量轻等特点，使得其旋偏角一般较大，产生的原因主要有以下几个方面：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①云台与机身纵轴的平行关系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当云台的纵轴和机身的纵轴存在左右方向的夹角拍摄时，相机的方向则存在一个旋偏角，该旋偏角一般为一个固定值。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②机身与自驾仪的水平关系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如果自驾仪和机身的纵轴存在夹角，航测时飞机机身始终会与航向存在一个夹角，这就使得相机与航向之间也会存在一个夹角，最终会导致航片产生一个固定值的旋偏角。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③侧风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有侧风存在时，机身始终和航向存在着不规律的夹角，将导致相机和航向存在同样不规律的夹角。这种夹角是不固定的，虽然相机云台能及时纠正旋偏角，但由于无人机的云台的灵活性及补偿角度存在较大的误差，结果仍然存在导致相邻航片有着不规律的旋偏角。</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）重叠度</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确定航高之后，需要确定航向和旁向重叠度，下表所示为低空航空摄影需要达到的重叠度要求。</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重叠度要求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75"/>
        <w:gridCol w:w="5151"/>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航向重叠度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51"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60%~80%</w:t>
            </w:r>
            <w:r>
              <w:rPr>
                <w:rFonts w:ascii="SimSun" w:hAnsi="SimSun" w:eastAsia="SimSun" w:cs="SimSun"/>
                <w:color w:val="000000"/>
                <w:sz w:val="24"/>
              </w:rPr>
              <w:t xml:space="preserve">，最小不应小于</w:t>
            </w:r>
            <w:r>
              <w:rPr>
                <w:rFonts w:ascii="Times New Roman" w:hAnsi="Times New Roman" w:eastAsia="Times New Roman" w:cs="Times New Roman"/>
                <w:color w:val="000000"/>
                <w:sz w:val="24"/>
              </w:rPr>
              <w:t xml:space="preserve">53%</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旁向重叠度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1"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15%~60%</w:t>
            </w:r>
            <w:r>
              <w:rPr>
                <w:rFonts w:ascii="SimSun" w:hAnsi="SimSun" w:eastAsia="SimSun" w:cs="SimSun"/>
                <w:color w:val="000000"/>
                <w:sz w:val="24"/>
              </w:rPr>
              <w:t xml:space="preserve">，最小不应小于</w:t>
            </w:r>
            <w:r>
              <w:rPr>
                <w:rFonts w:ascii="Times New Roman" w:hAnsi="Times New Roman" w:eastAsia="Times New Roman" w:cs="Times New Roman"/>
                <w:color w:val="000000"/>
                <w:sz w:val="24"/>
              </w:rPr>
              <w:t xml:space="preserve">8%</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由于无人机在空中的飞行速度一般变化不大，可以认为是匀速飞行，因此根据相机的曝光频率就可以估算出影像的重叠范围，一方面辅助航线制作；另一方面，也可减少后续影像处理的运算量。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影像重叠度的估算不仅可以在航线设计的时候辅助制作航线，而且可为后续影像的特征提取、匹配、拼接提供支持，使得影像特征提取的搜索面积缩小，提高匹配的速度，同时还可减少误匹配的概率。</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）无人机参数设计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无人机主要为</w:t>
      </w:r>
      <w:r>
        <w:rPr>
          <w:rFonts w:ascii="Times New Roman" w:hAnsi="Times New Roman" w:eastAsia="Times New Roman" w:cs="Times New Roman"/>
          <w:color w:val="000000"/>
          <w:sz w:val="24"/>
        </w:rPr>
        <w:t xml:space="preserve">DJI</w:t>
      </w:r>
      <w:r>
        <w:rPr>
          <w:rFonts w:ascii="SimSun" w:hAnsi="SimSun" w:eastAsia="SimSun" w:cs="SimSun"/>
          <w:color w:val="000000"/>
          <w:sz w:val="24"/>
        </w:rPr>
        <w:t xml:space="preserve">精灵系列无人机，主要型号有精灵</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、精灵</w:t>
      </w:r>
      <w:r>
        <w:rPr>
          <w:rFonts w:ascii="Times New Roman" w:hAnsi="Times New Roman" w:eastAsia="Times New Roman" w:cs="Times New Roman"/>
          <w:color w:val="000000"/>
          <w:sz w:val="24"/>
        </w:rPr>
        <w:t xml:space="preserve">4PRO</w:t>
      </w:r>
      <w:r>
        <w:rPr>
          <w:rFonts w:ascii="SimSun" w:hAnsi="SimSun" w:eastAsia="SimSun" w:cs="SimSun"/>
          <w:color w:val="000000"/>
          <w:sz w:val="24"/>
        </w:rPr>
        <w:t xml:space="preserve">、精灵</w:t>
      </w:r>
      <w:r>
        <w:rPr>
          <w:rFonts w:ascii="Times New Roman" w:hAnsi="Times New Roman" w:eastAsia="Times New Roman" w:cs="Times New Roman"/>
          <w:color w:val="000000"/>
          <w:sz w:val="24"/>
        </w:rPr>
        <w:t xml:space="preserve">4RTK</w:t>
      </w:r>
      <w:r>
        <w:rPr>
          <w:rFonts w:ascii="SimSun" w:hAnsi="SimSun" w:eastAsia="SimSun" w:cs="SimSun"/>
          <w:color w:val="000000"/>
          <w:sz w:val="24"/>
        </w:rPr>
        <w:t xml:space="preserve">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本系列无人机装配固定式相机，航测时需进行相关参数设定。由分辨率要求、现场环境、限飞区信息确定飞行高度，通过设定定距拍摄及自动返航以完成航线规划；相机参数中，选择</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的照片比例、</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°的云台角度、畸变修正完成相机参数设置；重叠度设置中根据实测区实际情况设置航向及旁向重叠度。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3.2像控点布设方案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像控点布设是根据航摄影像、后序工艺流程及成图精度要求确定像片控制点的分布、密度和联测精度，决定了空三，数据采集、编辑和生产成果的各项精度。无人机航测的特点是小像幅、小基高比、大姿态角及高重叠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）像控点采集要求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①在外业布设像控点时，应采取两点一组的方式进行采集，各像控点需采集</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次，以平滑</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秒的标准进行采集，且前后两次采集的</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y</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z</w:t>
      </w:r>
      <w:r>
        <w:rPr>
          <w:rFonts w:ascii="SimSun" w:hAnsi="SimSun" w:eastAsia="SimSun" w:cs="SimSun"/>
          <w:color w:val="000000"/>
          <w:sz w:val="24"/>
        </w:rPr>
        <w:t xml:space="preserve">值差值均不超过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厘米。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②控制点应选择地物特征明显，杜绝选择墙角等高差变化较大的位置。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③高程控制点点位目标应选在高程变化较小的地方，以线状地物的交点和平山头为宜；狭沟、太尖的山顶和高程变化急剧的斜坡等，均不宜选作点位目标。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④测区内普遍难以找到合适的像控点目标时，航摄前应铺设地面标志。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⑤在较高建筑物附近布点时，应与建筑物保持一定距离，避免高楼对信号的干扰以及内业刺点时，控制点受到高楼遮挡。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⑥对于重叠度不够的布点：航向重叠度小于</w:t>
      </w: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被视为航摄漏洞，应以漏洞为界分段布点，漏洞部分外业补测。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⑦对于补飞航线结合处的布点：区域网中补飞航线结合处的布点应保证连接精度，一般可在结合处加布</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个平高控制点。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3.3无人机影像预处理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设备、天气和地形条件差异导致拍摄的无人机影像本身存在雾霭、偏色、阴影以及多影像间色调不一等问题，这些将影响正射影像图整体视觉效果和判读效果，已经超出了传统意义上图像噪声对图像品质造成的影响。只有通过匀光匀色过程，在逐个去除这些影响因素的前提下，才能顺利执行后续的数字图像的处理过程，才能保证最后“一张图”成图的效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实地核查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根据入库范围线，将地块边界套合在实地地形数据和正射影像上，实地巡视和测绘主要界址点，发现和确定项目范围内不满足新增耕地要求的地物，并对其范围进行测绘。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5.实地拍照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以记录实地现状为原则，按要求完成实地照片拍摄工作，记录项目实施后现状，并按要求制作现场照片成果。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手机或平板拍照要求：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（1）照片包括项目不同角度全景照片、局部近景照片。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（2）全景照片4张以上，达到南通市验收要求，不要拍摄冗余照片。拍摄点位置不要远离项目，应在项目范围内或边界上。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（3）全景照片应在项目实地拍摄，含项目实地卫星定位坐标、拍摄方位角、拍摄时间，能够反映项目实际利用现状。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（4）照片视野地类特征单一，角度必须完整覆盖项目，能够准确判读地类。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（5）具体拍摄要求须满足省市有关标准。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面积计算和汇总、绘图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入库范围线及现场实际情况，对照土地利用现状图，统计并计算各地类面积，还需根据实际完成施工范围线对比分析同样内容。面积计算表包括项目编号，位置和项目实施前、后地类及相应面积，扣减面积和原因，以及新增地类和相应面积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配合开展市核查后整改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根据市级核查意见完成整改和重新勘测定界，重新测算相关指标。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8.报告编写和成果整理归档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编写竣工勘测定界报告，工作报告、技术报告、验收确认报告等文档，整理成果并进行相关统计分析工作，汇总各类统计汇总表和文字成果等，过程中形成的各类档案进行整理归档。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9.土地整治项目审查备案</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耕地占补平衡项目地块在部、省相关系统完成信息录入，逻辑检查，合规审查，数据分析，图层处理及通过调查云实地拍照、录视频举证；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）内业信息录入。电脑端登录《耕地占补平衡动态监管系统》（网址：</w:t>
      </w:r>
      <w:hyperlink r:id="rId9" w:tooltip="http://tdzl.mlr.gov.cn/" w:history="1">
        <w:r>
          <w:rPr>
            <w:rStyle w:val="173"/>
            <w:rFonts w:ascii="Times New Roman" w:hAnsi="Times New Roman" w:eastAsia="Times New Roman" w:cs="Times New Roman"/>
            <w:color w:val="000000"/>
            <w:sz w:val="24"/>
            <w:u w:val="single"/>
          </w:rPr>
          <w:t xml:space="preserve">http://zbph.mlr.gov.cn/</w:t>
        </w:r>
      </w:hyperlink>
      <w:r>
        <w:rPr>
          <w:rFonts w:ascii="SimSun" w:hAnsi="SimSun" w:eastAsia="SimSun" w:cs="SimSun"/>
          <w:color w:val="000000"/>
          <w:sz w:val="24"/>
        </w:rPr>
        <w:t xml:space="preserve">），根据每个项目的立项、验收和备案等相关文件进行相关数据填写、矢量处理、文件上报及审核把关，逐级上报并最终形成可用指标，具体流程见下图</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5"/>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5"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5"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4991100" cy="27908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66836" name=""/>
                              <pic:cNvPicPr>
                                <a:picLocks noChangeAspect="1"/>
                              </pic:cNvPicPr>
                              <pic:nvPr/>
                            </pic:nvPicPr>
                            <pic:blipFill>
                              <a:blip/>
                              <a:stretch/>
                            </pic:blipFill>
                            <pic:spPr bwMode="auto">
                              <a:xfrm>
                                <a:off x="0" y="0"/>
                                <a:ext cx="4991099" cy="2790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3.0pt;height:219.8pt;mso-wrap-distance-left:0.0pt;mso-wrap-distance-top:0.0pt;mso-wrap-distance-right:0.0pt;mso-wrap-distance-bottom:0.0pt;" stroked="false">
                      <v:path textboxrect="0,0,0,0"/>
                    </v:shape>
                  </w:pict>
                </mc:Fallback>
              </mc:AlternateConten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图1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）外业举证。调查云及其他上级规定的外业核查</w:t>
      </w:r>
      <w:r>
        <w:rPr>
          <w:rFonts w:ascii="Times New Roman" w:hAnsi="Times New Roman" w:eastAsia="Times New Roman" w:cs="Times New Roman"/>
          <w:color w:val="000000"/>
          <w:sz w:val="24"/>
        </w:rPr>
        <w:t xml:space="preserve">APP</w:t>
      </w:r>
      <w:r>
        <w:rPr>
          <w:rFonts w:ascii="SimSun" w:hAnsi="SimSun" w:eastAsia="SimSun" w:cs="SimSun"/>
          <w:color w:val="000000"/>
          <w:sz w:val="24"/>
        </w:rPr>
        <w:t xml:space="preserve">软件，对新增耕地地块、设施农业项目逐地块进行外业拍照，每个地块拍摄</w:t>
      </w:r>
      <w:r>
        <w:rPr>
          <w:rFonts w:ascii="Times New Roman" w:hAnsi="Times New Roman" w:eastAsia="Times New Roman" w:cs="Times New Roman"/>
          <w:color w:val="000000"/>
          <w:sz w:val="24"/>
        </w:rPr>
        <w:t xml:space="preserve">6-9</w:t>
      </w:r>
      <w:r>
        <w:rPr>
          <w:rFonts w:ascii="SimSun" w:hAnsi="SimSun" w:eastAsia="SimSun" w:cs="SimSun"/>
          <w:color w:val="000000"/>
          <w:sz w:val="24"/>
        </w:rPr>
        <w:t xml:space="preserve">张照片，至少一段不少于</w:t>
      </w:r>
      <w:r>
        <w:rPr>
          <w:rFonts w:ascii="Times New Roman" w:hAnsi="Times New Roman" w:eastAsia="Times New Roman" w:cs="Times New Roman"/>
          <w:color w:val="000000"/>
          <w:sz w:val="24"/>
        </w:rPr>
        <w:t xml:space="preserve">1 5</w:t>
      </w:r>
      <w:r>
        <w:rPr>
          <w:rFonts w:ascii="SimSun" w:hAnsi="SimSun" w:eastAsia="SimSun" w:cs="SimSun"/>
          <w:color w:val="000000"/>
          <w:sz w:val="24"/>
        </w:rPr>
        <w:t xml:space="preserve">秒的视频，</w:t>
      </w:r>
      <w:r>
        <w:rPr>
          <w:rFonts w:ascii="Times New Roman" w:hAnsi="Times New Roman" w:eastAsia="Times New Roman" w:cs="Times New Roman"/>
          <w:color w:val="000000"/>
          <w:sz w:val="24"/>
        </w:rPr>
        <w:t xml:space="preserve">AAP</w:t>
      </w:r>
      <w:r>
        <w:rPr>
          <w:rFonts w:ascii="SimSun" w:hAnsi="SimSun" w:eastAsia="SimSun" w:cs="SimSun"/>
          <w:color w:val="000000"/>
          <w:sz w:val="24"/>
        </w:rPr>
        <w:t xml:space="preserve">二维码见下图</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953000" cy="29718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48016" name=""/>
                        <pic:cNvPicPr>
                          <a:picLocks noChangeAspect="1"/>
                        </pic:cNvPicPr>
                        <pic:nvPr/>
                      </pic:nvPicPr>
                      <pic:blipFill>
                        <a:blip/>
                        <a:stretch/>
                      </pic:blipFill>
                      <pic:spPr bwMode="auto">
                        <a:xfrm>
                          <a:off x="0" y="0"/>
                          <a:ext cx="4952999" cy="2971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0.0pt;height:234.0pt;mso-wrap-distance-left:0.0pt;mso-wrap-distance-top:0.0pt;mso-wrap-distance-right:0.0pt;mso-wrap-distance-bottom:0.0pt;" stroked="false">
                <v:path textboxrect="0,0,0,0"/>
              </v:shape>
            </w:pict>
          </mc:Fallback>
        </mc:AlternateContent>
      </w:r>
      <w:r>
        <w:rPr>
          <w:rFonts w:ascii="KaiTi" w:hAnsi="KaiTi" w:eastAsia="KaiTi" w:cs="KaiT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）数据资料审核备份。须对全部数据资料规范性、完整性、一致性、合规性及真实性进行审核并上报，并对真实性负责。全套数据资料留存备份。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南通市通州自然资源和规划局要求的其他相关工作。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三、测绘基准及技术要求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1.平面坐标系统：采用2000国家大地坐标系。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2.高程系统：采用1985国家高程基准。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3.投影方式：采用高斯-克吕格投影，按3°分带,中央子午线为120°。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4.耕地最小上图面积：新增耕地面积不小于200平方米。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5.计量单位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长度单位采用米（m）；面积计算单位采用平方米（㎡）；面积统计汇总单位采用公顷（h㎡）和亩。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设备包括GNSS定位测量设备、手持激光测距仪、全站仪、无人机；互联网拍照设备；计算机、平板电脑、软件系统；移动通信设备、交通工具等。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四、项目服务期</w:t>
      </w:r>
      <w:r/>
    </w:p>
    <w:p>
      <w:pPr>
        <w:ind w:left="0" w:right="0" w:firstLine="2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合同签订后1年，必须在采购人规定的时间内分期分批完成通州区城乡建设用地增减挂钩和耕地占补平衡项目区级核验管理服务及其他相关工作。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）合同签订后，根据验收进度拨付。完成区级初验上报市级验收后根据完成工程量拨付</w:t>
      </w:r>
      <w:r>
        <w:rPr>
          <w:rFonts w:ascii="Times New Roman" w:hAnsi="Times New Roman" w:eastAsia="Times New Roman" w:cs="Times New Roman"/>
          <w:b/>
          <w:color w:val="000000"/>
          <w:sz w:val="24"/>
        </w:rPr>
        <w:t xml:space="preserve">40%</w:t>
      </w:r>
      <w:r>
        <w:rPr>
          <w:rFonts w:ascii="SimSun" w:hAnsi="SimSun" w:eastAsia="SimSun" w:cs="SimSun"/>
          <w:b/>
          <w:color w:val="000000"/>
          <w:sz w:val="24"/>
        </w:rPr>
        <w:t xml:space="preserve">，通过市级验收后拨付至完成工程量的</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，完成省备案后拨付尾款。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）乙方凭经采购合同、验收批复证明及正式发票，按规定进行资金结算，否则采购人有权拒付且不承担任何违约责任。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六、约定事项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、本项目实施人员必须是投标文件中提供的人员，中标供应商不得以任何原因和方式将合同转包、分包或雇用其他作业人员进行生产。一经发现有上述情况的，将按违约处理，采购人有权拒付合同额。</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2、本项目最终成果的检查验收由采购人组织，其经费由中标供应商承担。</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3、由于中标方责任造成的项目违约，由中标人向招标人支付合同最高金额的20%作为违约金。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、投标人的投标报价，在合同实施期间，中标价不随国家政策或法规、标准及任何市场因素的变化而进行调整。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、中标供应商在履行合同过程中，一切安全责任由中标供应商承担，采购人不承担任何责任。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6、中标供应商提供的服务必须全部达到采购文件各项要求，国家或行业有规定的，还要符合相应规定。</w:t>
      </w:r>
      <w:r/>
    </w:p>
    <w:p>
      <w:pPr>
        <w:ind w:left="0" w:right="0" w:firstLine="2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通州区2026年度城乡建设用地增减挂钩和耕地占补平衡项目区级核验管理服务项目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第五章评审方法和评审标准</w:t>
      </w:r>
      <w:r/>
    </w:p>
    <w:p>
      <w:pPr>
        <w:ind w:left="0" w:right="0" w:firstLine="44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一、政府采购政策功能落实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本项目专门面向中小企业采购，专门面向中小企业采购的项目不再执行价格扣除政策。</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二、评审方法与评审标准</w:t>
      </w:r>
      <w:r/>
    </w:p>
    <w:p>
      <w:pPr>
        <w:ind w:left="0" w:right="0" w:firstLine="49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本项目的评审方法-综合评分法</w:t>
      </w:r>
      <w:r/>
    </w:p>
    <w:p>
      <w:pPr>
        <w:ind w:left="0" w:right="0" w:firstLine="49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经磋商确定最终采购需求和提交报价的供应商后，由磋商小组采用综合评分法对提交报价的供应商的响应文件和报价进行综合评分。</w:t>
      </w:r>
      <w:r/>
    </w:p>
    <w:p>
      <w:pPr>
        <w:ind w:left="0" w:right="0" w:firstLine="49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494"/>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评审时，磋商小组各成员应当独立对每个有效响应的文件进行评价、打分，然后汇总每个供应商每项评分因素的得分。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（一）审查响应文件的有效性、完整性、响应程度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1、要求的保证金是否已提供（本次不执行）；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2、网上是否上传响应文件;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3、供应商资格是否符合;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4、响应文件是否完整；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5、响应文件是否恰当地签署；</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6、是否作出实质性响应（</w:t>
      </w:r>
      <w:r>
        <w:rPr>
          <w:rFonts w:ascii="SimSun" w:hAnsi="SimSun" w:eastAsia="SimSun" w:cs="SimSun"/>
          <w:b/>
          <w:color w:val="000000"/>
          <w:sz w:val="24"/>
        </w:rPr>
        <w:t xml:space="preserve">是否有实质性响应，只根据响应文件本身，而不寻求外部证据）；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7、是否有计算错误。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（二）误差纠正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1、如果单价汇总金额与总价金额有出入，以单价金额计算结果为准；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2、单价金额小数点有明显错位的，应以总价为准；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3、若文件大写表示的数据与数字表示的有差别，以大写表示的数据为准。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（三）出现下列情形之一的，作无效响应处理</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1、未按照磋商文件规定要求签署、盖章的；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2、未完整上传响应文件电子文档的,或上传的文件打不开的；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3、不具备磋商文件中规定的资格要求的；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4、响应报价超出预算的；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5、不符合法律、法规和磋商文件中规定的其他实质性要求的。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（四）出现下列情形之一的，磋商失败</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1、符合条件的供应商或者对磋商文件作实质响应的供应商不足3家的（市场竞争不充分的科研项目，以及需要扶持的科技成果转化项目可以是2家）；</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left="0" w:right="0" w:firstLine="28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三、评标程序</w:t>
      </w:r>
      <w:r/>
    </w:p>
    <w:p>
      <w:pPr>
        <w:ind w:left="0" w:right="0" w:firstLine="48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资格审查通过后，进行技术标评分，所有投标单位产生最终报价后，再进行价格标评分，综合得分由高到低顺序排名，综合得分排名第一的为中标人。</w:t>
      </w:r>
      <w:r/>
    </w:p>
    <w:p>
      <w:pPr>
        <w:ind w:left="0" w:right="0" w:firstLine="55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（3）法定代表人授权委托书（如有授权）；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（5）具有行政主管部门颁发的甲级测绘资质证书，专业范围必须同时包含工程测量、界线与不动产测绘、摄影测量与遥感；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（6）2024或2025年度的财务审计报告（成立不满一年无需提供）或投标截止时间前三个月（不含投标截止时间当月）中任意一个月的银行资信证明；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single"/>
        </w:rPr>
        <w:t xml:space="preserve">拟派项目负责人、委托代理人与企业签订的有效劳动合同，投标企业所在地社保机构出具的由企业为拟派项目负责人、委托代理人缴纳的投标截止时间前三个月（不含投标截止时间当月）至少一个月的养老保险缴费证明或依法免除的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（10）参加政府采购活动前 3 年内在经营活动中没有重大违法记录的书面声明；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（11）（a）中小企业声明函（本项目专门面向中小企业采购）；</w:t>
      </w:r>
      <w:r/>
    </w:p>
    <w:p>
      <w:pPr>
        <w:ind w:left="0" w:right="0" w:firstLine="12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（b）监狱企业证明函（如符合监狱企业的需提供）；</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（c）残疾人福利性单位声明函（如符合残疾人福利性单位的需提供）。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上述（1）—（11）中任何一条不符合要求，则资格性审查不通过，按无效标处理。</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numPr>
          <w:ilvl w:val="0"/>
          <w:numId w:val="3"/>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w:t>
      </w:r>
      <w:r/>
    </w:p>
    <w:p>
      <w:pPr>
        <w:ind w:left="0" w:right="0" w:firstLine="482"/>
        <w:jc w:val="both"/>
        <w:spacing w:before="0" w:after="0" w:line="55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商务技术标评审标准（分值70分）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1063"/>
        <w:gridCol w:w="7082"/>
      </w:tblGrid>
      <w:tr>
        <w:trPr>
          <w:trHeight w:val="15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商务技术部分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实力信誉（10分）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1、投标人曾获得省级及以上测绘主管部门颁发的“质量优秀单位”称号的得4分，没有不得分。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2、投标人具有省级及以上市场监督管理部门颁发的检验检测机构资质认定证书且附表中包含界址点平面坐标和界址边长的得4分。没有或缺项不得分。</w:t>
            </w:r>
            <w:r/>
          </w:p>
        </w:tc>
      </w:tr>
      <w:tr>
        <w:trPr>
          <w:trHeight w:val="6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人具有国家版权局颁发软件著作权（与航摄影像处理、遥感影像地物智能提取相关）证书，有一个得1分，本项最高2分。(注：提供证书复印件，软件著作权证书获得时间必须为本项目招标公告发布日之前，否则不得分。)</w:t>
            </w:r>
            <w:r/>
          </w:p>
        </w:tc>
      </w:tr>
      <w:tr>
        <w:trPr>
          <w:trHeight w:val="8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工作业绩（6分）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1、投标人2021年4月1日以来（以合同签订时间为准）承担过县级及以上城乡建设用地增减挂钩和耕地占补平衡项目（含土地整治竣工验收管理服务项目）的，有一个得2分，本项最高得6分。没有不得分。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（提供合同扫描件，不提供不得分）</w:t>
            </w:r>
            <w:r/>
          </w:p>
        </w:tc>
      </w:tr>
      <w:tr>
        <w:trPr>
          <w:trHeight w:val="2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拟投入</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技术力量（17分）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1、项目负责人具有测绘高级职称证书或注册测绘师证书或省级及以上技术能手证书的有1项得2分。本项最高得6分。没有不得分。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2、项目技术负责人具有测绘高级职称证书或计算机系统分析师高级职称证书或数据库系统工程师中级及以上职称证书的有1项得2分。本项最高得6分。没有不得分。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3、数据审核负责人同时具有人力资源和社会保障部门颁发的信息系统项目管理师高级职称和测绘中级(或以上)工程师职称证书的，得3分,没有不得分。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4、投入本项目其他技术人员具有测绘类工程师及以上职称证书达6人的得2分，不足或没有不得分。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（以上人员不可重复计算，提供相关证书的扫描件及供应商为其缴纳的投标截止时间前三个月（不含投标截止时间当月）中任意一个月的社保证明材料，人员较多时请醒目标注。不提供不得分)</w:t>
            </w:r>
            <w:r/>
          </w:p>
        </w:tc>
      </w:tr>
      <w:tr>
        <w:trPr>
          <w:trHeight w:val="2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技术方案（18分）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1、评委根据投标单位对本项目的理解程度和制定的技术方案进行评审，方案满足或优于项目需求的得7分；有一定关联的得4分；欠合理的得2分,未提供的不得分。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2、评委根据投标单位提供针对本项目研究工作开展技术路线分析（根据项目特征，梳理技术路线）进行评分，方案满足或优于项目需求的得7分；有一定关联的得4分；欠合理的得2分,未提供的不得分。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3、评委根据投标单位针对本项目的成果要求，拟定的成果方案进行评审。方案满足或优于项目需求的得4分；有一定关联的得2分；欠合理的得1分,未提供的不得分。</w:t>
            </w:r>
            <w:r/>
          </w:p>
        </w:tc>
      </w:tr>
      <w:tr>
        <w:trPr>
          <w:trHeight w:val="4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工作方案（15分）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对项目组织设置是否完备、各项制度是否健全、责任分工是否明确、人员投入是否充分等情况进行打分，（方案完备、健全、合理，完全适应本项目实施需要的得5分，方案和本项目实施需要的有一定关联的得3分，方案不完备、不健全、不合理，不能适应本项目实施需要的得1分。）没有内容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对项目进度安排合理性、工作衔接和工序管理科学性进行打分，（方案的合理性、科学性、可行性符合或优于本项目需求的得5分，方案的合理性、科学性、可行性和本项目有一定关联的的得3分，方案安排欠合理、科学性、可行性欠合理的得1分。）没有内容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对质量管理组织是否健全、质量保证措施是否得当、质量管理关键点分析及应对是否合理等进行打分，（方案健全、措施得当、分析合理、可行性及完备程度高的得5分，方案的措施分析、可行性及完备程度和本项目有一定关联的得3分，方案、措施、分析、可行性及完备程度欠合理的得1分。）没有内容不得分。</w:t>
            </w:r>
            <w:r/>
          </w:p>
        </w:tc>
      </w:tr>
      <w:tr>
        <w:trPr>
          <w:trHeight w:val="75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后期服务（4分）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后期服务方案中响应及时并能提供保质保量等优化服务的得4分；有一定关联的的得2分。</w:t>
            </w:r>
            <w:r/>
          </w:p>
        </w:tc>
      </w:tr>
    </w:tbl>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（三）、价格标文件（满分30分）</w:t>
      </w:r>
      <w:r/>
    </w:p>
    <w:p>
      <w:pPr>
        <w:numPr>
          <w:ilvl w:val="0"/>
          <w:numId w:val="4"/>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磋商小组认定供应商的投标报价明显低于成本价的为无效报价）；</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=（评标基准价/报价）×100%×30</w:t>
      </w:r>
      <w:r>
        <w:rPr>
          <w:rFonts w:ascii="SimSun" w:hAnsi="SimSun" w:eastAsia="SimSun" w:cs="SimSun"/>
          <w:b/>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本项目总单价最高限价为：200元/亩，投标报价超过最高限价的为无效投标。</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14"/>
        <w:ind w:left="0" w:right="0" w:firstLine="482"/>
        <w:spacing w:before="0" w:after="0" w:line="76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政府采购评审中出现下列情形之一的，磋商小组应当启动异常低价投标（响应）审查程序：</w:t>
      </w:r>
      <w:r/>
    </w:p>
    <w:p>
      <w:pPr>
        <w:pStyle w:val="14"/>
        <w:numPr>
          <w:ilvl w:val="0"/>
          <w:numId w:val="5"/>
        </w:numPr>
        <w:spacing w:before="0" w:after="0" w:line="761"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14"/>
        <w:numPr>
          <w:ilvl w:val="0"/>
          <w:numId w:val="5"/>
        </w:numPr>
        <w:spacing w:before="0" w:after="0" w:line="761"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14"/>
        <w:numPr>
          <w:ilvl w:val="0"/>
          <w:numId w:val="5"/>
        </w:numPr>
        <w:spacing w:before="0" w:after="0" w:line="761"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14"/>
        <w:numPr>
          <w:ilvl w:val="0"/>
          <w:numId w:val="5"/>
        </w:numPr>
        <w:spacing w:before="0" w:after="0" w:line="761"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磋商小组基于专业判断，认为供应商报价过低，有可能影响产品质量或者不能诚信履约的其他情形。</w:t>
      </w:r>
      <w:r/>
    </w:p>
    <w:p>
      <w:pPr>
        <w:pStyle w:val="14"/>
        <w:ind w:left="0" w:right="0" w:firstLine="482"/>
        <w:spacing w:before="0" w:after="0" w:line="76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4、由磋商小组根据中标候选人排序确定第一中标候选人为中标人。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5、中标人放弃中标，因不可抗力提出不能履行合同，或者招标文件规定应当提交履约担保而在规定期限内未能提交的，招标人将按规定取消中标人资格。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12"/>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同资格审查要求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3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3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价格标材料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项目名称：通州区2026年度城乡建设用地增减挂钩和耕地占补平衡项目区级核验管理服务项目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（人民币：元/亩）</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711"/>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2711"/>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号采购文件，正式授权下述签字人_________________(姓名)代表我方______________（磋商人的名称），全权处理本次项目投标的有关事宜。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1.按采购文件规定的各项要求，向买方提供所需货物或服务或完成采购人提出的工程建设需求。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2.我们完全理解贵方不一定将合同授予最低报价的磋商人。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3.我们已详细审核全部采购文件及其有效补充文件，我们知道必须放弃提出含糊不清或误解问题的权利。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6.一旦我方中标,我方将根据采购文件的规定，严格履行合同的责任和义务,并保证在采购文件规定的时间完成项目，交付买方验收、使用。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办理政采贷和履约保函（保险）告知函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icrosoft YaHei">
    <w:panose1 w:val="020B0503020204020204"/>
  </w:font>
  <w:font w:name="Times New Roman">
    <w:panose1 w:val="02020603050405020304"/>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tdzl.mlr.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1</cp:revision>
  <dcterms:created xsi:type="dcterms:W3CDTF">2026-03-31T05:17:35Z</dcterms:created>
  <dcterms:modified xsi:type="dcterms:W3CDTF">2026-03-31T05:20:17Z</dcterms:modified>
</cp:coreProperties>
</file>