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198F">
      <w:pPr>
        <w:pStyle w:val="2"/>
        <w:jc w:val="center"/>
      </w:pPr>
      <w:bookmarkStart w:id="0" w:name="_GoBack"/>
      <w:bookmarkEnd w:id="0"/>
      <w:r>
        <w:rPr>
          <w:rFonts w:hint="eastAsia"/>
        </w:rPr>
        <w:t>编制说明</w:t>
      </w:r>
    </w:p>
    <w:p w14:paraId="599B77BE">
      <w:pPr>
        <w:tabs>
          <w:tab w:val="left" w:pos="630"/>
        </w:tabs>
        <w:spacing w:line="5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一、编制依据</w:t>
      </w:r>
    </w:p>
    <w:p w14:paraId="0FDFDEC9">
      <w:pPr>
        <w:spacing w:line="520" w:lineRule="exact"/>
        <w:ind w:firstLine="240" w:firstLineChars="1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、本工程执行现行国家标准《建设工程工程量清单计价规范》（GB50500-2013）、《建筑与装饰工程工程量计算规范》(GB50854-2013)、《通用安装工程工程量计算规范》（GB50856-2013）、《市政工程工程量计算规范》（GB50857-2013）《江苏省建筑与装饰工程计价定额》、《江苏省安装工程计价定额》、《江苏省市政工程计价定额》（2014年），《江苏省建设工程费用定额》（2014年）含营改增后调整内容及苏建函价[2019]178号文件关于建筑业税率率调整的通知。</w:t>
      </w:r>
    </w:p>
    <w:p w14:paraId="60DF497A">
      <w:pPr>
        <w:spacing w:line="52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、不可竞争费用：执行《江苏省建设工程费用定额》（2014）的各项要求，该项费用按《江苏省建设工程费用定额》（2014）文件规定计算。（不可竞争费包括：安全文明施工措施费、社会保险费、住房公积金、税金）。</w:t>
      </w:r>
    </w:p>
    <w:p w14:paraId="0FBC1179">
      <w:pPr>
        <w:spacing w:line="520" w:lineRule="exact"/>
        <w:ind w:firstLine="240" w:firstLineChars="1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3、人工费按苏建函价[202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]</w:t>
      </w:r>
      <w:r>
        <w:rPr>
          <w:rFonts w:hint="eastAsia" w:ascii="宋体" w:hAnsi="宋体" w:cs="宋体"/>
          <w:bCs/>
          <w:sz w:val="24"/>
          <w:lang w:val="en-US" w:eastAsia="zh-CN"/>
        </w:rPr>
        <w:t>273</w:t>
      </w:r>
      <w:r>
        <w:rPr>
          <w:rFonts w:hint="eastAsia" w:ascii="宋体" w:hAnsi="宋体" w:cs="宋体"/>
          <w:bCs/>
          <w:sz w:val="24"/>
        </w:rPr>
        <w:t>号，材料价按202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</w:rPr>
        <w:t>月份睢宁县部分建筑材料参考价或徐州市202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年第</w:t>
      </w:r>
      <w:r>
        <w:rPr>
          <w:rFonts w:hint="eastAsia" w:ascii="宋体" w:hAnsi="宋体" w:cs="宋体"/>
          <w:bCs/>
          <w:sz w:val="24"/>
          <w:lang w:val="en-US" w:eastAsia="zh-CN"/>
        </w:rPr>
        <w:t>11</w:t>
      </w:r>
      <w:r>
        <w:rPr>
          <w:rFonts w:hint="eastAsia" w:ascii="宋体" w:hAnsi="宋体" w:cs="宋体"/>
          <w:bCs/>
          <w:sz w:val="24"/>
        </w:rPr>
        <w:t>期指导价及市场价。。</w:t>
      </w:r>
    </w:p>
    <w:p w14:paraId="73DB6EA1">
      <w:pPr>
        <w:tabs>
          <w:tab w:val="left" w:pos="630"/>
        </w:tabs>
        <w:spacing w:line="52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二、工程概况</w:t>
      </w:r>
    </w:p>
    <w:p w14:paraId="6FC2C770">
      <w:pPr>
        <w:tabs>
          <w:tab w:val="left" w:pos="630"/>
        </w:tabs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1、工程名称：</w:t>
      </w:r>
      <w:r>
        <w:rPr>
          <w:rFonts w:hint="eastAsia" w:ascii="宋体" w:hAnsi="宋体"/>
          <w:bCs/>
          <w:sz w:val="24"/>
          <w:lang w:val="en-US" w:eastAsia="zh-CN"/>
        </w:rPr>
        <w:t>金城街道2026年度村级公益事业一事一议财政奖补项目采购包2；</w:t>
      </w:r>
    </w:p>
    <w:p w14:paraId="60D43EAE">
      <w:pPr>
        <w:pStyle w:val="4"/>
        <w:widowControl/>
        <w:spacing w:before="0" w:after="0" w:line="360" w:lineRule="auto"/>
        <w:rPr>
          <w:rFonts w:hint="default" w:ascii="宋体" w:hAnsi="宋体" w:cs="宋体"/>
          <w:bCs/>
          <w:lang w:val="en-US"/>
        </w:rPr>
      </w:pPr>
      <w:r>
        <w:rPr>
          <w:rFonts w:hint="eastAsia" w:ascii="宋体" w:hAnsi="宋体" w:cs="宋体"/>
          <w:bCs/>
        </w:rPr>
        <w:t>2、工程地点：</w:t>
      </w:r>
      <w:r>
        <w:rPr>
          <w:rFonts w:hint="eastAsia" w:ascii="宋体" w:hAnsi="宋体"/>
          <w:sz w:val="24"/>
          <w:lang w:val="en-US" w:eastAsia="zh-CN"/>
        </w:rPr>
        <w:t>江苏省徐州市睢宁县金城街道；</w:t>
      </w:r>
    </w:p>
    <w:p w14:paraId="6C5CA942">
      <w:pPr>
        <w:spacing w:line="400" w:lineRule="exact"/>
        <w:rPr>
          <w:rFonts w:hint="eastAsia"/>
        </w:rPr>
      </w:pPr>
      <w:r>
        <w:rPr>
          <w:rFonts w:hint="eastAsia" w:ascii="宋体" w:hAnsi="宋体" w:eastAsia="宋体" w:cs="宋体"/>
          <w:bCs/>
          <w:kern w:val="1"/>
          <w:sz w:val="24"/>
          <w:szCs w:val="24"/>
          <w:lang w:val="en-US" w:eastAsia="zh-CN" w:bidi="ar"/>
        </w:rPr>
        <w:t>3、工程规模：</w:t>
      </w:r>
      <w:r>
        <w:rPr>
          <w:rFonts w:hint="eastAsia" w:ascii="宋体" w:hAnsi="宋体" w:cs="宋体"/>
          <w:bCs/>
          <w:kern w:val="1"/>
          <w:sz w:val="24"/>
          <w:szCs w:val="24"/>
          <w:lang w:val="en-US" w:eastAsia="zh-CN" w:bidi="ar"/>
        </w:rPr>
        <w:t>道路铺设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</w:p>
    <w:p w14:paraId="4DF3B2E8">
      <w:pPr>
        <w:tabs>
          <w:tab w:val="left" w:pos="630"/>
        </w:tabs>
        <w:spacing w:line="520" w:lineRule="exac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4、工程类别：</w:t>
      </w:r>
      <w:r>
        <w:rPr>
          <w:rFonts w:hint="eastAsia"/>
          <w:sz w:val="24"/>
          <w:lang w:val="en-US" w:eastAsia="zh-CN"/>
        </w:rPr>
        <w:t>市政工程；</w:t>
      </w:r>
    </w:p>
    <w:p w14:paraId="642600DA">
      <w:pPr>
        <w:tabs>
          <w:tab w:val="left" w:pos="630"/>
        </w:tabs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三、编制说明</w:t>
      </w:r>
    </w:p>
    <w:p w14:paraId="619FD78E">
      <w:pPr>
        <w:suppressAutoHyphens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Cs/>
          <w:sz w:val="24"/>
        </w:rPr>
        <w:t>1、</w:t>
      </w:r>
      <w:r>
        <w:rPr>
          <w:rFonts w:hint="eastAsia" w:ascii="宋体" w:hAnsi="宋体"/>
          <w:sz w:val="24"/>
        </w:rPr>
        <w:t>工程量按业主提供.实际不符时以现场为准。</w:t>
      </w:r>
    </w:p>
    <w:p w14:paraId="20D79718">
      <w:pPr>
        <w:suppressAutoHyphens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2、、</w:t>
      </w:r>
      <w:r>
        <w:rPr>
          <w:rFonts w:hint="eastAsia" w:ascii="宋体" w:hAnsi="宋体"/>
          <w:sz w:val="24"/>
          <w:lang w:val="en-US" w:eastAsia="zh-CN"/>
        </w:rPr>
        <w:t>本项目无</w:t>
      </w:r>
      <w:r>
        <w:rPr>
          <w:rFonts w:hint="eastAsia" w:ascii="宋体" w:hAnsi="宋体"/>
          <w:sz w:val="24"/>
        </w:rPr>
        <w:t>图纸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清单是按常规做法描述和计算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结算按施工做法进行调整。</w:t>
      </w:r>
    </w:p>
    <w:p w14:paraId="1BFDD49E">
      <w:pPr>
        <w:suppressAutoHyphens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、未尽事项按设计要求及规范计算，最终结果按实结算。</w:t>
      </w:r>
    </w:p>
    <w:p w14:paraId="4F832A1D">
      <w:pPr>
        <w:tabs>
          <w:tab w:val="left" w:pos="0"/>
        </w:tabs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四、取费</w:t>
      </w:r>
    </w:p>
    <w:p w14:paraId="30E4C9B6">
      <w:pPr>
        <w:numPr>
          <w:ilvl w:val="0"/>
          <w:numId w:val="1"/>
        </w:numPr>
        <w:tabs>
          <w:tab w:val="left" w:pos="630"/>
        </w:tabs>
        <w:spacing w:line="52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措施费及规费取值按照下图附表；</w:t>
      </w:r>
    </w:p>
    <w:tbl>
      <w:tblPr>
        <w:tblStyle w:val="5"/>
        <w:tblW w:w="9018" w:type="dxa"/>
        <w:tblInd w:w="-27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753"/>
        <w:gridCol w:w="818"/>
        <w:gridCol w:w="818"/>
        <w:gridCol w:w="970"/>
        <w:gridCol w:w="1248"/>
        <w:gridCol w:w="2826"/>
      </w:tblGrid>
      <w:tr w14:paraId="7A1CE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A186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EB0E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7DEF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建筑费率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（%）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7361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安装费率（%）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4CADF3">
            <w:pPr>
              <w:widowControl/>
              <w:tabs>
                <w:tab w:val="left" w:pos="355"/>
              </w:tabs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市政费率（%）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98545">
            <w:pPr>
              <w:widowControl/>
              <w:tabs>
                <w:tab w:val="left" w:pos="355"/>
              </w:tabs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园林费率</w:t>
            </w:r>
          </w:p>
        </w:tc>
        <w:tc>
          <w:tcPr>
            <w:tcW w:w="28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4C79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5909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80D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9DA5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安全文明施工费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E1F6F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1149E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81E9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C2E5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B71CA3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837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338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EF5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基本费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C2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D38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1DE1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6EC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B5B24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0F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96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4E2E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增加费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DE0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3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70A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2D1E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94BB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D164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85A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B712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扬尘污染防治增加费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B41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7801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2CB5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0.31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C12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381EB6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F3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DBF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0A9D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夜间施工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5F0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D65BD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DCECF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3EEBC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F58BC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7A12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632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72BD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非夜间施工照明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0CD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B872D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80238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973F1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A0F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ACD2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4AC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D07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二次搬运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D8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3ABF5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9EBD3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262B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7872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429D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0F5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8B4F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冬雨季施工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DBD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93B6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00D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A2B2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B1231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D91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6A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336B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地上、地下设施、建筑物的临时保护设施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8F0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C887C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A85C3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0DAE9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2F33B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E49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9C86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628F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已完工程及设备保护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4F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1FCBF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AE46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2C7B7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E2F79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96A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C70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48EF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临时设施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F02C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CEF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64FE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44E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83D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8B5A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0D1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E7BF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赶工措施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349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9052A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8528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638C6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3F06AF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A71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633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F9E8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工程按质论价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D87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2622C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7D6D3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51199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60DB9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E00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1FD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FC6B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住宅分户验收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28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B0B1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EF14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969F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B6F3C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A9D7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7A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F47B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建筑工人实名制费用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00B9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D148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B0E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0BD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B61A7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50B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5DF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6B6B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智慧工地费用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F8DD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5110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67FF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3ED0E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510AD8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8709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7D18E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81975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规费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4A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88636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4F9CE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5AB7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AA8E1E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7B9B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470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E4C9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社会保险费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2AE4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5E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0BE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96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B6D95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B50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CFC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29BF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住房公积金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3951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BF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2D7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0.34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D0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1A096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2E60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ADA3D8D">
            <w:pP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337F8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税金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FE0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406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08FFF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F692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63A7A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A557020">
      <w:pPr>
        <w:tabs>
          <w:tab w:val="left" w:pos="0"/>
        </w:tabs>
        <w:rPr>
          <w:rFonts w:ascii="宋体" w:hAnsi="宋体" w:cs="宋体"/>
          <w:color w:val="000000"/>
          <w:sz w:val="24"/>
        </w:rPr>
      </w:pPr>
    </w:p>
    <w:p w14:paraId="44B07571"/>
    <w:sectPr>
      <w:headerReference r:id="rId4" w:type="first"/>
      <w:headerReference r:id="rId3" w:type="default"/>
      <w:pgSz w:w="11906" w:h="16838"/>
      <w:pgMar w:top="1440" w:right="1493" w:bottom="1440" w:left="1688" w:header="851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9B67">
    <w:pPr>
      <w:pStyle w:val="3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05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FF531"/>
    <w:multiLevelType w:val="singleLevel"/>
    <w:tmpl w:val="985FF5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DBjMmI3YTViZDBlMGZjNjE4ZGY4MTFmYmM3MTkifQ=="/>
  </w:docVars>
  <w:rsids>
    <w:rsidRoot w:val="00000000"/>
    <w:rsid w:val="089B7C07"/>
    <w:rsid w:val="157A560E"/>
    <w:rsid w:val="5C0D60D1"/>
    <w:rsid w:val="6AB0378B"/>
    <w:rsid w:val="6AF90EF0"/>
    <w:rsid w:val="70E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280" w:after="280"/>
      <w:ind w:left="0" w:right="0" w:firstLine="0"/>
      <w:jc w:val="left"/>
    </w:pPr>
    <w:rPr>
      <w:kern w:val="1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820</Characters>
  <Lines>0</Lines>
  <Paragraphs>0</Paragraphs>
  <TotalTime>5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2023-07-05T11:30:00Z</dcterms:created>
  <dc:creator>Administrator</dc:creator>
  <cp:lastModifiedBy>泡泡</cp:lastModifiedBy>
  <dcterms:modified xsi:type="dcterms:W3CDTF">2026-03-16T01:35:50Z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C73F4F06499C42888419EC0D67FFABE2_13</vt:lpwstr>
  </property>
  <property fmtid="{D5CDD505-2E9C-101B-9397-08002B2CF9AE}" pid="4" name="KSOTemplateDocerSaveRecord">
    <vt:lpwstr>eyJoZGlkIjoiNGFkNGZmZDAxZmM1MTg5OWIxYmQ1YThlNDRiNDFhODIifQ==</vt:lpwstr>
  </property>
</Properties>
</file>