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spacing w:before="120" w:beforeAutospacing="0" w:after="120" w:afterAutospacing="0" w:line="360" w:lineRule="auto"/>
        <w:rPr>
          <w:highlight w:val="none"/>
        </w:rPr>
      </w:pPr>
      <w:r>
        <w:rPr>
          <w:highlight w:val="none"/>
        </w:rPr>
        <w:t xml:space="preserve"> </w:t>
      </w:r>
      <w:r/>
    </w:p>
    <w:p>
      <w:pPr>
        <w:pStyle w:val="82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2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2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2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24"/>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24"/>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24"/>
        <w:jc w:val="center"/>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滨海县人民医院数据中心运维采购项目（三次）</w:t>
      </w:r>
      <w:r/>
    </w:p>
    <w:p>
      <w:pPr>
        <w:pStyle w:val="824"/>
        <w:jc w:val="center"/>
        <w:spacing w:beforeAutospacing="0" w:afterAutospacing="0"/>
        <w:rPr>
          <w:highlight w:val="none"/>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JSZC-320922-YCJT-G2026-0002</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spacing w:beforeAutospacing="0" w:afterAutospacing="0" w:line="360" w:lineRule="auto"/>
        <w:rPr>
          <w:highlight w:val="none"/>
        </w:rPr>
      </w:pPr>
      <w:r>
        <w:rPr>
          <w:highlight w:val="none"/>
        </w:rPr>
        <w:t xml:space="preserve"> </w:t>
      </w:r>
      <w:r/>
    </w:p>
    <w:p>
      <w:pPr>
        <w:pStyle w:val="824"/>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：滨海县人民医院</w:t>
      </w:r>
      <w:r/>
    </w:p>
    <w:p>
      <w:pPr>
        <w:pStyle w:val="824"/>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2</w:t>
      </w:r>
      <w:r>
        <w:rPr>
          <w:rFonts w:ascii="Arial" w:hAnsi="Arial" w:cs="Arial"/>
          <w:b/>
          <w:color w:val="000000"/>
          <w:sz w:val="32"/>
          <w:szCs w:val="32"/>
          <w:highlight w:val="none"/>
        </w:rPr>
        <w:t xml:space="preserve">月</w:t>
      </w:r>
      <w:r/>
    </w:p>
    <w:p>
      <w:pPr>
        <w:pStyle w:val="824"/>
        <w:spacing w:before="120" w:beforeAutospacing="0" w:after="120" w:afterAutospacing="0" w:line="360" w:lineRule="auto"/>
        <w:rPr>
          <w:highlight w:val="none"/>
        </w:rPr>
      </w:pPr>
      <w:r>
        <w:rPr>
          <w:rFonts w:ascii="Arial" w:hAnsi="Arial" w:cs="Arial"/>
          <w:color w:val="000000"/>
          <w:highlight w:val="none"/>
        </w:rPr>
        <w:t xml:space="preserve">                        </w:t>
      </w:r>
      <w:r/>
    </w:p>
    <w:p>
      <w:pPr>
        <w:pStyle w:val="824"/>
        <w:jc w:val="center"/>
        <w:spacing w:before="120" w:beforeAutospacing="0" w:after="120" w:afterAutospacing="0" w:line="360" w:lineRule="auto"/>
        <w:rPr>
          <w:highlight w:val="none"/>
        </w:rPr>
      </w:pPr>
      <w:r>
        <w:rPr>
          <w:highlight w:val="none"/>
        </w:rPr>
        <w:t xml:space="preserve"> </w:t>
      </w:r>
      <w:r/>
    </w:p>
    <w:p>
      <w:pPr>
        <w:pStyle w:val="824"/>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479757206"/>
      <w:r/>
      <w:bookmarkStart w:id="2" w:name="_Toc16938516"/>
      <w:r/>
      <w:bookmarkStart w:id="3" w:name="_Toc120614210"/>
      <w:r/>
      <w:bookmarkStart w:id="4" w:name="_Toc523127445"/>
      <w:r/>
      <w:bookmarkStart w:id="5" w:name="_Toc20823272"/>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24"/>
        <w:jc w:val="both"/>
        <w:spacing w:beforeAutospacing="0" w:afterAutospacing="0" w:line="480" w:lineRule="auto"/>
        <w:rPr>
          <w:highlight w:val="none"/>
        </w:rPr>
      </w:pPr>
      <w:r>
        <w:rPr>
          <w:highlight w:val="none"/>
        </w:rPr>
        <w:t xml:space="preserve"> </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24"/>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24"/>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24"/>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滨海县人民医院数据中心运维采购项目（三次）</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u w:val="single"/>
          <w:lang w:val="en-US" w:eastAsia="zh-CN"/>
        </w:rPr>
        <w:t xml:space="preserve">00秒</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82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8985263"/>
      <w:r/>
      <w:bookmarkStart w:id="7" w:name="_Toc28359079"/>
      <w:r/>
      <w:bookmarkStart w:id="8" w:name="_Toc28359002"/>
      <w:r/>
      <w:bookmarkStart w:id="9" w:name="_Toc35393621"/>
      <w:r/>
      <w:bookmarkStart w:id="10" w:name="_Hlk24379207"/>
      <w:r/>
      <w:bookmarkStart w:id="11" w:name="_Toc35393790"/>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1.项目编号：JSZC-320922-YCJT-G2026-0002</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滨海县人民医院数据中心运维采购项目（三次）</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300万元</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cs="宋体"/>
          <w:color w:val="auto"/>
          <w:sz w:val="24"/>
          <w:szCs w:val="24"/>
        </w:rPr>
        <w:t xml:space="preserve">本项目投标总价不得高于人民币</w:t>
      </w:r>
      <w:r>
        <w:rPr>
          <w:rFonts w:hint="eastAsia" w:ascii="宋体" w:hAnsi="宋体" w:cs="宋体"/>
          <w:color w:val="auto"/>
          <w:sz w:val="24"/>
          <w:szCs w:val="24"/>
          <w:lang w:val="en-US" w:eastAsia="zh-CN"/>
        </w:rPr>
        <w:t xml:space="preserve">240</w:t>
      </w:r>
      <w:r>
        <w:rPr>
          <w:rFonts w:hint="eastAsia" w:ascii="宋体" w:hAnsi="宋体" w:cs="宋体"/>
          <w:color w:val="auto"/>
          <w:sz w:val="24"/>
          <w:szCs w:val="24"/>
        </w:rPr>
        <w:t xml:space="preserve">万元/三年（投标人投标报价不得超过上述限价金额，否则将作无效投标处理）。</w:t>
      </w:r>
      <w:r/>
    </w:p>
    <w:p>
      <w:p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cs="宋体"/>
          <w:color w:val="auto"/>
          <w:sz w:val="24"/>
          <w:szCs w:val="24"/>
        </w:rPr>
        <w:t xml:space="preserve">为保障医院数据中心的稳定运性与业务连续性，提升信息化基础设施的可靠性与可用性，现拟对数据中心开展全面的综合运维服务采购</w:t>
      </w:r>
      <w:r>
        <w:rPr>
          <w:rFonts w:hint="eastAsia" w:ascii="宋体" w:hAnsi="宋体" w:cs="宋体"/>
          <w:color w:val="auto"/>
          <w:sz w:val="24"/>
        </w:rPr>
        <w:t xml:space="preserve">，具体内容及要求详见招标文件第四章采购需求</w:t>
      </w:r>
      <w:r>
        <w:rPr>
          <w:rFonts w:hint="eastAsia" w:ascii="宋体" w:hAnsi="宋体" w:cs="宋体"/>
          <w:color w:val="auto"/>
          <w:sz w:val="24"/>
          <w:szCs w:val="24"/>
        </w:rPr>
        <w:t xml:space="preserve">。</w:t>
      </w:r>
      <w:r/>
    </w:p>
    <w:p>
      <w:pPr>
        <w:ind w:firstLine="480"/>
        <w:spacing w:line="360" w:lineRule="auto"/>
        <w:tabs>
          <w:tab w:val="left" w:pos="900" w:leader="none"/>
        </w:tabs>
        <w:rPr>
          <w:rFonts w:ascii="宋体" w:hAnsi="宋体" w:cs="宋体"/>
          <w:color w:val="auto"/>
          <w:sz w:val="24"/>
          <w:szCs w:val="24"/>
        </w:rPr>
      </w:pPr>
      <w:r/>
      <w:bookmarkStart w:id="12" w:name="_Toc28359003"/>
      <w:r/>
      <w:bookmarkStart w:id="13" w:name="_Toc35393622"/>
      <w:r/>
      <w:bookmarkStart w:id="14" w:name="_Toc35393791"/>
      <w:r/>
      <w:bookmarkStart w:id="15" w:name="_Toc38985264"/>
      <w:r/>
      <w:bookmarkStart w:id="16" w:name="_Toc28359080"/>
      <w:r>
        <w:rPr>
          <w:rFonts w:hint="eastAsia" w:ascii="宋体" w:hAnsi="宋体" w:cs="宋体"/>
          <w:color w:val="auto"/>
          <w:sz w:val="24"/>
          <w:szCs w:val="24"/>
        </w:rPr>
        <w:t xml:space="preserve">7.</w:t>
      </w:r>
      <w:r>
        <w:rPr>
          <w:rFonts w:hint="eastAsia" w:ascii="宋体" w:hAnsi="宋体" w:cs="宋体"/>
          <w:color w:val="auto"/>
          <w:sz w:val="24"/>
          <w:szCs w:val="24"/>
          <w:lang w:eastAsia="zh-CN"/>
        </w:rPr>
        <w:t xml:space="preserve">运维</w:t>
      </w:r>
      <w:r>
        <w:rPr>
          <w:rFonts w:hint="eastAsia" w:ascii="宋体" w:hAnsi="宋体" w:cs="宋体"/>
          <w:color w:val="auto"/>
          <w:sz w:val="24"/>
          <w:szCs w:val="24"/>
        </w:rPr>
        <w:t xml:space="preserve">期限：三年（</w:t>
      </w:r>
      <w:r>
        <w:rPr>
          <w:rFonts w:hint="eastAsia" w:ascii="宋体" w:hAnsi="宋体" w:cs="宋体"/>
          <w:color w:val="auto"/>
          <w:sz w:val="24"/>
          <w:szCs w:val="24"/>
          <w:lang w:eastAsia="zh-CN"/>
        </w:rPr>
        <w:t xml:space="preserve">运维</w:t>
      </w:r>
      <w:r>
        <w:rPr>
          <w:rFonts w:hint="eastAsia" w:ascii="宋体" w:hAnsi="宋体" w:cs="宋体"/>
          <w:color w:val="auto"/>
          <w:sz w:val="24"/>
          <w:szCs w:val="24"/>
        </w:rPr>
        <w:t xml:space="preserve">服务开始日期以签订合同时间为准）。</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8.服务标准：合格。</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9.本项目（是/否）接受联合体投标：否。</w:t>
      </w:r>
      <w:r/>
    </w:p>
    <w:p>
      <w:pPr>
        <w:pStyle w:val="82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numPr>
          <w:ilvl w:val="0"/>
          <w:numId w:val="0"/>
        </w:numPr>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cs="宋体"/>
          <w:color w:val="auto"/>
          <w:sz w:val="24"/>
          <w:szCs w:val="24"/>
        </w:rPr>
        <w:t xml:space="preserve">本项目为非专门面向中小企业采购的项目,所属行业为其他未列明行业，本项目落实小微型企业、残疾人福利性单位及监狱企业扶持等相关政府采购政策。对符合（财库[2020]46号）规定的小微企业报价给予20%的价格扣除，用扣除后的价格参与评审。</w:t>
      </w:r>
      <w:r/>
    </w:p>
    <w:p>
      <w:pPr>
        <w:ind w:firstLine="480"/>
        <w:spacing w:line="360" w:lineRule="auto"/>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ind w:firstLine="480"/>
        <w:spacing w:line="36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lang w:val="en-US" w:eastAsia="zh-CN"/>
        </w:rPr>
        <w:t xml:space="preserve">3.1投标人具有CCRC信息安全服务资质认证证书（信息系统安全运维），具有CCRC信息安全服务资质认证证书（信息系统安全集成）。</w:t>
      </w:r>
      <w:r/>
    </w:p>
    <w:p>
      <w:pPr>
        <w:ind w:firstLine="480"/>
        <w:spacing w:line="360" w:lineRule="auto"/>
        <w:tabs>
          <w:tab w:val="left" w:pos="900" w:leader="none"/>
        </w:tabs>
        <w:rPr>
          <w:rFonts w:hint="eastAsia" w:ascii="宋体" w:hAnsi="宋体" w:eastAsia="宋体" w:cs="宋体"/>
          <w:sz w:val="24"/>
          <w:szCs w:val="24"/>
          <w:highlight w:val="none"/>
          <w:lang w:eastAsia="zh-CN"/>
        </w:rPr>
      </w:pPr>
      <w:r>
        <w:rPr>
          <w:rFonts w:hint="eastAsia" w:ascii="宋体" w:hAnsi="宋体" w:cs="宋体"/>
          <w:color w:val="auto"/>
          <w:sz w:val="24"/>
          <w:szCs w:val="24"/>
          <w:lang w:val="en-US" w:eastAsia="zh-CN"/>
        </w:rPr>
        <w:t xml:space="preserve">3.2</w:t>
      </w:r>
      <w:r>
        <w:rPr>
          <w:rFonts w:hint="default" w:ascii="宋体" w:hAnsi="宋体" w:cs="宋体"/>
          <w:color w:val="auto"/>
          <w:sz w:val="24"/>
          <w:szCs w:val="24"/>
          <w:lang w:val="en-US" w:eastAsia="zh-CN"/>
        </w:rPr>
        <w:t xml:space="preserve">项目经理需具备以下证书：</w:t>
      </w:r>
      <w:r>
        <w:rPr>
          <w:rFonts w:hint="eastAsia" w:ascii="宋体" w:hAnsi="宋体" w:cs="宋体"/>
          <w:color w:val="auto"/>
          <w:sz w:val="24"/>
          <w:szCs w:val="24"/>
        </w:rPr>
        <w:t xml:space="preserve">具有高级信创集成项目管理师证书</w:t>
      </w:r>
      <w:r>
        <w:rPr>
          <w:rFonts w:hint="eastAsia" w:ascii="宋体" w:hAnsi="宋体" w:cs="宋体"/>
          <w:color w:val="auto"/>
          <w:sz w:val="24"/>
          <w:szCs w:val="24"/>
          <w:lang w:val="en-US" w:eastAsia="zh-CN"/>
        </w:rPr>
        <w:t xml:space="preserve">或系统集成项目管理师</w:t>
      </w:r>
      <w:r>
        <w:rPr>
          <w:rFonts w:hint="eastAsia" w:ascii="宋体" w:hAnsi="宋体" w:cs="宋体"/>
          <w:color w:val="auto"/>
          <w:sz w:val="24"/>
          <w:szCs w:val="24"/>
        </w:rPr>
        <w:t xml:space="preserve">或高级信息系统项目管理师。</w:t>
      </w:r>
      <w:r/>
    </w:p>
    <w:p>
      <w:pPr>
        <w:pStyle w:val="82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5393624"/>
      <w:r/>
      <w:bookmarkStart w:id="18" w:name="_Toc28359005"/>
      <w:r/>
      <w:bookmarkStart w:id="19" w:name="_Toc28359082"/>
      <w:r/>
      <w:bookmarkStart w:id="20" w:name="_Toc35393793"/>
      <w:r/>
      <w:bookmarkStart w:id="21"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2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时间：2026年3月25日</w:t>
      </w:r>
      <w:r>
        <w:rPr>
          <w:rFonts w:hint="eastAsia" w:ascii="宋体" w:hAnsi="宋体" w:cs="宋体"/>
          <w:color w:val="auto"/>
          <w:sz w:val="24"/>
          <w:szCs w:val="24"/>
          <w:lang w:val="en-US" w:eastAsia="zh-CN"/>
        </w:rPr>
        <w:t xml:space="preserve">09</w:t>
      </w:r>
      <w:r>
        <w:rPr>
          <w:rFonts w:hint="eastAsia" w:ascii="宋体" w:hAnsi="宋体" w:cs="宋体"/>
          <w:color w:val="auto"/>
          <w:sz w:val="24"/>
          <w:szCs w:val="24"/>
        </w:rPr>
        <w:t xml:space="preserve">时00分00秒</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2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38985267"/>
      <w:r/>
      <w:bookmarkStart w:id="23" w:name="_Toc35393794"/>
      <w:r/>
      <w:bookmarkStart w:id="24" w:name="_Toc35393625"/>
      <w:r/>
      <w:bookmarkStart w:id="25" w:name="_Toc28359084"/>
      <w:r/>
      <w:bookmarkStart w:id="26" w:name="_Toc28359007"/>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8985268"/>
      <w:r/>
      <w:bookmarkStart w:id="29"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2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3.有关本次招标的事项若存在变动或修改，敬请及时关注盐城市政府采购代理机构在“中国政府采购网”“江苏政府采购网”“盐城市政府采购网”发布的更正公告。</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13"/>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ind w:firstLine="480"/>
        <w:spacing w:line="360" w:lineRule="auto"/>
        <w:tabs>
          <w:tab w:val="left" w:pos="900" w:leader="none"/>
        </w:tabs>
        <w:rPr>
          <w:rFonts w:ascii="宋体" w:hAnsi="宋体" w:cs="宋体"/>
          <w:color w:val="auto"/>
          <w:sz w:val="24"/>
          <w:szCs w:val="24"/>
        </w:rPr>
      </w:pPr>
      <w:r/>
      <w:bookmarkStart w:id="31" w:name="_Toc28359009"/>
      <w:r>
        <w:rPr>
          <w:rFonts w:hint="eastAsia" w:ascii="宋体" w:hAnsi="宋体" w:cs="宋体"/>
          <w:color w:val="auto"/>
          <w:sz w:val="24"/>
          <w:szCs w:val="24"/>
        </w:rPr>
        <w:t xml:space="preserve">1.采购人信息</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名    称：滨海县人民医院</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地  址：滨海县海滨大道299号</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联 系人：代先生</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联系电话：18051681603</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2.采购代理机构信息</w:t>
      </w:r>
      <w:r/>
    </w:p>
    <w:p>
      <w:pPr>
        <w:ind w:firstLine="480"/>
        <w:spacing w:line="360" w:lineRule="auto"/>
        <w:tabs>
          <w:tab w:val="left" w:pos="900" w:leader="none"/>
        </w:tabs>
        <w:rPr>
          <w:rFonts w:ascii="宋体" w:hAnsi="宋体" w:cs="宋体"/>
          <w:color w:val="auto"/>
          <w:sz w:val="24"/>
          <w:szCs w:val="24"/>
        </w:rPr>
      </w:pPr>
      <w:r/>
      <w:bookmarkStart w:id="32" w:name="_Toc28359021"/>
      <w:r>
        <w:rPr>
          <w:rFonts w:hint="eastAsia" w:ascii="宋体" w:hAnsi="宋体" w:cs="宋体"/>
          <w:color w:val="auto"/>
          <w:sz w:val="24"/>
          <w:szCs w:val="24"/>
        </w:rPr>
        <w:t xml:space="preserve">名    称：冶城工程咨询集团有限公司</w:t>
      </w:r>
      <w:r/>
    </w:p>
    <w:p>
      <w:pPr>
        <w:ind w:firstLine="48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rPr>
        <w:t xml:space="preserve">地    址：</w:t>
      </w:r>
      <w:r>
        <w:rPr>
          <w:rFonts w:hint="eastAsia" w:ascii="宋体" w:hAnsi="宋体" w:cs="宋体"/>
          <w:color w:val="auto"/>
          <w:sz w:val="24"/>
          <w:szCs w:val="24"/>
          <w:highlight w:val="none"/>
          <w:lang w:eastAsia="zh-CN"/>
        </w:rPr>
        <w:t xml:space="preserve">南京市江北新区研创园园胜路55号A座608室</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联 系 人：李女士</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联系方式：15365776618</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3.</w:t>
      </w:r>
      <w:bookmarkEnd w:id="32"/>
      <w:r>
        <w:rPr>
          <w:rFonts w:hint="eastAsia" w:ascii="宋体" w:hAnsi="宋体" w:cs="宋体"/>
          <w:color w:val="auto"/>
          <w:sz w:val="24"/>
          <w:szCs w:val="24"/>
        </w:rPr>
        <w:t xml:space="preserve">项目联系方式</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项目联系人：代先生、李女士</w:t>
      </w:r>
      <w:r/>
    </w:p>
    <w:p>
      <w:pPr>
        <w:ind w:firstLine="480"/>
        <w:spacing w:line="360" w:lineRule="auto"/>
        <w:tabs>
          <w:tab w:val="left" w:pos="900" w:leader="none"/>
        </w:tabs>
        <w:rPr>
          <w:rFonts w:ascii="宋体" w:hAnsi="宋体" w:cs="宋体"/>
          <w:color w:val="auto"/>
          <w:sz w:val="24"/>
          <w:szCs w:val="24"/>
        </w:rPr>
      </w:pPr>
      <w:r>
        <w:rPr>
          <w:rFonts w:hint="eastAsia" w:ascii="宋体" w:hAnsi="宋体" w:cs="宋体"/>
          <w:color w:val="auto"/>
          <w:sz w:val="24"/>
          <w:szCs w:val="24"/>
        </w:rPr>
        <w:t xml:space="preserve">电    话：18051681603、15365776618</w:t>
      </w:r>
      <w:r/>
    </w:p>
    <w:p>
      <w:pPr>
        <w:pStyle w:val="824"/>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4"/>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p>
    <w:p>
      <w:pPr>
        <w:pStyle w:val="824"/>
        <w:ind w:firstLine="2429"/>
        <w:jc w:val="both"/>
        <w:keepLines/>
        <w:keepNext/>
        <w:spacing w:before="260" w:beforeAutospacing="0" w:after="260" w:afterAutospacing="0" w:line="415" w:lineRule="auto"/>
        <w:rPr>
          <w:highlight w:val="none"/>
        </w:rPr>
      </w:pPr>
      <w:r/>
      <w:bookmarkStart w:id="33" w:name="_Toc120614211"/>
      <w:r>
        <w:rPr>
          <w:rFonts w:hint="eastAsia" w:ascii="黑体" w:hAnsi="宋体" w:eastAsia="黑体" w:cs="黑体"/>
          <w:b/>
          <w:color w:val="000000"/>
          <w:sz w:val="44"/>
          <w:szCs w:val="44"/>
          <w:highlight w:val="none"/>
        </w:rPr>
        <w:t xml:space="preserve">第二章  </w:t>
      </w:r>
      <w:bookmarkEnd w:id="33"/>
      <w:r/>
      <w:bookmarkStart w:id="34" w:name="_Toc16938518"/>
      <w:r/>
      <w:bookmarkStart w:id="35" w:name="_Toc20823274"/>
      <w:r/>
      <w:bookmarkStart w:id="36" w:name="_Toc513029202"/>
      <w:r/>
      <w:bookmarkStart w:id="37" w:name="_Toc120614213"/>
      <w:r>
        <w:rPr>
          <w:rFonts w:hint="eastAsia" w:ascii="黑体" w:hAnsi="宋体" w:eastAsia="黑体" w:cs="黑体"/>
          <w:b/>
          <w:color w:val="000000"/>
          <w:sz w:val="44"/>
          <w:szCs w:val="44"/>
          <w:highlight w:val="none"/>
        </w:rPr>
        <w:t xml:space="preserve">投标人须知</w:t>
      </w:r>
      <w:bookmarkEnd w:id="34"/>
      <w:r/>
      <w:bookmarkEnd w:id="35"/>
      <w:r/>
      <w:bookmarkEnd w:id="36"/>
      <w:r/>
      <w:bookmarkEnd w:id="37"/>
      <w:r/>
      <w:r/>
    </w:p>
    <w:p>
      <w:pPr>
        <w:pStyle w:val="824"/>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8" w:name="_Toc16938519"/>
      <w:r/>
      <w:bookmarkStart w:id="39" w:name="_Toc20823275"/>
      <w:r/>
      <w:bookmarkStart w:id="40" w:name="_Toc513029203"/>
      <w:r/>
      <w:bookmarkStart w:id="41" w:name="_Toc120614214"/>
      <w:r>
        <w:rPr>
          <w:rFonts w:hint="eastAsia" w:ascii="宋体" w:hAnsi="宋体" w:eastAsia="宋体" w:cs="宋体"/>
          <w:b/>
          <w:color w:val="000000"/>
          <w:sz w:val="24"/>
          <w:szCs w:val="24"/>
          <w:highlight w:val="none"/>
        </w:rPr>
        <w:t xml:space="preserve">一、总则</w:t>
      </w:r>
      <w:bookmarkEnd w:id="38"/>
      <w:r/>
      <w:bookmarkEnd w:id="39"/>
      <w:r/>
      <w:bookmarkEnd w:id="40"/>
      <w:r/>
      <w:bookmarkEnd w:id="41"/>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2" w:name="_Toc16938520"/>
      <w:r/>
      <w:bookmarkStart w:id="43" w:name="_Toc458694821"/>
      <w:r/>
      <w:bookmarkStart w:id="44" w:name="_Toc513029204"/>
      <w:r/>
      <w:bookmarkStart w:id="45" w:name="_Toc20823276"/>
      <w:r/>
      <w:bookmarkStart w:id="46" w:name="_Hlt16619475"/>
      <w:r>
        <w:rPr>
          <w:rFonts w:hint="eastAsia" w:ascii="宋体" w:hAnsi="宋体" w:eastAsia="宋体" w:cs="宋体"/>
          <w:color w:val="000000"/>
          <w:sz w:val="24"/>
          <w:szCs w:val="24"/>
          <w:highlight w:val="none"/>
        </w:rPr>
        <w:t xml:space="preserve">1</w:t>
      </w:r>
      <w:bookmarkEnd w:id="42"/>
      <w:r>
        <w:rPr>
          <w:rFonts w:hint="eastAsia" w:ascii="宋体" w:hAnsi="宋体" w:eastAsia="宋体" w:cs="宋体"/>
          <w:color w:val="000000"/>
          <w:sz w:val="24"/>
          <w:szCs w:val="24"/>
          <w:highlight w:val="none"/>
        </w:rPr>
        <w:t xml:space="preserve">、招标方式</w:t>
      </w:r>
      <w:bookmarkEnd w:id="43"/>
      <w:r/>
      <w:bookmarkEnd w:id="44"/>
      <w:r/>
      <w:bookmarkEnd w:id="45"/>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7" w:name="_Toc513029205"/>
      <w:r/>
      <w:bookmarkStart w:id="48" w:name="_Toc16938521"/>
      <w:r/>
      <w:bookmarkStart w:id="49" w:name="_Toc20823277"/>
      <w:r>
        <w:rPr>
          <w:rFonts w:hint="eastAsia" w:ascii="宋体" w:hAnsi="宋体" w:eastAsia="宋体" w:cs="宋体"/>
          <w:color w:val="000000"/>
          <w:sz w:val="24"/>
          <w:szCs w:val="24"/>
          <w:highlight w:val="none"/>
        </w:rPr>
        <w:t xml:space="preserve">2、合格的投标人</w:t>
      </w:r>
      <w:bookmarkEnd w:id="47"/>
      <w:r/>
      <w:bookmarkEnd w:id="48"/>
      <w:r/>
      <w:bookmarkEnd w:id="49"/>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spacing w:line="360" w:lineRule="auto"/>
        <w:rPr>
          <w:rFonts w:hint="eastAsia" w:ascii="宋体" w:hAnsi="宋体" w:eastAsia="宋体" w:cs="宋体"/>
          <w:color w:val="auto"/>
          <w:sz w:val="24"/>
          <w:szCs w:val="21"/>
        </w:rPr>
      </w:pPr>
      <w:r/>
      <w:bookmarkStart w:id="50" w:name="_Toc513029206"/>
      <w:r/>
      <w:bookmarkStart w:id="51" w:name="_Toc20823278"/>
      <w:r/>
      <w:bookmarkStart w:id="52" w:name="_Toc16938522"/>
      <w:r/>
      <w:bookmarkStart w:id="53" w:name="_Toc462564067"/>
      <w:r/>
      <w:bookmarkStart w:id="54" w:name="_Toc16938523"/>
      <w:r/>
      <w:bookmarkStart w:id="55" w:name="_Toc20823279"/>
      <w:r/>
      <w:bookmarkStart w:id="56" w:name="_Toc513029207"/>
      <w:r>
        <w:rPr>
          <w:rFonts w:hint="eastAsia" w:ascii="宋体" w:hAnsi="宋体" w:eastAsia="宋体" w:cs="宋体"/>
          <w:color w:val="auto"/>
          <w:sz w:val="24"/>
          <w:szCs w:val="21"/>
        </w:rPr>
        <w:t xml:space="preserve">3、适用法律</w:t>
      </w:r>
      <w:bookmarkEnd w:id="50"/>
      <w:r/>
      <w:bookmarkEnd w:id="51"/>
      <w:r/>
      <w:bookmarkEnd w:id="52"/>
      <w:r>
        <w:rPr>
          <w:rFonts w:hint="eastAsia" w:ascii="宋体" w:hAnsi="宋体" w:eastAsia="宋体" w:cs="宋体"/>
          <w:color w:val="auto"/>
          <w:sz w:val="24"/>
          <w:szCs w:val="21"/>
        </w:rPr>
        <w:t xml:space="preserve">和标准</w:t>
      </w:r>
      <w:r/>
    </w:p>
    <w:p>
      <w:pPr>
        <w:pStyle w:val="824"/>
        <w:ind w:firstLine="42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3"/>
      <w:r/>
      <w:bookmarkEnd w:id="54"/>
      <w:r/>
      <w:bookmarkEnd w:id="55"/>
      <w:r/>
      <w:bookmarkEnd w:id="56"/>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4.1投标人应自行承担所有与参加投标有关的费用，无论投标过程中的做法和结果如何，盐城市政府</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p>
    <w:p>
      <w:pPr>
        <w:ind w:firstLine="480"/>
        <w:spacing w:line="360" w:lineRule="auto"/>
        <w:rPr>
          <w:rFonts w:hint="eastAsia" w:ascii="宋体" w:hAnsi="宋体"/>
          <w:bCs/>
          <w:color w:val="auto"/>
          <w:sz w:val="24"/>
          <w:szCs w:val="24"/>
          <w:highlight w:val="none"/>
          <w:lang w:eastAsia="zh-CN"/>
        </w:rPr>
      </w:pPr>
      <w:r>
        <w:rPr>
          <w:rFonts w:hint="eastAsia" w:ascii="宋体" w:hAnsi="宋体" w:eastAsia="宋体" w:cs="宋体"/>
          <w:color w:val="000000"/>
          <w:sz w:val="24"/>
          <w:szCs w:val="24"/>
          <w:highlight w:val="none"/>
        </w:rPr>
        <w:t xml:space="preserve">4.2</w:t>
      </w:r>
      <w:r>
        <w:rPr>
          <w:rFonts w:hint="eastAsia" w:ascii="宋体" w:hAnsi="宋体"/>
          <w:bCs/>
          <w:color w:val="auto"/>
          <w:sz w:val="24"/>
          <w:szCs w:val="24"/>
          <w:highlight w:val="none"/>
        </w:rPr>
        <w:t xml:space="preserve">本项目招标代理服务费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由中标单位代为支付给采购代理机构，中标人应在领取中标通知书前缴纳。</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4.2.1</w:t>
      </w:r>
      <w:r>
        <w:rPr>
          <w:rFonts w:hint="eastAsia" w:ascii="宋体" w:hAnsi="宋体"/>
          <w:bCs/>
          <w:color w:val="auto"/>
          <w:sz w:val="24"/>
          <w:szCs w:val="24"/>
          <w:highlight w:val="none"/>
          <w:lang w:eastAsia="zh-CN"/>
        </w:rPr>
        <w:t xml:space="preserve">中标金额小于10万元，每个项目收取采购代理服务费2500元。</w:t>
      </w:r>
      <w:r/>
    </w:p>
    <w:p>
      <w:pPr>
        <w:ind w:firstLine="48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4.2</w:t>
      </w:r>
      <w:r>
        <w:rPr>
          <w:rFonts w:hint="eastAsia" w:ascii="宋体" w:hAnsi="宋体"/>
          <w:bCs/>
          <w:color w:val="auto"/>
          <w:sz w:val="24"/>
          <w:szCs w:val="24"/>
          <w:highlight w:val="none"/>
          <w:lang w:eastAsia="zh-CN"/>
        </w:rPr>
        <w:t xml:space="preserve">.2中标金额大于等于10万元且小于50万元，每个项目收取采购代理服务费3500元。</w:t>
      </w:r>
      <w:r/>
    </w:p>
    <w:p>
      <w:pPr>
        <w:ind w:firstLine="48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4.2</w:t>
      </w:r>
      <w:r>
        <w:rPr>
          <w:rFonts w:hint="eastAsia" w:ascii="宋体" w:hAnsi="宋体"/>
          <w:bCs/>
          <w:color w:val="auto"/>
          <w:sz w:val="24"/>
          <w:szCs w:val="24"/>
          <w:highlight w:val="none"/>
          <w:lang w:eastAsia="zh-CN"/>
        </w:rPr>
        <w:t xml:space="preserve">.3中标金额大于等于50万元且小于400万元的，按项目中标金额x苏招协(2022)2号文规定标准x50%收取采购代理服务费。</w:t>
      </w:r>
      <w:r/>
    </w:p>
    <w:p>
      <w:pPr>
        <w:ind w:firstLine="48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4.2</w:t>
      </w:r>
      <w:r>
        <w:rPr>
          <w:rFonts w:hint="eastAsia" w:ascii="宋体" w:hAnsi="宋体"/>
          <w:bCs/>
          <w:color w:val="auto"/>
          <w:sz w:val="24"/>
          <w:szCs w:val="24"/>
          <w:highlight w:val="none"/>
          <w:lang w:eastAsia="zh-CN"/>
        </w:rPr>
        <w:t xml:space="preserve">.4中标金额大于等于400万元以上的，按项目中标金额x苏招协(2022)2号文规定标准x30%收取采购代理服务费。</w:t>
      </w:r>
      <w:r/>
    </w:p>
    <w:p>
      <w:pPr>
        <w:ind w:firstLine="48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4.2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无中标金额的项目按3500元收取（注：无中标金额即按照费率或单价中标的项目）。</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4"/>
        <w:ind w:firstLine="482"/>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24"/>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7" w:name="_Toc16938525"/>
      <w:r/>
      <w:bookmarkStart w:id="58" w:name="_Toc120614215"/>
      <w:r/>
      <w:bookmarkStart w:id="59" w:name="_Toc513029209"/>
      <w:r/>
      <w:bookmarkStart w:id="60" w:name="_Toc20823281"/>
      <w:r>
        <w:rPr>
          <w:rFonts w:hint="eastAsia" w:ascii="宋体" w:hAnsi="宋体" w:eastAsia="宋体" w:cs="宋体"/>
          <w:b/>
          <w:color w:val="000000"/>
          <w:sz w:val="24"/>
          <w:szCs w:val="24"/>
          <w:highlight w:val="none"/>
        </w:rPr>
        <w:t xml:space="preserve">二、招标文件</w:t>
      </w:r>
      <w:bookmarkEnd w:id="57"/>
      <w:r/>
      <w:bookmarkEnd w:id="58"/>
      <w:r/>
      <w:bookmarkEnd w:id="59"/>
      <w:r/>
      <w:bookmarkEnd w:id="60"/>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1" w:name="_Toc16938526"/>
      <w:r/>
      <w:bookmarkStart w:id="62" w:name="_Toc513029210"/>
      <w:r/>
      <w:bookmarkStart w:id="63" w:name="_Toc20823282"/>
      <w:r>
        <w:rPr>
          <w:rFonts w:hint="eastAsia" w:ascii="宋体" w:hAnsi="宋体" w:eastAsia="宋体" w:cs="宋体"/>
          <w:color w:val="000000"/>
          <w:sz w:val="24"/>
          <w:szCs w:val="24"/>
          <w:highlight w:val="none"/>
        </w:rPr>
        <w:t xml:space="preserve">6、招标文件构成</w:t>
      </w:r>
      <w:bookmarkEnd w:id="61"/>
      <w:r/>
      <w:bookmarkEnd w:id="62"/>
      <w:r/>
      <w:bookmarkEnd w:id="63"/>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24"/>
        <w:ind w:firstLine="360"/>
        <w:jc w:val="both"/>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2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2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2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2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2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4" w:name="_Toc16938527"/>
      <w:r/>
      <w:bookmarkStart w:id="65" w:name="_Toc462564070"/>
      <w:r/>
      <w:bookmarkStart w:id="66" w:name="_Toc20823283"/>
      <w:r/>
      <w:bookmarkStart w:id="67" w:name="_Toc513029211"/>
      <w:r>
        <w:rPr>
          <w:rFonts w:hint="eastAsia" w:ascii="宋体" w:hAnsi="宋体" w:eastAsia="宋体" w:cs="宋体"/>
          <w:color w:val="000000"/>
          <w:sz w:val="24"/>
          <w:szCs w:val="24"/>
          <w:highlight w:val="none"/>
        </w:rPr>
        <w:t xml:space="preserve">7、招标文件的澄清</w:t>
      </w:r>
      <w:bookmarkEnd w:id="64"/>
      <w:r/>
      <w:bookmarkEnd w:id="65"/>
      <w:r/>
      <w:bookmarkEnd w:id="66"/>
      <w:r/>
      <w:bookmarkEnd w:id="67"/>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pStyle w:val="82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8" w:name="_Toc462564071"/>
      <w:r/>
      <w:bookmarkStart w:id="69" w:name="_Toc20823284"/>
      <w:r/>
      <w:bookmarkStart w:id="70" w:name="_Toc513029212"/>
      <w:r/>
      <w:bookmarkStart w:id="71" w:name="_Toc16938528"/>
      <w:r>
        <w:rPr>
          <w:rFonts w:hint="eastAsia" w:ascii="宋体" w:hAnsi="宋体" w:eastAsia="宋体" w:cs="宋体"/>
          <w:color w:val="000000"/>
          <w:sz w:val="24"/>
          <w:szCs w:val="24"/>
          <w:highlight w:val="none"/>
        </w:rPr>
        <w:t xml:space="preserve">8、招标文件的修改</w:t>
      </w:r>
      <w:bookmarkEnd w:id="68"/>
      <w:r/>
      <w:bookmarkEnd w:id="69"/>
      <w:r/>
      <w:bookmarkEnd w:id="70"/>
      <w:r/>
      <w:bookmarkEnd w:id="71"/>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可以对招标文件进行修改。</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2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2" w:name="_Toc462564072"/>
      <w:r/>
      <w:bookmarkStart w:id="73" w:name="_Toc20823285"/>
      <w:r/>
      <w:bookmarkStart w:id="74" w:name="_Toc513029213"/>
      <w:r/>
      <w:bookmarkStart w:id="75" w:name="_Toc120614216"/>
      <w:r/>
      <w:bookmarkStart w:id="76" w:name="_Toc16938529"/>
      <w:r>
        <w:rPr>
          <w:rFonts w:hint="eastAsia" w:ascii="宋体" w:hAnsi="宋体" w:eastAsia="宋体" w:cs="宋体"/>
          <w:b/>
          <w:color w:val="000000"/>
          <w:sz w:val="24"/>
          <w:szCs w:val="24"/>
          <w:highlight w:val="none"/>
        </w:rPr>
        <w:t xml:space="preserve">三、投标文件的编制</w:t>
      </w:r>
      <w:bookmarkEnd w:id="72"/>
      <w:r/>
      <w:bookmarkEnd w:id="73"/>
      <w:r/>
      <w:bookmarkEnd w:id="74"/>
      <w:r/>
      <w:bookmarkEnd w:id="75"/>
      <w:r/>
      <w:bookmarkEnd w:id="76"/>
      <w:r/>
      <w:r/>
    </w:p>
    <w:p>
      <w:pPr>
        <w:pStyle w:val="82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7" w:name="_Toc462564073"/>
      <w:r/>
      <w:bookmarkStart w:id="78" w:name="_Toc513029214"/>
      <w:r/>
      <w:bookmarkStart w:id="79" w:name="_Toc20823286"/>
      <w:r/>
      <w:bookmarkStart w:id="80" w:name="_Toc16938530"/>
      <w:r>
        <w:rPr>
          <w:rFonts w:hint="eastAsia" w:ascii="宋体" w:hAnsi="宋体" w:eastAsia="宋体" w:cs="宋体"/>
          <w:color w:val="000000"/>
          <w:sz w:val="24"/>
          <w:szCs w:val="24"/>
          <w:highlight w:val="none"/>
        </w:rPr>
        <w:t xml:space="preserve">9、投标文件的语言及度量衡单位</w:t>
      </w:r>
      <w:bookmarkEnd w:id="77"/>
      <w:r/>
      <w:bookmarkEnd w:id="78"/>
      <w:r/>
      <w:bookmarkEnd w:id="79"/>
      <w:r/>
      <w:bookmarkEnd w:id="80"/>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1" w:name="_Toc513029215"/>
      <w:r/>
      <w:bookmarkStart w:id="82" w:name="_Toc16938531"/>
      <w:r/>
      <w:bookmarkStart w:id="83" w:name="_Toc462564074"/>
      <w:r/>
      <w:bookmarkStart w:id="84" w:name="_Toc20823287"/>
      <w:r>
        <w:rPr>
          <w:rFonts w:hint="eastAsia" w:ascii="宋体" w:hAnsi="宋体" w:eastAsia="宋体" w:cs="宋体"/>
          <w:color w:val="000000"/>
          <w:sz w:val="24"/>
          <w:szCs w:val="24"/>
          <w:highlight w:val="none"/>
        </w:rPr>
        <w:t xml:space="preserve">10、投标文件构成</w:t>
      </w:r>
      <w:bookmarkEnd w:id="81"/>
      <w:r/>
      <w:bookmarkEnd w:id="82"/>
      <w:r/>
      <w:bookmarkEnd w:id="83"/>
      <w:r/>
      <w:bookmarkEnd w:id="84"/>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5" w:name="_Toc14577354"/>
      <w:r/>
      <w:bookmarkStart w:id="86" w:name="_Toc14577357"/>
      <w:r/>
      <w:bookmarkStart w:id="87" w:name="_Toc49090507"/>
      <w:r/>
      <w:bookmarkStart w:id="88" w:name="_Toc49090509"/>
      <w:r/>
      <w:bookmarkStart w:id="89" w:name="_Toc513029219"/>
      <w:r/>
      <w:bookmarkStart w:id="90" w:name="_Toc513029216"/>
      <w:r/>
      <w:bookmarkStart w:id="91" w:name="_Hlt26670360"/>
      <w:r/>
      <w:bookmarkStart w:id="92" w:name="_Hlt26954838"/>
      <w:r/>
      <w:bookmarkStart w:id="93" w:name="_Hlt26668975"/>
      <w:r>
        <w:rPr>
          <w:rFonts w:hint="eastAsia" w:ascii="宋体" w:hAnsi="宋体" w:eastAsia="宋体" w:cs="宋体"/>
          <w:color w:val="000000"/>
          <w:sz w:val="24"/>
          <w:szCs w:val="24"/>
          <w:highlight w:val="none"/>
        </w:rPr>
        <w:t xml:space="preserve">11、证明投标人及投标标的符合招标文件规定的文件</w:t>
      </w:r>
      <w:bookmarkEnd w:id="85"/>
      <w:r/>
      <w:bookmarkEnd w:id="86"/>
      <w:r/>
      <w:bookmarkEnd w:id="87"/>
      <w:r/>
      <w:bookmarkEnd w:id="88"/>
      <w:r/>
      <w:bookmarkEnd w:id="89"/>
      <w:r/>
      <w:bookmarkEnd w:id="90"/>
      <w:r/>
      <w:r/>
    </w:p>
    <w:p>
      <w:pPr>
        <w:pStyle w:val="824"/>
        <w:jc w:val="both"/>
        <w:spacing w:beforeAutospacing="0" w:afterAutospacing="0" w:line="360" w:lineRule="auto"/>
        <w:rPr>
          <w:rFonts w:hint="eastAsia" w:ascii="宋体" w:hAnsi="宋体" w:eastAsia="宋体" w:cs="宋体"/>
          <w:sz w:val="24"/>
          <w:szCs w:val="24"/>
          <w:highlight w:val="none"/>
        </w:rPr>
      </w:pPr>
      <w:r/>
      <w:bookmarkStart w:id="94" w:name="_Toc14577355"/>
      <w:r/>
      <w:bookmarkStart w:id="95" w:name="_Toc4909050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4"/>
      <w:r/>
      <w:bookmarkEnd w:id="95"/>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6" w:name="_Hlt26670373"/>
      <w:r>
        <w:rPr>
          <w:rFonts w:hint="eastAsia" w:ascii="宋体" w:hAnsi="宋体" w:eastAsia="宋体" w:cs="宋体"/>
          <w:color w:val="000000"/>
          <w:sz w:val="24"/>
          <w:szCs w:val="24"/>
          <w:highlight w:val="none"/>
        </w:rPr>
        <w:t xml:space="preserve">表</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7" w:name="_Hlt26954840"/>
      <w:r>
        <w:rPr>
          <w:rFonts w:hint="eastAsia" w:ascii="宋体" w:hAnsi="宋体" w:eastAsia="宋体" w:cs="宋体"/>
          <w:color w:val="000000"/>
          <w:sz w:val="24"/>
          <w:szCs w:val="24"/>
          <w:highlight w:val="none"/>
        </w:rPr>
        <w:t xml:space="preserve">标人应按照招标文件规定格式填报投标分项报价表</w:t>
      </w:r>
      <w:bookmarkStart w:id="98" w:name="_Hlt26670399"/>
      <w:r>
        <w:rPr>
          <w:rFonts w:hint="eastAsia" w:ascii="宋体" w:hAnsi="宋体" w:eastAsia="宋体" w:cs="宋体"/>
          <w:color w:val="000000"/>
          <w:sz w:val="24"/>
          <w:szCs w:val="24"/>
          <w:highlight w:val="none"/>
        </w:rPr>
        <w:t xml:space="preserve">。</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99" w:name="_Hlt26954731"/>
      <w:r/>
      <w:bookmarkStart w:id="100" w:name="_Hlt26954842"/>
      <w:r/>
      <w:bookmarkStart w:id="101" w:name="_Hlt26670403"/>
      <w:r/>
      <w:bookmarkStart w:id="102" w:name="_Hlt26670482"/>
      <w:r/>
      <w:bookmarkStart w:id="103" w:name="_Hlt26670425"/>
      <w:r/>
      <w:bookmarkStart w:id="104" w:name="_Hlt26954848"/>
      <w:r/>
      <w:bookmarkStart w:id="105" w:name="_Hlt26670486"/>
      <w:r/>
      <w:bookmarkStart w:id="106" w:name="_Hlt26954846"/>
      <w:r/>
      <w:bookmarkStart w:id="107" w:name="_Hlt26668983"/>
      <w:r/>
      <w:bookmarkStart w:id="108" w:name="_Hlt26954844"/>
      <w:r>
        <w:rPr>
          <w:rFonts w:hint="eastAsia" w:ascii="宋体" w:hAnsi="宋体" w:eastAsia="宋体" w:cs="宋体"/>
          <w:color w:val="000000"/>
          <w:sz w:val="24"/>
          <w:szCs w:val="24"/>
          <w:highlight w:val="none"/>
        </w:rPr>
        <w:t xml:space="preserve">13、技术要求响应及偏离表、商务要求响应及偏离表</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24"/>
        <w:ind w:firstLine="480"/>
        <w:jc w:val="both"/>
        <w:spacing w:beforeAutospacing="0" w:afterAutospacing="0" w:line="360" w:lineRule="auto"/>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9" w:name="_Toc14577359"/>
      <w:r/>
      <w:bookmarkStart w:id="110" w:name="_Toc49090510"/>
      <w:r>
        <w:rPr>
          <w:rFonts w:hint="eastAsia" w:ascii="宋体" w:hAnsi="宋体" w:eastAsia="宋体" w:cs="宋体"/>
          <w:color w:val="000000"/>
          <w:sz w:val="24"/>
          <w:szCs w:val="24"/>
          <w:highlight w:val="none"/>
        </w:rPr>
        <w:t xml:space="preserve">14、投标函和开标一览表</w:t>
      </w:r>
      <w:bookmarkEnd w:id="109"/>
      <w:r/>
      <w:bookmarkEnd w:id="110"/>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1" w:name="_Toc14577360"/>
      <w:r/>
      <w:bookmarkStart w:id="112" w:name="_Toc49090511"/>
      <w:r/>
      <w:bookmarkStart w:id="113" w:name="_Hlt26670489"/>
      <w:r/>
      <w:bookmarkStart w:id="114" w:name="_Hlt26954734"/>
      <w:r/>
      <w:bookmarkStart w:id="115" w:name="_Hlt26954850"/>
      <w:r>
        <w:rPr>
          <w:rFonts w:hint="eastAsia" w:ascii="宋体" w:hAnsi="宋体" w:eastAsia="宋体" w:cs="宋体"/>
          <w:color w:val="000000"/>
          <w:sz w:val="24"/>
          <w:szCs w:val="24"/>
          <w:highlight w:val="none"/>
        </w:rPr>
        <w:t xml:space="preserve">15、投标有效期</w:t>
      </w:r>
      <w:bookmarkEnd w:id="111"/>
      <w:r/>
      <w:bookmarkEnd w:id="112"/>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2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6" w:name="_Toc20823296"/>
      <w:r/>
      <w:bookmarkStart w:id="117" w:name="_Toc120614217"/>
      <w:r/>
      <w:bookmarkStart w:id="118" w:name="_Toc513029224"/>
      <w:r/>
      <w:bookmarkStart w:id="119" w:name="_Toc16938540"/>
      <w:r/>
      <w:bookmarkStart w:id="120" w:name="_Hlt26954739"/>
      <w:r/>
      <w:bookmarkStart w:id="121" w:name="_Hlt26954852"/>
      <w:r>
        <w:rPr>
          <w:rFonts w:hint="eastAsia" w:ascii="宋体" w:hAnsi="宋体" w:eastAsia="宋体" w:cs="宋体"/>
          <w:b/>
          <w:color w:val="000000"/>
          <w:sz w:val="24"/>
          <w:szCs w:val="24"/>
          <w:highlight w:val="none"/>
        </w:rPr>
        <w:t xml:space="preserve">四、投标文件的递交</w:t>
      </w:r>
      <w:bookmarkEnd w:id="116"/>
      <w:r/>
      <w:bookmarkEnd w:id="117"/>
      <w:r/>
      <w:bookmarkEnd w:id="118"/>
      <w:r/>
      <w:bookmarkEnd w:id="119"/>
      <w:r/>
      <w:r/>
    </w:p>
    <w:p>
      <w:pPr>
        <w:pStyle w:val="824"/>
        <w:ind w:firstLine="560"/>
        <w:jc w:val="both"/>
        <w:keepLines/>
        <w:keepNext/>
        <w:spacing w:beforeAutospacing="0" w:afterAutospacing="0" w:line="360" w:lineRule="auto"/>
        <w:rPr>
          <w:rFonts w:hint="eastAsia" w:ascii="宋体" w:hAnsi="宋体" w:eastAsia="宋体" w:cs="宋体"/>
          <w:sz w:val="24"/>
          <w:szCs w:val="24"/>
          <w:highlight w:val="none"/>
        </w:rPr>
      </w:pPr>
      <w:r/>
      <w:bookmarkStart w:id="122" w:name="_Toc513029225"/>
      <w:r/>
      <w:bookmarkStart w:id="123" w:name="_Toc20823297"/>
      <w:r/>
      <w:bookmarkStart w:id="124" w:name="_Toc16938541"/>
      <w:r/>
      <w:bookmarkStart w:id="125" w:name="_Toc462564084"/>
      <w:r>
        <w:rPr>
          <w:rFonts w:hint="eastAsia" w:ascii="宋体" w:hAnsi="宋体" w:eastAsia="宋体" w:cs="宋体"/>
          <w:color w:val="000000"/>
          <w:sz w:val="24"/>
          <w:szCs w:val="24"/>
          <w:highlight w:val="none"/>
        </w:rPr>
        <w:t xml:space="preserve">17、投标文件</w:t>
      </w:r>
      <w:bookmarkEnd w:id="122"/>
      <w:r/>
      <w:bookmarkEnd w:id="123"/>
      <w:r/>
      <w:bookmarkEnd w:id="124"/>
      <w:r/>
      <w:bookmarkEnd w:id="125"/>
      <w:r>
        <w:rPr>
          <w:rFonts w:hint="eastAsia" w:ascii="宋体" w:hAnsi="宋体" w:eastAsia="宋体" w:cs="宋体"/>
          <w:color w:val="000000"/>
          <w:sz w:val="24"/>
          <w:szCs w:val="24"/>
          <w:highlight w:val="none"/>
        </w:rPr>
        <w:t xml:space="preserve">的递交</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24"/>
        <w:ind w:left="525"/>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6" w:name="_Toc16938542"/>
      <w:r/>
      <w:bookmarkEnd w:id="126"/>
      <w:r/>
      <w:bookmarkStart w:id="127" w:name="_Toc20823298"/>
      <w:r/>
      <w:bookmarkEnd w:id="127"/>
      <w:r/>
      <w:bookmarkStart w:id="128" w:name="_Toc513029226"/>
      <w:r/>
      <w:r/>
    </w:p>
    <w:p>
      <w:pPr>
        <w:pStyle w:val="824"/>
        <w:ind w:firstLine="420"/>
        <w:jc w:val="both"/>
        <w:keepLines/>
        <w:keepNext/>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9" w:name="_Toc20823299"/>
      <w:r/>
      <w:bookmarkStart w:id="130" w:name="_Toc513029227"/>
      <w:r/>
      <w:bookmarkStart w:id="131" w:name="_Toc16938543"/>
      <w:r>
        <w:rPr>
          <w:rFonts w:hint="eastAsia" w:ascii="宋体" w:hAnsi="宋体" w:eastAsia="宋体" w:cs="宋体"/>
          <w:color w:val="000000"/>
          <w:sz w:val="24"/>
          <w:szCs w:val="24"/>
          <w:highlight w:val="none"/>
        </w:rPr>
        <w:t xml:space="preserve">19、投标文件</w:t>
      </w:r>
      <w:bookmarkEnd w:id="129"/>
      <w:r/>
      <w:bookmarkEnd w:id="130"/>
      <w:r/>
      <w:bookmarkEnd w:id="131"/>
      <w:r>
        <w:rPr>
          <w:rFonts w:hint="eastAsia" w:ascii="宋体" w:hAnsi="宋体" w:eastAsia="宋体" w:cs="宋体"/>
          <w:color w:val="000000"/>
          <w:sz w:val="24"/>
          <w:szCs w:val="24"/>
          <w:highlight w:val="none"/>
        </w:rPr>
        <w:t xml:space="preserve">的拒收</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2" w:name="_Toc513029228"/>
      <w:r/>
      <w:bookmarkStart w:id="133" w:name="_Toc16938544"/>
      <w:r/>
      <w:bookmarkStart w:id="134" w:name="_Toc20823300"/>
      <w:r>
        <w:rPr>
          <w:rFonts w:hint="eastAsia" w:ascii="宋体" w:hAnsi="宋体" w:eastAsia="宋体" w:cs="宋体"/>
          <w:color w:val="000000"/>
          <w:sz w:val="24"/>
          <w:szCs w:val="24"/>
          <w:highlight w:val="none"/>
        </w:rPr>
        <w:t xml:space="preserve">20、投标文件的撤回和修改</w:t>
      </w:r>
      <w:bookmarkEnd w:id="132"/>
      <w:r/>
      <w:bookmarkEnd w:id="133"/>
      <w:r/>
      <w:bookmarkEnd w:id="134"/>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2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5" w:name="_Toc513029229"/>
      <w:r/>
      <w:bookmarkStart w:id="136" w:name="_Toc16938545"/>
      <w:r/>
      <w:bookmarkStart w:id="137" w:name="_Toc20823301"/>
      <w:r/>
      <w:bookmarkStart w:id="138" w:name="_Toc120614218"/>
      <w:r>
        <w:rPr>
          <w:rFonts w:hint="eastAsia" w:ascii="宋体" w:hAnsi="宋体" w:eastAsia="宋体" w:cs="宋体"/>
          <w:b/>
          <w:color w:val="000000"/>
          <w:sz w:val="24"/>
          <w:szCs w:val="24"/>
          <w:highlight w:val="none"/>
        </w:rPr>
        <w:t xml:space="preserve">五、开标与评标</w:t>
      </w:r>
      <w:bookmarkEnd w:id="135"/>
      <w:r/>
      <w:bookmarkEnd w:id="136"/>
      <w:r/>
      <w:bookmarkEnd w:id="137"/>
      <w:r/>
      <w:bookmarkEnd w:id="138"/>
      <w:r/>
      <w:r/>
    </w:p>
    <w:p>
      <w:pPr>
        <w:pStyle w:val="824"/>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9" w:name="_Toc20823302"/>
      <w:r/>
      <w:bookmarkStart w:id="140" w:name="_Toc16938546"/>
      <w:r/>
      <w:bookmarkStart w:id="141" w:name="_Toc513029230"/>
      <w:r>
        <w:rPr>
          <w:rFonts w:hint="eastAsia" w:ascii="宋体" w:hAnsi="宋体" w:eastAsia="宋体" w:cs="宋体"/>
          <w:color w:val="auto"/>
          <w:sz w:val="24"/>
          <w:szCs w:val="24"/>
          <w:highlight w:val="none"/>
        </w:rPr>
        <w:t xml:space="preserve">21、开标</w:t>
      </w:r>
      <w:bookmarkEnd w:id="139"/>
      <w:r/>
      <w:bookmarkEnd w:id="140"/>
      <w:r/>
      <w:bookmarkEnd w:id="141"/>
      <w:r/>
      <w:r/>
    </w:p>
    <w:p>
      <w:pPr>
        <w:pStyle w:val="824"/>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24"/>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2" w:name="_Toc16938547"/>
      <w:r/>
      <w:bookmarkStart w:id="143" w:name="_Toc513029231"/>
      <w:r/>
      <w:bookmarkStart w:id="144" w:name="_Toc20823303"/>
      <w:r>
        <w:rPr>
          <w:rFonts w:hint="eastAsia" w:ascii="宋体" w:hAnsi="宋体" w:eastAsia="宋体" w:cs="宋体"/>
          <w:color w:val="auto"/>
          <w:sz w:val="24"/>
          <w:szCs w:val="24"/>
          <w:highlight w:val="none"/>
        </w:rPr>
        <w:t xml:space="preserve">22、评标委员会</w:t>
      </w:r>
      <w:bookmarkEnd w:id="142"/>
      <w:r/>
      <w:bookmarkEnd w:id="143"/>
      <w:r/>
      <w:bookmarkEnd w:id="144"/>
      <w:r/>
      <w:r/>
    </w:p>
    <w:p>
      <w:pPr>
        <w:pStyle w:val="82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2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24"/>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24"/>
        <w:numPr>
          <w:ilvl w:val="0"/>
          <w:numId w:val="1"/>
        </w:numPr>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评标过程的保密与公正</w:t>
      </w:r>
      <w:r/>
    </w:p>
    <w:p>
      <w:pPr>
        <w:pStyle w:val="824"/>
        <w:numPr>
          <w:ilvl w:val="0"/>
          <w:numId w:val="0"/>
        </w:numPr>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45" w:name="_Toc16938548"/>
      <w:r/>
      <w:bookmarkStart w:id="146" w:name="_Toc513029232"/>
      <w:r/>
      <w:bookmarkStart w:id="147" w:name="_Toc20823304"/>
      <w:r>
        <w:rPr>
          <w:rFonts w:hint="eastAsia" w:ascii="宋体" w:hAnsi="宋体" w:eastAsia="宋体" w:cs="宋体"/>
          <w:color w:val="000000"/>
          <w:sz w:val="24"/>
          <w:szCs w:val="24"/>
          <w:highlight w:val="none"/>
        </w:rPr>
        <w:t xml:space="preserve">24、投标文件的澄清</w:t>
      </w:r>
      <w:bookmarkEnd w:id="145"/>
      <w:r/>
      <w:bookmarkEnd w:id="146"/>
      <w:r/>
      <w:bookmarkEnd w:id="147"/>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24"/>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48" w:name="_Toc513029233"/>
      <w:r/>
      <w:bookmarkStart w:id="149" w:name="_Toc16938549"/>
      <w:r/>
      <w:bookmarkStart w:id="150" w:name="_Toc20823305"/>
      <w:r>
        <w:rPr>
          <w:rFonts w:hint="eastAsia" w:ascii="宋体" w:hAnsi="宋体" w:eastAsia="宋体" w:cs="宋体"/>
          <w:color w:val="000000"/>
          <w:sz w:val="24"/>
          <w:szCs w:val="24"/>
          <w:highlight w:val="none"/>
        </w:rPr>
        <w:t xml:space="preserve">25、对投标文件的初审</w:t>
      </w:r>
      <w:bookmarkEnd w:id="148"/>
      <w:r/>
      <w:bookmarkEnd w:id="149"/>
      <w:r/>
      <w:bookmarkEnd w:id="150"/>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24"/>
        <w:ind w:firstLine="420"/>
        <w:jc w:val="both"/>
        <w:spacing w:beforeAutospacing="0" w:afterAutospacing="0" w:line="360" w:lineRule="auto"/>
        <w:rPr>
          <w:rFonts w:hint="eastAsia" w:ascii="宋体" w:hAnsi="宋体" w:eastAsia="宋体" w:cs="宋体"/>
          <w:color w:val="auto"/>
          <w:sz w:val="24"/>
          <w:szCs w:val="24"/>
          <w:highlight w:val="none"/>
        </w:rPr>
      </w:pPr>
      <w:r/>
      <w:bookmarkStart w:id="151" w:name="_Toc513029234"/>
      <w:r/>
      <w:bookmarkStart w:id="152" w:name="_Toc20823306"/>
      <w:r/>
      <w:bookmarkStart w:id="153"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bookmarkEnd w:id="151"/>
      <w:r/>
      <w:bookmarkEnd w:id="152"/>
      <w:r/>
      <w:bookmarkEnd w:id="153"/>
      <w:r/>
      <w:r/>
    </w:p>
    <w:p>
      <w:pPr>
        <w:pStyle w:val="824"/>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bookmarkStart w:id="154" w:name="_Toc513029235"/>
      <w:r/>
      <w:bookmarkStart w:id="155" w:name="_Toc20823307"/>
      <w:r/>
      <w:bookmarkStart w:id="156" w:name="_Toc16938551"/>
      <w:r>
        <w:rPr>
          <w:rFonts w:hint="eastAsia" w:ascii="宋体" w:hAnsi="宋体" w:eastAsia="宋体" w:cs="宋体"/>
          <w:color w:val="auto"/>
          <w:sz w:val="24"/>
          <w:szCs w:val="24"/>
          <w:highlight w:val="none"/>
        </w:rPr>
        <w:t xml:space="preserve">26.1无效投标条款</w:t>
      </w:r>
      <w:bookmarkEnd w:id="154"/>
      <w:r/>
      <w:bookmarkEnd w:id="155"/>
      <w:r/>
      <w:bookmarkEnd w:id="156"/>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24"/>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24"/>
        <w:ind w:firstLine="480"/>
        <w:jc w:val="both"/>
        <w:spacing w:beforeAutospacing="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4"/>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24"/>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24"/>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24"/>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7" w:name="_Toc120614219"/>
      <w:r>
        <w:rPr>
          <w:rFonts w:hint="eastAsia" w:ascii="宋体" w:hAnsi="宋体" w:eastAsia="宋体" w:cs="宋体"/>
          <w:b/>
          <w:color w:val="000000"/>
          <w:sz w:val="24"/>
          <w:szCs w:val="24"/>
          <w:highlight w:val="none"/>
        </w:rPr>
        <w:t xml:space="preserve">六、定标</w:t>
      </w:r>
      <w:bookmarkEnd w:id="157"/>
      <w:r/>
      <w:r/>
    </w:p>
    <w:p>
      <w:pPr>
        <w:pStyle w:val="824"/>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58" w:name="_Toc20823310"/>
      <w:r/>
      <w:bookmarkStart w:id="159" w:name="_Toc513029238"/>
      <w:r/>
      <w:bookmarkStart w:id="160" w:name="_Toc16938554"/>
      <w:r>
        <w:rPr>
          <w:rFonts w:hint="eastAsia" w:ascii="宋体" w:hAnsi="宋体" w:eastAsia="宋体" w:cs="宋体"/>
          <w:color w:val="000000"/>
          <w:sz w:val="24"/>
          <w:szCs w:val="24"/>
          <w:highlight w:val="none"/>
        </w:rPr>
        <w:t xml:space="preserve">27、</w:t>
      </w:r>
      <w:bookmarkEnd w:id="158"/>
      <w:r>
        <w:rPr>
          <w:rFonts w:hint="eastAsia" w:ascii="宋体" w:hAnsi="宋体" w:eastAsia="宋体" w:cs="宋体"/>
          <w:color w:val="000000"/>
          <w:sz w:val="24"/>
          <w:szCs w:val="24"/>
          <w:highlight w:val="none"/>
        </w:rPr>
        <w:t xml:space="preserve">确定</w:t>
      </w:r>
      <w:bookmarkEnd w:id="159"/>
      <w:r/>
      <w:bookmarkEnd w:id="160"/>
      <w:r>
        <w:rPr>
          <w:rFonts w:hint="eastAsia" w:ascii="宋体" w:hAnsi="宋体" w:eastAsia="宋体" w:cs="宋体"/>
          <w:color w:val="000000"/>
          <w:sz w:val="24"/>
          <w:szCs w:val="24"/>
          <w:highlight w:val="none"/>
        </w:rPr>
        <w:t xml:space="preserve">中标单位</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24"/>
        <w:ind w:firstLine="480"/>
        <w:jc w:val="both"/>
        <w:spacing w:beforeAutospacing="0" w:afterAutospacing="0" w:line="360" w:lineRule="auto"/>
        <w:rPr>
          <w:rFonts w:hint="eastAsia" w:ascii="宋体" w:hAnsi="宋体" w:eastAsia="宋体" w:cs="宋体"/>
          <w:sz w:val="24"/>
          <w:szCs w:val="24"/>
          <w:highlight w:val="none"/>
        </w:rPr>
      </w:pPr>
      <w:r/>
      <w:bookmarkStart w:id="161" w:name="_Toc200451960"/>
      <w:r>
        <w:rPr>
          <w:rFonts w:hint="eastAsia" w:ascii="宋体" w:hAnsi="宋体" w:eastAsia="宋体" w:cs="宋体"/>
          <w:color w:val="000000"/>
          <w:sz w:val="24"/>
          <w:szCs w:val="24"/>
          <w:highlight w:val="none"/>
        </w:rPr>
        <w:t xml:space="preserve">27.5 有下列情形之一的，视为投标人串通投标，投标无效：</w:t>
      </w:r>
      <w:bookmarkEnd w:id="161"/>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24"/>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4"/>
        <w:ind w:firstLine="48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jc w:val="left"/>
        <w:spacing w:line="360" w:lineRule="auto"/>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采购代理机构及采购人只接收以纸质原件形式送达的质疑,采购人和采购代理机构不接受未填写快递运单的快件。质疑接收部门为冶城工程咨询集团有限公司，联系地址：</w:t>
      </w:r>
      <w:r>
        <w:rPr>
          <w:rFonts w:hint="eastAsia" w:ascii="宋体" w:hAnsi="宋体" w:cs="宋体"/>
          <w:color w:val="auto"/>
          <w:sz w:val="24"/>
          <w:szCs w:val="24"/>
          <w:highlight w:val="none"/>
          <w:lang w:eastAsia="zh-CN"/>
        </w:rPr>
        <w:t xml:space="preserve">南京市江北新区研创园园胜路55号A座608室</w:t>
      </w:r>
      <w:r>
        <w:rPr>
          <w:rFonts w:hint="eastAsia" w:ascii="宋体" w:hAnsi="宋体" w:eastAsia="宋体" w:cs="宋体"/>
          <w:color w:val="000000"/>
          <w:sz w:val="24"/>
          <w:szCs w:val="24"/>
          <w:highlight w:val="none"/>
          <w:lang w:val="en-US" w:eastAsia="zh-CN" w:bidi="ar-SA"/>
        </w:rPr>
        <w:t xml:space="preserve">，联系电话：15365776618。</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24"/>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24"/>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24"/>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24"/>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2" w:name="_Toc16938552"/>
      <w:r/>
      <w:bookmarkStart w:id="163" w:name="_Toc513029236"/>
      <w:r/>
      <w:bookmarkStart w:id="164" w:name="_Toc120614220"/>
      <w:r/>
      <w:bookmarkStart w:id="165" w:name="_Toc20823308"/>
      <w:r>
        <w:rPr>
          <w:rFonts w:hint="eastAsia" w:ascii="宋体" w:hAnsi="宋体" w:eastAsia="宋体" w:cs="宋体"/>
          <w:b/>
          <w:color w:val="000000"/>
          <w:sz w:val="24"/>
          <w:szCs w:val="24"/>
          <w:highlight w:val="none"/>
        </w:rPr>
        <w:t xml:space="preserve">七、授予合同</w:t>
      </w:r>
      <w:bookmarkEnd w:id="162"/>
      <w:r/>
      <w:bookmarkEnd w:id="163"/>
      <w:r/>
      <w:bookmarkEnd w:id="164"/>
      <w:r/>
      <w:bookmarkEnd w:id="165"/>
      <w:r/>
      <w:r/>
    </w:p>
    <w:p>
      <w:pPr>
        <w:pStyle w:val="824"/>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66" w:name="_Toc20823309"/>
      <w:r/>
      <w:bookmarkStart w:id="167" w:name="_Toc513029237"/>
      <w:r/>
      <w:bookmarkStart w:id="168" w:name="_Toc16938553"/>
      <w:r>
        <w:rPr>
          <w:rFonts w:hint="eastAsia" w:ascii="宋体" w:hAnsi="宋体" w:eastAsia="宋体" w:cs="宋体"/>
          <w:color w:val="000000"/>
          <w:sz w:val="24"/>
          <w:szCs w:val="24"/>
          <w:highlight w:val="none"/>
        </w:rPr>
        <w:t xml:space="preserve">30.签订合同</w:t>
      </w:r>
      <w:bookmarkEnd w:id="166"/>
      <w:r/>
      <w:bookmarkEnd w:id="167"/>
      <w:r/>
      <w:bookmarkEnd w:id="168"/>
      <w:r/>
      <w:r/>
    </w:p>
    <w:p>
      <w:pPr>
        <w:pStyle w:val="82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24"/>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24"/>
        <w:ind w:firstLine="60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24"/>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24"/>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4"/>
        <w:ind w:firstLine="600"/>
        <w:jc w:val="both"/>
        <w:keepLines/>
        <w:keepNex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24"/>
        <w:ind w:firstLine="60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24"/>
        <w:ind w:firstLine="600"/>
        <w:jc w:val="both"/>
        <w:keepLines/>
        <w:keepNex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36个月，保函开具行必须为采购人指定行，且须完全符合采购人要求。如中标人在收到中标通知书后10日内未按上述要求交付履约保证金，采购人有权单方取消中标人中标资格。</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ind w:firstLine="600"/>
        <w:spacing w:line="360" w:lineRule="auto"/>
        <w:rPr>
          <w:rFonts w:hint="eastAsia" w:ascii="宋体" w:hAnsi="宋体" w:cs="宋体"/>
          <w:color w:val="auto"/>
          <w:sz w:val="24"/>
          <w:szCs w:val="24"/>
        </w:rPr>
      </w:pPr>
      <w:r>
        <w:rPr>
          <w:rFonts w:hint="eastAsia" w:ascii="宋体" w:hAnsi="宋体" w:cs="宋体"/>
          <w:color w:val="auto"/>
          <w:sz w:val="24"/>
          <w:szCs w:val="24"/>
        </w:rPr>
        <w:t xml:space="preserve">本项目落实预付款制度，预付款比例为30%。中标供应商在采购人支付预付款前，必须提供同等金额的无条件即索即兑预付款银行保函，保函有效期为签订合同后</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个月，以确保采购人的资金安全。在签订合同时，中标、成交供应商明确书面表示无需预付款或者主动要求降低预付款比例的，采购人可就预付款比例作相应调整。</w:t>
      </w:r>
      <w:r/>
    </w:p>
    <w:p>
      <w:pPr>
        <w:ind w:firstLine="600"/>
        <w:spacing w:line="360" w:lineRule="auto"/>
        <w:rPr>
          <w:rFonts w:hint="eastAsia" w:ascii="宋体" w:hAnsi="宋体" w:cs="宋体"/>
          <w:color w:val="auto"/>
          <w:sz w:val="24"/>
          <w:szCs w:val="24"/>
        </w:rPr>
      </w:pPr>
      <w:r>
        <w:rPr>
          <w:rFonts w:hint="eastAsia" w:ascii="宋体" w:hAnsi="宋体" w:cs="宋体"/>
          <w:color w:val="auto"/>
          <w:sz w:val="24"/>
          <w:szCs w:val="24"/>
        </w:rPr>
        <w:t xml:space="preserve">注：乙方在甲方支付预付款前，必须提供同等金额的预付款银行保函，以确保甲方的资金安全。该保函必须是无条件即付即兑的银行保函，保函有效期为签订合同后</w:t>
      </w:r>
      <w:r>
        <w:rPr>
          <w:rFonts w:hint="eastAsia" w:ascii="宋体" w:hAnsi="宋体" w:cs="宋体"/>
          <w:color w:val="auto"/>
          <w:sz w:val="24"/>
          <w:szCs w:val="24"/>
          <w:lang w:val="en-US" w:eastAsia="zh-CN"/>
        </w:rPr>
        <w:t xml:space="preserve">12</w:t>
      </w:r>
      <w:r>
        <w:rPr>
          <w:rFonts w:hint="eastAsia" w:ascii="宋体" w:hAnsi="宋体" w:cs="宋体"/>
          <w:color w:val="auto"/>
          <w:sz w:val="24"/>
          <w:szCs w:val="24"/>
        </w:rPr>
        <w:t xml:space="preserve">个月，保函开具行必须为甲方指定行，且须完全符合甲方要求。如乙方未按上述要求在签订合同前15日内提供银行保函，则视为乙方无条件放弃预付款，付款方式仍按照合同第</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rPr>
        <w:t xml:space="preserve">条款第</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点中的付款方式执行。</w:t>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4"/>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r>
      <w:r/>
    </w:p>
    <w:p>
      <w:pPr>
        <w:jc w:val="center"/>
        <w:keepLines w:val="0"/>
        <w:keepNext w:val="0"/>
        <w:pageBreakBefore w:val="0"/>
        <w:spacing w:line="500" w:lineRule="exact"/>
        <w:widowControl w:val="off"/>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r>
      <w:r/>
    </w:p>
    <w:p>
      <w:pPr>
        <w:jc w:val="center"/>
        <w:keepLines w:val="0"/>
        <w:keepNext w:val="0"/>
        <w:pageBreakBefore w:val="0"/>
        <w:spacing w:line="500" w:lineRule="exact"/>
        <w:widowControl w:val="off"/>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r>
      <w:r/>
    </w:p>
    <w:p>
      <w:pPr>
        <w:pStyle w:val="824"/>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第三章  合同文本</w:t>
      </w:r>
      <w:r/>
    </w:p>
    <w:p>
      <w:pPr>
        <w:pStyle w:val="824"/>
        <w:ind w:firstLine="480"/>
        <w:jc w:val="both"/>
        <w:keepLines w:val="0"/>
        <w:keepNext w:val="0"/>
        <w:pageBreakBefore w:val="0"/>
        <w:spacing w:beforeAutospacing="0" w:afterAutospacing="0" w:line="500" w:lineRule="exact"/>
        <w:widowControl w:val="off"/>
        <w:rPr>
          <w:sz w:val="24"/>
          <w:szCs w:val="24"/>
          <w:highlight w:val="none"/>
        </w:rPr>
      </w:pPr>
      <w:r/>
      <w:bookmarkStart w:id="169" w:name="_Toc20823315"/>
      <w:r/>
      <w:bookmarkStart w:id="170" w:name="_Toc16938559"/>
      <w:r/>
      <w:bookmarkStart w:id="171"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9"/>
      <w:r/>
      <w:bookmarkEnd w:id="170"/>
      <w:r/>
      <w:bookmarkEnd w:id="171"/>
      <w:r>
        <w:rPr>
          <w:sz w:val="24"/>
          <w:szCs w:val="24"/>
          <w:highlight w:val="none"/>
        </w:rPr>
        <w:t xml:space="preserve"> </w:t>
      </w:r>
      <w:r/>
    </w:p>
    <w:p>
      <w:pPr>
        <w:pStyle w:val="824"/>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盐城市政府采购合同（服务）（合同编号）</w:t>
      </w:r>
      <w:r/>
    </w:p>
    <w:p>
      <w:pPr>
        <w:pStyle w:val="821"/>
        <w:ind w:firstLine="480"/>
        <w:spacing w:before="120" w:after="120" w:line="360" w:lineRule="auto"/>
        <w:rPr>
          <w:rFonts w:hint="eastAsia" w:hAnsi="宋体" w:eastAsia="宋体"/>
          <w:color w:val="auto"/>
          <w:sz w:val="24"/>
          <w:szCs w:val="24"/>
          <w:lang w:eastAsia="zh-CN"/>
        </w:rPr>
      </w:pPr>
      <w:r/>
      <w:bookmarkStart w:id="172" w:name="_Toc479757211"/>
      <w:r/>
      <w:bookmarkStart w:id="173" w:name="_Toc20823346"/>
      <w:r/>
      <w:bookmarkStart w:id="174" w:name="_Toc120614244"/>
      <w:r/>
      <w:bookmarkStart w:id="175" w:name="_Hlt16619350"/>
      <w:r/>
      <w:bookmarkStart w:id="176" w:name="_Toc462564139"/>
      <w:r/>
      <w:bookmarkStart w:id="177" w:name="_Toc16938590"/>
      <w:r/>
      <w:bookmarkStart w:id="178" w:name="_Hlt16619369"/>
      <w:r>
        <w:rPr>
          <w:rFonts w:hAnsi="宋体"/>
          <w:color w:val="auto"/>
          <w:sz w:val="24"/>
          <w:szCs w:val="24"/>
        </w:rPr>
        <w:t xml:space="preserve">项目名称：</w:t>
      </w:r>
      <w:r>
        <w:rPr>
          <w:rFonts w:hint="eastAsia" w:hAnsi="宋体"/>
          <w:color w:val="auto"/>
          <w:sz w:val="24"/>
          <w:szCs w:val="24"/>
          <w:lang w:eastAsia="zh-CN"/>
        </w:rPr>
        <w:t xml:space="preserve">滨海县人民医院数据中心运维采购项目（三次）</w:t>
      </w:r>
      <w:r/>
    </w:p>
    <w:p>
      <w:pPr>
        <w:pStyle w:val="821"/>
        <w:ind w:firstLine="480"/>
        <w:spacing w:before="120" w:after="120" w:line="360" w:lineRule="auto"/>
        <w:rPr>
          <w:rFonts w:hint="eastAsia" w:hAnsi="宋体" w:eastAsia="宋体"/>
          <w:color w:val="auto"/>
          <w:sz w:val="24"/>
          <w:szCs w:val="24"/>
          <w:lang w:eastAsia="zh-CN"/>
        </w:rPr>
      </w:pPr>
      <w:r>
        <w:rPr>
          <w:rFonts w:hAnsi="宋体"/>
          <w:color w:val="auto"/>
          <w:sz w:val="24"/>
          <w:szCs w:val="24"/>
        </w:rPr>
        <w:t xml:space="preserve">项目编号：</w:t>
      </w:r>
      <w:r>
        <w:rPr>
          <w:rFonts w:hint="eastAsia" w:hAnsi="宋体"/>
          <w:color w:val="auto"/>
          <w:sz w:val="24"/>
          <w:szCs w:val="24"/>
        </w:rPr>
        <w:t xml:space="preserve">JSZC-320922-YCJT-G2026-0002</w:t>
      </w:r>
      <w:r>
        <w:rPr>
          <w:rFonts w:hint="eastAsia" w:hAnsi="宋体"/>
          <w:color w:val="auto"/>
          <w:sz w:val="24"/>
          <w:szCs w:val="24"/>
          <w:lang w:val="en-US" w:eastAsia="zh-CN"/>
        </w:rPr>
        <w:t xml:space="preserve"> </w:t>
      </w:r>
      <w:r/>
    </w:p>
    <w:p>
      <w:pPr>
        <w:pStyle w:val="821"/>
        <w:ind w:firstLine="480"/>
        <w:spacing w:before="120" w:after="120" w:line="360" w:lineRule="auto"/>
        <w:rPr>
          <w:rFonts w:hAnsi="宋体"/>
          <w:color w:val="auto"/>
          <w:sz w:val="24"/>
          <w:szCs w:val="24"/>
        </w:rPr>
      </w:pPr>
      <w:r>
        <w:rPr>
          <w:rFonts w:hAnsi="宋体"/>
          <w:color w:val="auto"/>
          <w:sz w:val="24"/>
          <w:szCs w:val="24"/>
        </w:rPr>
        <w:t xml:space="preserve">甲方：（买方）</w:t>
      </w:r>
      <w:r>
        <w:rPr>
          <w:rFonts w:hint="eastAsia" w:hAnsi="宋体"/>
          <w:color w:val="auto"/>
          <w:sz w:val="24"/>
          <w:szCs w:val="24"/>
          <w:u w:val="single"/>
        </w:rPr>
        <w:t xml:space="preserve">滨海县人民医院</w:t>
      </w:r>
      <w:r/>
    </w:p>
    <w:p>
      <w:pPr>
        <w:pStyle w:val="821"/>
        <w:ind w:firstLine="480"/>
        <w:spacing w:before="120" w:after="120" w:line="360" w:lineRule="auto"/>
        <w:rPr>
          <w:rFonts w:hAnsi="宋体"/>
          <w:color w:val="auto"/>
          <w:sz w:val="24"/>
          <w:szCs w:val="24"/>
        </w:rPr>
      </w:pPr>
      <w:r>
        <w:rPr>
          <w:rFonts w:hAnsi="宋体"/>
          <w:color w:val="auto"/>
          <w:sz w:val="24"/>
          <w:szCs w:val="24"/>
        </w:rPr>
        <w:t xml:space="preserve">乙方：（卖方）______________</w:t>
      </w:r>
      <w:r/>
    </w:p>
    <w:p>
      <w:pPr>
        <w:pStyle w:val="821"/>
        <w:ind w:firstLine="240"/>
        <w:spacing w:before="120" w:after="120" w:line="360" w:lineRule="auto"/>
        <w:rPr>
          <w:rFonts w:hAnsi="宋体"/>
          <w:b/>
          <w:color w:val="auto"/>
          <w:sz w:val="24"/>
          <w:szCs w:val="24"/>
        </w:rPr>
      </w:pPr>
      <w:r>
        <w:rPr>
          <w:rFonts w:hAnsi="宋体"/>
          <w:color w:val="auto"/>
          <w:sz w:val="24"/>
          <w:szCs w:val="24"/>
        </w:rPr>
        <w:t xml:space="preserve">甲、乙双方根据</w:t>
      </w:r>
      <w:r>
        <w:rPr>
          <w:rFonts w:hint="eastAsia" w:hAnsi="宋体"/>
          <w:color w:val="auto"/>
          <w:sz w:val="24"/>
          <w:szCs w:val="24"/>
          <w:u w:val="single"/>
          <w:lang w:eastAsia="zh-CN"/>
        </w:rPr>
        <w:t xml:space="preserve">滨海县人民医院数据中心运维采购项目（三次）</w:t>
      </w:r>
      <w:r>
        <w:rPr>
          <w:rFonts w:hAnsi="宋体"/>
          <w:color w:val="auto"/>
          <w:sz w:val="24"/>
          <w:szCs w:val="24"/>
        </w:rPr>
        <w:t xml:space="preserve">公开招标的结果，签署本合同。</w:t>
      </w:r>
      <w:r/>
    </w:p>
    <w:p>
      <w:pPr>
        <w:ind w:firstLine="482"/>
        <w:spacing w:line="360" w:lineRule="auto"/>
        <w:rPr>
          <w:rFonts w:ascii="宋体" w:hAnsi="宋体"/>
          <w:b/>
          <w:color w:val="auto"/>
          <w:sz w:val="24"/>
        </w:rPr>
      </w:pPr>
      <w:r>
        <w:rPr>
          <w:rFonts w:ascii="宋体" w:hAnsi="宋体"/>
          <w:b/>
          <w:color w:val="auto"/>
          <w:sz w:val="24"/>
        </w:rPr>
        <w:t xml:space="preserve">第一条  定义</w:t>
      </w:r>
      <w:r/>
    </w:p>
    <w:p>
      <w:pPr>
        <w:ind w:firstLine="470"/>
        <w:spacing w:line="360" w:lineRule="auto"/>
        <w:rPr>
          <w:rFonts w:ascii="宋体" w:hAnsi="宋体"/>
          <w:color w:val="auto"/>
          <w:sz w:val="24"/>
        </w:rPr>
      </w:pPr>
      <w:r>
        <w:rPr>
          <w:rFonts w:ascii="宋体" w:hAnsi="宋体"/>
          <w:color w:val="auto"/>
          <w:sz w:val="24"/>
        </w:rPr>
        <w:t xml:space="preserve">除非另有特别解释或说明，本合同有关词语应按如下定义解释：</w:t>
      </w:r>
      <w:r/>
    </w:p>
    <w:p>
      <w:pPr>
        <w:ind w:firstLine="480"/>
        <w:spacing w:line="360" w:lineRule="auto"/>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w:t>
      </w:r>
      <w:r>
        <w:rPr>
          <w:rFonts w:ascii="宋体" w:hAnsi="宋体"/>
          <w:color w:val="auto"/>
          <w:sz w:val="24"/>
        </w:rPr>
        <w:t xml:space="preserve">合同系指甲乙双方签署的，与本项目相关的协议、附件、附录和其他一切文件。</w:t>
      </w:r>
      <w:r/>
    </w:p>
    <w:p>
      <w:pPr>
        <w:ind w:firstLine="480"/>
        <w:spacing w:line="360" w:lineRule="auto"/>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w:t>
      </w:r>
      <w:r>
        <w:rPr>
          <w:rFonts w:ascii="宋体" w:hAnsi="宋体"/>
          <w:color w:val="auto"/>
          <w:sz w:val="24"/>
        </w:rPr>
        <w:t xml:space="preserve">甲方系指购买本合同项下服务的国家机关、事业单位、团体组织。</w:t>
      </w:r>
      <w:r/>
    </w:p>
    <w:p>
      <w:pPr>
        <w:ind w:firstLine="480"/>
        <w:spacing w:line="360" w:lineRule="auto"/>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w:t>
      </w:r>
      <w:r>
        <w:rPr>
          <w:rFonts w:ascii="宋体" w:hAnsi="宋体"/>
          <w:color w:val="auto"/>
          <w:sz w:val="24"/>
        </w:rPr>
        <w:t xml:space="preserve">乙方系指提供本合同项下服务的法人、其他组织或自然人。</w:t>
      </w:r>
      <w:r/>
    </w:p>
    <w:p>
      <w:pPr>
        <w:ind w:firstLine="480"/>
        <w:spacing w:line="360" w:lineRule="auto"/>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w:t>
      </w:r>
      <w:r>
        <w:rPr>
          <w:rFonts w:ascii="宋体" w:hAnsi="宋体"/>
          <w:color w:val="auto"/>
          <w:sz w:val="24"/>
        </w:rPr>
        <w:t xml:space="preserve">服务系指根据合同规定乙方承担的</w:t>
      </w:r>
      <w:r>
        <w:rPr>
          <w:rFonts w:hint="eastAsia" w:ascii="宋体" w:hAnsi="宋体"/>
          <w:color w:val="auto"/>
          <w:sz w:val="24"/>
          <w:lang w:eastAsia="zh-CN"/>
        </w:rPr>
        <w:t xml:space="preserve">运维</w:t>
      </w:r>
      <w:r>
        <w:rPr>
          <w:rFonts w:hint="eastAsia" w:ascii="宋体" w:hAnsi="宋体"/>
          <w:color w:val="auto"/>
          <w:sz w:val="24"/>
        </w:rPr>
        <w:t xml:space="preserve">服务项目等</w:t>
      </w:r>
      <w:r>
        <w:rPr>
          <w:rFonts w:ascii="宋体" w:hAnsi="宋体"/>
          <w:color w:val="auto"/>
          <w:sz w:val="24"/>
        </w:rPr>
        <w:t xml:space="preserve">相关工作。</w:t>
      </w:r>
      <w:r/>
    </w:p>
    <w:p>
      <w:pPr>
        <w:ind w:firstLine="480"/>
        <w:spacing w:line="360" w:lineRule="auto"/>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w:t>
      </w:r>
      <w:r>
        <w:rPr>
          <w:rFonts w:ascii="宋体" w:hAnsi="宋体"/>
          <w:color w:val="auto"/>
          <w:sz w:val="24"/>
        </w:rPr>
        <w:t xml:space="preserve">合同总价系指根据合同规定乙方在正确地完全履行合同义务后甲方应支付给乙方的价格，包含了甲方购买合同项下相关服务的一切费用。</w:t>
      </w:r>
      <w:r/>
    </w:p>
    <w:p>
      <w:pPr>
        <w:ind w:firstLine="482"/>
        <w:spacing w:line="360" w:lineRule="auto"/>
        <w:rPr>
          <w:rFonts w:ascii="宋体" w:hAnsi="宋体"/>
          <w:b/>
          <w:color w:val="auto"/>
          <w:sz w:val="24"/>
        </w:rPr>
      </w:pPr>
      <w:r>
        <w:rPr>
          <w:rFonts w:ascii="宋体" w:hAnsi="宋体"/>
          <w:b/>
          <w:color w:val="auto"/>
          <w:sz w:val="24"/>
        </w:rPr>
        <w:t xml:space="preserve">第二条  组成合同的文件</w:t>
      </w:r>
      <w:r/>
    </w:p>
    <w:p>
      <w:pPr>
        <w:ind w:firstLine="480"/>
        <w:spacing w:line="360" w:lineRule="auto"/>
        <w:rPr>
          <w:rFonts w:ascii="宋体" w:hAnsi="宋体"/>
          <w:color w:val="auto"/>
          <w:sz w:val="24"/>
        </w:rPr>
      </w:pPr>
      <w:r>
        <w:rPr>
          <w:rFonts w:ascii="宋体" w:hAnsi="宋体"/>
          <w:color w:val="auto"/>
          <w:sz w:val="24"/>
        </w:rPr>
        <w:t xml:space="preserve">下列文件是组成本合同的不可分割的部分：</w:t>
      </w:r>
      <w:r/>
    </w:p>
    <w:p>
      <w:pPr>
        <w:numPr>
          <w:ilvl w:val="0"/>
          <w:numId w:val="2"/>
        </w:numPr>
        <w:ind w:firstLine="480"/>
        <w:spacing w:line="360" w:lineRule="auto"/>
        <w:rPr>
          <w:rFonts w:ascii="宋体" w:hAnsi="宋体"/>
          <w:color w:val="auto"/>
          <w:sz w:val="24"/>
        </w:rPr>
      </w:pPr>
      <w:r>
        <w:rPr>
          <w:rFonts w:hint="eastAsia" w:ascii="宋体" w:hAnsi="宋体"/>
          <w:color w:val="auto"/>
          <w:sz w:val="24"/>
        </w:rPr>
        <w:t xml:space="preserve">本项目采购</w:t>
      </w:r>
      <w:r>
        <w:rPr>
          <w:rFonts w:ascii="宋体" w:hAnsi="宋体"/>
          <w:color w:val="auto"/>
          <w:sz w:val="24"/>
        </w:rPr>
        <w:t xml:space="preserve">文件；</w:t>
      </w:r>
      <w:r/>
    </w:p>
    <w:p>
      <w:pPr>
        <w:numPr>
          <w:ilvl w:val="0"/>
          <w:numId w:val="2"/>
        </w:numPr>
        <w:ind w:firstLine="480"/>
        <w:spacing w:line="360" w:lineRule="auto"/>
        <w:rPr>
          <w:rFonts w:ascii="宋体" w:hAnsi="宋体"/>
          <w:color w:val="auto"/>
          <w:sz w:val="24"/>
        </w:rPr>
      </w:pPr>
      <w:r>
        <w:rPr>
          <w:rFonts w:ascii="宋体" w:hAnsi="宋体"/>
          <w:color w:val="auto"/>
          <w:sz w:val="24"/>
        </w:rPr>
        <w:t xml:space="preserve">乙方提交的</w:t>
      </w:r>
      <w:r>
        <w:rPr>
          <w:rFonts w:hint="eastAsia" w:ascii="宋体" w:hAnsi="宋体"/>
          <w:color w:val="auto"/>
          <w:sz w:val="24"/>
        </w:rPr>
        <w:t xml:space="preserve">响应</w:t>
      </w:r>
      <w:r>
        <w:rPr>
          <w:rFonts w:ascii="宋体" w:hAnsi="宋体"/>
          <w:color w:val="auto"/>
          <w:sz w:val="24"/>
        </w:rPr>
        <w:t xml:space="preserve">文件；</w:t>
      </w:r>
      <w:r/>
    </w:p>
    <w:p>
      <w:pPr>
        <w:numPr>
          <w:ilvl w:val="0"/>
          <w:numId w:val="2"/>
        </w:numPr>
        <w:ind w:firstLine="480"/>
        <w:spacing w:line="360" w:lineRule="auto"/>
        <w:rPr>
          <w:rFonts w:ascii="宋体" w:hAnsi="宋体"/>
          <w:color w:val="auto"/>
          <w:sz w:val="24"/>
        </w:rPr>
      </w:pPr>
      <w:r>
        <w:rPr>
          <w:rFonts w:ascii="宋体" w:hAnsi="宋体"/>
          <w:color w:val="auto"/>
          <w:sz w:val="24"/>
        </w:rPr>
        <w:t xml:space="preserve">乙方所作的相关书面澄清；</w:t>
      </w:r>
      <w:r/>
    </w:p>
    <w:p>
      <w:pPr>
        <w:numPr>
          <w:ilvl w:val="0"/>
          <w:numId w:val="2"/>
        </w:numPr>
        <w:ind w:firstLine="480"/>
        <w:spacing w:line="360" w:lineRule="auto"/>
        <w:rPr>
          <w:rFonts w:ascii="宋体" w:hAnsi="宋体"/>
          <w:color w:val="auto"/>
          <w:sz w:val="24"/>
        </w:rPr>
      </w:pPr>
      <w:r>
        <w:rPr>
          <w:rFonts w:ascii="宋体" w:hAnsi="宋体"/>
          <w:color w:val="auto"/>
          <w:sz w:val="24"/>
        </w:rPr>
        <w:t xml:space="preserve">中标通知书；</w:t>
      </w:r>
      <w:r/>
    </w:p>
    <w:p>
      <w:pPr>
        <w:numPr>
          <w:ilvl w:val="0"/>
          <w:numId w:val="2"/>
        </w:numPr>
        <w:ind w:firstLine="480"/>
        <w:spacing w:line="360" w:lineRule="auto"/>
        <w:rPr>
          <w:rFonts w:ascii="宋体" w:hAnsi="宋体"/>
          <w:color w:val="auto"/>
          <w:sz w:val="24"/>
        </w:rPr>
      </w:pPr>
      <w:r>
        <w:rPr>
          <w:rFonts w:ascii="宋体" w:hAnsi="宋体"/>
          <w:color w:val="auto"/>
          <w:sz w:val="24"/>
        </w:rPr>
        <w:t xml:space="preserve">甲乙双方商定的其他必要文件。</w:t>
      </w:r>
      <w:r/>
    </w:p>
    <w:p>
      <w:pPr>
        <w:ind w:firstLine="482"/>
        <w:spacing w:line="360" w:lineRule="auto"/>
        <w:rPr>
          <w:rFonts w:ascii="宋体" w:hAnsi="宋体"/>
          <w:b/>
          <w:color w:val="auto"/>
          <w:sz w:val="24"/>
          <w:szCs w:val="24"/>
        </w:rPr>
      </w:pPr>
      <w:r>
        <w:rPr>
          <w:rFonts w:ascii="宋体" w:hAnsi="宋体"/>
          <w:b/>
          <w:color w:val="auto"/>
          <w:sz w:val="24"/>
          <w:szCs w:val="24"/>
        </w:rPr>
        <w:t xml:space="preserve">第三条  合同内容</w:t>
      </w:r>
      <w:r>
        <w:rPr>
          <w:rFonts w:hint="eastAsia" w:ascii="宋体" w:hAnsi="宋体"/>
          <w:b/>
          <w:color w:val="auto"/>
          <w:sz w:val="24"/>
          <w:szCs w:val="24"/>
        </w:rPr>
        <w:t xml:space="preserve">及范围</w:t>
      </w:r>
      <w:r/>
    </w:p>
    <w:p>
      <w:pPr>
        <w:ind w:firstLine="480"/>
        <w:spacing w:line="360" w:lineRule="auto"/>
        <w:rPr>
          <w:rFonts w:ascii="宋体" w:hAnsi="宋体" w:cs="宋体"/>
          <w:iCs/>
          <w:color w:val="auto"/>
          <w:sz w:val="24"/>
          <w:szCs w:val="24"/>
        </w:rPr>
      </w:pPr>
      <w:r>
        <w:rPr>
          <w:rFonts w:hint="eastAsia" w:ascii="宋体" w:hAnsi="宋体"/>
          <w:color w:val="auto"/>
          <w:sz w:val="24"/>
          <w:szCs w:val="24"/>
        </w:rPr>
        <w:t xml:space="preserve">1.</w:t>
      </w:r>
      <w:r>
        <w:rPr>
          <w:rFonts w:hint="eastAsia" w:ascii="宋体" w:hAnsi="宋体" w:cs="宋体"/>
          <w:iCs/>
          <w:color w:val="auto"/>
          <w:sz w:val="24"/>
          <w:szCs w:val="24"/>
        </w:rPr>
        <w:t xml:space="preserve">发包内容为：</w:t>
      </w:r>
      <w:r>
        <w:rPr>
          <w:rFonts w:hint="eastAsia" w:hAnsi="宋体"/>
          <w:color w:val="auto"/>
          <w:sz w:val="24"/>
          <w:szCs w:val="24"/>
          <w:u w:val="single"/>
          <w:lang w:eastAsia="zh-CN"/>
        </w:rPr>
        <w:t xml:space="preserve">滨海县人民医院数据中心运维采购项目（三次）</w:t>
      </w:r>
      <w:r>
        <w:rPr>
          <w:rFonts w:hint="eastAsia" w:ascii="宋体" w:hAnsi="宋体" w:cs="宋体"/>
          <w:color w:val="auto"/>
          <w:sz w:val="24"/>
          <w:szCs w:val="24"/>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2.服务要求:按招标文件要求执行。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运维</w:t>
      </w:r>
      <w:r>
        <w:rPr>
          <w:rFonts w:hint="eastAsia" w:ascii="宋体" w:hAnsi="宋体" w:cs="宋体"/>
          <w:color w:val="auto"/>
          <w:sz w:val="24"/>
          <w:szCs w:val="24"/>
        </w:rPr>
        <w:t xml:space="preserve">期限:三年。</w:t>
      </w:r>
      <w:r/>
    </w:p>
    <w:p>
      <w:pPr>
        <w:ind w:firstLine="480"/>
        <w:spacing w:line="360" w:lineRule="auto"/>
        <w:rPr>
          <w:rFonts w:ascii="宋体" w:hAnsi="宋体" w:cs="宋体"/>
          <w:iCs/>
          <w:color w:val="auto"/>
          <w:sz w:val="24"/>
          <w:szCs w:val="24"/>
        </w:rPr>
      </w:pPr>
      <w:r>
        <w:rPr>
          <w:rFonts w:hint="eastAsia" w:ascii="宋体" w:hAnsi="宋体" w:cs="宋体"/>
          <w:color w:val="auto"/>
          <w:sz w:val="24"/>
          <w:szCs w:val="24"/>
        </w:rPr>
        <w:t xml:space="preserve">4.</w:t>
      </w:r>
      <w:r>
        <w:rPr>
          <w:rFonts w:hint="eastAsia" w:ascii="宋体" w:hAnsi="宋体" w:cs="宋体"/>
          <w:iCs/>
          <w:color w:val="auto"/>
          <w:sz w:val="24"/>
          <w:szCs w:val="24"/>
        </w:rPr>
        <w:t xml:space="preserve">服务地点：滨海县人民医院。</w:t>
      </w:r>
      <w:r/>
    </w:p>
    <w:p>
      <w:pPr>
        <w:ind w:firstLine="477"/>
        <w:spacing w:line="360" w:lineRule="auto"/>
        <w:rPr>
          <w:rFonts w:ascii="宋体" w:hAnsi="宋体"/>
          <w:b/>
          <w:color w:val="auto"/>
          <w:sz w:val="24"/>
        </w:rPr>
      </w:pPr>
      <w:r>
        <w:rPr>
          <w:rFonts w:ascii="宋体" w:hAnsi="宋体"/>
          <w:b/>
          <w:color w:val="auto"/>
          <w:sz w:val="24"/>
        </w:rPr>
        <w:t xml:space="preserve">第四条  </w:t>
      </w:r>
      <w:r>
        <w:rPr>
          <w:rFonts w:hint="eastAsia" w:ascii="宋体" w:hAnsi="宋体"/>
          <w:b/>
          <w:color w:val="auto"/>
          <w:sz w:val="24"/>
        </w:rPr>
        <w:t xml:space="preserve">合同金额</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1.本合同金额为（大写）：________元（__________元）人民币,本合同价款包含所有乙方提供合同约定服务的报酬及乙方提供合同中所支出的一切费用，甲方在上述合同价款之外不再向乙方支付其他任何费用。</w:t>
      </w:r>
      <w:r/>
    </w:p>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t xml:space="preserve">第五条  </w:t>
      </w:r>
      <w:r>
        <w:rPr>
          <w:rFonts w:hint="eastAsia" w:ascii="宋体" w:hAnsi="宋体"/>
          <w:b/>
          <w:color w:val="auto"/>
          <w:sz w:val="24"/>
          <w:szCs w:val="24"/>
          <w:highlight w:val="none"/>
        </w:rPr>
        <w:t xml:space="preserve">付款</w:t>
      </w:r>
      <w:r/>
    </w:p>
    <w:p>
      <w:pPr>
        <w:pStyle w:val="819"/>
        <w:ind w:firstLine="480"/>
        <w:keepLines w:val="0"/>
        <w:keepNext w:val="0"/>
        <w:pageBreakBefore w:val="0"/>
        <w:spacing w:line="52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1.本项目落实预付款制度，预付款比例为30%。中标供应商在采购人支付预付款前，必须提供同等金额的无条件即索即兑预付款银行保函，保函有效期为签订合同后12个月，以确保采购人的资金安全。在签订合同时，中标、成交供应商明确书面表示无需预付款或者主动要求降低预付款比例的，采购人可就预付款比例作相应调整。</w:t>
      </w:r>
      <w:r/>
    </w:p>
    <w:p>
      <w:pPr>
        <w:pStyle w:val="820"/>
        <w:ind w:firstLine="480"/>
        <w:keepLines w:val="0"/>
        <w:keepNext w:val="0"/>
        <w:pageBreakBefore w:val="0"/>
        <w:spacing w:line="520" w:lineRule="exact"/>
        <w:widowControl w:val="off"/>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2.合同期满一年且合同约定条件全部满足支付至合同金额的30%（如支付预付款的情况此节点费用无须支付）。合同期满两年且合同约定条件全部满足支付至合同金额的60%。合同期满三年且合同约定条件全部满足支付至合同金额的100%。（具体付费以甲方实际租赁和</w:t>
      </w:r>
      <w:r>
        <w:rPr>
          <w:rFonts w:hint="eastAsia" w:ascii="宋体" w:hAnsi="宋体" w:cs="Times New Roman"/>
          <w:color w:val="auto"/>
          <w:sz w:val="24"/>
          <w:szCs w:val="22"/>
          <w:highlight w:val="none"/>
          <w:lang w:val="en-US" w:eastAsia="zh-CN" w:bidi="ar-SA"/>
        </w:rPr>
        <w:t xml:space="preserve">运维</w:t>
      </w:r>
      <w:r>
        <w:rPr>
          <w:rFonts w:hint="eastAsia" w:ascii="宋体" w:hAnsi="宋体" w:eastAsia="宋体" w:cs="Times New Roman"/>
          <w:color w:val="auto"/>
          <w:sz w:val="24"/>
          <w:szCs w:val="22"/>
          <w:highlight w:val="none"/>
          <w:lang w:val="en-US" w:eastAsia="zh-CN" w:bidi="ar-SA"/>
        </w:rPr>
        <w:t xml:space="preserve">需求数量为准）。</w:t>
      </w:r>
      <w:r/>
    </w:p>
    <w:p>
      <w:pPr>
        <w:pStyle w:val="819"/>
        <w:ind w:firstLine="480"/>
        <w:keepLines w:val="0"/>
        <w:keepNext w:val="0"/>
        <w:pageBreakBefore w:val="0"/>
        <w:spacing w:line="520" w:lineRule="exact"/>
        <w:widowControl w:val="off"/>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注：乙方在甲方支付预付款前，必须提供同等金额的预付款银行保函，以确保甲方的资金安全。该保函必须是无条件即付即兑的银行保函，保函有效期为签订合同后12个月，保函开具行必须为甲方指定行，且须完全符合甲方要求。如乙方未按上述要求在签订合同前15日内提供银行保函，则视为乙方无条件放弃预付款，付款方式仍按照合同第五条款第2点中的付款方式执行。</w:t>
      </w:r>
      <w:r/>
    </w:p>
    <w:p>
      <w:pPr>
        <w:pStyle w:val="819"/>
        <w:ind w:firstLine="482"/>
        <w:spacing w:line="360" w:lineRule="auto"/>
        <w:rPr>
          <w:color w:val="auto"/>
          <w:highlight w:val="none"/>
        </w:rPr>
      </w:pPr>
      <w:r>
        <w:rPr>
          <w:rFonts w:hint="eastAsia" w:ascii="宋体" w:hAnsi="宋体" w:eastAsia="宋体"/>
          <w:b/>
          <w:color w:val="auto"/>
          <w:sz w:val="24"/>
          <w:szCs w:val="24"/>
          <w:highlight w:val="none"/>
        </w:rPr>
        <w:t xml:space="preserve">第六条  履约保证金</w:t>
      </w:r>
      <w:r/>
    </w:p>
    <w:p>
      <w:pPr>
        <w:ind w:firstLine="480"/>
        <w:spacing w:line="360" w:lineRule="auto"/>
        <w:rPr>
          <w:rFonts w:ascii="宋体" w:hAnsi="宋体"/>
          <w:color w:val="auto"/>
          <w:sz w:val="24"/>
        </w:rPr>
      </w:pPr>
      <w:r>
        <w:rPr>
          <w:rFonts w:hint="eastAsia" w:ascii="宋体" w:hAnsi="宋体"/>
          <w:color w:val="auto"/>
          <w:sz w:val="24"/>
          <w:highlight w:val="none"/>
        </w:rPr>
        <w:t xml:space="preserve">1.中标供应商在领取中标通知书后15日内，须向采购人缴纳履约保证金</w:t>
      </w:r>
      <w:r>
        <w:rPr>
          <w:rFonts w:hint="eastAsia" w:ascii="方正仿宋_GB2312" w:hAnsi="方正仿宋_GB2312" w:eastAsia="方正仿宋_GB2312" w:cs="方正仿宋_GB2312"/>
          <w:color w:val="auto"/>
          <w:sz w:val="28"/>
          <w:szCs w:val="28"/>
          <w:highlight w:val="none"/>
          <w:u w:val="single"/>
          <w:lang w:val="en-US" w:eastAsia="zh-CN"/>
        </w:rPr>
        <w:t xml:space="preserve">****元</w:t>
      </w:r>
      <w:r>
        <w:rPr>
          <w:rFonts w:hint="eastAsia" w:ascii="宋体" w:hAnsi="宋体"/>
          <w:color w:val="auto"/>
          <w:sz w:val="24"/>
          <w:highlight w:val="none"/>
        </w:rPr>
        <w:t xml:space="preserve">（合同金额*10%，以支票、汇票、本票或者银行保函形式提交）。履约保证金必须交至采购</w:t>
      </w:r>
      <w:r>
        <w:rPr>
          <w:rFonts w:hint="eastAsia" w:ascii="宋体" w:hAnsi="宋体"/>
          <w:color w:val="auto"/>
          <w:sz w:val="24"/>
        </w:rPr>
        <w:t xml:space="preserve">人指定账户。</w:t>
      </w:r>
      <w:r>
        <w:rPr>
          <w:rFonts w:hint="eastAsia" w:ascii="宋体" w:hAnsi="宋体" w:cs="宋体"/>
          <w:color w:val="auto"/>
          <w:sz w:val="24"/>
          <w:szCs w:val="24"/>
        </w:rPr>
        <w:t xml:space="preserve">如中标人提供履约保证金采用履约保函形式，所提供的履约保函</w:t>
      </w:r>
      <w:r>
        <w:rPr>
          <w:rFonts w:hint="eastAsia" w:ascii="宋体" w:hAnsi="宋体"/>
          <w:color w:val="auto"/>
          <w:sz w:val="24"/>
        </w:rPr>
        <w:t xml:space="preserve">必须是无条件即索即兑的银行保函，保函有效期为签订合同后36个月，保函开具行必须为采购人指定行，且须完全符合采购人要求。如中标人在收到中标通知书后10日内未按上述要求交付履约保证金，采购人有权单方取消中标人中标资格。</w:t>
      </w:r>
      <w:r/>
    </w:p>
    <w:p>
      <w:pPr>
        <w:ind w:firstLine="600"/>
        <w:spacing w:line="360" w:lineRule="auto"/>
        <w:rPr>
          <w:rFonts w:ascii="宋体" w:hAnsi="宋体"/>
          <w:color w:val="auto"/>
          <w:sz w:val="24"/>
        </w:rPr>
      </w:pPr>
      <w:r>
        <w:rPr>
          <w:rFonts w:hint="eastAsia" w:ascii="宋体" w:hAnsi="宋体"/>
          <w:color w:val="auto"/>
          <w:sz w:val="24"/>
        </w:rPr>
        <w:t xml:space="preserve">2.中标供应商</w:t>
      </w:r>
      <w:r>
        <w:rPr>
          <w:rFonts w:hint="eastAsia" w:ascii="宋体" w:hAnsi="宋体"/>
          <w:color w:val="auto"/>
          <w:sz w:val="24"/>
          <w:lang w:val="zh-CN"/>
        </w:rPr>
        <w:t xml:space="preserve">若在签订采购合同</w:t>
      </w:r>
      <w:r>
        <w:rPr>
          <w:rFonts w:hint="eastAsia" w:ascii="宋体" w:hAnsi="宋体"/>
          <w:color w:val="auto"/>
          <w:sz w:val="24"/>
        </w:rPr>
        <w:t xml:space="preserve">前</w:t>
      </w:r>
      <w:r>
        <w:rPr>
          <w:rFonts w:hint="eastAsia" w:ascii="宋体" w:hAnsi="宋体"/>
          <w:color w:val="auto"/>
          <w:sz w:val="24"/>
          <w:lang w:val="zh-CN"/>
        </w:rPr>
        <w:t xml:space="preserve">向</w:t>
      </w:r>
      <w:r>
        <w:rPr>
          <w:rFonts w:hint="eastAsia" w:ascii="宋体" w:hAnsi="宋体"/>
          <w:color w:val="auto"/>
          <w:sz w:val="24"/>
        </w:rPr>
        <w:t xml:space="preserve">采购</w:t>
      </w:r>
      <w:r>
        <w:rPr>
          <w:rFonts w:hint="eastAsia" w:ascii="宋体" w:hAnsi="宋体"/>
          <w:color w:val="auto"/>
          <w:sz w:val="24"/>
          <w:lang w:val="zh-CN"/>
        </w:rPr>
        <w:t xml:space="preserve">人提交本单位有效期内的第三方信用报告，且信用评级在AA级及以上的，</w:t>
      </w:r>
      <w:r>
        <w:rPr>
          <w:rFonts w:hint="eastAsia" w:ascii="宋体" w:hAnsi="宋体"/>
          <w:color w:val="auto"/>
          <w:sz w:val="24"/>
        </w:rPr>
        <w:t xml:space="preserve">中标供应商</w:t>
      </w:r>
      <w:r>
        <w:rPr>
          <w:rFonts w:hint="eastAsia" w:ascii="宋体" w:hAnsi="宋体"/>
          <w:color w:val="auto"/>
          <w:sz w:val="24"/>
          <w:lang w:val="zh-CN"/>
        </w:rPr>
        <w:t xml:space="preserve">可享受政府采购供应商履约保证金减免政策（</w:t>
      </w:r>
      <w:r>
        <w:rPr>
          <w:rFonts w:hint="eastAsia" w:ascii="宋体" w:hAnsi="宋体"/>
          <w:color w:val="auto"/>
          <w:sz w:val="24"/>
        </w:rPr>
        <w:t xml:space="preserve">减免50%</w:t>
      </w:r>
      <w:r>
        <w:rPr>
          <w:rFonts w:hint="eastAsia" w:ascii="宋体" w:hAnsi="宋体"/>
          <w:color w:val="auto"/>
          <w:sz w:val="24"/>
          <w:lang w:val="zh-CN"/>
        </w:rPr>
        <w:t xml:space="preserve">）（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color w:val="auto"/>
          <w:sz w:val="24"/>
        </w:rPr>
        <w:t xml:space="preserve">。</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4.履约保证金的退还：</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4.1方式：退还至投标人缴纳履约保证金的账户。如为保函，在到期时自行失效。</w:t>
      </w:r>
      <w:r/>
    </w:p>
    <w:p>
      <w:pPr>
        <w:pStyle w:val="819"/>
        <w:ind w:firstLine="0"/>
        <w:spacing w:line="360" w:lineRule="auto"/>
        <w:rPr>
          <w:rFonts w:ascii="宋体" w:hAnsi="宋体" w:eastAsia="宋体"/>
          <w:color w:val="auto"/>
          <w:sz w:val="24"/>
          <w:szCs w:val="24"/>
        </w:rPr>
      </w:pPr>
      <w:r>
        <w:rPr>
          <w:rFonts w:hint="eastAsia" w:ascii="宋体" w:hAnsi="宋体" w:eastAsia="宋体"/>
          <w:color w:val="auto"/>
          <w:sz w:val="24"/>
          <w:szCs w:val="24"/>
        </w:rPr>
        <w:t xml:space="preserve">　　4.2时间：</w:t>
      </w:r>
      <w:r>
        <w:rPr>
          <w:rFonts w:hint="eastAsia" w:ascii="宋体" w:hAnsi="宋体" w:eastAsia="宋体"/>
          <w:color w:val="auto"/>
          <w:sz w:val="24"/>
          <w:szCs w:val="24"/>
          <w:lang w:eastAsia="zh-CN"/>
        </w:rPr>
        <w:t xml:space="preserve">运维</w:t>
      </w:r>
      <w:r>
        <w:rPr>
          <w:rFonts w:hint="eastAsia" w:ascii="宋体" w:hAnsi="宋体" w:eastAsia="宋体"/>
          <w:color w:val="auto"/>
          <w:sz w:val="24"/>
          <w:szCs w:val="24"/>
        </w:rPr>
        <w:t xml:space="preserve">服务期满且甲方收到发票后30日内。</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4.3条件：按合同要求全部履约完成并经甲方验收合格，且甲方收到乙方出具的发票。</w:t>
      </w:r>
      <w:r/>
    </w:p>
    <w:p>
      <w:pPr>
        <w:pStyle w:val="819"/>
        <w:ind w:firstLine="0"/>
        <w:spacing w:line="360" w:lineRule="auto"/>
        <w:rPr>
          <w:rFonts w:ascii="宋体" w:hAnsi="宋体" w:eastAsia="宋体"/>
          <w:color w:val="auto"/>
          <w:sz w:val="24"/>
          <w:szCs w:val="24"/>
        </w:rPr>
      </w:pPr>
      <w:r>
        <w:rPr>
          <w:rFonts w:hint="eastAsia" w:ascii="宋体" w:hAnsi="宋体" w:eastAsia="宋体"/>
          <w:color w:val="auto"/>
          <w:sz w:val="24"/>
          <w:szCs w:val="24"/>
        </w:rPr>
        <w:t xml:space="preserve">　　4.4不予退还情形：</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除不可抗力情况外，投标人出现下列情形之一的，其履约保证金，甲方将视情节决定不予退还。</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（1）乙方无正当理由拒绝签订合同的，或者在签订合同时向甲方提出附加条件或者更改合同实质性内容要求的；</w:t>
      </w:r>
      <w:r/>
    </w:p>
    <w:p>
      <w:pPr>
        <w:pStyle w:val="819"/>
        <w:ind w:firstLine="0"/>
        <w:spacing w:line="360" w:lineRule="auto"/>
        <w:rPr>
          <w:rFonts w:ascii="宋体" w:hAnsi="宋体" w:eastAsia="宋体"/>
          <w:color w:val="auto"/>
          <w:sz w:val="24"/>
          <w:szCs w:val="24"/>
        </w:rPr>
      </w:pPr>
      <w:r>
        <w:rPr>
          <w:rFonts w:hint="eastAsia" w:ascii="宋体" w:hAnsi="宋体" w:eastAsia="宋体"/>
          <w:color w:val="auto"/>
          <w:sz w:val="24"/>
          <w:szCs w:val="24"/>
        </w:rPr>
        <w:t xml:space="preserve">　　（2）乙方不履行与甲方订立的合同的；</w:t>
      </w:r>
      <w:r/>
    </w:p>
    <w:p>
      <w:pPr>
        <w:pStyle w:val="819"/>
        <w:ind w:firstLine="0"/>
        <w:spacing w:line="360" w:lineRule="auto"/>
        <w:rPr>
          <w:rFonts w:ascii="宋体" w:hAnsi="宋体" w:eastAsia="宋体"/>
          <w:color w:val="auto"/>
          <w:sz w:val="24"/>
          <w:szCs w:val="24"/>
        </w:rPr>
      </w:pPr>
      <w:r>
        <w:rPr>
          <w:rFonts w:hint="eastAsia" w:ascii="宋体" w:hAnsi="宋体" w:eastAsia="宋体"/>
          <w:color w:val="auto"/>
          <w:sz w:val="24"/>
          <w:szCs w:val="24"/>
        </w:rPr>
        <w:t xml:space="preserve">　　（3）乙方所提供服务不符合招标文件规定要求的；</w:t>
      </w:r>
      <w:r/>
    </w:p>
    <w:p>
      <w:pPr>
        <w:pStyle w:val="819"/>
        <w:ind w:firstLine="0"/>
        <w:spacing w:line="360" w:lineRule="auto"/>
        <w:rPr>
          <w:rFonts w:ascii="宋体" w:hAnsi="宋体" w:eastAsia="宋体"/>
          <w:color w:val="auto"/>
          <w:sz w:val="24"/>
          <w:szCs w:val="24"/>
        </w:rPr>
      </w:pPr>
      <w:r>
        <w:rPr>
          <w:rFonts w:hint="eastAsia" w:ascii="宋体" w:hAnsi="宋体" w:eastAsia="宋体"/>
          <w:color w:val="auto"/>
          <w:sz w:val="24"/>
          <w:szCs w:val="24"/>
        </w:rPr>
        <w:t xml:space="preserve">　　（4）乙方采取欺骗、弄虚作假方式投标的或与其他投标人串通投标的；</w:t>
      </w:r>
      <w:r/>
    </w:p>
    <w:p>
      <w:pPr>
        <w:pStyle w:val="819"/>
        <w:ind w:firstLine="0"/>
        <w:spacing w:line="360" w:lineRule="auto"/>
        <w:rPr>
          <w:rFonts w:ascii="宋体" w:hAnsi="宋体" w:eastAsia="宋体"/>
          <w:color w:val="auto"/>
          <w:sz w:val="24"/>
          <w:szCs w:val="24"/>
        </w:rPr>
      </w:pPr>
      <w:r>
        <w:rPr>
          <w:rFonts w:hint="eastAsia" w:ascii="宋体" w:hAnsi="宋体" w:eastAsia="宋体"/>
          <w:color w:val="auto"/>
          <w:sz w:val="24"/>
          <w:szCs w:val="24"/>
        </w:rPr>
        <w:t xml:space="preserve">　　（5）乙方将合同内容转包、违法分包的；</w:t>
      </w:r>
      <w:r/>
    </w:p>
    <w:p>
      <w:pPr>
        <w:pStyle w:val="819"/>
        <w:ind w:firstLine="0"/>
        <w:spacing w:line="360" w:lineRule="auto"/>
        <w:rPr>
          <w:rFonts w:ascii="宋体" w:hAnsi="宋体" w:eastAsia="宋体"/>
          <w:color w:val="auto"/>
          <w:sz w:val="24"/>
          <w:szCs w:val="24"/>
        </w:rPr>
      </w:pPr>
      <w:r>
        <w:rPr>
          <w:rFonts w:hint="eastAsia" w:ascii="宋体" w:hAnsi="宋体" w:eastAsia="宋体"/>
          <w:color w:val="auto"/>
          <w:sz w:val="24"/>
          <w:szCs w:val="24"/>
        </w:rPr>
        <w:t xml:space="preserve">　　（6）乙方故意捏造事实或伪造证明材料，进行虚假恶意投诉或反映的。</w:t>
      </w:r>
      <w:r/>
    </w:p>
    <w:p>
      <w:pPr>
        <w:pStyle w:val="819"/>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第七条  成果权益</w:t>
      </w:r>
      <w:r/>
    </w:p>
    <w:p>
      <w:pPr>
        <w:pStyle w:val="819"/>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1.本合同涉及的本项目成果的使用权归甲方所有。所有权和著作权归乙方所有。</w:t>
      </w:r>
      <w:r/>
    </w:p>
    <w:p>
      <w:pPr>
        <w:pStyle w:val="819"/>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第八条不可抗力</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1.签约双方任一方由于受诸如战争、严重火灾、洪水、台风、地震等不可抗力事故的影响而不能执行合同时，履行合同的期限应予以延长，延长的期限应相当于事故所影响的时间。</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pStyle w:val="819"/>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第九条税费</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1.与履行本合同有关的一切税费，由乙方承担。</w:t>
      </w:r>
      <w:r/>
    </w:p>
    <w:p>
      <w:pPr>
        <w:pStyle w:val="819"/>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第十条争议</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1.在执行本合同中发生的或与本合同有关的争端，双方应通过友好协商解决。经协商不能达成协议时，双方均可向滨海县人民法院提起诉讼。</w:t>
      </w:r>
      <w:r/>
    </w:p>
    <w:p>
      <w:pPr>
        <w:pStyle w:val="819"/>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第十一条合同文件及资料的保密</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1.在未经甲方同意的情况下，乙方不得将合同、合同中的规定、有关研究、设计图纸、式样、样本或甲方为乙方提供的资料透露给任何人。</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2.除合同本身以外，乙方从甲方处获得的所有资料其知识产权归甲方所有，乙方应于其合同义务履行完毕以后将这些资料（包括所有副本）退还甲方。</w:t>
      </w:r>
      <w:r/>
    </w:p>
    <w:p>
      <w:pPr>
        <w:pStyle w:val="819"/>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第十二条</w:t>
      </w:r>
      <w:r>
        <w:rPr>
          <w:rFonts w:hint="eastAsia" w:ascii="宋体" w:hAnsi="宋体" w:eastAsia="宋体"/>
          <w:b/>
          <w:color w:val="auto"/>
          <w:sz w:val="24"/>
          <w:szCs w:val="24"/>
          <w:lang w:val="en-US" w:eastAsia="zh-CN"/>
        </w:rPr>
        <w:t xml:space="preserve"> </w:t>
      </w:r>
      <w:r>
        <w:rPr>
          <w:rFonts w:hint="eastAsia" w:ascii="宋体" w:hAnsi="宋体" w:eastAsia="宋体"/>
          <w:b/>
          <w:color w:val="auto"/>
          <w:sz w:val="24"/>
          <w:szCs w:val="24"/>
        </w:rPr>
        <w:t xml:space="preserve">考核管理办法</w:t>
      </w:r>
      <w:r/>
    </w:p>
    <w:p>
      <w:pPr>
        <w:ind w:firstLine="420"/>
        <w:spacing w:line="360" w:lineRule="auto"/>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 xml:space="preserve">1.按照招标功能参数逐条验证考核</w:t>
      </w:r>
      <w:r>
        <w:rPr>
          <w:rFonts w:ascii="Times New Roman" w:hAnsi="Times New Roman" w:cs="Times New Roman"/>
          <w:color w:val="auto"/>
          <w:sz w:val="24"/>
        </w:rPr>
        <w:t xml:space="preserve">所有</w:t>
      </w:r>
      <w:r>
        <w:rPr>
          <w:rFonts w:hint="eastAsia" w:ascii="Times New Roman" w:hAnsi="Times New Roman" w:cs="Times New Roman"/>
          <w:color w:val="auto"/>
          <w:sz w:val="24"/>
          <w:lang w:val="en-US" w:eastAsia="zh-CN"/>
        </w:rPr>
        <w:t xml:space="preserve">服务要求以及功能需求</w:t>
      </w:r>
      <w:r>
        <w:rPr>
          <w:rFonts w:ascii="Times New Roman" w:hAnsi="Times New Roman" w:cs="Times New Roman"/>
          <w:color w:val="auto"/>
          <w:sz w:val="24"/>
        </w:rPr>
        <w:t xml:space="preserve">，</w:t>
      </w:r>
      <w:r>
        <w:rPr>
          <w:rFonts w:hint="eastAsia" w:ascii="Times New Roman" w:hAnsi="Times New Roman" w:cs="Times New Roman"/>
          <w:color w:val="auto"/>
          <w:sz w:val="24"/>
        </w:rPr>
        <w:t xml:space="preserve">若出现</w:t>
      </w:r>
      <w:r>
        <w:rPr>
          <w:rFonts w:hint="eastAsia" w:ascii="Times New Roman" w:hAnsi="Times New Roman" w:cs="Times New Roman"/>
          <w:color w:val="auto"/>
          <w:sz w:val="24"/>
          <w:lang w:val="en-US" w:eastAsia="zh-CN"/>
        </w:rPr>
        <w:t xml:space="preserve">服务要求或功能需求不满足院方</w:t>
      </w:r>
      <w:r>
        <w:rPr>
          <w:rFonts w:ascii="Times New Roman" w:hAnsi="Times New Roman" w:cs="Times New Roman"/>
          <w:color w:val="auto"/>
          <w:sz w:val="24"/>
        </w:rPr>
        <w:t xml:space="preserve">需求</w:t>
      </w:r>
      <w:r>
        <w:rPr>
          <w:rFonts w:hint="eastAsia" w:ascii="Times New Roman" w:hAnsi="Times New Roman" w:cs="Times New Roman"/>
          <w:color w:val="auto"/>
          <w:sz w:val="24"/>
          <w:lang w:val="en-US" w:eastAsia="zh-CN"/>
        </w:rPr>
        <w:t xml:space="preserve">的</w:t>
      </w:r>
      <w:r>
        <w:rPr>
          <w:rFonts w:hint="eastAsia" w:ascii="Times New Roman" w:hAnsi="Times New Roman" w:cs="Times New Roman"/>
          <w:color w:val="auto"/>
          <w:sz w:val="24"/>
          <w:lang w:eastAsia="zh-CN"/>
        </w:rPr>
        <w:t xml:space="preserve">，</w:t>
      </w:r>
      <w:r>
        <w:rPr>
          <w:rFonts w:hint="eastAsia" w:ascii="Times New Roman" w:hAnsi="Times New Roman" w:cs="Times New Roman"/>
          <w:color w:val="auto"/>
          <w:sz w:val="24"/>
          <w:lang w:val="en-US" w:eastAsia="zh-CN"/>
        </w:rPr>
        <w:t xml:space="preserve">运维服务将立即停止，且院方有权单方面终止合同，并扣押履约保证金。</w:t>
      </w:r>
      <w:r/>
    </w:p>
    <w:p>
      <w:pPr>
        <w:ind w:firstLine="420"/>
        <w:spacing w:line="360" w:lineRule="auto"/>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 xml:space="preserve">2.</w:t>
      </w:r>
      <w:r>
        <w:rPr>
          <w:rFonts w:hint="eastAsia" w:ascii="Times New Roman" w:hAnsi="Times New Roman" w:cs="Times New Roman"/>
          <w:color w:val="auto"/>
          <w:sz w:val="24"/>
        </w:rPr>
        <w:t xml:space="preserve">乙方应确保维修电话响应时间为7×24小时，且在10分钟内响应</w:t>
      </w:r>
      <w:r>
        <w:rPr>
          <w:rFonts w:hint="eastAsia" w:ascii="Times New Roman" w:hAnsi="Times New Roman" w:cs="Times New Roman"/>
          <w:color w:val="auto"/>
          <w:sz w:val="24"/>
          <w:lang w:eastAsia="zh-CN"/>
        </w:rPr>
        <w:t xml:space="preserve">，</w:t>
      </w:r>
      <w:r>
        <w:rPr>
          <w:rFonts w:hint="eastAsia" w:ascii="Times New Roman" w:hAnsi="Times New Roman" w:cs="Times New Roman"/>
          <w:color w:val="auto"/>
          <w:sz w:val="24"/>
          <w:lang w:val="en-US" w:eastAsia="zh-CN"/>
        </w:rPr>
        <w:t xml:space="preserve">并</w:t>
      </w:r>
      <w:r>
        <w:rPr>
          <w:rFonts w:hint="eastAsia" w:ascii="Times New Roman" w:hAnsi="Times New Roman" w:cs="Times New Roman"/>
          <w:color w:val="auto"/>
          <w:sz w:val="24"/>
        </w:rPr>
        <w:t xml:space="preserve">在30分钟内</w:t>
      </w:r>
      <w:r>
        <w:rPr>
          <w:rFonts w:hint="eastAsia" w:ascii="Times New Roman" w:hAnsi="Times New Roman" w:cs="Times New Roman"/>
          <w:color w:val="auto"/>
          <w:sz w:val="24"/>
          <w:lang w:val="en-US" w:eastAsia="zh-CN"/>
        </w:rPr>
        <w:t xml:space="preserve">解决问题</w:t>
      </w:r>
      <w:r>
        <w:rPr>
          <w:rFonts w:hint="eastAsia" w:ascii="Times New Roman" w:hAnsi="Times New Roman" w:cs="Times New Roman"/>
          <w:color w:val="auto"/>
          <w:sz w:val="24"/>
        </w:rPr>
        <w:t xml:space="preserve">。若出现电话无法接通或响应超时，每发生一次扣款</w:t>
      </w:r>
      <w:r>
        <w:rPr>
          <w:rFonts w:hint="eastAsia" w:ascii="Times New Roman" w:hAnsi="Times New Roman" w:cs="Times New Roman"/>
          <w:color w:val="auto"/>
          <w:sz w:val="24"/>
          <w:lang w:val="en-US" w:eastAsia="zh-CN"/>
        </w:rPr>
        <w:t xml:space="preserve">5000</w:t>
      </w:r>
      <w:r>
        <w:rPr>
          <w:rFonts w:hint="eastAsia" w:ascii="Times New Roman" w:hAnsi="Times New Roman" w:cs="Times New Roman"/>
          <w:color w:val="auto"/>
          <w:sz w:val="24"/>
        </w:rPr>
        <w:t xml:space="preserve">元</w:t>
      </w:r>
      <w:r>
        <w:rPr>
          <w:rFonts w:hint="eastAsia" w:ascii="Times New Roman" w:hAnsi="Times New Roman" w:cs="Times New Roman"/>
          <w:color w:val="auto"/>
          <w:sz w:val="24"/>
          <w:lang w:val="en-US" w:eastAsia="zh-CN"/>
        </w:rPr>
        <w:t xml:space="preserve">/次</w:t>
      </w:r>
      <w:r>
        <w:rPr>
          <w:rFonts w:hint="eastAsia" w:ascii="Times New Roman" w:hAnsi="Times New Roman" w:cs="Times New Roman"/>
          <w:color w:val="auto"/>
          <w:sz w:val="24"/>
        </w:rPr>
        <w:t xml:space="preserve">；若</w:t>
      </w:r>
      <w:r>
        <w:rPr>
          <w:rFonts w:hint="eastAsia" w:ascii="Times New Roman" w:hAnsi="Times New Roman" w:cs="Times New Roman"/>
          <w:color w:val="auto"/>
          <w:sz w:val="24"/>
          <w:lang w:val="en-US" w:eastAsia="zh-CN"/>
        </w:rPr>
        <w:t xml:space="preserve">在30分钟内未能解决问题，导致临床</w:t>
      </w:r>
      <w:r>
        <w:rPr>
          <w:rFonts w:hint="eastAsia" w:ascii="Times New Roman" w:hAnsi="Times New Roman" w:cs="Times New Roman"/>
          <w:color w:val="auto"/>
          <w:sz w:val="24"/>
        </w:rPr>
        <w:t xml:space="preserve">系统业务中断</w:t>
      </w:r>
      <w:r>
        <w:rPr>
          <w:rFonts w:hint="eastAsia" w:ascii="Times New Roman" w:hAnsi="Times New Roman" w:cs="Times New Roman"/>
          <w:color w:val="auto"/>
          <w:sz w:val="24"/>
          <w:lang w:val="en-US" w:eastAsia="zh-CN"/>
        </w:rPr>
        <w:t xml:space="preserve">的</w:t>
      </w:r>
      <w:r>
        <w:rPr>
          <w:rFonts w:hint="eastAsia" w:ascii="Times New Roman" w:hAnsi="Times New Roman" w:cs="Times New Roman"/>
          <w:color w:val="auto"/>
          <w:sz w:val="24"/>
        </w:rPr>
        <w:t xml:space="preserve">，</w:t>
      </w:r>
      <w:r>
        <w:rPr>
          <w:rFonts w:hint="eastAsia" w:ascii="Times New Roman" w:hAnsi="Times New Roman" w:cs="Times New Roman"/>
          <w:color w:val="auto"/>
          <w:sz w:val="24"/>
          <w:lang w:val="en-US" w:eastAsia="zh-CN"/>
        </w:rPr>
        <w:t xml:space="preserve">运维服务将立即停止，且院方有权单方面终止合同，并扣押履约保证金。</w:t>
      </w:r>
      <w:r/>
    </w:p>
    <w:p>
      <w:pPr>
        <w:ind w:firstLine="420"/>
        <w:spacing w:line="360" w:lineRule="auto"/>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 xml:space="preserve">3.</w:t>
      </w:r>
      <w:r>
        <w:rPr>
          <w:rFonts w:hint="eastAsia" w:ascii="Times New Roman" w:hAnsi="Times New Roman" w:cs="Times New Roman"/>
          <w:color w:val="auto"/>
          <w:sz w:val="24"/>
        </w:rPr>
        <w:t xml:space="preserve">乙方承诺提供的驻场人员必须同时具备华为/H3C最高级网络认证、Linux中级认证、安全证书及虚拟化证书，且在医疗行业有3年以上经验。若人员资质不符或未经院方同意更换人员，</w:t>
      </w:r>
      <w:r>
        <w:rPr>
          <w:rFonts w:hint="eastAsia" w:ascii="Times New Roman" w:hAnsi="Times New Roman" w:cs="Times New Roman"/>
          <w:color w:val="auto"/>
          <w:sz w:val="24"/>
          <w:lang w:val="en-US" w:eastAsia="zh-CN"/>
        </w:rPr>
        <w:t xml:space="preserve">运维服务将立即停止，且院方有权单方面终止合同，并扣押履约保证金。</w:t>
      </w:r>
      <w:r/>
    </w:p>
    <w:p>
      <w:pPr>
        <w:ind w:firstLine="420"/>
        <w:spacing w:line="360" w:lineRule="auto"/>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 xml:space="preserve">4.乙方</w:t>
      </w:r>
      <w:r>
        <w:rPr>
          <w:rFonts w:hint="eastAsia" w:ascii="Times New Roman" w:hAnsi="Times New Roman" w:cs="Times New Roman"/>
          <w:color w:val="auto"/>
          <w:sz w:val="24"/>
        </w:rPr>
        <w:t xml:space="preserve">免费提供容灾演练平台和</w:t>
      </w:r>
      <w:r>
        <w:rPr>
          <w:rFonts w:hint="eastAsia" w:ascii="Times New Roman" w:hAnsi="Times New Roman" w:cs="Times New Roman"/>
          <w:color w:val="auto"/>
          <w:sz w:val="24"/>
          <w:lang w:val="en-US" w:eastAsia="zh-CN"/>
        </w:rPr>
        <w:t xml:space="preserve">每季度至少完成一次</w:t>
      </w:r>
      <w:r>
        <w:rPr>
          <w:rFonts w:hint="eastAsia" w:ascii="Times New Roman" w:hAnsi="Times New Roman" w:cs="Times New Roman"/>
          <w:color w:val="auto"/>
          <w:sz w:val="24"/>
        </w:rPr>
        <w:t xml:space="preserve">容灾演练服务，</w:t>
      </w:r>
      <w:r>
        <w:rPr>
          <w:rFonts w:hint="eastAsia" w:ascii="Times New Roman" w:hAnsi="Times New Roman" w:cs="Times New Roman"/>
          <w:color w:val="auto"/>
          <w:sz w:val="24"/>
          <w:lang w:val="en-US" w:eastAsia="zh-CN"/>
        </w:rPr>
        <w:t xml:space="preserve">同时</w:t>
      </w:r>
      <w:r>
        <w:rPr>
          <w:rFonts w:hint="eastAsia" w:ascii="Times New Roman" w:hAnsi="Times New Roman" w:cs="Times New Roman"/>
          <w:color w:val="auto"/>
          <w:sz w:val="24"/>
        </w:rPr>
        <w:t xml:space="preserve">每季度至少完成一次数据恢复验证。若</w:t>
      </w:r>
      <w:r>
        <w:rPr>
          <w:rFonts w:hint="eastAsia" w:ascii="Times New Roman" w:hAnsi="Times New Roman" w:cs="Times New Roman"/>
          <w:color w:val="auto"/>
          <w:sz w:val="24"/>
          <w:lang w:val="en-US" w:eastAsia="zh-CN"/>
        </w:rPr>
        <w:t xml:space="preserve">未能按时完成的，院方有权单方面终止合同，并扣押履约保证金</w:t>
      </w:r>
      <w:r>
        <w:rPr>
          <w:rFonts w:hint="eastAsia" w:ascii="Times New Roman" w:hAnsi="Times New Roman" w:cs="Times New Roman"/>
          <w:color w:val="auto"/>
          <w:sz w:val="24"/>
        </w:rPr>
        <w:t xml:space="preserve">。</w:t>
      </w:r>
      <w:r/>
    </w:p>
    <w:p>
      <w:pPr>
        <w:ind w:firstLine="420"/>
        <w:spacing w:line="360" w:lineRule="auto"/>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 xml:space="preserve">5.</w:t>
      </w:r>
      <w:r>
        <w:rPr>
          <w:rFonts w:hint="eastAsia" w:ascii="Times New Roman" w:hAnsi="Times New Roman" w:cs="Times New Roman"/>
          <w:color w:val="auto"/>
          <w:sz w:val="24"/>
        </w:rPr>
        <w:t xml:space="preserve">乙方须提供7×24小时安全监控服务，并及时修复系统漏洞。若发现安全监控中断或漏洞未在</w:t>
      </w:r>
      <w:r>
        <w:rPr>
          <w:rFonts w:hint="eastAsia" w:ascii="Times New Roman" w:hAnsi="Times New Roman" w:cs="Times New Roman"/>
          <w:color w:val="auto"/>
          <w:sz w:val="24"/>
          <w:lang w:val="en-US" w:eastAsia="zh-CN"/>
        </w:rPr>
        <w:t xml:space="preserve">规定时间</w:t>
      </w:r>
      <w:r>
        <w:rPr>
          <w:rFonts w:hint="eastAsia" w:ascii="Times New Roman" w:hAnsi="Times New Roman" w:cs="Times New Roman"/>
          <w:color w:val="auto"/>
          <w:sz w:val="24"/>
        </w:rPr>
        <w:t xml:space="preserve">内修复，每次扣款</w:t>
      </w:r>
      <w:r>
        <w:rPr>
          <w:rFonts w:hint="eastAsia" w:ascii="Times New Roman" w:hAnsi="Times New Roman" w:cs="Times New Roman"/>
          <w:color w:val="auto"/>
          <w:sz w:val="24"/>
          <w:lang w:val="en-US" w:eastAsia="zh-CN"/>
        </w:rPr>
        <w:t xml:space="preserve">10000</w:t>
      </w:r>
      <w:r>
        <w:rPr>
          <w:rFonts w:hint="eastAsia" w:ascii="Times New Roman" w:hAnsi="Times New Roman" w:cs="Times New Roman"/>
          <w:color w:val="auto"/>
          <w:sz w:val="24"/>
        </w:rPr>
        <w:t xml:space="preserve">元。若因乙方</w:t>
      </w:r>
      <w:r>
        <w:rPr>
          <w:rFonts w:hint="eastAsia" w:ascii="Times New Roman" w:hAnsi="Times New Roman" w:cs="Times New Roman"/>
          <w:color w:val="auto"/>
          <w:sz w:val="24"/>
          <w:lang w:val="en-US" w:eastAsia="zh-CN"/>
        </w:rPr>
        <w:t xml:space="preserve">运维服务未及时导致</w:t>
      </w:r>
      <w:r>
        <w:rPr>
          <w:rFonts w:hint="eastAsia" w:ascii="Times New Roman" w:hAnsi="Times New Roman" w:cs="Times New Roman"/>
          <w:color w:val="auto"/>
          <w:sz w:val="24"/>
        </w:rPr>
        <w:t xml:space="preserve">发生安全事件、信息泄露或被上级通报，每次扣款20000元，</w:t>
      </w:r>
      <w:r>
        <w:rPr>
          <w:rFonts w:hint="eastAsia" w:ascii="Times New Roman" w:hAnsi="Times New Roman" w:cs="Times New Roman"/>
          <w:color w:val="auto"/>
          <w:sz w:val="24"/>
          <w:lang w:val="en-US" w:eastAsia="zh-CN"/>
        </w:rPr>
        <w:t xml:space="preserve">且院方有权单方面终止合同，并扣押履约保证金，同时</w:t>
      </w:r>
      <w:r>
        <w:rPr>
          <w:rFonts w:hint="eastAsia" w:ascii="Times New Roman" w:hAnsi="Times New Roman" w:cs="Times New Roman"/>
          <w:color w:val="auto"/>
          <w:sz w:val="24"/>
        </w:rPr>
        <w:t xml:space="preserve">追究</w:t>
      </w:r>
      <w:r>
        <w:rPr>
          <w:rFonts w:hint="eastAsia" w:ascii="Times New Roman" w:hAnsi="Times New Roman" w:cs="Times New Roman"/>
          <w:color w:val="auto"/>
          <w:sz w:val="24"/>
          <w:lang w:val="en-US" w:eastAsia="zh-CN"/>
        </w:rPr>
        <w:t xml:space="preserve">相应</w:t>
      </w:r>
      <w:r>
        <w:rPr>
          <w:rFonts w:hint="eastAsia" w:ascii="Times New Roman" w:hAnsi="Times New Roman" w:cs="Times New Roman"/>
          <w:color w:val="auto"/>
          <w:sz w:val="24"/>
        </w:rPr>
        <w:t xml:space="preserve">赔偿。</w:t>
      </w:r>
      <w:r/>
    </w:p>
    <w:p>
      <w:pPr>
        <w:ind w:firstLine="420"/>
        <w:spacing w:line="360" w:lineRule="auto"/>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 xml:space="preserve">6.</w:t>
      </w:r>
      <w:r>
        <w:rPr>
          <w:rFonts w:hint="eastAsia" w:ascii="Times New Roman" w:hAnsi="Times New Roman" w:cs="Times New Roman"/>
          <w:color w:val="auto"/>
          <w:sz w:val="24"/>
        </w:rPr>
        <w:t xml:space="preserve">乙方须保障系统持续稳定运行，若因</w:t>
      </w:r>
      <w:r>
        <w:rPr>
          <w:rFonts w:hint="eastAsia" w:ascii="Times New Roman" w:hAnsi="Times New Roman" w:cs="Times New Roman"/>
          <w:color w:val="auto"/>
          <w:sz w:val="24"/>
          <w:lang w:val="en-US" w:eastAsia="zh-CN"/>
        </w:rPr>
        <w:t xml:space="preserve">运维服务不到位</w:t>
      </w:r>
      <w:r>
        <w:rPr>
          <w:rFonts w:hint="eastAsia" w:ascii="Times New Roman" w:hAnsi="Times New Roman" w:cs="Times New Roman"/>
          <w:color w:val="auto"/>
          <w:sz w:val="24"/>
        </w:rPr>
        <w:t xml:space="preserve">导致系统中断</w:t>
      </w:r>
      <w:r>
        <w:rPr>
          <w:rFonts w:hint="eastAsia" w:ascii="Times New Roman" w:hAnsi="Times New Roman" w:cs="Times New Roman"/>
          <w:color w:val="auto"/>
          <w:sz w:val="24"/>
          <w:lang w:val="en-US" w:eastAsia="zh-CN"/>
        </w:rPr>
        <w:t xml:space="preserve">的</w:t>
      </w:r>
      <w:r>
        <w:rPr>
          <w:rFonts w:hint="eastAsia" w:ascii="Times New Roman" w:hAnsi="Times New Roman" w:cs="Times New Roman"/>
          <w:color w:val="auto"/>
          <w:sz w:val="24"/>
        </w:rPr>
        <w:t xml:space="preserve">，每次扣款</w:t>
      </w:r>
      <w:r>
        <w:rPr>
          <w:rFonts w:hint="eastAsia" w:ascii="Times New Roman" w:hAnsi="Times New Roman" w:cs="Times New Roman"/>
          <w:color w:val="auto"/>
          <w:sz w:val="24"/>
          <w:lang w:val="en-US" w:eastAsia="zh-CN"/>
        </w:rPr>
        <w:t xml:space="preserve">5000</w:t>
      </w:r>
      <w:r>
        <w:rPr>
          <w:rFonts w:hint="eastAsia" w:ascii="Times New Roman" w:hAnsi="Times New Roman" w:cs="Times New Roman"/>
          <w:color w:val="auto"/>
          <w:sz w:val="24"/>
        </w:rPr>
        <w:t xml:space="preserve">元；</w:t>
      </w:r>
      <w:r>
        <w:rPr>
          <w:rFonts w:hint="eastAsia" w:ascii="Times New Roman" w:hAnsi="Times New Roman" w:cs="Times New Roman"/>
          <w:color w:val="auto"/>
          <w:sz w:val="24"/>
          <w:lang w:val="en-US" w:eastAsia="zh-CN"/>
        </w:rPr>
        <w:t xml:space="preserve">系统</w:t>
      </w:r>
      <w:r>
        <w:rPr>
          <w:rFonts w:hint="eastAsia" w:ascii="Times New Roman" w:hAnsi="Times New Roman" w:cs="Times New Roman"/>
          <w:color w:val="auto"/>
          <w:sz w:val="24"/>
        </w:rPr>
        <w:t xml:space="preserve">中断时间超过</w:t>
      </w:r>
      <w:r>
        <w:rPr>
          <w:rFonts w:hint="eastAsia" w:ascii="Times New Roman" w:hAnsi="Times New Roman" w:cs="Times New Roman"/>
          <w:color w:val="auto"/>
          <w:sz w:val="24"/>
          <w:lang w:val="en-US" w:eastAsia="zh-CN"/>
        </w:rPr>
        <w:t xml:space="preserve">半</w:t>
      </w:r>
      <w:r>
        <w:rPr>
          <w:rFonts w:hint="eastAsia" w:ascii="Times New Roman" w:hAnsi="Times New Roman" w:cs="Times New Roman"/>
          <w:color w:val="auto"/>
          <w:sz w:val="24"/>
        </w:rPr>
        <w:t xml:space="preserve">小时，</w:t>
      </w:r>
      <w:r>
        <w:rPr>
          <w:rFonts w:hint="eastAsia" w:ascii="Times New Roman" w:hAnsi="Times New Roman" w:cs="Times New Roman"/>
          <w:color w:val="auto"/>
          <w:sz w:val="24"/>
          <w:lang w:val="en-US" w:eastAsia="zh-CN"/>
        </w:rPr>
        <w:t xml:space="preserve">运维服务将立即停止，且院方有权单方面终止合同，并扣押履约保证金。</w:t>
      </w:r>
      <w:r/>
    </w:p>
    <w:p>
      <w:pPr>
        <w:ind w:firstLine="420"/>
        <w:spacing w:line="360" w:lineRule="auto"/>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 xml:space="preserve">7.乙方驻场人员须严格遵守院方工作时间安排，作息时间与院方保持一致，工作日及重大节假日期间应在院方指定场所现场办公。若发生无故迟到、早退、缺勤或未在岗履职，扣款5000元/次。非工作日期间，驻场人员如因私离开滨海，须提前向院方报备；未经报备批准擅自离滨，扣款10000元/次。</w:t>
      </w:r>
      <w:r/>
    </w:p>
    <w:p>
      <w:pPr>
        <w:ind w:firstLine="420"/>
        <w:spacing w:line="360" w:lineRule="auto"/>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 xml:space="preserve">8.</w:t>
      </w:r>
      <w:r>
        <w:rPr>
          <w:rFonts w:hint="eastAsia" w:ascii="Times New Roman" w:hAnsi="Times New Roman" w:cs="Times New Roman"/>
          <w:color w:val="auto"/>
          <w:sz w:val="24"/>
        </w:rPr>
        <w:t xml:space="preserve">乙方</w:t>
      </w:r>
      <w:r>
        <w:rPr>
          <w:rFonts w:hint="eastAsia" w:ascii="Times New Roman" w:hAnsi="Times New Roman" w:cs="Times New Roman"/>
          <w:color w:val="auto"/>
          <w:sz w:val="24"/>
          <w:lang w:val="en-US" w:eastAsia="zh-CN"/>
        </w:rPr>
        <w:t xml:space="preserve">驻场人员</w:t>
      </w:r>
      <w:r>
        <w:rPr>
          <w:rFonts w:hint="eastAsia" w:ascii="Times New Roman" w:hAnsi="Times New Roman" w:cs="Times New Roman"/>
          <w:color w:val="auto"/>
          <w:sz w:val="24"/>
        </w:rPr>
        <w:t xml:space="preserve">须</w:t>
      </w:r>
      <w:r>
        <w:rPr>
          <w:rFonts w:hint="eastAsia" w:ascii="Times New Roman" w:hAnsi="Times New Roman" w:cs="Times New Roman"/>
          <w:color w:val="auto"/>
          <w:sz w:val="24"/>
          <w:lang w:val="en-US" w:eastAsia="zh-CN"/>
        </w:rPr>
        <w:t xml:space="preserve">每日进行</w:t>
      </w:r>
      <w:r>
        <w:rPr>
          <w:rFonts w:hint="eastAsia" w:ascii="Times New Roman" w:hAnsi="Times New Roman" w:cs="Times New Roman"/>
          <w:color w:val="auto"/>
          <w:sz w:val="24"/>
        </w:rPr>
        <w:t xml:space="preserve">巡检，</w:t>
      </w:r>
      <w:r>
        <w:rPr>
          <w:rFonts w:hint="eastAsia" w:ascii="Times New Roman" w:hAnsi="Times New Roman" w:cs="Times New Roman"/>
          <w:color w:val="auto"/>
          <w:sz w:val="24"/>
          <w:lang w:val="en-US" w:eastAsia="zh-CN"/>
        </w:rPr>
        <w:t xml:space="preserve">包括服务器、超融合、存储、核心、汇聚、负载均衡等硬件设备以及数据库软件系统</w:t>
      </w:r>
      <w:r>
        <w:rPr>
          <w:rFonts w:hint="eastAsia" w:ascii="Times New Roman" w:hAnsi="Times New Roman" w:cs="Times New Roman"/>
          <w:color w:val="auto"/>
          <w:sz w:val="24"/>
          <w:lang w:eastAsia="zh-CN"/>
        </w:rPr>
        <w:t xml:space="preserve">，</w:t>
      </w:r>
      <w:r>
        <w:rPr>
          <w:rFonts w:hint="eastAsia" w:ascii="Times New Roman" w:hAnsi="Times New Roman" w:cs="Times New Roman"/>
          <w:color w:val="auto"/>
          <w:sz w:val="24"/>
        </w:rPr>
        <w:t xml:space="preserve">并</w:t>
      </w:r>
      <w:r>
        <w:rPr>
          <w:rFonts w:hint="eastAsia" w:ascii="Times New Roman" w:hAnsi="Times New Roman" w:cs="Times New Roman"/>
          <w:color w:val="auto"/>
          <w:sz w:val="24"/>
          <w:lang w:val="en-US" w:eastAsia="zh-CN"/>
        </w:rPr>
        <w:t xml:space="preserve">形成</w:t>
      </w:r>
      <w:r>
        <w:rPr>
          <w:rFonts w:hint="eastAsia" w:ascii="Times New Roman" w:hAnsi="Times New Roman" w:cs="Times New Roman"/>
          <w:color w:val="auto"/>
          <w:sz w:val="24"/>
        </w:rPr>
        <w:t xml:space="preserve">巡检</w:t>
      </w:r>
      <w:r>
        <w:rPr>
          <w:rFonts w:hint="eastAsia" w:ascii="Times New Roman" w:hAnsi="Times New Roman" w:cs="Times New Roman"/>
          <w:color w:val="auto"/>
          <w:sz w:val="24"/>
          <w:lang w:val="en-US" w:eastAsia="zh-CN"/>
        </w:rPr>
        <w:t xml:space="preserve">日</w:t>
      </w:r>
      <w:r>
        <w:rPr>
          <w:rFonts w:hint="eastAsia" w:ascii="Times New Roman" w:hAnsi="Times New Roman" w:cs="Times New Roman"/>
          <w:color w:val="auto"/>
          <w:sz w:val="24"/>
        </w:rPr>
        <w:t xml:space="preserve">报</w:t>
      </w:r>
      <w:r>
        <w:rPr>
          <w:rFonts w:hint="eastAsia" w:ascii="Times New Roman" w:hAnsi="Times New Roman" w:cs="Times New Roman"/>
          <w:color w:val="auto"/>
          <w:sz w:val="24"/>
          <w:lang w:eastAsia="zh-CN"/>
        </w:rPr>
        <w:t xml:space="preserve">，</w:t>
      </w:r>
      <w:r>
        <w:rPr>
          <w:rFonts w:hint="eastAsia" w:ascii="Times New Roman" w:hAnsi="Times New Roman" w:cs="Times New Roman"/>
          <w:color w:val="auto"/>
          <w:sz w:val="24"/>
        </w:rPr>
        <w:t xml:space="preserve">每缺少一次巡检或未按时提交报告，扣款</w:t>
      </w:r>
      <w:r>
        <w:rPr>
          <w:rFonts w:hint="eastAsia" w:ascii="Times New Roman" w:hAnsi="Times New Roman" w:cs="Times New Roman"/>
          <w:color w:val="auto"/>
          <w:sz w:val="24"/>
          <w:lang w:val="en-US" w:eastAsia="zh-CN"/>
        </w:rPr>
        <w:t xml:space="preserve">10000</w:t>
      </w:r>
      <w:r>
        <w:rPr>
          <w:rFonts w:hint="eastAsia" w:ascii="Times New Roman" w:hAnsi="Times New Roman" w:cs="Times New Roman"/>
          <w:color w:val="auto"/>
          <w:sz w:val="24"/>
        </w:rPr>
        <w:t xml:space="preserve">元/次。</w:t>
      </w:r>
      <w:r>
        <w:rPr>
          <w:rFonts w:hint="eastAsia" w:ascii="Times New Roman" w:hAnsi="Times New Roman" w:cs="Times New Roman"/>
          <w:color w:val="auto"/>
          <w:sz w:val="24"/>
          <w:lang w:val="en-US" w:eastAsia="zh-CN"/>
        </w:rPr>
        <w:t xml:space="preserve">虚拟化设备每周开展1次基础巡检，每月开展1次深度巡检</w:t>
      </w:r>
      <w:r>
        <w:rPr>
          <w:rFonts w:hint="eastAsia" w:ascii="Times New Roman" w:hAnsi="Times New Roman" w:cs="Times New Roman"/>
          <w:color w:val="auto"/>
          <w:sz w:val="24"/>
          <w:lang w:eastAsia="zh-CN"/>
        </w:rPr>
        <w:t xml:space="preserve">，并</w:t>
      </w:r>
      <w:r>
        <w:rPr>
          <w:rFonts w:hint="eastAsia" w:ascii="Times New Roman" w:hAnsi="Times New Roman" w:cs="Times New Roman"/>
          <w:color w:val="auto"/>
          <w:sz w:val="24"/>
          <w:lang w:val="en-US" w:eastAsia="zh-CN"/>
        </w:rPr>
        <w:t xml:space="preserve">提交</w:t>
      </w:r>
      <w:r>
        <w:rPr>
          <w:rFonts w:hint="eastAsia" w:ascii="Times New Roman" w:hAnsi="Times New Roman" w:cs="Times New Roman"/>
          <w:color w:val="auto"/>
          <w:sz w:val="24"/>
          <w:lang w:eastAsia="zh-CN"/>
        </w:rPr>
        <w:t xml:space="preserve">《虚拟化平台运维巡检报告》，</w:t>
      </w:r>
      <w:r>
        <w:rPr>
          <w:rFonts w:hint="eastAsia" w:ascii="Times New Roman" w:hAnsi="Times New Roman" w:cs="Times New Roman"/>
          <w:color w:val="auto"/>
          <w:sz w:val="24"/>
        </w:rPr>
        <w:t xml:space="preserve">每缺少一次巡检或未按时提交报告，扣款</w:t>
      </w:r>
      <w:r>
        <w:rPr>
          <w:rFonts w:hint="eastAsia" w:ascii="Times New Roman" w:hAnsi="Times New Roman" w:cs="Times New Roman"/>
          <w:color w:val="auto"/>
          <w:sz w:val="24"/>
          <w:lang w:val="en-US" w:eastAsia="zh-CN"/>
        </w:rPr>
        <w:t xml:space="preserve">10000</w:t>
      </w:r>
      <w:r>
        <w:rPr>
          <w:rFonts w:hint="eastAsia" w:ascii="Times New Roman" w:hAnsi="Times New Roman" w:cs="Times New Roman"/>
          <w:color w:val="auto"/>
          <w:sz w:val="24"/>
        </w:rPr>
        <w:t xml:space="preserve">元/次</w:t>
      </w:r>
      <w:r>
        <w:rPr>
          <w:rFonts w:hint="eastAsia" w:ascii="Times New Roman" w:hAnsi="Times New Roman" w:cs="Times New Roman"/>
          <w:color w:val="auto"/>
          <w:sz w:val="24"/>
          <w:lang w:eastAsia="zh-CN"/>
        </w:rPr>
        <w:t xml:space="preserve">。</w:t>
      </w:r>
      <w:r/>
    </w:p>
    <w:p>
      <w:pPr>
        <w:ind w:firstLine="480"/>
        <w:spacing w:line="360" w:lineRule="auto"/>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 xml:space="preserve">9.</w:t>
      </w:r>
      <w:r>
        <w:rPr>
          <w:rFonts w:hint="eastAsia" w:ascii="Times New Roman" w:hAnsi="Times New Roman" w:cs="Times New Roman"/>
          <w:color w:val="auto"/>
          <w:sz w:val="24"/>
        </w:rPr>
        <w:t xml:space="preserve">乙方须按时提交日常服务报告、应急报告、巡检报告、年度总结报告等文档。</w:t>
      </w:r>
      <w:r>
        <w:rPr>
          <w:rFonts w:hint="eastAsia" w:ascii="Times New Roman" w:hAnsi="Times New Roman" w:cs="Times New Roman"/>
          <w:color w:val="auto"/>
          <w:sz w:val="24"/>
          <w:lang w:val="en-US" w:eastAsia="zh-CN"/>
        </w:rPr>
        <w:t xml:space="preserve">若缺少文档的</w:t>
      </w:r>
      <w:r>
        <w:rPr>
          <w:rFonts w:hint="eastAsia" w:ascii="Times New Roman" w:hAnsi="Times New Roman" w:cs="Times New Roman"/>
          <w:color w:val="auto"/>
          <w:sz w:val="24"/>
        </w:rPr>
        <w:t xml:space="preserve">扣款</w:t>
      </w:r>
      <w:r>
        <w:rPr>
          <w:rFonts w:hint="eastAsia" w:ascii="Times New Roman" w:hAnsi="Times New Roman" w:cs="Times New Roman"/>
          <w:color w:val="auto"/>
          <w:sz w:val="24"/>
          <w:lang w:val="en-US" w:eastAsia="zh-CN"/>
        </w:rPr>
        <w:t xml:space="preserve">5000</w:t>
      </w:r>
      <w:r>
        <w:rPr>
          <w:rFonts w:hint="eastAsia" w:ascii="Times New Roman" w:hAnsi="Times New Roman" w:cs="Times New Roman"/>
          <w:color w:val="auto"/>
          <w:sz w:val="24"/>
        </w:rPr>
        <w:t xml:space="preserve">元</w:t>
      </w:r>
      <w:r>
        <w:rPr>
          <w:rFonts w:hint="eastAsia" w:ascii="Times New Roman" w:hAnsi="Times New Roman" w:cs="Times New Roman"/>
          <w:color w:val="auto"/>
          <w:sz w:val="24"/>
          <w:lang w:val="en-US" w:eastAsia="zh-CN"/>
        </w:rPr>
        <w:t xml:space="preserve">/份</w:t>
      </w:r>
      <w:r>
        <w:rPr>
          <w:rFonts w:hint="eastAsia" w:ascii="Times New Roman" w:hAnsi="Times New Roman" w:cs="Times New Roman"/>
          <w:color w:val="auto"/>
          <w:sz w:val="24"/>
        </w:rPr>
        <w:t xml:space="preserve">；</w:t>
      </w:r>
      <w:r>
        <w:rPr>
          <w:rFonts w:hint="eastAsia" w:ascii="宋体" w:hAnsi="宋体" w:eastAsia="宋体" w:cs="宋体"/>
          <w:color w:val="auto"/>
          <w:sz w:val="24"/>
          <w:szCs w:val="24"/>
        </w:rPr>
        <w:t xml:space="preserve">提供不同（类）设备维护情况复盘文档（每半年）</w:t>
      </w:r>
      <w:r>
        <w:rPr>
          <w:rFonts w:hint="eastAsia" w:ascii="宋体" w:hAnsi="宋体" w:eastAsia="宋体" w:cs="宋体"/>
          <w:color w:val="auto"/>
          <w:sz w:val="24"/>
          <w:szCs w:val="24"/>
          <w:lang w:eastAsia="zh-CN"/>
        </w:rPr>
        <w:t xml:space="preserve">，</w:t>
      </w:r>
      <w:r>
        <w:rPr>
          <w:rFonts w:hint="eastAsia" w:ascii="Times New Roman" w:hAnsi="Times New Roman" w:cs="Times New Roman"/>
          <w:color w:val="auto"/>
          <w:sz w:val="24"/>
          <w:lang w:val="en-US" w:eastAsia="zh-CN"/>
        </w:rPr>
        <w:t xml:space="preserve">若缺少文档的</w:t>
      </w:r>
      <w:r>
        <w:rPr>
          <w:rFonts w:hint="eastAsia" w:ascii="Times New Roman" w:hAnsi="Times New Roman" w:cs="Times New Roman"/>
          <w:color w:val="auto"/>
          <w:sz w:val="24"/>
        </w:rPr>
        <w:t xml:space="preserve">扣款</w:t>
      </w:r>
      <w:r>
        <w:rPr>
          <w:rFonts w:hint="eastAsia" w:ascii="Times New Roman" w:hAnsi="Times New Roman" w:cs="Times New Roman"/>
          <w:color w:val="auto"/>
          <w:sz w:val="24"/>
          <w:lang w:val="en-US" w:eastAsia="zh-CN"/>
        </w:rPr>
        <w:t xml:space="preserve">5000</w:t>
      </w:r>
      <w:r>
        <w:rPr>
          <w:rFonts w:hint="eastAsia" w:ascii="Times New Roman" w:hAnsi="Times New Roman" w:cs="Times New Roman"/>
          <w:color w:val="auto"/>
          <w:sz w:val="24"/>
        </w:rPr>
        <w:t xml:space="preserve">元</w:t>
      </w:r>
      <w:r>
        <w:rPr>
          <w:rFonts w:hint="eastAsia" w:ascii="Times New Roman" w:hAnsi="Times New Roman" w:cs="Times New Roman"/>
          <w:color w:val="auto"/>
          <w:sz w:val="24"/>
          <w:lang w:val="en-US" w:eastAsia="zh-CN"/>
        </w:rPr>
        <w:t xml:space="preserve">/份</w:t>
      </w:r>
      <w:r>
        <w:rPr>
          <w:rFonts w:hint="eastAsia" w:ascii="Times New Roman" w:hAnsi="Times New Roman" w:cs="Times New Roman"/>
          <w:color w:val="auto"/>
          <w:sz w:val="24"/>
        </w:rPr>
        <w:t xml:space="preserve">。</w:t>
      </w:r>
      <w:r/>
    </w:p>
    <w:p>
      <w:pPr>
        <w:ind w:firstLine="480"/>
        <w:spacing w:line="360" w:lineRule="auto"/>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 xml:space="preserve">10.</w:t>
      </w:r>
      <w:r>
        <w:rPr>
          <w:rFonts w:hint="eastAsia" w:ascii="Times New Roman" w:hAnsi="Times New Roman" w:cs="Times New Roman"/>
          <w:color w:val="auto"/>
          <w:sz w:val="24"/>
        </w:rPr>
        <w:t xml:space="preserve">乙方须确保数据中心机房环境稳定</w:t>
      </w:r>
      <w:r>
        <w:rPr>
          <w:rFonts w:hint="eastAsia" w:ascii="Times New Roman" w:hAnsi="Times New Roman" w:cs="Times New Roman"/>
          <w:color w:val="auto"/>
          <w:sz w:val="24"/>
          <w:lang w:eastAsia="zh-CN"/>
        </w:rPr>
        <w:t xml:space="preserve">，</w:t>
      </w:r>
      <w:r>
        <w:rPr>
          <w:rFonts w:hint="eastAsia" w:ascii="Times New Roman" w:hAnsi="Times New Roman" w:cs="Times New Roman"/>
          <w:color w:val="auto"/>
          <w:sz w:val="24"/>
        </w:rPr>
        <w:t xml:space="preserve">未按规定周期对机房设备连线图、资产清单、机柜图进行更新，每次扣款 </w:t>
      </w:r>
      <w:r>
        <w:rPr>
          <w:rFonts w:hint="eastAsia" w:ascii="Times New Roman" w:hAnsi="Times New Roman" w:cs="Times New Roman"/>
          <w:color w:val="auto"/>
          <w:sz w:val="24"/>
          <w:lang w:val="en-US" w:eastAsia="zh-CN"/>
        </w:rPr>
        <w:t xml:space="preserve">5000</w:t>
      </w:r>
      <w:r>
        <w:rPr>
          <w:rFonts w:hint="eastAsia" w:ascii="Times New Roman" w:hAnsi="Times New Roman" w:cs="Times New Roman"/>
          <w:color w:val="auto"/>
          <w:sz w:val="24"/>
        </w:rPr>
        <w:t xml:space="preserve">元；未定期进行设备除尘与环境清洁，每次扣款</w:t>
      </w:r>
      <w:r>
        <w:rPr>
          <w:rFonts w:hint="eastAsia" w:ascii="Times New Roman" w:hAnsi="Times New Roman" w:cs="Times New Roman"/>
          <w:color w:val="auto"/>
          <w:sz w:val="24"/>
          <w:lang w:val="en-US" w:eastAsia="zh-CN"/>
        </w:rPr>
        <w:t xml:space="preserve">5000</w:t>
      </w:r>
      <w:r>
        <w:rPr>
          <w:rFonts w:hint="eastAsia" w:ascii="Times New Roman" w:hAnsi="Times New Roman" w:cs="Times New Roman"/>
          <w:color w:val="auto"/>
          <w:sz w:val="24"/>
        </w:rPr>
        <w:t xml:space="preserve">元；未按时提交机房运维报表</w:t>
      </w:r>
      <w:r>
        <w:rPr>
          <w:rFonts w:hint="eastAsia" w:ascii="Times New Roman" w:hAnsi="Times New Roman" w:cs="Times New Roman"/>
          <w:color w:val="auto"/>
          <w:sz w:val="24"/>
          <w:lang w:val="en-US" w:eastAsia="zh-CN"/>
        </w:rPr>
        <w:t xml:space="preserve">或</w:t>
      </w:r>
      <w:r>
        <w:rPr>
          <w:rFonts w:hint="eastAsia" w:ascii="Times New Roman" w:hAnsi="Times New Roman" w:cs="Times New Roman"/>
          <w:color w:val="auto"/>
          <w:sz w:val="24"/>
        </w:rPr>
        <w:t xml:space="preserve">日志，每次扣款 </w:t>
      </w:r>
      <w:r>
        <w:rPr>
          <w:rFonts w:hint="eastAsia" w:ascii="Times New Roman" w:hAnsi="Times New Roman" w:cs="Times New Roman"/>
          <w:color w:val="auto"/>
          <w:sz w:val="24"/>
          <w:lang w:val="en-US" w:eastAsia="zh-CN"/>
        </w:rPr>
        <w:t xml:space="preserve">10000</w:t>
      </w:r>
      <w:r>
        <w:rPr>
          <w:rFonts w:hint="eastAsia" w:ascii="Times New Roman" w:hAnsi="Times New Roman" w:cs="Times New Roman"/>
          <w:color w:val="auto"/>
          <w:sz w:val="24"/>
        </w:rPr>
        <w:t xml:space="preserve">元。</w:t>
      </w:r>
      <w:r/>
    </w:p>
    <w:p>
      <w:pPr>
        <w:ind w:firstLine="420"/>
        <w:spacing w:line="360" w:lineRule="auto"/>
        <w:rPr>
          <w:rFonts w:hint="eastAsia" w:ascii="Times New Roman" w:hAnsi="Times New Roman" w:cs="Times New Roman"/>
          <w:color w:val="auto"/>
          <w:sz w:val="24"/>
        </w:rPr>
      </w:pPr>
      <w:r>
        <w:rPr>
          <w:rFonts w:hint="eastAsia" w:ascii="Times New Roman" w:hAnsi="Times New Roman" w:cs="Times New Roman"/>
          <w:color w:val="auto"/>
          <w:sz w:val="24"/>
          <w:lang w:val="en-US" w:eastAsia="zh-CN"/>
        </w:rPr>
        <w:t xml:space="preserve">11.</w:t>
      </w:r>
      <w:r>
        <w:rPr>
          <w:rFonts w:hint="eastAsia" w:ascii="Times New Roman" w:hAnsi="Times New Roman" w:cs="Times New Roman"/>
          <w:color w:val="auto"/>
          <w:sz w:val="24"/>
        </w:rPr>
        <w:t xml:space="preserve">乙方人员须严格遵守保密协议，不得泄露院方任何信息。发生信息泄露事件，每次扣款20000元，</w:t>
      </w:r>
      <w:r>
        <w:rPr>
          <w:rFonts w:hint="eastAsia" w:ascii="Times New Roman" w:hAnsi="Times New Roman" w:cs="Times New Roman"/>
          <w:color w:val="auto"/>
          <w:sz w:val="24"/>
          <w:lang w:val="en-US" w:eastAsia="zh-CN"/>
        </w:rPr>
        <w:t xml:space="preserve">运维服务将立即停止，且院方有权单方面终止合同，扣押履约保证金，</w:t>
      </w:r>
      <w:r>
        <w:rPr>
          <w:rFonts w:hint="eastAsia" w:ascii="Times New Roman" w:hAnsi="Times New Roman" w:cs="Times New Roman"/>
          <w:color w:val="auto"/>
          <w:sz w:val="24"/>
        </w:rPr>
        <w:t xml:space="preserve">并承担全部法律与经济责任。</w:t>
      </w:r>
      <w:r/>
    </w:p>
    <w:p>
      <w:pPr>
        <w:ind w:firstLine="420"/>
        <w:spacing w:line="360" w:lineRule="auto"/>
        <w:rPr>
          <w:rFonts w:hint="eastAsia" w:ascii="Times New Roman" w:hAnsi="Times New Roman" w:cs="Times New Roman"/>
          <w:color w:val="auto"/>
          <w:sz w:val="24"/>
        </w:rPr>
      </w:pPr>
      <w:r>
        <w:rPr>
          <w:rFonts w:hint="eastAsia" w:ascii="Times New Roman" w:hAnsi="Times New Roman" w:cs="Times New Roman"/>
          <w:color w:val="auto"/>
          <w:sz w:val="24"/>
        </w:rPr>
        <w:t xml:space="preserve">上述扣罚款项均在院方付款时从应付款项中直接扣除，情节严重的，院方有权单方面终止合同并追究乙方违约责任。</w:t>
      </w:r>
      <w:r/>
    </w:p>
    <w:p>
      <w:pPr>
        <w:ind w:firstLine="482"/>
        <w:jc w:val="left"/>
        <w:spacing w:line="360" w:lineRule="auto"/>
        <w:rPr>
          <w:rFonts w:ascii="方正仿宋_GB2312" w:hAnsi="方正仿宋_GB2312" w:eastAsia="方正仿宋_GB2312" w:cs="方正仿宋_GB2312"/>
          <w:b/>
          <w:bCs/>
          <w:color w:val="auto"/>
          <w:sz w:val="24"/>
          <w:szCs w:val="24"/>
        </w:rPr>
      </w:pPr>
      <w:r>
        <w:rPr>
          <w:rFonts w:hint="eastAsia" w:ascii="宋体" w:hAnsi="宋体" w:cs="宋体"/>
          <w:b/>
          <w:bCs/>
          <w:color w:val="auto"/>
          <w:sz w:val="24"/>
          <w:szCs w:val="24"/>
        </w:rPr>
        <w:t xml:space="preserve">第十三条</w:t>
      </w:r>
      <w:r>
        <w:rPr>
          <w:rFonts w:hint="eastAsia" w:ascii="宋体" w:hAnsi="宋体" w:cs="宋体"/>
          <w:b/>
          <w:bCs/>
          <w:color w:val="auto"/>
          <w:sz w:val="24"/>
          <w:szCs w:val="24"/>
          <w:lang w:val="en-US" w:eastAsia="zh-CN"/>
        </w:rPr>
        <w:t xml:space="preserve">  </w:t>
      </w:r>
      <w:r>
        <w:rPr>
          <w:rFonts w:hint="eastAsia" w:ascii="宋体" w:hAnsi="宋体"/>
          <w:b/>
          <w:color w:val="auto"/>
          <w:sz w:val="24"/>
          <w:szCs w:val="24"/>
        </w:rPr>
        <w:t xml:space="preserve">违约责任</w:t>
      </w:r>
      <w:r/>
    </w:p>
    <w:p>
      <w:pPr>
        <w:pStyle w:val="819"/>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1.乙方所提供服务的标准不符合合同规定及招标文件规定标准的，甲方有权拒绝接受服务，并可单方面解除合同,并向乙方追索合同总价20%的违约金。</w:t>
      </w:r>
      <w:r/>
    </w:p>
    <w:p>
      <w:pPr>
        <w:pStyle w:val="819"/>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2.乙方违反第十二条款第1点及第4点要求次数达二次及以上的，甲方有权终止合同，并向乙方追索合同总价20%的违约金。</w:t>
      </w:r>
      <w:r/>
    </w:p>
    <w:p>
      <w:pPr>
        <w:pStyle w:val="819"/>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3.因乙方的违约行为给甲方造成损失的（包括所有直接或间接损失），如果违约金不足以补偿该损失的，甲方有权继续要求乙方赔偿甲方所有实际损失，并保留申诉的权利。</w:t>
      </w:r>
      <w:r/>
    </w:p>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第十四条   安全责任</w:t>
      </w:r>
      <w:r/>
    </w:p>
    <w:p>
      <w:pPr>
        <w:pStyle w:val="820"/>
        <w:ind w:firstLine="480"/>
        <w:keepLines w:val="0"/>
        <w:keepNext w:val="0"/>
        <w:pageBreakBefore w:val="0"/>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1.乙方负责对其工作人员进行安全教育，保修期间发生一切安全事故由乙方负责。</w:t>
      </w:r>
      <w:r/>
    </w:p>
    <w:p>
      <w:pPr>
        <w:pStyle w:val="819"/>
        <w:ind w:firstLine="482"/>
        <w:keepLines w:val="0"/>
        <w:keepNext w:val="0"/>
        <w:pageBreakBefore w:val="0"/>
        <w:spacing w:line="520" w:lineRule="exact"/>
        <w:widowControl w:val="off"/>
        <w:rPr>
          <w:rFonts w:ascii="宋体" w:hAnsi="宋体" w:eastAsia="宋体"/>
          <w:b/>
          <w:color w:val="auto"/>
          <w:sz w:val="24"/>
          <w:szCs w:val="24"/>
        </w:rPr>
      </w:pPr>
      <w:r>
        <w:rPr>
          <w:rFonts w:hint="eastAsia" w:ascii="宋体" w:hAnsi="宋体" w:eastAsia="宋体"/>
          <w:b/>
          <w:color w:val="auto"/>
          <w:sz w:val="24"/>
          <w:szCs w:val="24"/>
        </w:rPr>
        <w:t xml:space="preserve">第十</w:t>
      </w:r>
      <w:r>
        <w:rPr>
          <w:rFonts w:hint="eastAsia" w:ascii="宋体" w:hAnsi="宋体" w:eastAsia="宋体"/>
          <w:b/>
          <w:color w:val="auto"/>
          <w:sz w:val="24"/>
          <w:szCs w:val="24"/>
          <w:lang w:val="en-US" w:eastAsia="zh-CN"/>
        </w:rPr>
        <w:t xml:space="preserve">五</w:t>
      </w:r>
      <w:r>
        <w:rPr>
          <w:rFonts w:hint="eastAsia" w:ascii="宋体" w:hAnsi="宋体" w:eastAsia="宋体"/>
          <w:b/>
          <w:color w:val="auto"/>
          <w:sz w:val="24"/>
          <w:szCs w:val="24"/>
        </w:rPr>
        <w:t xml:space="preserve">条</w:t>
      </w:r>
      <w:r>
        <w:rPr>
          <w:rFonts w:hint="eastAsia" w:ascii="宋体" w:hAnsi="宋体" w:eastAsia="宋体"/>
          <w:b/>
          <w:color w:val="auto"/>
          <w:sz w:val="24"/>
          <w:szCs w:val="24"/>
          <w:lang w:val="en-US" w:eastAsia="zh-CN"/>
        </w:rPr>
        <w:t xml:space="preserve">  </w:t>
      </w:r>
      <w:r>
        <w:rPr>
          <w:rFonts w:hint="eastAsia" w:ascii="宋体" w:hAnsi="宋体" w:eastAsia="宋体"/>
          <w:b/>
          <w:color w:val="auto"/>
          <w:sz w:val="24"/>
          <w:szCs w:val="24"/>
        </w:rPr>
        <w:t xml:space="preserve">合同生效及其他</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1.除合同中另有说明，本合同经双方法定代表人或其委托代理人签字并加盖公章或合同专用章后，即开始生效。</w:t>
      </w:r>
      <w:r/>
    </w:p>
    <w:p>
      <w:pPr>
        <w:pStyle w:val="819"/>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2.本合同未尽事宜，遵照《民法典》有关条文执行。</w:t>
      </w:r>
      <w:r/>
    </w:p>
    <w:p>
      <w:pPr>
        <w:pStyle w:val="819"/>
        <w:ind w:firstLine="0"/>
        <w:spacing w:line="360" w:lineRule="auto"/>
        <w:rPr>
          <w:rFonts w:ascii="宋体" w:hAnsi="宋体" w:eastAsia="宋体"/>
          <w:color w:val="auto"/>
          <w:sz w:val="24"/>
          <w:szCs w:val="24"/>
        </w:rPr>
      </w:pPr>
      <w:r>
        <w:rPr>
          <w:rFonts w:hint="eastAsia" w:ascii="宋体" w:hAnsi="宋体" w:eastAsia="宋体"/>
          <w:color w:val="auto"/>
          <w:sz w:val="24"/>
          <w:szCs w:val="24"/>
        </w:rPr>
        <w:t xml:space="preserve">　　3.合同一式</w:t>
      </w:r>
      <w:r>
        <w:rPr>
          <w:rFonts w:hint="eastAsia" w:ascii="宋体" w:hAnsi="宋体" w:eastAsia="宋体"/>
          <w:color w:val="auto"/>
          <w:sz w:val="24"/>
          <w:szCs w:val="24"/>
          <w:lang w:val="en-US" w:eastAsia="zh-CN"/>
        </w:rPr>
        <w:t xml:space="preserve">六</w:t>
      </w:r>
      <w:r>
        <w:rPr>
          <w:rFonts w:hint="eastAsia" w:ascii="宋体" w:hAnsi="宋体" w:eastAsia="宋体"/>
          <w:color w:val="auto"/>
          <w:sz w:val="24"/>
          <w:szCs w:val="24"/>
        </w:rPr>
        <w:t xml:space="preserve">份，具有同等法律效力，甲方执四份、乙方执二份。</w:t>
      </w:r>
      <w:r/>
    </w:p>
    <w:p>
      <w:pPr>
        <w:pStyle w:val="820"/>
        <w:spacing w:line="360" w:lineRule="auto"/>
        <w:rPr>
          <w:rFonts w:ascii="宋体" w:hAnsi="宋体"/>
          <w:color w:val="auto"/>
        </w:rPr>
      </w:pPr>
      <w:r>
        <w:rPr>
          <w:rFonts w:ascii="宋体" w:hAnsi="宋体"/>
          <w:color w:val="auto"/>
        </w:rPr>
      </w:r>
      <w:r/>
    </w:p>
    <w:p>
      <w:pPr>
        <w:ind w:firstLine="480"/>
        <w:spacing w:line="360" w:lineRule="auto"/>
        <w:rPr>
          <w:rFonts w:ascii="宋体" w:hAnsi="宋体"/>
          <w:color w:val="auto"/>
          <w:sz w:val="24"/>
        </w:rPr>
      </w:pPr>
      <w:r>
        <w:rPr>
          <w:rFonts w:ascii="宋体" w:hAnsi="宋体"/>
          <w:color w:val="auto"/>
          <w:sz w:val="24"/>
        </w:rPr>
        <w:t xml:space="preserve">甲方（单位盖章）                     </w:t>
      </w:r>
      <w:r>
        <w:rPr>
          <w:rFonts w:hint="eastAsia" w:ascii="宋体" w:hAnsi="宋体"/>
          <w:color w:val="auto"/>
          <w:sz w:val="24"/>
          <w:lang w:val="en-US" w:eastAsia="zh-CN"/>
        </w:rPr>
        <w:t xml:space="preserve">        </w:t>
      </w:r>
      <w:r>
        <w:rPr>
          <w:rFonts w:ascii="宋体" w:hAnsi="宋体"/>
          <w:color w:val="auto"/>
          <w:sz w:val="24"/>
        </w:rPr>
        <w:t xml:space="preserve">乙方（单位盖章）</w:t>
      </w:r>
      <w:r/>
    </w:p>
    <w:p>
      <w:pPr>
        <w:pStyle w:val="819"/>
        <w:spacing w:line="360" w:lineRule="auto"/>
        <w:rPr>
          <w:rFonts w:ascii="宋体" w:hAnsi="宋体" w:eastAsia="宋体"/>
          <w:color w:val="auto"/>
        </w:rPr>
      </w:pPr>
      <w:r>
        <w:rPr>
          <w:rFonts w:ascii="宋体" w:hAnsi="宋体" w:eastAsia="宋体"/>
          <w:color w:val="auto"/>
        </w:rPr>
      </w:r>
      <w:r/>
    </w:p>
    <w:p>
      <w:pPr>
        <w:ind w:firstLine="480"/>
        <w:spacing w:line="360" w:lineRule="auto"/>
        <w:rPr>
          <w:rFonts w:ascii="宋体" w:hAnsi="宋体"/>
          <w:color w:val="auto"/>
          <w:sz w:val="24"/>
        </w:rPr>
      </w:pPr>
      <w:r>
        <w:rPr>
          <w:rFonts w:ascii="宋体" w:hAnsi="宋体"/>
          <w:color w:val="auto"/>
          <w:sz w:val="24"/>
        </w:rPr>
        <w:t xml:space="preserve">代表签字：                           </w:t>
      </w:r>
      <w:r>
        <w:rPr>
          <w:rFonts w:hint="eastAsia" w:ascii="宋体" w:hAnsi="宋体"/>
          <w:color w:val="auto"/>
          <w:sz w:val="24"/>
          <w:lang w:val="en-US" w:eastAsia="zh-CN"/>
        </w:rPr>
        <w:t xml:space="preserve">        </w:t>
      </w:r>
      <w:r>
        <w:rPr>
          <w:rFonts w:ascii="宋体" w:hAnsi="宋体"/>
          <w:color w:val="auto"/>
          <w:sz w:val="24"/>
        </w:rPr>
        <w:t xml:space="preserve">代表签字：</w:t>
      </w:r>
      <w:r/>
    </w:p>
    <w:p>
      <w:pPr>
        <w:pStyle w:val="819"/>
        <w:spacing w:line="360" w:lineRule="auto"/>
        <w:rPr>
          <w:rFonts w:ascii="宋体" w:hAnsi="宋体" w:eastAsia="宋体"/>
          <w:color w:val="auto"/>
        </w:rPr>
      </w:pPr>
      <w:r>
        <w:rPr>
          <w:rFonts w:ascii="宋体" w:hAnsi="宋体" w:eastAsia="宋体"/>
          <w:color w:val="auto"/>
        </w:rPr>
      </w:r>
      <w:r/>
    </w:p>
    <w:p>
      <w:pPr>
        <w:pStyle w:val="824"/>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ascii="宋体" w:hAnsi="宋体"/>
          <w:color w:val="auto"/>
        </w:rPr>
        <w:t xml:space="preserve">日期：                               </w:t>
      </w:r>
      <w:r>
        <w:rPr>
          <w:rFonts w:hint="eastAsia" w:ascii="宋体" w:hAnsi="宋体"/>
          <w:color w:val="auto"/>
          <w:lang w:val="en-US" w:eastAsia="zh-CN"/>
        </w:rPr>
        <w:t xml:space="preserve">        </w:t>
      </w:r>
      <w:r>
        <w:rPr>
          <w:rFonts w:ascii="宋体" w:hAnsi="宋体"/>
          <w:color w:val="auto"/>
        </w:rPr>
        <w:t xml:space="preserve">日期：</w:t>
      </w:r>
      <w:r>
        <w:rPr>
          <w:rFonts w:hint="eastAsia" w:ascii="宋体" w:hAnsi="宋体" w:cs="宋体"/>
          <w:color w:val="auto"/>
        </w:rPr>
        <w:t xml:space="preserve">     </w:t>
      </w:r>
      <w:r>
        <w:rPr>
          <w:rFonts w:hint="eastAsia" w:ascii="黑体" w:hAnsi="宋体" w:eastAsia="黑体" w:cs="黑体"/>
          <w:color w:val="000000"/>
          <w:sz w:val="44"/>
          <w:szCs w:val="44"/>
          <w:highlight w:val="none"/>
        </w:rPr>
        <w:t xml:space="preserve"> </w:t>
      </w:r>
      <w:r/>
    </w:p>
    <w:p>
      <w:pPr>
        <w:pStyle w:val="824"/>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第</w:t>
      </w:r>
      <w:bookmarkEnd w:id="172"/>
      <w:r>
        <w:rPr>
          <w:rFonts w:hint="eastAsia" w:ascii="黑体" w:hAnsi="宋体" w:eastAsia="黑体" w:cs="黑体"/>
          <w:color w:val="000000"/>
          <w:sz w:val="44"/>
          <w:szCs w:val="44"/>
          <w:highlight w:val="none"/>
        </w:rPr>
        <w:t xml:space="preserve">四章 采购需求</w:t>
      </w:r>
      <w:bookmarkEnd w:id="173"/>
      <w:r/>
      <w:bookmarkEnd w:id="174"/>
      <w:r/>
      <w:bookmarkEnd w:id="175"/>
      <w:r/>
      <w:bookmarkEnd w:id="176"/>
      <w:r/>
      <w:bookmarkEnd w:id="177"/>
      <w:r/>
      <w:r/>
    </w:p>
    <w:p>
      <w:pPr>
        <w:pStyle w:val="824"/>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179" w:name="_Toc49090575"/>
      <w:r/>
      <w:bookmarkStart w:id="180" w:name="_Toc26554093"/>
      <w:r>
        <w:rPr>
          <w:rFonts w:hint="eastAsia" w:ascii="宋体" w:hAnsi="宋体" w:eastAsia="宋体" w:cs="宋体"/>
          <w:color w:val="000000"/>
          <w:sz w:val="24"/>
          <w:szCs w:val="24"/>
          <w:highlight w:val="none"/>
        </w:rPr>
        <w:t xml:space="preserve">项目属性:服务类项目。</w:t>
      </w:r>
      <w:bookmarkEnd w:id="179"/>
      <w:r/>
      <w:bookmarkEnd w:id="180"/>
      <w:r>
        <w:rPr>
          <w:rFonts w:hint="eastAsia" w:ascii="宋体" w:hAnsi="宋体" w:eastAsia="宋体" w:cs="宋体"/>
          <w:color w:val="000000"/>
          <w:sz w:val="24"/>
          <w:szCs w:val="24"/>
          <w:highlight w:val="none"/>
          <w:lang w:val="en-US" w:eastAsia="zh-CN"/>
        </w:rPr>
        <w:t xml:space="preserve"> </w:t>
      </w:r>
      <w:r/>
    </w:p>
    <w:p>
      <w:pPr>
        <w:pStyle w:val="813"/>
        <w:ind w:firstLine="482"/>
        <w:jc w:val="both"/>
        <w:rPr>
          <w:rFonts w:hint="eastAsia" w:ascii="宋体" w:hAnsi="宋体" w:eastAsia="宋体" w:cs="宋体"/>
          <w:b/>
          <w:bCs/>
          <w:color w:val="auto"/>
          <w:sz w:val="24"/>
          <w:szCs w:val="24"/>
        </w:rPr>
      </w:pPr>
      <w:r/>
      <w:bookmarkStart w:id="181" w:name="_Toc120614281"/>
      <w:r>
        <w:rPr>
          <w:rFonts w:hint="eastAsia" w:ascii="宋体" w:hAnsi="宋体" w:eastAsia="宋体" w:cs="宋体"/>
          <w:b/>
          <w:bCs/>
          <w:color w:val="auto"/>
          <w:sz w:val="24"/>
          <w:szCs w:val="24"/>
          <w:lang w:val="en-US" w:eastAsia="zh-CN"/>
        </w:rPr>
        <w:t xml:space="preserve">1.1</w:t>
      </w:r>
      <w:r>
        <w:rPr>
          <w:rFonts w:hint="eastAsia" w:ascii="宋体" w:hAnsi="宋体" w:eastAsia="宋体" w:cs="宋体"/>
          <w:b/>
          <w:bCs/>
          <w:color w:val="auto"/>
          <w:sz w:val="24"/>
          <w:szCs w:val="24"/>
        </w:rPr>
        <w:t xml:space="preserve">项目简介</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障医院数据中心的稳定运行与业务连续性，提升信息化基础设施的可靠性与可用性，现拟对数据中心开展全面的综合运维服务采购。本次运维服务覆盖数据中心核心基础设施及系统的全栈支持，主要包括：服务器、存储系统、光纤交换机、网络及安全设备（含核心交换、路由、防火墙、各类审计设备等）、虚拟化平台、数据库系统、基础软件及机房动力环境系统（如配电、UPS、精密空调等强电设施）。</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结合当前网络安全形势日益严峻的背景，项目也将强化对现有安全设备及系统的运维管理，包括防火墙、入侵检测、日志审计等安全组件的策略优化与监控响应，全面提升网络安全防护能力与应急处置水平。通过定期安全评估、风险排查与加固措施，增强关键信息系统的抗风险能力，有效防范网络攻击与数据泄露事件。</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项目前期将组织专业团队对数据中心进行全面的现场勘察与调研，深入了解现有架构、设备运行状态及潜在风险，为后续制定科学、精准的运维方案提供依据，确保运维服务的针对性、有效性与可持续性。</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本项目旨在构建一个稳定、高效、安全的数据中心运维体系，为医院各项业务系统的连续、可靠运行提供坚实支撑。</w:t>
      </w:r>
      <w:r/>
    </w:p>
    <w:p>
      <w:pPr>
        <w:pStyle w:val="813"/>
        <w:ind w:firstLine="482"/>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1.2 </w:t>
      </w:r>
      <w:r>
        <w:rPr>
          <w:rFonts w:hint="eastAsia" w:ascii="宋体" w:hAnsi="宋体" w:eastAsia="宋体" w:cs="宋体"/>
          <w:b/>
          <w:bCs/>
          <w:color w:val="auto"/>
          <w:sz w:val="24"/>
          <w:szCs w:val="24"/>
        </w:rPr>
        <w:t xml:space="preserve">总体运维服务</w:t>
      </w:r>
      <w:r/>
    </w:p>
    <w:p>
      <w:pPr>
        <w:pStyle w:val="833"/>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1、日常运维：对运维产品清单中所有设备和软件进行日常预防性检查及维护，保障系统和相关设备的稳定运行</w:t>
      </w:r>
      <w:r>
        <w:rPr>
          <w:rFonts w:hint="eastAsia" w:ascii="宋体" w:hAnsi="宋体" w:cs="宋体"/>
          <w:color w:val="auto"/>
          <w:sz w:val="24"/>
          <w:szCs w:val="24"/>
          <w:lang w:eastAsia="zh-CN"/>
        </w:rPr>
        <w:t xml:space="preserve">。</w:t>
      </w:r>
      <w:r/>
    </w:p>
    <w:p>
      <w:pPr>
        <w:pStyle w:val="833"/>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2、按医院需求提供业务割接、系统扩容、设备安装等技术支持服务</w:t>
      </w:r>
      <w:r>
        <w:rPr>
          <w:rFonts w:hint="eastAsia" w:ascii="宋体" w:hAnsi="宋体" w:cs="宋体"/>
          <w:color w:val="auto"/>
          <w:sz w:val="24"/>
          <w:szCs w:val="24"/>
          <w:lang w:eastAsia="zh-CN"/>
        </w:rPr>
        <w:t xml:space="preserve">。</w:t>
      </w:r>
      <w:r/>
    </w:p>
    <w:p>
      <w:pPr>
        <w:pStyle w:val="833"/>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3、维修电话响应时间：7*24小时，10分钟内响应，提供24小时服务热线和工程师电话</w:t>
      </w:r>
      <w:r>
        <w:rPr>
          <w:rFonts w:hint="eastAsia" w:ascii="宋体" w:hAnsi="宋体" w:cs="宋体"/>
          <w:color w:val="auto"/>
          <w:sz w:val="24"/>
          <w:szCs w:val="24"/>
          <w:lang w:eastAsia="zh-CN"/>
        </w:rPr>
        <w:t xml:space="preserve">。</w:t>
      </w:r>
      <w:r/>
    </w:p>
    <w:p>
      <w:pPr>
        <w:pStyle w:val="833"/>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4、现场维修服务时间：7*24小时，30分钟内安排工程师赶往现场解决问题，2小时内提出解决方案，进行现场服务时间依据客户计划时间提供，没有时间限制</w:t>
      </w:r>
      <w:r>
        <w:rPr>
          <w:rFonts w:hint="eastAsia" w:ascii="宋体" w:hAnsi="宋体" w:cs="宋体"/>
          <w:color w:val="auto"/>
          <w:sz w:val="24"/>
          <w:szCs w:val="24"/>
          <w:lang w:eastAsia="zh-CN"/>
        </w:rPr>
        <w:t xml:space="preserve">。</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5、培训服务：服务商需根据我院具体环境每月组织我院相关人员进行培训和交流，内容包含但不限于：</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（1）行业最新技术资料、资讯；（2）虚拟化日常运维；（3）设备维护经验心得和经典案例分享；（4）常见故障告警判断及处置；（5）数据备份及恢复。</w:t>
      </w:r>
      <w:r/>
    </w:p>
    <w:p>
      <w:pPr>
        <w:pStyle w:val="833"/>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6、预防性巡检服务：提供维护保养及</w:t>
      </w:r>
      <w:r>
        <w:rPr>
          <w:rFonts w:hint="eastAsia" w:ascii="宋体" w:hAnsi="宋体" w:cs="宋体"/>
          <w:color w:val="auto"/>
          <w:sz w:val="24"/>
          <w:szCs w:val="24"/>
          <w:lang w:eastAsia="zh-CN"/>
        </w:rPr>
        <w:t xml:space="preserve">运维</w:t>
      </w:r>
      <w:r>
        <w:rPr>
          <w:rFonts w:hint="eastAsia" w:ascii="宋体" w:hAnsi="宋体" w:eastAsia="宋体" w:cs="宋体"/>
          <w:color w:val="auto"/>
          <w:sz w:val="24"/>
          <w:szCs w:val="24"/>
        </w:rPr>
        <w:t xml:space="preserve">期内一年12次上门预防性主动维护服务,重大节假日进行巡检（如春节、国庆），并出具巡检报告。巡检的范围包含本次运维项目中的所有软硬件设备的运行情况，配置情况，性能指标，优化建议等</w:t>
      </w:r>
      <w:r>
        <w:rPr>
          <w:rFonts w:hint="eastAsia" w:ascii="宋体" w:hAnsi="宋体" w:cs="宋体"/>
          <w:color w:val="auto"/>
          <w:sz w:val="24"/>
          <w:szCs w:val="24"/>
          <w:lang w:eastAsia="zh-CN"/>
        </w:rPr>
        <w:t xml:space="preserve">。</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7、咨询服务：在现有设备范围内，对医院信息系统进行定期的维护管理和配置优化，确保医院整个信息系统运转的高效、稳定和安全，减少和避免系统性能瓶颈，杜绝信息系统安全事故，并且能根据用户需要，提供信息系统运行的合理化建议和方案。</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8、文档服务：需提供如下常规维护文档（报告），包括日常服务报告、应急报告、 巡检报告、年度总结报告及其它相关文档报告；须根据设备类别，提供不同（类）设备维护情况复盘文档（每半年）。</w:t>
      </w:r>
      <w:r/>
    </w:p>
    <w:p>
      <w:pPr>
        <w:pStyle w:val="833"/>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9、应急服务：突发故障时，需立即进行响应，并提供现场救援服务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30分钟内解决问题；必要时，提供原厂技术工程师现场配合指导处理</w:t>
      </w:r>
      <w:r>
        <w:rPr>
          <w:rFonts w:hint="eastAsia" w:ascii="宋体" w:hAnsi="宋体" w:cs="宋体"/>
          <w:color w:val="auto"/>
          <w:sz w:val="24"/>
          <w:szCs w:val="24"/>
          <w:lang w:eastAsia="zh-CN"/>
        </w:rPr>
        <w:t xml:space="preserve">。</w:t>
      </w:r>
      <w:r/>
    </w:p>
    <w:p>
      <w:pPr>
        <w:pStyle w:val="833"/>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10、保障服务：提供重大活动以及相关系统上线前后的保障服务，不限次数</w:t>
      </w:r>
      <w:r>
        <w:rPr>
          <w:rFonts w:hint="eastAsia" w:ascii="宋体" w:hAnsi="宋体" w:cs="宋体"/>
          <w:color w:val="auto"/>
          <w:sz w:val="24"/>
          <w:szCs w:val="24"/>
          <w:highlight w:val="none"/>
          <w:lang w:eastAsia="zh-CN"/>
        </w:rPr>
        <w:t xml:space="preserve">。</w:t>
      </w:r>
      <w:r/>
    </w:p>
    <w:p>
      <w:pPr>
        <w:pStyle w:val="833"/>
        <w:ind w:firstLine="480"/>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保密</w:t>
      </w:r>
      <w:r>
        <w:rPr>
          <w:rFonts w:hint="eastAsia" w:ascii="宋体" w:hAnsi="宋体" w:eastAsia="宋体" w:cs="宋体"/>
          <w:color w:val="auto"/>
          <w:sz w:val="24"/>
          <w:szCs w:val="24"/>
        </w:rPr>
        <w:t xml:space="preserve">服务承诺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服务人员在提供服务和维修的过程中，获悉的一切资讯均需严格保密，不得自行使用或给他人使用，如有泄漏或擅自使用或允许他人使用用户信息造成损失的必须承担相应的民事赔偿责任。</w:t>
      </w:r>
      <w:r/>
    </w:p>
    <w:p>
      <w:pPr>
        <w:pStyle w:val="833"/>
        <w:ind w:firstLine="480"/>
        <w:rPr>
          <w:rFonts w:hint="eastAsia" w:ascii="宋体" w:hAnsi="宋体" w:cs="宋体"/>
          <w:b/>
          <w:bCs/>
          <w:color w:val="auto"/>
          <w:sz w:val="24"/>
          <w:szCs w:val="24"/>
          <w:u w:val="single"/>
          <w:lang w:val="en-US" w:eastAsia="zh-CN"/>
        </w:rPr>
      </w:pPr>
      <w:r>
        <w:rPr>
          <w:rFonts w:hint="eastAsia" w:ascii="宋体" w:hAnsi="宋体" w:eastAsia="宋体" w:cs="宋体"/>
          <w:b/>
          <w:bCs/>
          <w:color w:val="auto"/>
          <w:sz w:val="24"/>
          <w:szCs w:val="24"/>
          <w:u w:val="single"/>
        </w:rPr>
        <w:t xml:space="preserve">11、供应商中标后需在</w:t>
      </w:r>
      <w:r>
        <w:rPr>
          <w:rFonts w:hint="eastAsia" w:ascii="宋体" w:hAnsi="宋体" w:cs="宋体"/>
          <w:b/>
          <w:bCs/>
          <w:color w:val="auto"/>
          <w:sz w:val="24"/>
          <w:szCs w:val="24"/>
          <w:u w:val="single"/>
          <w:lang w:val="en-US" w:eastAsia="zh-CN"/>
        </w:rPr>
        <w:t xml:space="preserve">两周</w:t>
      </w:r>
      <w:r>
        <w:rPr>
          <w:rFonts w:hint="eastAsia" w:ascii="宋体" w:hAnsi="宋体" w:eastAsia="宋体" w:cs="宋体"/>
          <w:b/>
          <w:bCs/>
          <w:color w:val="auto"/>
          <w:sz w:val="24"/>
          <w:szCs w:val="24"/>
          <w:u w:val="single"/>
        </w:rPr>
        <w:t xml:space="preserve">内完成核心系统（含HIS、PACS、LIS、EMR、集成平台）数据库和对应业务服务器的完整切换演练，如无法完成，视为虚假应标。</w:t>
      </w:r>
      <w:r>
        <w:rPr>
          <w:rFonts w:hint="eastAsia" w:ascii="宋体" w:hAnsi="宋体" w:cs="宋体"/>
          <w:b/>
          <w:bCs/>
          <w:color w:val="auto"/>
          <w:sz w:val="24"/>
          <w:szCs w:val="24"/>
          <w:u w:val="single"/>
          <w:lang w:val="en-US" w:eastAsia="zh-CN"/>
        </w:rPr>
        <w:t xml:space="preserve">供应商投标时需自行提供承诺函并盖章确认。</w:t>
      </w:r>
      <w:r/>
    </w:p>
    <w:p>
      <w:pPr>
        <w:pStyle w:val="813"/>
        <w:ind w:firstLine="482"/>
        <w:jc w:val="both"/>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1.3 </w:t>
      </w:r>
      <w:r>
        <w:rPr>
          <w:rFonts w:hint="eastAsia" w:ascii="宋体" w:hAnsi="宋体" w:eastAsia="宋体" w:cs="宋体"/>
          <w:b/>
          <w:bCs/>
          <w:color w:val="auto"/>
          <w:sz w:val="24"/>
          <w:szCs w:val="24"/>
        </w:rPr>
        <w:t xml:space="preserve">安全运营服务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运营服务：为了更好的应对黑客的攻击行为和医院的日常网络安全应急，投标人需在服务周期内提供安全运营中心以及安全专家团队有效协同的“人机共智”模式7*24H持续性开展网络安全保障工作，构建持续（7*24小时）、主动、闭环的安全运营体系；并提供安全运营平台，可以有效的展示网络安全情况，平台要求如下：</w:t>
      </w:r>
      <w:r/>
    </w:p>
    <w:p>
      <w:pPr>
        <w:pStyle w:val="833"/>
        <w:numPr>
          <w:ilvl w:val="0"/>
          <w:numId w:val="0"/>
        </w:numPr>
        <w:ind w:left="860" w:hanging="4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安全运营工具</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1.本地安全组件：部署在本地网络中，对网络中的流量、日志进行收集和分析，将告警信息上传到云端安全运营中心，进行威胁情报的匹配和人工专家的审核。</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可视化大数据安全分析平台：让安全可感知、易运营。平台以大数据分析为核心，结合了威胁情报、UEBA、机器学习、失陷主机检测、大数据关联分析、NTA流量分析、可视化等技术，对全网安全进行可视，帮助用户看清业务、看到威胁、看懂风险，并辅助用户决策。</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3.重要时期保障中心软件模块：重要时期全流程安全防护视角为客户提供暴露面管理、实时攻击分析、溯源追踪、值守报告等功能。</w:t>
      </w:r>
      <w:r/>
    </w:p>
    <w:p>
      <w:pPr>
        <w:pStyle w:val="833"/>
        <w:numPr>
          <w:ilvl w:val="0"/>
          <w:numId w:val="0"/>
        </w:numPr>
        <w:ind w:left="860" w:hanging="4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rPr>
        <w:t xml:space="preserve">监管资产</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内容：围绕资产、漏洞、威胁和事件四个维度，包含资产梳理和安全评估，分析资产的漏洞和弱密码可能存在的安全威胁，进行7*24小时的安全监测，及时发现各类安全攻击事件，并通过机器和人工服务的方式进行及时的阻断和恢复。</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要求：</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1）减少通报：期望能够先于监管单位发现问题，提前解决问题；降低被监管或主管单位通报的概率，缓解被通报带来的压力；</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2）提升安全效果：期望能够把现有安全设备的效果进一步发挥出来，提升组织的网络安全保障能力，大幅降低安全事件发生的概率，规避因为安全事件带来的绩效风险；</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3）缓解人员压力：期望有一个高水平的安全团队协助处置各种安全工作，特别是针对已发现安全问题的闭环处置，缓解专业安全人才缺乏的压力；</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4）工作价值呈现：期望能够向上级呈现网络安全工作的价值，获得更多的资源支持。</w:t>
      </w:r>
      <w:r/>
    </w:p>
    <w:p>
      <w:pPr>
        <w:pStyle w:val="814"/>
        <w:ind w:firstLine="598"/>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1.3.1 </w:t>
      </w:r>
      <w:r>
        <w:rPr>
          <w:rFonts w:hint="eastAsia" w:ascii="宋体" w:hAnsi="宋体" w:eastAsia="宋体" w:cs="宋体"/>
          <w:b/>
          <w:bCs/>
          <w:color w:val="auto"/>
          <w:sz w:val="24"/>
          <w:szCs w:val="24"/>
        </w:rPr>
        <w:t xml:space="preserve">安全运营服务工具要求</w:t>
      </w:r>
      <w:r/>
    </w:p>
    <w:tbl>
      <w:tblPr>
        <w:tblStyle w:val="816"/>
        <w:tblW w:w="8670" w:type="dxa"/>
        <w:tblInd w:w="-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0"/>
        <w:gridCol w:w="1545"/>
        <w:gridCol w:w="5325"/>
      </w:tblGrid>
      <w:tr>
        <w:trPr>
          <w:trHeight w:val="0"/>
          <w:tblHeader/>
        </w:trPr>
        <w:tc>
          <w:tcPr>
            <w:tcW w:w="1800" w:type="dxa"/>
            <w:vAlign w:val="center"/>
            <w:textDirection w:val="lrTb"/>
            <w:noWrap w:val="false"/>
          </w:tcPr>
          <w:p>
            <w:pPr>
              <w:ind w:left="0" w:right="0" w:firstLine="0"/>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指标类型</w:t>
            </w:r>
            <w:r/>
          </w:p>
        </w:tc>
        <w:tc>
          <w:tcPr>
            <w:tcW w:w="1545" w:type="dxa"/>
            <w:vAlign w:val="center"/>
            <w:textDirection w:val="lrTb"/>
            <w:noWrap w:val="false"/>
          </w:tcPr>
          <w:p>
            <w:pPr>
              <w:ind w:left="0" w:right="0" w:firstLine="0"/>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指标项</w:t>
            </w:r>
            <w:r/>
          </w:p>
        </w:tc>
        <w:tc>
          <w:tcPr>
            <w:tcW w:w="5325" w:type="dxa"/>
            <w:vAlign w:val="center"/>
            <w:textDirection w:val="lrTb"/>
            <w:noWrap w:val="false"/>
          </w:tcPr>
          <w:p>
            <w:pPr>
              <w:ind w:left="0" w:right="0" w:firstLine="0"/>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指标要求</w:t>
            </w:r>
            <w:r/>
          </w:p>
        </w:tc>
      </w:tr>
      <w:tr>
        <w:trPr>
          <w:trHeight w:val="0"/>
        </w:trPr>
        <w:tc>
          <w:tcPr>
            <w:tcW w:w="1800"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安全运营服务要求</w:t>
            </w:r>
            <w:r/>
          </w:p>
        </w:tc>
        <w:tc>
          <w:tcPr>
            <w:tcW w:w="1545"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安全监测与告警分析服务</w:t>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u w:val="none"/>
              </w:rPr>
              <w:t xml:space="preserve">1.对安全日志进行实时降噪分析，提供7*24威胁事件监测与分析研判服务。安全事件发生后，第一时间通过微信、企业微信、钉钉、飞书、邮件、电话等通信方式进行预警通告。</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2.通告内容包括：事件类型、攻击时间、发现时间、告警设备、攻击IP、被攻击IP、事件描述、攻击结果、优先级、处置建议等。</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 xml:space="preserve">3.</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提供月度运营报告</w:t>
            </w:r>
            <w:r>
              <w:rPr>
                <w:rFonts w:hint="eastAsia" w:ascii="宋体" w:hAnsi="宋体" w:cs="宋体"/>
                <w:b/>
                <w:bCs/>
                <w:color w:val="auto"/>
                <w:sz w:val="24"/>
                <w:szCs w:val="24"/>
                <w:u w:val="single"/>
                <w:lang w:val="en-US" w:eastAsia="zh-CN"/>
              </w:rPr>
              <w:t xml:space="preserve">截图扫描件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安全事件响应服务</w:t>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1.对于确认的安全事件，利用安全产品的API接口，通过运营平台向安全产品下发策略进行封禁。支持封禁产品包括：防火墙、HIDS、WAF等。</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漏洞预警服务</w:t>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1.在运营期间爆发新漏洞时，将第一时间通报最新漏洞的影响范围、危害及修复建议，方便客户的后续排查。</w:t>
            </w:r>
            <w:r/>
          </w:p>
        </w:tc>
      </w:tr>
      <w:tr>
        <w:trPr>
          <w:trHeight w:val="0"/>
        </w:trPr>
        <w:tc>
          <w:tcPr>
            <w:tcW w:w="1800" w:type="dxa"/>
            <w:vAlign w:val="center"/>
            <w:vMerge w:val="restart"/>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安全运营平台能力要求</w:t>
            </w:r>
            <w:r/>
          </w:p>
        </w:tc>
        <w:tc>
          <w:tcPr>
            <w:tcW w:w="1545" w:type="dxa"/>
            <w:vAlign w:val="center"/>
            <w:vMerge w:val="restart"/>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数据采集与接入</w:t>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 xml:space="preserve">1.运营平台支持主动与被动相结合的方式获取多源异构数据，数据获取方式包括但不限于：Syslog、Kafka采集等；（</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提供产品功能截图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 xml:space="preserve">2.运营平台具备自动化解析能力，支持解析、接入第三方安全设备日志，扩展用户设备接入能力；（</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提供产品功能截图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 xml:space="preserve">3.运营平台支持通过json、xml、键值对、正则等方式对复杂日志样本进行解析，支持数据接入过程ETL：标准化、过滤、补全、归并等全流程可配置、可监控，同时具备数据二次解析能力，并可针对数据采集及处理过程实现数据监控。（</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提供产品功能截图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数据安全性</w:t>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1.探针与运营平台之间通信支持双向证书认证；</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2.探针向运营平台回传的数据包支持加密、压缩和完整性校验；</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3.探针与宿主机处于隔离状态，保证客户资产安全；</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 xml:space="preserve">4.探针所在宿主机不会在互联网暴露任何端口；（</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提供证明材料</w:t>
            </w:r>
            <w:r>
              <w:rPr>
                <w:rFonts w:hint="eastAsia" w:ascii="宋体" w:hAnsi="宋体" w:cs="宋体"/>
                <w:b/>
                <w:bCs/>
                <w:color w:val="auto"/>
                <w:sz w:val="24"/>
                <w:szCs w:val="24"/>
                <w:u w:val="single"/>
                <w:lang w:val="en-US" w:eastAsia="zh-CN"/>
              </w:rPr>
              <w:t xml:space="preserve">截图扫描件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 xml:space="preserve">5.探针在接收内部安全日志时，支持校验发送端IP白名单，拒收白名单外全部数据；（</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提供证明材料</w:t>
            </w:r>
            <w:r>
              <w:rPr>
                <w:rFonts w:hint="eastAsia" w:ascii="宋体" w:hAnsi="宋体" w:cs="宋体"/>
                <w:b/>
                <w:bCs/>
                <w:color w:val="auto"/>
                <w:sz w:val="24"/>
                <w:szCs w:val="24"/>
                <w:u w:val="single"/>
                <w:lang w:val="en-US" w:eastAsia="zh-CN"/>
              </w:rPr>
              <w:t xml:space="preserve">截图扫描件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6.探针支持通过策略配置进行数据过滤脱敏。</w:t>
            </w:r>
            <w:r/>
          </w:p>
        </w:tc>
      </w:tr>
      <w:tr>
        <w:trPr>
          <w:trHeight w:val="9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运营管理</w:t>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 xml:space="preserve">1.运营平台支持包括值守情况、设备接入状况、实时威胁日志、攻击者类型统计、安全事件处置闭环等多个维度统一呈现安全态势大屏，实时展现攻击事件和状态，可以切换态势展示统计时间，至少包含最近1天/7天的一键切换能力。（</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提供平台功能截图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2.运营平台支持内置工单引擎，通过手动拖拽方式自定义构建工单模板和工单流程（如普通工单、告警工单等），并支持从待处理、我创建、我关注、已处理视角进行管理，支持根据前序结果的条件自动化判定后续处置流转路径及责任人。（</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提供平台功能截图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3.运营平台平台可对安全告警进行管理，能够呈现快速确认、快速忽略、生成情报、打标签等动作，为运营人员快速研判分析提供便利；通过自动策略菜单可以供运营人员自动化处置满足条件的告警，降低运营成本。（</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提供平台功能截图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全流量威胁分析预警系统检测</w:t>
            </w:r>
            <w:r/>
          </w:p>
        </w:tc>
        <w:tc>
          <w:tcPr>
            <w:tcW w:w="5325" w:type="dxa"/>
            <w:vAlign w:val="center"/>
            <w:textDirection w:val="lrTb"/>
            <w:noWrap w:val="false"/>
          </w:tcPr>
          <w:p>
            <w:pPr>
              <w:ind w:left="0" w:right="0" w:firstLine="0"/>
              <w:jc w:val="left"/>
              <w:widowControl/>
              <w:rPr>
                <w:rFonts w:hint="eastAsia" w:ascii="宋体" w:hAnsi="宋体" w:eastAsia="宋体" w:cs="宋体"/>
                <w:b/>
                <w:bCs/>
                <w:color w:val="auto"/>
                <w:sz w:val="24"/>
                <w:szCs w:val="24"/>
                <w:highlight w:val="yellow"/>
                <w:u w:val="single"/>
              </w:rPr>
            </w:pPr>
            <w:r>
              <w:rPr>
                <w:rFonts w:hint="eastAsia" w:ascii="宋体" w:hAnsi="宋体" w:eastAsia="宋体" w:cs="宋体"/>
                <w:b/>
                <w:bCs/>
                <w:color w:val="auto"/>
                <w:sz w:val="24"/>
                <w:szCs w:val="24"/>
                <w:u w:val="single"/>
              </w:rPr>
              <w:t xml:space="preserve">1.支持通过反弹shell检测模型，对执行代理工具 shell 等黑客发起的加密攻击行为进行深度检测，同时支持加密流量指纹 JA3、JA3S 和 SSL 检测，并输出安全事件；（投标时</w:t>
            </w:r>
            <w:r>
              <w:rPr>
                <w:rFonts w:hint="eastAsia" w:ascii="宋体" w:hAnsi="宋体" w:cs="宋体"/>
                <w:b/>
                <w:bCs/>
                <w:color w:val="auto"/>
                <w:sz w:val="24"/>
                <w:szCs w:val="24"/>
                <w:u w:val="single"/>
                <w:lang w:val="en-US" w:eastAsia="zh-CN"/>
              </w:rPr>
              <w:t xml:space="preserve">需</w:t>
            </w:r>
            <w:r>
              <w:rPr>
                <w:rFonts w:hint="eastAsia" w:ascii="宋体" w:hAnsi="宋体" w:eastAsia="宋体" w:cs="宋体"/>
                <w:b/>
                <w:bCs/>
                <w:color w:val="auto"/>
                <w:sz w:val="24"/>
                <w:szCs w:val="24"/>
                <w:u w:val="single"/>
              </w:rPr>
              <w:t xml:space="preserve">提供功能截图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2.支持各类扫描、漏洞利用、远控、横向移动、webshell、权限维持工具检测（不少于200个）。（投标时</w:t>
            </w:r>
            <w:r>
              <w:rPr>
                <w:rFonts w:hint="eastAsia" w:ascii="宋体" w:hAnsi="宋体" w:cs="宋体"/>
                <w:b/>
                <w:bCs/>
                <w:color w:val="auto"/>
                <w:sz w:val="24"/>
                <w:szCs w:val="24"/>
                <w:u w:val="single"/>
                <w:lang w:val="en-US" w:eastAsia="zh-CN"/>
              </w:rPr>
              <w:t xml:space="preserve">需</w:t>
            </w:r>
            <w:r>
              <w:rPr>
                <w:rFonts w:hint="eastAsia" w:ascii="宋体" w:hAnsi="宋体" w:eastAsia="宋体" w:cs="宋体"/>
                <w:b/>
                <w:bCs/>
                <w:color w:val="auto"/>
                <w:sz w:val="24"/>
                <w:szCs w:val="24"/>
                <w:u w:val="single"/>
              </w:rPr>
              <w:t xml:space="preserve">提供功能截图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b/>
                <w:bCs/>
                <w:color w:val="auto"/>
                <w:sz w:val="24"/>
                <w:szCs w:val="24"/>
                <w:u w:val="single"/>
                <w:lang w:val="en-US" w:eastAsia="zh-CN"/>
              </w:rPr>
            </w:pPr>
            <w:r>
              <w:rPr>
                <w:rFonts w:hint="eastAsia" w:ascii="宋体" w:hAnsi="宋体" w:eastAsia="宋体" w:cs="宋体"/>
                <w:b/>
                <w:bCs/>
                <w:color w:val="auto"/>
                <w:sz w:val="24"/>
                <w:szCs w:val="24"/>
                <w:u w:val="single"/>
              </w:rPr>
              <w:t xml:space="preserve">3.支持多种沙箱运行模式，支持windows、linux类型沙箱，支持自定义检测文件类型；支持沙箱行为签名检测，根据主机或网络行为判断其是否为恶意文件，支持显示沙箱内样本运行</w:t>
            </w:r>
            <w:r>
              <w:rPr>
                <w:rFonts w:hint="eastAsia" w:ascii="宋体" w:hAnsi="宋体" w:cs="宋体"/>
                <w:b/>
                <w:bCs/>
                <w:color w:val="auto"/>
                <w:sz w:val="24"/>
                <w:szCs w:val="24"/>
                <w:u w:val="single"/>
                <w:lang w:eastAsia="zh-CN"/>
              </w:rPr>
              <w:t xml:space="preserve">。</w:t>
            </w:r>
            <w:r>
              <w:rPr>
                <w:rFonts w:hint="eastAsia" w:ascii="宋体" w:hAnsi="宋体" w:eastAsia="宋体" w:cs="宋体"/>
                <w:b/>
                <w:bCs/>
                <w:color w:val="auto"/>
                <w:sz w:val="24"/>
                <w:szCs w:val="24"/>
                <w:u w:val="single"/>
              </w:rPr>
              <w:t xml:space="preserve">（投标时</w:t>
            </w:r>
            <w:r>
              <w:rPr>
                <w:rFonts w:hint="eastAsia" w:ascii="宋体" w:hAnsi="宋体" w:cs="宋体"/>
                <w:b/>
                <w:bCs/>
                <w:color w:val="auto"/>
                <w:sz w:val="24"/>
                <w:szCs w:val="24"/>
                <w:u w:val="single"/>
                <w:lang w:val="en-US" w:eastAsia="zh-CN"/>
              </w:rPr>
              <w:t xml:space="preserve">需</w:t>
            </w:r>
            <w:r>
              <w:rPr>
                <w:rFonts w:hint="eastAsia" w:ascii="宋体" w:hAnsi="宋体" w:eastAsia="宋体" w:cs="宋体"/>
                <w:b/>
                <w:bCs/>
                <w:color w:val="auto"/>
                <w:sz w:val="24"/>
                <w:szCs w:val="24"/>
                <w:u w:val="single"/>
              </w:rPr>
              <w:t xml:space="preserve">提供功能截图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800" w:type="dxa"/>
            <w:vAlign w:val="center"/>
            <w:vMerge w:val="restart"/>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资质要求</w:t>
            </w:r>
            <w:r/>
          </w:p>
        </w:tc>
        <w:tc>
          <w:tcPr>
            <w:tcW w:w="1545" w:type="dxa"/>
            <w:vAlign w:val="center"/>
            <w:vMerge w:val="restart"/>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服务供应商资质</w:t>
            </w:r>
            <w:r/>
          </w:p>
        </w:tc>
        <w:tc>
          <w:tcPr>
            <w:shd w:val="clear" w:color="auto" w:fill="auto"/>
            <w:tcW w:w="5325" w:type="dxa"/>
            <w:vAlign w:val="center"/>
            <w:textDirection w:val="lrTb"/>
            <w:noWrap w:val="false"/>
          </w:tcPr>
          <w:p>
            <w:pP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 ★具备中国信息安全测评中心颁发的《国家信息安全测评信息安全服务资质证书（安全运营类二级）》。（注：二级为最高级）</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W w:w="5325" w:type="dxa"/>
            <w:vAlign w:val="center"/>
            <w:textDirection w:val="lrTb"/>
            <w:noWrap w:val="false"/>
          </w:tcPr>
          <w:p>
            <w:pPr>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 ★具备中国信息安全测评中心颁发的《国家信息安全漏洞库（CNNVD）技术支撑单位等级证书（一级）》。（注：一级为最高级）</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shd w:val="clear" w:color="auto" w:fill="auto"/>
            <w:tcW w:w="5325" w:type="dxa"/>
            <w:vAlign w:val="center"/>
            <w:textDirection w:val="lrTb"/>
            <w:noWrap w:val="false"/>
          </w:tcPr>
          <w:p>
            <w:pPr>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3. ★MSS运营平台通过了等保三级测评，具备公安部发布的《信息系统安全等级保护备案证明》，测评报告中需明确描述平台用于【7*24小时安全运营服务】（提供等保测评报告基本信息表、测评结论等）。</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4.为保障此次服务中服务厂商在安全运营方面有较强能力，须参与编制国家标准 GB/T 45940-2025《网络安全技术 网络安全运维实施指南》。</w:t>
            </w:r>
            <w:r/>
          </w:p>
        </w:tc>
      </w:tr>
      <w:tr>
        <w:trPr>
          <w:trHeight w:val="0"/>
        </w:trPr>
        <w:tc>
          <w:tcPr>
            <w:tcW w:w="180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32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b/>
                <w:bCs/>
                <w:color w:val="auto"/>
                <w:sz w:val="24"/>
                <w:szCs w:val="24"/>
                <w:u w:val="single"/>
              </w:rPr>
              <w:t xml:space="preserve">5.为保障此次服务中服务厂商在渗透测试方面有较强能力，能够有效验证本单位现有防护体系，</w:t>
            </w:r>
            <w:r>
              <w:rPr>
                <w:rFonts w:hint="eastAsia" w:ascii="宋体" w:hAnsi="宋体" w:cs="宋体"/>
                <w:b/>
                <w:bCs/>
                <w:color w:val="auto"/>
                <w:sz w:val="24"/>
                <w:szCs w:val="24"/>
                <w:u w:val="single"/>
                <w:lang w:val="en-US" w:eastAsia="zh-CN"/>
              </w:rPr>
              <w:t xml:space="preserve">投标时</w:t>
            </w:r>
            <w:r>
              <w:rPr>
                <w:rFonts w:hint="eastAsia" w:ascii="宋体" w:hAnsi="宋体" w:eastAsia="宋体" w:cs="宋体"/>
                <w:b/>
                <w:bCs/>
                <w:color w:val="auto"/>
                <w:sz w:val="24"/>
                <w:szCs w:val="24"/>
                <w:u w:val="single"/>
              </w:rPr>
              <w:t xml:space="preserve">须提供获得公安部网络安全保卫局颁发的最佳攻击团队证书或者优秀攻击队或者优秀渗透团队证书</w:t>
            </w:r>
            <w:r>
              <w:rPr>
                <w:rFonts w:hint="eastAsia" w:ascii="宋体" w:hAnsi="宋体" w:cs="宋体"/>
                <w:b/>
                <w:bCs/>
                <w:color w:val="auto"/>
                <w:sz w:val="24"/>
                <w:szCs w:val="24"/>
                <w:u w:val="single"/>
                <w:lang w:val="en-US" w:eastAsia="zh-CN"/>
              </w:rPr>
              <w:t xml:space="preserve">的截图扫描件</w:t>
            </w:r>
            <w:r>
              <w:rPr>
                <w:rFonts w:hint="eastAsia" w:ascii="宋体" w:hAnsi="宋体" w:eastAsia="宋体" w:cs="宋体"/>
                <w:b/>
                <w:bCs/>
                <w:color w:val="auto"/>
                <w:sz w:val="24"/>
                <w:szCs w:val="24"/>
                <w:u w:val="single"/>
              </w:rPr>
              <w:t xml:space="preserve">（不包含感谢信)。</w:t>
            </w:r>
            <w:r/>
          </w:p>
        </w:tc>
      </w:tr>
      <w:tr>
        <w:trPr>
          <w:trHeight w:val="0"/>
        </w:trPr>
        <w:tc>
          <w:tcPr>
            <w:tcW w:w="1800" w:type="dxa"/>
            <w:vAlign w:val="center"/>
            <w:textDirection w:val="lrTb"/>
            <w:noWrap w:val="false"/>
          </w:tcPr>
          <w:p>
            <w:pPr>
              <w:ind w:left="0" w:right="0" w:firstLine="0"/>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服务人员能力要求</w:t>
            </w:r>
            <w:r/>
          </w:p>
        </w:tc>
        <w:tc>
          <w:tcPr>
            <w:tcW w:w="1545" w:type="dxa"/>
            <w:vAlign w:val="center"/>
            <w:textDirection w:val="lrTb"/>
            <w:noWrap w:val="false"/>
          </w:tcPr>
          <w:p>
            <w:pPr>
              <w:ind w:left="0" w:right="0" w:firstLine="0"/>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服务人员资质</w:t>
            </w:r>
            <w:r/>
          </w:p>
        </w:tc>
        <w:tc>
          <w:tcPr>
            <w:tcW w:w="5325" w:type="dxa"/>
            <w:vAlign w:val="center"/>
            <w:textDirection w:val="lrTb"/>
            <w:noWrap w:val="false"/>
          </w:tcPr>
          <w:p>
            <w:pPr>
              <w:ind w:left="0" w:right="0" w:firstLine="0"/>
              <w:jc w:val="both"/>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项目组实施成员应具备相关攻防技术，熟悉网络攻防实战，项目组核心成员作为主力攻击成员曾经参加过国内外高水平攻防比赛（如XCTF联赛、WCTF大师赛、Pwn2Own&amp;Pwnium、DEFCON黑客大会、Chaos CommunicationCamp、PHDays CTF、Black Hat等）并取得优秀成绩的（</w:t>
            </w:r>
            <w:r>
              <w:rPr>
                <w:rFonts w:hint="eastAsia" w:ascii="宋体" w:hAnsi="宋体" w:eastAsia="宋体" w:cs="宋体"/>
                <w:color w:val="auto"/>
                <w:sz w:val="24"/>
                <w:szCs w:val="24"/>
                <w:lang w:val="en-US" w:eastAsia="zh-CN"/>
              </w:rPr>
              <w:t xml:space="preserve">投标时需</w:t>
            </w:r>
            <w:r>
              <w:rPr>
                <w:rFonts w:hint="eastAsia" w:ascii="宋体" w:hAnsi="宋体" w:eastAsia="宋体" w:cs="宋体"/>
                <w:color w:val="auto"/>
                <w:sz w:val="24"/>
                <w:szCs w:val="24"/>
              </w:rPr>
              <w:t xml:space="preserve">提供截图</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rPr>
              <w:t xml:space="preserve">并加盖公章）；</w:t>
            </w:r>
            <w:r/>
          </w:p>
        </w:tc>
      </w:tr>
    </w:tbl>
    <w:p>
      <w:pPr>
        <w:pStyle w:val="813"/>
        <w:ind w:firstLine="482"/>
        <w:jc w:val="both"/>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1.4 服务器存储运维服务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1、负责所有服务器、超融合、存储等硬件和软件的故障诊断、维修、备件更换，并提供设备配置、升级建议;</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2、负责所有服务器、存储设备和软件的微码升级、补丁安装、系统部署等技术服务；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3、定期对所有服务器、存储设备系统进行检查，包括配置设置与系统操作的评估，以及有关系统、磁盘性能、I/O通信、软件版本、可用性和安全性的信息，及时提供改进方案和纠正措施的详细建议；</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4、定期对所有服务器、存储设备系统检查，包括评估服务器、存储系统的配置和版本进行原厂更新，确定可能影响系统性能和可用性的硬件、软件、固件版本以及配置状况；提出改进和优化系统性能、容量与可用性的具体建议从而保护客户的业务。</w:t>
      </w:r>
      <w:r/>
    </w:p>
    <w:p>
      <w:pPr>
        <w:pStyle w:val="833"/>
        <w:ind w:firstLine="480"/>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1.4.1 </w:t>
      </w:r>
      <w:r>
        <w:rPr>
          <w:rFonts w:hint="eastAsia" w:ascii="宋体" w:hAnsi="宋体" w:eastAsia="宋体" w:cs="宋体"/>
          <w:b/>
          <w:bCs/>
          <w:color w:val="auto"/>
          <w:sz w:val="24"/>
          <w:szCs w:val="24"/>
        </w:rPr>
        <w:t xml:space="preserve">IT运维工具要求</w:t>
      </w:r>
      <w:r/>
    </w:p>
    <w:tbl>
      <w:tblPr>
        <w:tblStyle w:val="825"/>
        <w:tblW w:w="837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320"/>
        <w:gridCol w:w="6135"/>
      </w:tblGrid>
      <w:tr>
        <w:trPr>
          <w:trHeight w:val="287"/>
          <w:tblHeader/>
        </w:trPr>
        <w:tc>
          <w:tcPr>
            <w:tcW w:w="915" w:type="dxa"/>
            <w:vAlign w:val="center"/>
            <w:textDirection w:val="lrTb"/>
            <w:noWrap w:val="false"/>
          </w:tcPr>
          <w:p>
            <w:pPr>
              <w:ind w:left="0" w:right="0" w:firstLine="0"/>
              <w:jc w:val="center"/>
              <w:keepNex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320" w:type="dxa"/>
            <w:vAlign w:val="center"/>
            <w:textDirection w:val="lrTb"/>
            <w:noWrap w:val="false"/>
          </w:tcPr>
          <w:p>
            <w:pPr>
              <w:ind w:left="0" w:right="0" w:firstLine="0"/>
              <w:jc w:val="center"/>
              <w:keepNex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6135" w:type="dxa"/>
            <w:vAlign w:val="center"/>
            <w:textDirection w:val="lrTb"/>
            <w:noWrap w:val="false"/>
          </w:tcPr>
          <w:p>
            <w:pPr>
              <w:ind w:left="0" w:right="0" w:firstLine="0"/>
              <w:jc w:val="center"/>
              <w:keepNex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招标要求</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20"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部署方式</w:t>
            </w:r>
            <w:r/>
          </w:p>
        </w:tc>
        <w:tc>
          <w:tcPr>
            <w:tcW w:w="6135" w:type="dxa"/>
            <w:vAlign w:val="center"/>
            <w:textDirection w:val="lrTb"/>
            <w:noWrap w:val="false"/>
          </w:tcPr>
          <w:p>
            <w:pPr>
              <w:ind w:left="0" w:right="0" w:firstLine="0"/>
              <w:jc w:val="left"/>
              <w:keepNex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实现基于ISO的一键部署</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320"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知识产权</w:t>
            </w:r>
            <w:r/>
          </w:p>
        </w:tc>
        <w:tc>
          <w:tcPr>
            <w:tcW w:w="6135"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具备完全自主的知识产权，有相应的软件产品著作权</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320"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技术架构</w:t>
            </w:r>
            <w:r/>
          </w:p>
        </w:tc>
        <w:tc>
          <w:tcPr>
            <w:tcW w:w="6135"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无需在被监控目标上安装 Agent，通过协议远程采集数据，简化部署和运维；</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支持自定义监控指标；</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支持告警阈值表达式。</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320"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监控目标类型</w:t>
            </w:r>
            <w:r/>
          </w:p>
        </w:tc>
        <w:tc>
          <w:tcPr>
            <w:tcW w:w="6135"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支持监控以下类型的监控目标：</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1.主流操作系统，至少包括Windows、Ubuntu、Centos、FreeBSD、RedHat、RockyLinux、EulerOS、Kylin等；</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2.主流数据库，至少包括 MYSQL、MariaDB、PostgreSQL、SQL Server、Oracle、达梦、OpenGauss、TiDB、MongoDB、Kingbase、GreenPlum、OceanBase</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3.网络设备，至少包括：华为设备、华三设备、CISCO设备、HPE设备</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4.应用程序监控，至少包括：Linux进程、JVM虚拟机、SpringBoot、Docker</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5.WEB服务器监控，至少包括：tomcat、Jetty</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6.缓存监控：至少包括：redis、memcached、valkey</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7.应用服务器监控，至少包括：MQTT、http api、POP3邮箱、SSL证书、SMTP、NGINX、网站监测、WebSocket</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8.服务器监控：支持通过IPMI、Redfish等协议监控服务器硬件</w:t>
            </w:r>
            <w:r/>
          </w:p>
          <w:p>
            <w:pPr>
              <w:ind w:left="0" w:right="0" w:firstLine="0"/>
              <w:jc w:val="left"/>
              <w:keepNex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9.VMWARE VCenter数据中心</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320"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协议支持</w:t>
            </w:r>
            <w:r/>
          </w:p>
        </w:tc>
        <w:tc>
          <w:tcPr>
            <w:tcW w:w="6135"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至少支持以下协议对目标进行监控：snmp、jdbc、telnet、ssh、http、https、ipmi、redfish</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320"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告警支持</w:t>
            </w:r>
            <w:r/>
          </w:p>
        </w:tc>
        <w:tc>
          <w:tcPr>
            <w:tcW w:w="6135"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1.支持复杂的告警规则配置：</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阈值判断、时间窗口统计、多指标组合、静默期等</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2.告警渠道支持：</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邮件、微信公众号、企业微信、钉钉、飞书、Webhook等</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3.支持告警聚合、抑制、恢复通知等机制</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320"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分布式</w:t>
            </w:r>
            <w:r/>
          </w:p>
        </w:tc>
        <w:tc>
          <w:tcPr>
            <w:tcW w:w="6135"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1.支持超大规模数量的目标监控</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2.支持采集进程集群式部署、并互为冗余</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320"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云托管</w:t>
            </w:r>
            <w:r/>
          </w:p>
        </w:tc>
        <w:tc>
          <w:tcPr>
            <w:tcW w:w="6135" w:type="dxa"/>
            <w:vAlign w:val="center"/>
            <w:textDirection w:val="lrTb"/>
            <w:noWrap w:val="false"/>
          </w:tcPr>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1.支持云托管方式告警及指标的上报</w:t>
            </w:r>
            <w:r/>
          </w:p>
          <w:p>
            <w:pPr>
              <w:ind w:left="0" w:right="0" w:firstLine="0"/>
              <w:jc w:val="left"/>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2.支持7*24小时的云托管告警、运维工单自动创建</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9</w:t>
            </w:r>
            <w:r/>
          </w:p>
        </w:tc>
        <w:tc>
          <w:tcPr>
            <w:tcW w:w="1320" w:type="dxa"/>
            <w:vAlign w:val="center"/>
            <w:textDirection w:val="lrTb"/>
            <w:noWrap w:val="false"/>
          </w:tcPr>
          <w:p>
            <w:pPr>
              <w:ind w:left="0" w:right="0" w:firstLine="0"/>
              <w:jc w:val="left"/>
              <w:keepNext/>
              <w:rPr>
                <w:rFonts w:hint="eastAsia" w:ascii="宋体" w:hAnsi="宋体" w:eastAsia="宋体" w:cs="宋体"/>
                <w:b/>
                <w:bCs/>
                <w:color w:val="auto"/>
                <w:sz w:val="24"/>
                <w:szCs w:val="24"/>
                <w:highlight w:val="none"/>
                <w:u w:val="none"/>
                <w:shd w:val="clear" w:color="auto" w:fill="ffffff"/>
              </w:rPr>
            </w:pPr>
            <w:r>
              <w:rPr>
                <w:rFonts w:hint="eastAsia" w:ascii="宋体" w:hAnsi="宋体" w:eastAsia="宋体" w:cs="宋体"/>
                <w:b/>
                <w:bCs/>
                <w:color w:val="auto"/>
                <w:sz w:val="24"/>
                <w:szCs w:val="24"/>
                <w:highlight w:val="none"/>
                <w:u w:val="none"/>
                <w:shd w:val="clear" w:color="auto" w:fill="ffffff"/>
              </w:rPr>
              <w:t xml:space="preserve">服务</w:t>
            </w:r>
            <w:r/>
          </w:p>
        </w:tc>
        <w:tc>
          <w:tcPr>
            <w:tcW w:w="6135" w:type="dxa"/>
            <w:vAlign w:val="center"/>
            <w:textDirection w:val="lrTb"/>
            <w:noWrap w:val="false"/>
          </w:tcPr>
          <w:p>
            <w:pPr>
              <w:ind w:left="0" w:right="0" w:firstLine="0"/>
              <w:jc w:val="left"/>
              <w:keepNext/>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需提供</w:t>
            </w:r>
            <w:r>
              <w:rPr>
                <w:rFonts w:hint="eastAsia" w:ascii="宋体" w:hAnsi="宋体" w:eastAsia="宋体" w:cs="宋体"/>
                <w:b/>
                <w:bCs/>
                <w:color w:val="auto"/>
                <w:sz w:val="24"/>
                <w:szCs w:val="24"/>
                <w:highlight w:val="none"/>
                <w:u w:val="single"/>
              </w:rPr>
              <w:t xml:space="preserve">产品原厂提供的技术支持服务</w:t>
            </w:r>
            <w:r>
              <w:rPr>
                <w:rFonts w:hint="eastAsia" w:ascii="宋体" w:hAnsi="宋体" w:eastAsia="宋体" w:cs="宋体"/>
                <w:b/>
                <w:bCs/>
                <w:color w:val="auto"/>
                <w:sz w:val="24"/>
                <w:szCs w:val="24"/>
                <w:highlight w:val="none"/>
                <w:u w:val="single"/>
                <w:lang w:val="en-US" w:eastAsia="zh-CN"/>
              </w:rPr>
              <w:t xml:space="preserve">的承诺函（格式自拟）</w:t>
            </w:r>
            <w:r/>
          </w:p>
        </w:tc>
      </w:tr>
      <w:tr>
        <w:trPr>
          <w:trHeight w:val="0"/>
        </w:trPr>
        <w:tc>
          <w:tcPr>
            <w:tcW w:w="915" w:type="dxa"/>
            <w:vAlign w:val="center"/>
            <w:textDirection w:val="lrTb"/>
            <w:noWrap w:val="false"/>
          </w:tcPr>
          <w:p>
            <w:pPr>
              <w:ind w:left="0" w:right="0" w:firstLine="0"/>
              <w:jc w:val="center"/>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10</w:t>
            </w:r>
            <w:r/>
          </w:p>
        </w:tc>
        <w:tc>
          <w:tcPr>
            <w:tcW w:w="1320" w:type="dxa"/>
            <w:vAlign w:val="center"/>
            <w:textDirection w:val="lrTb"/>
            <w:noWrap w:val="false"/>
          </w:tcPr>
          <w:p>
            <w:pPr>
              <w:ind w:left="0" w:right="0" w:firstLine="0"/>
              <w:jc w:val="left"/>
              <w:keepNext/>
              <w:rPr>
                <w:rFonts w:hint="eastAsia" w:ascii="宋体" w:hAnsi="宋体" w:eastAsia="宋体" w:cs="宋体"/>
                <w:b/>
                <w:bCs/>
                <w:color w:val="auto"/>
                <w:sz w:val="24"/>
                <w:szCs w:val="24"/>
                <w:u w:val="single"/>
                <w:shd w:val="clear" w:color="auto" w:fill="ffffff"/>
              </w:rPr>
            </w:pPr>
            <w:r>
              <w:rPr>
                <w:rFonts w:hint="eastAsia" w:ascii="宋体" w:hAnsi="宋体" w:eastAsia="宋体" w:cs="宋体"/>
                <w:b/>
                <w:bCs/>
                <w:color w:val="auto"/>
                <w:sz w:val="24"/>
                <w:szCs w:val="24"/>
                <w:u w:val="single"/>
                <w:shd w:val="clear" w:color="auto" w:fill="ffffff"/>
              </w:rPr>
              <w:t xml:space="preserve">产品演示</w:t>
            </w:r>
            <w:r/>
          </w:p>
        </w:tc>
        <w:tc>
          <w:tcPr>
            <w:tcW w:w="6135" w:type="dxa"/>
            <w:vAlign w:val="center"/>
            <w:textDirection w:val="lrTb"/>
            <w:noWrap w:val="false"/>
          </w:tcPr>
          <w:p>
            <w:pPr>
              <w:ind w:left="0" w:right="0" w:firstLine="0"/>
              <w:jc w:val="left"/>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供应商需通过视频演示方式展示监控与告警平台的以下功能：</w:t>
            </w:r>
            <w:r/>
          </w:p>
          <w:p>
            <w:pPr>
              <w:ind w:left="0" w:right="0" w:firstLine="0"/>
              <w:jc w:val="left"/>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1.告警通知演示：模拟触发一条告警，并通过微信公众号可以接收该告警信息；</w:t>
            </w:r>
            <w:r/>
          </w:p>
          <w:p>
            <w:pPr>
              <w:ind w:left="0" w:right="0" w:firstLine="0"/>
              <w:jc w:val="left"/>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2.数据库告警演示：模拟Oracle RAC的ADG备库，在主备延迟超过1分钟时触发告警；</w:t>
            </w:r>
            <w:r/>
          </w:p>
          <w:p>
            <w:pPr>
              <w:ind w:left="0" w:right="0" w:firstLine="0"/>
              <w:jc w:val="left"/>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3.主机故障排查演示：对一台Linux 主机，通过 Web SSH 实现免密登录，并演示故障排除操作；</w:t>
            </w:r>
            <w:r/>
          </w:p>
          <w:p>
            <w:pPr>
              <w:ind w:left="0" w:right="0" w:firstLine="0"/>
              <w:jc w:val="left"/>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4.数据库故障排查演示：对被监控的一个Oracle数据库，通过WEB GUI方式免密登录数据库，执行一个查询SQL，并能够将排除结果以HTML方式导出。</w:t>
            </w:r>
            <w:r/>
          </w:p>
          <w:p>
            <w:pPr>
              <w:ind w:left="0" w:right="0" w:firstLine="0"/>
              <w:jc w:val="left"/>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5.</w:t>
            </w:r>
            <w:r>
              <w:rPr>
                <w:rFonts w:hint="eastAsia" w:ascii="宋体" w:hAnsi="宋体" w:eastAsia="宋体" w:cs="宋体"/>
                <w:b/>
                <w:bCs/>
                <w:color w:val="auto"/>
                <w:sz w:val="24"/>
                <w:szCs w:val="24"/>
                <w:u w:val="single"/>
              </w:rPr>
              <w:tab/>
            </w:r>
            <w:r>
              <w:rPr>
                <w:rFonts w:hint="eastAsia" w:ascii="宋体" w:hAnsi="宋体" w:eastAsia="宋体" w:cs="宋体"/>
                <w:b/>
                <w:bCs/>
                <w:color w:val="auto"/>
                <w:sz w:val="24"/>
                <w:szCs w:val="24"/>
                <w:u w:val="single"/>
              </w:rPr>
              <w:t xml:space="preserve">资源监控演示：模拟 Oracle 表空间在过去 12 小时内使用率增长超过 5% 时触发告警。</w:t>
            </w:r>
            <w:r/>
          </w:p>
          <w:p>
            <w:pPr>
              <w:ind w:left="0" w:right="0" w:firstLine="0"/>
              <w:jc w:val="left"/>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6.</w:t>
            </w:r>
            <w:r>
              <w:rPr>
                <w:rFonts w:hint="eastAsia" w:ascii="宋体" w:hAnsi="宋体" w:eastAsia="宋体" w:cs="宋体"/>
                <w:b/>
                <w:bCs/>
                <w:color w:val="auto"/>
                <w:sz w:val="24"/>
                <w:szCs w:val="24"/>
                <w:u w:val="single"/>
              </w:rPr>
              <w:tab/>
            </w:r>
            <w:r>
              <w:rPr>
                <w:rFonts w:hint="eastAsia" w:ascii="宋体" w:hAnsi="宋体" w:eastAsia="宋体" w:cs="宋体"/>
                <w:b/>
                <w:bCs/>
                <w:color w:val="auto"/>
                <w:sz w:val="24"/>
                <w:szCs w:val="24"/>
                <w:u w:val="single"/>
              </w:rPr>
              <w:t xml:space="preserve">运维审计：可以回放上述对LINUX主机的操作，并且可以审计到上述SQL执行历史记录。</w:t>
            </w:r>
            <w:r/>
          </w:p>
          <w:p>
            <w:pPr>
              <w:ind w:left="0" w:right="0" w:firstLine="0"/>
              <w:jc w:val="left"/>
              <w:keepNex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演示总时长控制在 10 分钟以内。</w:t>
            </w:r>
            <w:r/>
          </w:p>
          <w:p>
            <w:pPr>
              <w:ind w:left="0" w:right="0" w:firstLine="0"/>
              <w:jc w:val="left"/>
              <w:keepNext/>
              <w:rPr>
                <w:rFonts w:hint="eastAsia" w:ascii="宋体" w:hAnsi="宋体" w:eastAsia="宋体" w:cs="宋体"/>
                <w:b/>
                <w:bCs/>
                <w:color w:val="auto"/>
                <w:sz w:val="24"/>
                <w:szCs w:val="24"/>
                <w:u w:val="single"/>
              </w:rPr>
            </w:pPr>
            <w:r>
              <w:rPr>
                <w:rFonts w:hint="eastAsia" w:ascii="宋体" w:hAnsi="宋体" w:cs="宋体"/>
                <w:b/>
                <w:bCs/>
                <w:color w:val="auto"/>
                <w:sz w:val="24"/>
                <w:szCs w:val="24"/>
                <w:highlight w:val="yellow"/>
                <w:u w:val="single"/>
                <w:lang w:val="en-US" w:eastAsia="zh-CN"/>
              </w:rPr>
              <w:t xml:space="preserve">注：投标时未演示此项内容作无效标处理</w:t>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3"/>
        <w:ind w:firstLine="482"/>
        <w:jc w:val="left"/>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1.5 </w:t>
      </w:r>
      <w:r>
        <w:rPr>
          <w:rFonts w:hint="eastAsia" w:ascii="宋体" w:hAnsi="宋体" w:eastAsia="宋体" w:cs="宋体"/>
          <w:b/>
          <w:bCs/>
          <w:color w:val="auto"/>
          <w:sz w:val="24"/>
          <w:szCs w:val="24"/>
        </w:rPr>
        <w:t xml:space="preserve">数据库等软件运维服务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ORACLE、SQL等数据库的日常运维、故障排除。数据库工程师需与医院的软件应用商深度配合，完成数据库的维护工作，包括数据库扩容、新建数据库、数据库优化等工作，以使医院业务系统高性能、稳定的运行，其中产生的费用由供应商承担。</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2、提供数据库在紧急情况下，如数据库错误、数据丢失、数据库系统崩溃等故障或灾难的恢复。</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3、定期巡检，并根据巡检情况提出数据库优化建议和优化方案，经用户同意后进行调整优化。</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4、根据数据库系统运行的实际情况，按需提供数据库升级或补丁安装服务。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5、在数据库系统性能存在瓶颈时，提供性能调整和优化服务，并为数据库的运行提供优化建议和咨询。</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6、为保障数据库的安全性，按需提供数据库备份和恢复策略指导，包括：审计现有备份/恢复策略，改善和优化备份/恢复策略，进行数据库灾难恢复测试等。</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7、负责虚拟化软件的运维和技术支持，包括虚拟化软件的日常配置、微码升级，虚拟机的迁移，数据的迁移和整合，软件故障处理及优化等工作。</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8、提供数据库诊断与优化平台服务。要求能够对现有数据库进行全方位的运维管理，其主要功能包括但不限于：</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9、数据库容灾演练服务</w:t>
      </w:r>
      <w:r/>
    </w:p>
    <w:p>
      <w:pPr>
        <w:pStyle w:val="833"/>
        <w:numPr>
          <w:ilvl w:val="0"/>
          <w:numId w:val="0"/>
        </w:num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供应商每年需免费提供容灾演练平台和每季度至少进行一</w:t>
      </w:r>
      <w:r>
        <w:rPr>
          <w:rFonts w:hint="eastAsia" w:ascii="宋体" w:hAnsi="宋体" w:cs="宋体"/>
          <w:color w:val="auto"/>
          <w:sz w:val="24"/>
          <w:szCs w:val="24"/>
          <w:lang w:val="en-US" w:eastAsia="zh-CN"/>
        </w:rPr>
        <w:t xml:space="preserve">次</w:t>
      </w:r>
      <w:r>
        <w:rPr>
          <w:rFonts w:hint="eastAsia" w:ascii="宋体" w:hAnsi="宋体" w:eastAsia="宋体" w:cs="宋体"/>
          <w:color w:val="auto"/>
          <w:sz w:val="24"/>
          <w:szCs w:val="24"/>
        </w:rPr>
        <w:t xml:space="preserve">数据库及应用服务器容灾演练服务；每季度至少进行一次数据恢复验证，保证备份数据的可用性；</w:t>
      </w:r>
      <w:r/>
    </w:p>
    <w:p>
      <w:pPr>
        <w:pStyle w:val="833"/>
        <w:numPr>
          <w:ilvl w:val="0"/>
          <w:numId w:val="0"/>
        </w:num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rPr>
        <w:t xml:space="preserve">系统恢复时间要求：对于重点系统数据与系统的恢复时间不大于0.5小时，核心数据不丢失。</w:t>
      </w:r>
      <w:r/>
    </w:p>
    <w:p>
      <w:pPr>
        <w:pStyle w:val="833"/>
        <w:numPr>
          <w:ilvl w:val="0"/>
          <w:numId w:val="0"/>
        </w:numPr>
        <w:ind w:firstLine="482"/>
        <w:rPr>
          <w:rFonts w:hint="eastAsia" w:ascii="宋体" w:hAnsi="宋体" w:eastAsia="宋体" w:cs="宋体"/>
          <w:color w:val="auto"/>
          <w:sz w:val="24"/>
          <w:szCs w:val="24"/>
        </w:rPr>
      </w:pPr>
      <w:r>
        <w:rPr>
          <w:rFonts w:hint="eastAsia" w:ascii="宋体" w:hAnsi="宋体" w:eastAsia="宋体" w:cs="宋体"/>
          <w:b/>
          <w:bCs/>
          <w:color w:val="auto"/>
          <w:sz w:val="24"/>
          <w:szCs w:val="24"/>
          <w:u w:val="single"/>
          <w:lang w:val="en-US" w:eastAsia="zh-CN"/>
        </w:rPr>
        <w:t xml:space="preserve">3)</w:t>
      </w:r>
      <w:r>
        <w:rPr>
          <w:rFonts w:hint="eastAsia" w:ascii="宋体" w:hAnsi="宋体" w:eastAsia="宋体" w:cs="宋体"/>
          <w:b/>
          <w:bCs/>
          <w:color w:val="auto"/>
          <w:sz w:val="24"/>
          <w:szCs w:val="24"/>
          <w:u w:val="single"/>
        </w:rPr>
        <w:t xml:space="preserve">完成如下场景的核心系统灾备切换，提供容灾演练一键切换功能，简单易用，容灾切换操作支持由用户独立进行操作。（投标时提供如下3个场景的核心系统灾备切换承诺书。如因虚假承诺导致中标的，则取消中标资格，且列入采购人招投标市场黑名单。</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场景1：生产中心业务系统与灾备中心业务系统正常数据同步验证；</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场景2：生产中心网络出现故障，生产中心业务系统正常。生产中心暂停对外服务，业务系统服务切换到灾备中心，待生产中心网络恢复后回切到生产中心实现正常业务访问；</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场景3：生产中心生产数据库出现瘫痪，生产中心网络正常。生产中心暂停对外服务，业务系统服务切换到灾备中心，从生产中心本地进行生产数据库恢复，待生产数据库恢复正常后，回切到生产中心实现正常业务访问。</w:t>
      </w:r>
      <w:r/>
    </w:p>
    <w:p>
      <w:pPr>
        <w:pStyle w:val="814"/>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1.5.1 </w:t>
      </w:r>
      <w:r>
        <w:rPr>
          <w:rFonts w:hint="eastAsia" w:ascii="宋体" w:hAnsi="宋体" w:eastAsia="宋体" w:cs="宋体"/>
          <w:b/>
          <w:bCs/>
          <w:color w:val="auto"/>
          <w:sz w:val="24"/>
          <w:szCs w:val="24"/>
        </w:rPr>
        <w:t xml:space="preserve">数据库运维工具要求</w:t>
      </w:r>
      <w:r/>
    </w:p>
    <w:tbl>
      <w:tblPr>
        <w:tblStyle w:val="825"/>
        <w:tblW w:w="8685"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1545"/>
        <w:gridCol w:w="6045"/>
      </w:tblGrid>
      <w:tr>
        <w:trPr>
          <w:trHeight w:val="0"/>
          <w:tblHeader/>
        </w:trPr>
        <w:tc>
          <w:tcPr>
            <w:tcW w:w="1095"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545"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w:t>
            </w:r>
            <w:r/>
          </w:p>
        </w:tc>
        <w:tc>
          <w:tcPr>
            <w:tcW w:w="6045"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招标要求</w:t>
            </w:r>
            <w:r/>
          </w:p>
        </w:tc>
      </w:tr>
      <w:tr>
        <w:trPr>
          <w:trHeight w:val="0"/>
        </w:trPr>
        <w:tc>
          <w:tcPr>
            <w:tcW w:w="1095" w:type="dxa"/>
            <w:vAlign w:val="center"/>
            <w:vMerge w:val="restart"/>
            <w:textDirection w:val="lrTb"/>
            <w:noWrap w:val="false"/>
          </w:tcPr>
          <w:p>
            <w:pPr>
              <w:ind w:left="0" w:right="0" w:firstLine="0"/>
              <w:jc w:val="center"/>
              <w:rPr>
                <w:rFonts w:hint="eastAsia" w:ascii="宋体" w:hAnsi="宋体" w:eastAsia="宋体" w:cs="宋体"/>
                <w:color w:val="auto"/>
                <w:sz w:val="24"/>
                <w:szCs w:val="24"/>
              </w:rPr>
            </w:pPr>
            <w:r/>
            <w:bookmarkStart w:id="182" w:name="_Hlk172637488"/>
            <w:r>
              <w:rPr>
                <w:rFonts w:hint="eastAsia" w:ascii="宋体" w:hAnsi="宋体" w:eastAsia="宋体" w:cs="宋体"/>
                <w:color w:val="auto"/>
                <w:sz w:val="24"/>
                <w:szCs w:val="24"/>
              </w:rPr>
              <w:t xml:space="preserve">1</w:t>
            </w:r>
            <w:r/>
          </w:p>
        </w:tc>
        <w:tc>
          <w:tcPr>
            <w:tcW w:w="1545" w:type="dxa"/>
            <w:vAlign w:val="center"/>
            <w:vMerge w:val="restart"/>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部署方式</w:t>
            </w:r>
            <w:r/>
          </w:p>
        </w:tc>
        <w:tc>
          <w:tcPr>
            <w:tcW w:w="60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无AGENT部署，无需要在目标数据库上安装任何程序或脚本</w:t>
            </w:r>
            <w:r/>
          </w:p>
        </w:tc>
      </w:tr>
      <w:tr>
        <w:trPr>
          <w:trHeight w:val="0"/>
        </w:trPr>
        <w:tc>
          <w:tcPr>
            <w:tcW w:w="1095" w:type="dxa"/>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45" w:type="dxa"/>
            <w:vAlign w:val="center"/>
            <w:vMerge w:val="continue"/>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客户端无需安装与部署数据库驱动程序，可直接连接被管目标数据库</w:t>
            </w:r>
            <w:bookmarkEnd w:id="182"/>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 xml:space="preserve">2</w:t>
            </w:r>
            <w:r/>
          </w:p>
        </w:tc>
        <w:tc>
          <w:tcPr>
            <w:tcW w:w="1545" w:type="dxa"/>
            <w:vAlign w:val="center"/>
            <w:textDirection w:val="lrTb"/>
            <w:noWrap w:val="false"/>
          </w:tcPr>
          <w:p>
            <w:pPr>
              <w:ind w:left="0" w:right="0" w:firstLine="0"/>
              <w:jc w:val="center"/>
              <w:rPr>
                <w:rFonts w:hint="eastAsia" w:ascii="宋体" w:hAnsi="宋体" w:eastAsia="宋体" w:cs="宋体"/>
                <w:b/>
                <w:bCs/>
                <w:color w:val="auto"/>
                <w:sz w:val="24"/>
                <w:szCs w:val="24"/>
                <w:u w:val="none"/>
              </w:rPr>
            </w:pPr>
            <w:r/>
            <w:bookmarkStart w:id="183" w:name="OLE_LINK89"/>
            <w:r>
              <w:rPr>
                <w:rFonts w:hint="eastAsia" w:ascii="宋体" w:hAnsi="宋体" w:eastAsia="宋体" w:cs="宋体"/>
                <w:b/>
                <w:bCs/>
                <w:color w:val="auto"/>
                <w:sz w:val="24"/>
                <w:szCs w:val="24"/>
                <w:u w:val="none"/>
              </w:rPr>
              <w:t xml:space="preserve">知识产权</w:t>
            </w:r>
            <w:bookmarkEnd w:id="183"/>
            <w:r/>
            <w:r/>
          </w:p>
        </w:tc>
        <w:tc>
          <w:tcPr>
            <w:tcW w:w="6045" w:type="dxa"/>
            <w:vAlign w:val="center"/>
            <w:textDirection w:val="lrTb"/>
            <w:noWrap w:val="false"/>
          </w:tcPr>
          <w:p>
            <w:pPr>
              <w:ind w:left="0" w:right="0" w:firstLine="0"/>
              <w:jc w:val="left"/>
              <w:rPr>
                <w:rFonts w:hint="eastAsia" w:ascii="宋体" w:hAnsi="宋体" w:eastAsia="宋体" w:cs="宋体"/>
                <w:b/>
                <w:bCs/>
                <w:color w:val="auto"/>
                <w:sz w:val="24"/>
                <w:szCs w:val="24"/>
                <w:u w:val="single"/>
              </w:rPr>
            </w:pPr>
            <w:r/>
            <w:bookmarkStart w:id="184" w:name="OLE_LINK91"/>
            <w:r/>
            <w:bookmarkStart w:id="185" w:name="OLE_LINK90"/>
            <w:r>
              <w:rPr>
                <w:rFonts w:hint="eastAsia" w:ascii="宋体" w:hAnsi="宋体" w:eastAsia="宋体" w:cs="宋体"/>
                <w:b/>
                <w:bCs/>
                <w:color w:val="auto"/>
                <w:sz w:val="24"/>
                <w:szCs w:val="24"/>
                <w:u w:val="single"/>
              </w:rPr>
              <w:t xml:space="preserve">具备完全自主的知识产权，有相应的软件产品著作权</w:t>
            </w:r>
            <w:r/>
          </w:p>
          <w:p>
            <w:pPr>
              <w:ind w:left="0" w:right="0" w:firstLine="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产品通过国家权威机构的检测，并有相应的测试报告</w:t>
            </w:r>
            <w:r/>
          </w:p>
          <w:p>
            <w:pPr>
              <w:ind w:left="0" w:right="0" w:firstLine="0"/>
              <w:jc w:val="left"/>
              <w:rPr>
                <w:rFonts w:hint="eastAsia" w:ascii="宋体" w:hAnsi="宋体" w:eastAsia="宋体" w:cs="宋体"/>
                <w:b/>
                <w:bCs/>
                <w:color w:val="auto"/>
                <w:sz w:val="24"/>
                <w:szCs w:val="24"/>
                <w:u w:val="none"/>
                <w:lang w:eastAsia="zh-CN"/>
              </w:rPr>
            </w:pPr>
            <w:r>
              <w:rPr>
                <w:rFonts w:hint="eastAsia" w:ascii="宋体" w:hAnsi="宋体" w:cs="宋体"/>
                <w:b/>
                <w:bCs/>
                <w:color w:val="auto"/>
                <w:sz w:val="24"/>
                <w:szCs w:val="24"/>
                <w:u w:val="single"/>
                <w:lang w:val="en-US" w:eastAsia="zh-CN"/>
              </w:rPr>
              <w:t xml:space="preserve">投标时</w:t>
            </w:r>
            <w:r>
              <w:rPr>
                <w:rFonts w:hint="eastAsia" w:ascii="宋体" w:hAnsi="宋体" w:eastAsia="宋体" w:cs="宋体"/>
                <w:b/>
                <w:bCs/>
                <w:color w:val="auto"/>
                <w:sz w:val="24"/>
                <w:szCs w:val="24"/>
                <w:u w:val="single"/>
              </w:rPr>
              <w:t xml:space="preserve">需提供软著及测试报告的</w:t>
            </w:r>
            <w:bookmarkEnd w:id="184"/>
            <w:r/>
            <w:bookmarkEnd w:id="185"/>
            <w:r>
              <w:rPr>
                <w:rFonts w:hint="eastAsia" w:ascii="宋体" w:hAnsi="宋体" w:cs="宋体"/>
                <w:b/>
                <w:bCs/>
                <w:color w:val="auto"/>
                <w:sz w:val="24"/>
                <w:szCs w:val="24"/>
                <w:u w:val="single"/>
                <w:lang w:val="en-US" w:eastAsia="zh-CN"/>
              </w:rPr>
              <w:t xml:space="preserve">截图扫描件</w:t>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545" w:type="dxa"/>
            <w:vAlign w:val="center"/>
            <w:textDirection w:val="lrTb"/>
            <w:noWrap w:val="false"/>
          </w:tcPr>
          <w:p>
            <w:pPr>
              <w:ind w:left="0" w:right="0" w:firstLine="0"/>
              <w:jc w:val="center"/>
              <w:rPr>
                <w:rFonts w:hint="eastAsia" w:ascii="宋体" w:hAnsi="宋体" w:eastAsia="宋体" w:cs="宋体"/>
                <w:color w:val="auto"/>
                <w:sz w:val="24"/>
                <w:szCs w:val="24"/>
              </w:rPr>
            </w:pPr>
            <w:r/>
            <w:bookmarkStart w:id="186" w:name="OLE_LINK92"/>
            <w:r>
              <w:rPr>
                <w:rFonts w:hint="eastAsia" w:ascii="宋体" w:hAnsi="宋体" w:eastAsia="宋体" w:cs="宋体"/>
                <w:color w:val="auto"/>
                <w:sz w:val="24"/>
                <w:szCs w:val="24"/>
              </w:rPr>
              <w:t xml:space="preserve">监控功能</w:t>
            </w:r>
            <w:bookmarkEnd w:id="186"/>
            <w:r/>
            <w:r/>
          </w:p>
        </w:tc>
        <w:tc>
          <w:tcPr>
            <w:tcW w:w="6045" w:type="dxa"/>
            <w:vAlign w:val="center"/>
            <w:textDirection w:val="lrTb"/>
            <w:noWrap w:val="false"/>
          </w:tcPr>
          <w:p>
            <w:pPr>
              <w:ind w:left="0" w:right="0" w:firstLine="0"/>
              <w:jc w:val="left"/>
              <w:rPr>
                <w:rFonts w:hint="eastAsia" w:ascii="宋体" w:hAnsi="宋体" w:eastAsia="宋体" w:cs="宋体"/>
                <w:color w:val="auto"/>
                <w:sz w:val="24"/>
                <w:szCs w:val="24"/>
              </w:rPr>
            </w:pPr>
            <w:r/>
            <w:bookmarkStart w:id="187" w:name="OLE_LINK93"/>
            <w:r>
              <w:rPr>
                <w:rFonts w:hint="eastAsia" w:ascii="宋体" w:hAnsi="宋体" w:eastAsia="宋体" w:cs="宋体"/>
                <w:color w:val="auto"/>
                <w:sz w:val="24"/>
                <w:szCs w:val="24"/>
              </w:rPr>
              <w:t xml:space="preserve">能够全方位的监控目标数据库主机的各个粒度的性能数据，包括：主机负载级别、数据库系统系统级别、应用与会话级别、SQL级别、事件等待级别等</w:t>
            </w:r>
            <w:bookmarkEnd w:id="187"/>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w:t>
            </w:r>
            <w:r/>
          </w:p>
        </w:tc>
        <w:tc>
          <w:tcPr>
            <w:tcW w:w="1545" w:type="dxa"/>
            <w:vAlign w:val="center"/>
            <w:textDirection w:val="lrTb"/>
            <w:noWrap w:val="false"/>
          </w:tcPr>
          <w:p>
            <w:pPr>
              <w:ind w:left="0" w:right="0" w:firstLine="0"/>
              <w:jc w:val="center"/>
              <w:rPr>
                <w:rFonts w:hint="eastAsia" w:ascii="宋体" w:hAnsi="宋体" w:eastAsia="宋体" w:cs="宋体"/>
                <w:b/>
                <w:bCs/>
                <w:color w:val="auto"/>
                <w:sz w:val="24"/>
                <w:szCs w:val="24"/>
              </w:rPr>
            </w:pPr>
            <w:r/>
            <w:bookmarkStart w:id="188" w:name="OLE_LINK94"/>
            <w:r/>
            <w:bookmarkStart w:id="189" w:name="OLE_LINK95"/>
            <w:r>
              <w:rPr>
                <w:rFonts w:hint="eastAsia" w:ascii="宋体" w:hAnsi="宋体" w:eastAsia="宋体" w:cs="宋体"/>
                <w:b/>
                <w:bCs/>
                <w:color w:val="auto"/>
                <w:sz w:val="24"/>
                <w:szCs w:val="24"/>
              </w:rPr>
              <w:t xml:space="preserve">分析功能</w:t>
            </w:r>
            <w:bookmarkEnd w:id="188"/>
            <w:r/>
            <w:bookmarkEnd w:id="189"/>
            <w:r/>
            <w:r/>
          </w:p>
        </w:tc>
        <w:tc>
          <w:tcPr>
            <w:tcW w:w="6045" w:type="dxa"/>
            <w:vAlign w:val="center"/>
            <w:textDirection w:val="lrTb"/>
            <w:noWrap w:val="false"/>
          </w:tcPr>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bookmarkStart w:id="190" w:name="OLE_LINK96"/>
            <w:r/>
            <w:bookmarkStart w:id="191" w:name="OLE_LINK97"/>
            <w:r>
              <w:rPr>
                <w:rFonts w:hint="default" w:ascii="宋体" w:hAnsi="宋体" w:eastAsia="宋体" w:cs="宋体"/>
                <w:b/>
                <w:bCs/>
                <w:color w:val="auto"/>
                <w:sz w:val="24"/>
                <w:szCs w:val="24"/>
                <w:u w:val="single"/>
                <w:lang w:val="en-US" w:eastAsia="zh-CN" w:bidi="ar-SA"/>
              </w:rPr>
              <w:t xml:space="preserve">1.</w:t>
            </w:r>
            <w:r>
              <w:rPr>
                <w:rFonts w:hint="eastAsia" w:ascii="宋体" w:hAnsi="宋体" w:eastAsia="宋体" w:cs="宋体"/>
                <w:b/>
                <w:bCs/>
                <w:color w:val="auto"/>
                <w:sz w:val="24"/>
                <w:szCs w:val="24"/>
                <w:u w:val="single"/>
              </w:rPr>
              <w:t xml:space="preserve">能够回溯到历史上任一时间点，对历史时间点上数据库发生的各级别性能数据进行回放，包括能够回放当时的主机级别、数据库级别、应用与会话级别、SQL级别、事件等待各各类数据。</w:t>
            </w:r>
            <w:r/>
          </w:p>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 xml:space="preserve">2.</w:t>
            </w:r>
            <w:r>
              <w:rPr>
                <w:rFonts w:hint="eastAsia" w:ascii="宋体" w:hAnsi="宋体" w:eastAsia="宋体" w:cs="宋体"/>
                <w:b/>
                <w:bCs/>
                <w:color w:val="auto"/>
                <w:sz w:val="24"/>
                <w:szCs w:val="24"/>
                <w:u w:val="single"/>
              </w:rPr>
              <w:t xml:space="preserve">能够针对某个SQL进行分析，分析指定SQL的执行计划、等待事件、执行效率、执行频次等，并能够对当前执行计划与效率进行分析，给出分析报告</w:t>
            </w:r>
            <w:r/>
          </w:p>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 xml:space="preserve">3.</w:t>
            </w:r>
            <w:r>
              <w:rPr>
                <w:rFonts w:hint="eastAsia" w:ascii="宋体" w:hAnsi="宋体" w:eastAsia="宋体" w:cs="宋体"/>
                <w:b/>
                <w:bCs/>
                <w:color w:val="auto"/>
                <w:sz w:val="24"/>
                <w:szCs w:val="24"/>
                <w:u w:val="single"/>
              </w:rPr>
              <w:t xml:space="preserve">能够自动的发现系统效率差的应用及SQL</w:t>
            </w:r>
            <w:r/>
          </w:p>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 xml:space="preserve">4.</w:t>
            </w:r>
            <w:r>
              <w:rPr>
                <w:rFonts w:hint="eastAsia" w:ascii="宋体" w:hAnsi="宋体" w:eastAsia="宋体" w:cs="宋体"/>
                <w:b/>
                <w:bCs/>
                <w:color w:val="auto"/>
                <w:sz w:val="24"/>
                <w:szCs w:val="24"/>
                <w:u w:val="single"/>
              </w:rPr>
              <w:t xml:space="preserve">能够对数据库的性能进行向下钻取，分析出历史上指定时间段内主机、数据库、应用与会话、SQL等级个粒度的性能数据。</w:t>
            </w:r>
            <w:r/>
          </w:p>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 xml:space="preserve">5.</w:t>
            </w:r>
            <w:r>
              <w:rPr>
                <w:rFonts w:hint="eastAsia" w:ascii="宋体" w:hAnsi="宋体" w:eastAsia="宋体" w:cs="宋体"/>
                <w:b/>
                <w:bCs/>
                <w:color w:val="auto"/>
                <w:sz w:val="24"/>
                <w:szCs w:val="24"/>
                <w:u w:val="single"/>
              </w:rPr>
              <w:t xml:space="preserve">能够对特定应用进行持续的监控与会话分析，并提供指定应用相关的性能分析报告</w:t>
            </w:r>
            <w:r/>
          </w:p>
          <w:p>
            <w:pPr>
              <w:pStyle w:val="834"/>
              <w:ind w:left="0" w:right="0" w:firstLine="0"/>
              <w:jc w:val="left"/>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u w:val="single"/>
                <w:lang w:val="en-US" w:eastAsia="zh-CN"/>
              </w:rPr>
              <w:t xml:space="preserve">投标时</w:t>
            </w:r>
            <w:r>
              <w:rPr>
                <w:rFonts w:hint="eastAsia" w:ascii="宋体" w:hAnsi="宋体" w:eastAsia="宋体" w:cs="宋体"/>
                <w:b/>
                <w:bCs/>
                <w:color w:val="auto"/>
                <w:sz w:val="24"/>
                <w:szCs w:val="24"/>
                <w:u w:val="single"/>
              </w:rPr>
              <w:t xml:space="preserve">需提供上述功能的软件界面截图</w:t>
            </w:r>
            <w:bookmarkEnd w:id="190"/>
            <w:r/>
            <w:bookmarkEnd w:id="191"/>
            <w:r>
              <w:rPr>
                <w:rFonts w:hint="eastAsia" w:ascii="宋体" w:hAnsi="宋体" w:cs="宋体"/>
                <w:b/>
                <w:bCs/>
                <w:color w:val="auto"/>
                <w:sz w:val="24"/>
                <w:szCs w:val="24"/>
                <w:u w:val="single"/>
                <w:lang w:val="en-US" w:eastAsia="zh-CN"/>
              </w:rPr>
              <w:t xml:space="preserve">扫描件</w:t>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w:t>
            </w:r>
            <w:r/>
          </w:p>
        </w:tc>
        <w:tc>
          <w:tcPr>
            <w:tcW w:w="1545" w:type="dxa"/>
            <w:vAlign w:val="center"/>
            <w:textDirection w:val="lrTb"/>
            <w:noWrap w:val="false"/>
          </w:tcPr>
          <w:p>
            <w:pPr>
              <w:ind w:left="0" w:right="0" w:firstLine="0"/>
              <w:jc w:val="center"/>
              <w:rPr>
                <w:rFonts w:hint="eastAsia" w:ascii="宋体" w:hAnsi="宋体" w:eastAsia="宋体" w:cs="宋体"/>
                <w:b/>
                <w:bCs/>
                <w:color w:val="auto"/>
                <w:sz w:val="24"/>
                <w:szCs w:val="24"/>
              </w:rPr>
            </w:pPr>
            <w:r/>
            <w:bookmarkStart w:id="192" w:name="OLE_LINK98"/>
            <w:r>
              <w:rPr>
                <w:rFonts w:hint="eastAsia" w:ascii="宋体" w:hAnsi="宋体" w:eastAsia="宋体" w:cs="宋体"/>
                <w:b/>
                <w:bCs/>
                <w:color w:val="auto"/>
                <w:sz w:val="24"/>
                <w:szCs w:val="24"/>
              </w:rPr>
              <w:t xml:space="preserve">性能优化</w:t>
            </w:r>
            <w:bookmarkEnd w:id="192"/>
            <w:r/>
            <w:r/>
          </w:p>
        </w:tc>
        <w:tc>
          <w:tcPr>
            <w:tcW w:w="6045" w:type="dxa"/>
            <w:vAlign w:val="center"/>
            <w:textDirection w:val="lrTb"/>
            <w:noWrap w:val="false"/>
          </w:tcPr>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bookmarkStart w:id="193" w:name="OLE_LINK100"/>
            <w:r/>
            <w:bookmarkStart w:id="194" w:name="OLE_LINK99"/>
            <w:r>
              <w:rPr>
                <w:rFonts w:hint="default" w:ascii="宋体" w:hAnsi="宋体" w:eastAsia="宋体" w:cs="宋体"/>
                <w:b/>
                <w:bCs/>
                <w:color w:val="auto"/>
                <w:sz w:val="24"/>
                <w:szCs w:val="24"/>
                <w:u w:val="single"/>
                <w:lang w:val="en-US" w:eastAsia="zh-CN" w:bidi="ar-SA"/>
              </w:rPr>
              <w:t xml:space="preserve">1.</w:t>
            </w:r>
            <w:r>
              <w:rPr>
                <w:rFonts w:hint="eastAsia" w:ascii="宋体" w:hAnsi="宋体" w:eastAsia="宋体" w:cs="宋体"/>
                <w:b/>
                <w:bCs/>
                <w:color w:val="auto"/>
                <w:sz w:val="24"/>
                <w:szCs w:val="24"/>
                <w:u w:val="single"/>
              </w:rPr>
              <w:t xml:space="preserve">能够自动提供性能优化方法，包括能够自动输出解决性能问题的优化脚本以及相应的分析报告等。</w:t>
            </w:r>
            <w:r/>
          </w:p>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 xml:space="preserve">2.</w:t>
            </w:r>
            <w:r>
              <w:rPr>
                <w:rFonts w:hint="eastAsia" w:ascii="宋体" w:hAnsi="宋体" w:eastAsia="宋体" w:cs="宋体"/>
                <w:b/>
                <w:bCs/>
                <w:color w:val="auto"/>
                <w:sz w:val="24"/>
                <w:szCs w:val="24"/>
                <w:u w:val="single"/>
              </w:rPr>
              <w:t xml:space="preserve">能够固化执行计划</w:t>
            </w:r>
            <w:r/>
          </w:p>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u w:val="single"/>
                <w:lang w:val="en-US" w:eastAsia="zh-CN" w:bidi="ar-SA"/>
              </w:rPr>
              <w:t xml:space="preserve">3.</w:t>
            </w:r>
            <w:r>
              <w:rPr>
                <w:rFonts w:hint="eastAsia" w:ascii="宋体" w:hAnsi="宋体" w:eastAsia="宋体" w:cs="宋体"/>
                <w:b/>
                <w:bCs/>
                <w:color w:val="auto"/>
                <w:sz w:val="24"/>
                <w:szCs w:val="24"/>
                <w:u w:val="single"/>
              </w:rPr>
              <w:t xml:space="preserve">能够在不更改应用程序的方式下，更换应用的执行计划</w:t>
            </w:r>
            <w:bookmarkEnd w:id="193"/>
            <w:r/>
            <w:bookmarkEnd w:id="194"/>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545" w:type="dxa"/>
            <w:vAlign w:val="center"/>
            <w:textDirection w:val="lrTb"/>
            <w:noWrap w:val="false"/>
          </w:tcPr>
          <w:p>
            <w:pPr>
              <w:ind w:left="0" w:right="0" w:firstLine="0"/>
              <w:jc w:val="center"/>
              <w:rPr>
                <w:rFonts w:hint="eastAsia" w:ascii="宋体" w:hAnsi="宋体" w:eastAsia="宋体" w:cs="宋体"/>
                <w:b/>
                <w:bCs/>
                <w:color w:val="auto"/>
                <w:sz w:val="24"/>
                <w:szCs w:val="24"/>
              </w:rPr>
            </w:pPr>
            <w:r/>
            <w:bookmarkStart w:id="195" w:name="OLE_LINK101"/>
            <w:r>
              <w:rPr>
                <w:rFonts w:hint="eastAsia" w:ascii="宋体" w:hAnsi="宋体" w:eastAsia="宋体" w:cs="宋体"/>
                <w:b/>
                <w:bCs/>
                <w:color w:val="auto"/>
                <w:sz w:val="24"/>
                <w:szCs w:val="24"/>
              </w:rPr>
              <w:t xml:space="preserve">索引分析</w:t>
            </w:r>
            <w:bookmarkEnd w:id="195"/>
            <w:r/>
            <w:r/>
          </w:p>
        </w:tc>
        <w:tc>
          <w:tcPr>
            <w:tcW w:w="6045" w:type="dxa"/>
            <w:vAlign w:val="center"/>
            <w:textDirection w:val="lrTb"/>
            <w:noWrap w:val="false"/>
          </w:tcPr>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bookmarkStart w:id="196" w:name="OLE_LINK103"/>
            <w:r/>
            <w:bookmarkStart w:id="197" w:name="OLE_LINK102"/>
            <w:r>
              <w:rPr>
                <w:rFonts w:hint="default" w:ascii="宋体" w:hAnsi="宋体" w:eastAsia="宋体" w:cs="宋体"/>
                <w:b/>
                <w:bCs/>
                <w:color w:val="auto"/>
                <w:sz w:val="24"/>
                <w:szCs w:val="24"/>
                <w:lang w:val="en-US" w:eastAsia="zh-CN" w:bidi="ar-SA"/>
              </w:rPr>
              <w:t xml:space="preserve">1.</w:t>
            </w:r>
            <w:r>
              <w:rPr>
                <w:rFonts w:hint="eastAsia" w:ascii="宋体" w:hAnsi="宋体" w:eastAsia="宋体" w:cs="宋体"/>
                <w:b/>
                <w:bCs/>
                <w:color w:val="auto"/>
                <w:sz w:val="24"/>
                <w:szCs w:val="24"/>
                <w:u w:val="single"/>
              </w:rPr>
              <w:t xml:space="preserve">能够综合分析数据库中性能差的SQL，自动的生成索引优化建议脚本</w:t>
            </w:r>
            <w:r/>
          </w:p>
          <w:p>
            <w:pPr>
              <w:pStyle w:val="834"/>
              <w:numPr>
                <w:ilvl w:val="0"/>
                <w:numId w:val="0"/>
              </w:numPr>
              <w:contextualSpacing w:val="0"/>
              <w:ind w:left="0" w:right="0" w:firstLine="0"/>
              <w:jc w:val="left"/>
              <w:rPr>
                <w:rFonts w:hint="eastAsia" w:ascii="宋体" w:hAnsi="宋体" w:eastAsia="宋体" w:cs="宋体"/>
                <w:b/>
                <w:bCs/>
                <w:color w:val="auto"/>
                <w:sz w:val="24"/>
                <w:szCs w:val="24"/>
                <w:u w:val="single"/>
              </w:rPr>
            </w:pPr>
            <w:r>
              <w:rPr>
                <w:rFonts w:hint="default" w:ascii="宋体" w:hAnsi="宋体" w:eastAsia="宋体" w:cs="宋体"/>
                <w:b/>
                <w:bCs/>
                <w:color w:val="auto"/>
                <w:sz w:val="24"/>
                <w:szCs w:val="24"/>
                <w:lang w:val="en-US" w:eastAsia="zh-CN" w:bidi="ar-SA"/>
              </w:rPr>
              <w:t xml:space="preserve">2.</w:t>
            </w:r>
            <w:r>
              <w:rPr>
                <w:rFonts w:hint="eastAsia" w:ascii="宋体" w:hAnsi="宋体" w:eastAsia="宋体" w:cs="宋体"/>
                <w:b/>
                <w:bCs/>
                <w:color w:val="auto"/>
                <w:sz w:val="24"/>
                <w:szCs w:val="24"/>
                <w:u w:val="single"/>
              </w:rPr>
              <w:t xml:space="preserve">能够跟踪与分析索引的使用效率</w:t>
            </w:r>
            <w:r/>
          </w:p>
          <w:p>
            <w:pPr>
              <w:ind w:left="0" w:right="0" w:firstLine="0"/>
              <w:jc w:val="left"/>
              <w:rPr>
                <w:rFonts w:hint="eastAsia" w:ascii="宋体" w:hAnsi="宋体" w:eastAsia="宋体" w:cs="宋体"/>
                <w:b/>
                <w:bCs/>
                <w:color w:val="auto"/>
                <w:sz w:val="24"/>
                <w:szCs w:val="24"/>
                <w:u w:val="single"/>
                <w:lang w:val="en-US" w:eastAsia="zh-CN"/>
              </w:rPr>
            </w:pPr>
            <w:r>
              <w:rPr>
                <w:rFonts w:hint="eastAsia" w:ascii="宋体" w:hAnsi="宋体" w:cs="宋体"/>
                <w:b/>
                <w:bCs/>
                <w:color w:val="auto"/>
                <w:sz w:val="24"/>
                <w:szCs w:val="24"/>
                <w:u w:val="single"/>
                <w:lang w:val="en-US" w:eastAsia="zh-CN"/>
              </w:rPr>
              <w:t xml:space="preserve">投标时</w:t>
            </w:r>
            <w:r>
              <w:rPr>
                <w:rFonts w:hint="eastAsia" w:ascii="宋体" w:hAnsi="宋体" w:eastAsia="宋体" w:cs="宋体"/>
                <w:b/>
                <w:bCs/>
                <w:color w:val="auto"/>
                <w:sz w:val="24"/>
                <w:szCs w:val="24"/>
                <w:u w:val="single"/>
              </w:rPr>
              <w:t xml:space="preserve">需提供该功能的软件界面截图</w:t>
            </w:r>
            <w:bookmarkEnd w:id="196"/>
            <w:r/>
            <w:bookmarkEnd w:id="197"/>
            <w:r>
              <w:rPr>
                <w:rFonts w:hint="eastAsia" w:ascii="宋体" w:hAnsi="宋体" w:cs="宋体"/>
                <w:b/>
                <w:bCs/>
                <w:color w:val="auto"/>
                <w:sz w:val="24"/>
                <w:szCs w:val="24"/>
                <w:u w:val="single"/>
                <w:lang w:val="en-US" w:eastAsia="zh-CN"/>
              </w:rPr>
              <w:t xml:space="preserve">扫描件</w:t>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545" w:type="dxa"/>
            <w:vAlign w:val="center"/>
            <w:textDirection w:val="lrTb"/>
            <w:noWrap w:val="false"/>
          </w:tcPr>
          <w:p>
            <w:pPr>
              <w:ind w:left="0" w:right="0" w:firstLine="0"/>
              <w:jc w:val="center"/>
              <w:rPr>
                <w:rFonts w:hint="eastAsia" w:ascii="宋体" w:hAnsi="宋体" w:eastAsia="宋体" w:cs="宋体"/>
                <w:b/>
                <w:bCs/>
                <w:color w:val="auto"/>
                <w:sz w:val="24"/>
                <w:szCs w:val="24"/>
              </w:rPr>
            </w:pPr>
            <w:r/>
            <w:bookmarkStart w:id="198" w:name="OLE_LINK104"/>
            <w:r>
              <w:rPr>
                <w:rFonts w:hint="eastAsia" w:ascii="宋体" w:hAnsi="宋体" w:eastAsia="宋体" w:cs="宋体"/>
                <w:b/>
                <w:bCs/>
                <w:color w:val="auto"/>
                <w:sz w:val="24"/>
                <w:szCs w:val="24"/>
              </w:rPr>
              <w:t xml:space="preserve">一键诊断与优化</w:t>
            </w:r>
            <w:bookmarkEnd w:id="198"/>
            <w:r/>
            <w:r/>
          </w:p>
        </w:tc>
        <w:tc>
          <w:tcPr>
            <w:tcW w:w="6045" w:type="dxa"/>
            <w:vAlign w:val="center"/>
            <w:textDirection w:val="lrTb"/>
            <w:noWrap w:val="false"/>
          </w:tcPr>
          <w:p>
            <w:pPr>
              <w:ind w:left="0" w:right="0" w:firstLine="0"/>
              <w:jc w:val="left"/>
              <w:rPr>
                <w:rFonts w:hint="eastAsia" w:ascii="宋体" w:hAnsi="宋体" w:eastAsia="宋体" w:cs="宋体"/>
                <w:b/>
                <w:bCs/>
                <w:color w:val="auto"/>
                <w:sz w:val="24"/>
                <w:szCs w:val="24"/>
                <w:u w:val="single"/>
              </w:rPr>
            </w:pPr>
            <w:r/>
            <w:bookmarkStart w:id="199" w:name="OLE_LINK105"/>
            <w:r/>
            <w:bookmarkStart w:id="200" w:name="OLE_LINK106"/>
            <w:r>
              <w:rPr>
                <w:rFonts w:hint="eastAsia" w:ascii="宋体" w:hAnsi="宋体" w:eastAsia="宋体" w:cs="宋体"/>
                <w:b/>
                <w:bCs/>
                <w:color w:val="auto"/>
                <w:sz w:val="24"/>
                <w:szCs w:val="24"/>
                <w:u w:val="single"/>
              </w:rPr>
              <w:t xml:space="preserve">产品具备一键诊断与性能优功能，能够一键诊断出指定时间段内数据库的性能问题以及潜在风险等情况。</w:t>
            </w:r>
            <w:r/>
          </w:p>
          <w:p>
            <w:pPr>
              <w:ind w:left="0" w:right="0" w:firstLine="0"/>
              <w:jc w:val="left"/>
              <w:rPr>
                <w:rFonts w:hint="eastAsia" w:ascii="宋体" w:hAnsi="宋体" w:eastAsia="宋体" w:cs="宋体"/>
                <w:b/>
                <w:bCs/>
                <w:color w:val="auto"/>
                <w:sz w:val="24"/>
                <w:szCs w:val="24"/>
                <w:u w:val="single"/>
                <w:lang w:val="en-US" w:eastAsia="zh-CN"/>
              </w:rPr>
            </w:pPr>
            <w:r>
              <w:rPr>
                <w:rFonts w:hint="eastAsia" w:ascii="宋体" w:hAnsi="宋体" w:cs="宋体"/>
                <w:b/>
                <w:bCs/>
                <w:color w:val="auto"/>
                <w:sz w:val="24"/>
                <w:szCs w:val="24"/>
                <w:u w:val="single"/>
                <w:lang w:val="en-US" w:eastAsia="zh-CN"/>
              </w:rPr>
              <w:t xml:space="preserve">投标时</w:t>
            </w:r>
            <w:r>
              <w:rPr>
                <w:rFonts w:hint="eastAsia" w:ascii="宋体" w:hAnsi="宋体" w:eastAsia="宋体" w:cs="宋体"/>
                <w:b/>
                <w:bCs/>
                <w:color w:val="auto"/>
                <w:sz w:val="24"/>
                <w:szCs w:val="24"/>
                <w:u w:val="single"/>
              </w:rPr>
              <w:t xml:space="preserve">需提供该功能的软件界面截图</w:t>
            </w:r>
            <w:bookmarkEnd w:id="199"/>
            <w:r/>
            <w:bookmarkEnd w:id="200"/>
            <w:r>
              <w:rPr>
                <w:rFonts w:hint="eastAsia" w:ascii="宋体" w:hAnsi="宋体" w:cs="宋体"/>
                <w:b/>
                <w:bCs/>
                <w:color w:val="auto"/>
                <w:sz w:val="24"/>
                <w:szCs w:val="24"/>
                <w:u w:val="single"/>
                <w:lang w:val="en-US" w:eastAsia="zh-CN"/>
              </w:rPr>
              <w:t xml:space="preserve">扫描件</w:t>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w:t>
            </w:r>
            <w:r/>
          </w:p>
        </w:tc>
        <w:tc>
          <w:tcPr>
            <w:tcW w:w="1545" w:type="dxa"/>
            <w:vAlign w:val="center"/>
            <w:textDirection w:val="lrTb"/>
            <w:noWrap w:val="false"/>
          </w:tcPr>
          <w:p>
            <w:pPr>
              <w:ind w:left="0" w:right="0" w:firstLine="0"/>
              <w:jc w:val="center"/>
              <w:rPr>
                <w:rFonts w:hint="eastAsia" w:ascii="宋体" w:hAnsi="宋体" w:eastAsia="宋体" w:cs="宋体"/>
                <w:b/>
                <w:bCs/>
                <w:color w:val="auto"/>
                <w:sz w:val="24"/>
                <w:szCs w:val="24"/>
                <w:shd w:val="clear" w:color="auto" w:fill="ffffff"/>
              </w:rPr>
            </w:pPr>
            <w:r/>
            <w:bookmarkStart w:id="201" w:name="OLE_LINK110"/>
            <w:r>
              <w:rPr>
                <w:rFonts w:hint="eastAsia" w:ascii="宋体" w:hAnsi="宋体" w:eastAsia="宋体" w:cs="宋体"/>
                <w:b/>
                <w:bCs/>
                <w:color w:val="auto"/>
                <w:sz w:val="24"/>
                <w:szCs w:val="24"/>
                <w:shd w:val="clear" w:color="auto" w:fill="ffffff"/>
              </w:rPr>
              <w:t xml:space="preserve">服务</w:t>
            </w:r>
            <w:bookmarkEnd w:id="201"/>
            <w:r/>
            <w:r/>
          </w:p>
        </w:tc>
        <w:tc>
          <w:tcPr>
            <w:tcW w:w="6045" w:type="dxa"/>
            <w:vAlign w:val="center"/>
            <w:textDirection w:val="lrTb"/>
            <w:noWrap w:val="false"/>
          </w:tcPr>
          <w:p>
            <w:pPr>
              <w:ind w:left="0" w:right="0" w:firstLine="0"/>
              <w:jc w:val="left"/>
              <w:rPr>
                <w:rFonts w:hint="default" w:ascii="宋体" w:hAnsi="宋体" w:eastAsia="宋体" w:cs="宋体"/>
                <w:b/>
                <w:bCs/>
                <w:color w:val="auto"/>
                <w:sz w:val="24"/>
                <w:szCs w:val="24"/>
                <w:u w:val="single"/>
                <w:lang w:val="en-US" w:eastAsia="zh-CN"/>
              </w:rPr>
            </w:pPr>
            <w:r/>
            <w:bookmarkStart w:id="202" w:name="OLE_LINK111"/>
            <w:r>
              <w:rPr>
                <w:rFonts w:hint="eastAsia" w:ascii="宋体" w:hAnsi="宋体" w:eastAsia="宋体" w:cs="宋体"/>
                <w:b/>
                <w:bCs/>
                <w:color w:val="auto"/>
                <w:sz w:val="24"/>
                <w:szCs w:val="24"/>
                <w:u w:val="single"/>
                <w:lang w:val="en-US" w:eastAsia="zh-CN"/>
              </w:rPr>
              <w:t xml:space="preserve">需提供</w:t>
            </w:r>
            <w:r>
              <w:rPr>
                <w:rFonts w:hint="eastAsia" w:ascii="宋体" w:hAnsi="宋体" w:eastAsia="宋体" w:cs="宋体"/>
                <w:b/>
                <w:bCs/>
                <w:color w:val="auto"/>
                <w:sz w:val="24"/>
                <w:szCs w:val="24"/>
                <w:u w:val="single"/>
              </w:rPr>
              <w:t xml:space="preserve">产品原厂提供的远程诊断与优化服务</w:t>
            </w:r>
            <w:bookmarkEnd w:id="202"/>
            <w:r>
              <w:rPr>
                <w:rFonts w:hint="eastAsia" w:ascii="宋体" w:hAnsi="宋体" w:eastAsia="宋体" w:cs="宋体"/>
                <w:b/>
                <w:bCs/>
                <w:color w:val="auto"/>
                <w:sz w:val="24"/>
                <w:szCs w:val="24"/>
                <w:u w:val="single"/>
                <w:lang w:val="en-US" w:eastAsia="zh-CN"/>
              </w:rPr>
              <w:t xml:space="preserve">的承诺函（格式自拟）</w:t>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545" w:type="dxa"/>
            <w:vAlign w:val="center"/>
            <w:textDirection w:val="lrTb"/>
            <w:noWrap w:val="false"/>
          </w:tcPr>
          <w:p>
            <w:pPr>
              <w:ind w:left="0" w:right="0" w:firstLine="0"/>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集成能力</w:t>
            </w:r>
            <w:r/>
          </w:p>
        </w:tc>
        <w:tc>
          <w:tcPr>
            <w:tcW w:w="604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产品中内置日常运维工具能力，至少包括:SSH客户端工具、SQL客户端工具、SCP客户端工具</w:t>
            </w:r>
            <w:r/>
          </w:p>
        </w:tc>
      </w:tr>
      <w:tr>
        <w:trPr>
          <w:trHeight w:val="0"/>
        </w:trPr>
        <w:tc>
          <w:tcPr>
            <w:tcW w:w="1095" w:type="dxa"/>
            <w:vAlign w:val="center"/>
            <w:textDirection w:val="lrTb"/>
            <w:noWrap w:val="false"/>
          </w:tcPr>
          <w:p>
            <w:pPr>
              <w:ind w:left="0" w:right="0" w:firstLine="0"/>
              <w:jc w:val="center"/>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 xml:space="preserve">10</w:t>
            </w:r>
            <w:r/>
          </w:p>
        </w:tc>
        <w:tc>
          <w:tcPr>
            <w:tcW w:w="1545" w:type="dxa"/>
            <w:vAlign w:val="center"/>
            <w:textDirection w:val="lrTb"/>
            <w:noWrap w:val="false"/>
          </w:tcPr>
          <w:p>
            <w:pPr>
              <w:ind w:left="0" w:right="0" w:firstLine="0"/>
              <w:jc w:val="center"/>
              <w:rPr>
                <w:rFonts w:hint="eastAsia" w:ascii="宋体" w:hAnsi="宋体" w:eastAsia="宋体" w:cs="宋体"/>
                <w:b/>
                <w:bCs/>
                <w:color w:val="auto"/>
                <w:sz w:val="24"/>
                <w:szCs w:val="24"/>
                <w:highlight w:val="none"/>
                <w:u w:val="none"/>
                <w:shd w:val="clear" w:color="auto" w:fill="ffffff"/>
              </w:rPr>
            </w:pPr>
            <w:r/>
            <w:bookmarkStart w:id="203" w:name="OLE_LINK112"/>
            <w:r>
              <w:rPr>
                <w:rFonts w:hint="eastAsia" w:ascii="宋体" w:hAnsi="宋体" w:eastAsia="宋体" w:cs="宋体"/>
                <w:b/>
                <w:bCs/>
                <w:color w:val="auto"/>
                <w:sz w:val="24"/>
                <w:szCs w:val="24"/>
                <w:highlight w:val="none"/>
                <w:u w:val="none"/>
                <w:shd w:val="clear" w:color="auto" w:fill="ffffff"/>
              </w:rPr>
              <w:t xml:space="preserve">功能演示</w:t>
            </w:r>
            <w:bookmarkEnd w:id="203"/>
            <w:r/>
            <w:r/>
          </w:p>
        </w:tc>
        <w:tc>
          <w:tcPr>
            <w:tcW w:w="6045" w:type="dxa"/>
            <w:vAlign w:val="center"/>
            <w:textDirection w:val="lrTb"/>
            <w:noWrap w:val="false"/>
          </w:tcPr>
          <w:p>
            <w:pPr>
              <w:ind w:left="0" w:right="0" w:firstLine="0"/>
              <w:jc w:val="left"/>
              <w:rPr>
                <w:rFonts w:hint="eastAsia" w:ascii="宋体" w:hAnsi="宋体" w:eastAsia="宋体" w:cs="宋体"/>
                <w:b/>
                <w:bCs/>
                <w:color w:val="auto"/>
                <w:sz w:val="24"/>
                <w:szCs w:val="24"/>
                <w:highlight w:val="none"/>
                <w:u w:val="single"/>
              </w:rPr>
            </w:pPr>
            <w:r/>
            <w:bookmarkStart w:id="204" w:name="OLE_LINK113"/>
            <w:r/>
            <w:bookmarkStart w:id="205" w:name="OLE_LINK114"/>
            <w:r>
              <w:rPr>
                <w:rFonts w:hint="eastAsia" w:ascii="宋体" w:hAnsi="宋体" w:eastAsia="宋体" w:cs="宋体"/>
                <w:b/>
                <w:bCs/>
                <w:color w:val="auto"/>
                <w:sz w:val="24"/>
                <w:szCs w:val="24"/>
                <w:highlight w:val="none"/>
                <w:u w:val="single"/>
              </w:rPr>
              <w:t xml:space="preserve">供应商采用视频演示方式，展示数据库诊断与优化平台的以下功能：</w:t>
            </w:r>
            <w:r/>
          </w:p>
          <w:p>
            <w:pPr>
              <w:ind w:left="0" w:right="0" w:firstLine="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1.演示系统自动分析出低效的SQL，并生成相应的优化建议脚本；</w:t>
            </w:r>
            <w:r/>
          </w:p>
          <w:p>
            <w:pPr>
              <w:ind w:left="0" w:right="0" w:firstLine="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2.演示针对执行计划的自动分析功能，能够自动标注出执行计划中存在问题的路径；</w:t>
            </w:r>
            <w:r/>
          </w:p>
          <w:p>
            <w:pPr>
              <w:ind w:left="0" w:right="0" w:firstLine="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3.演示一键诊断与性能优功能，并输出相应的诊断分析报告；</w:t>
            </w:r>
            <w:r/>
          </w:p>
          <w:p>
            <w:pPr>
              <w:ind w:left="0" w:right="0" w:firstLine="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4.演示针对低效的SQL，生成优化改写建议</w:t>
            </w:r>
            <w:r/>
          </w:p>
          <w:p>
            <w:pPr>
              <w:ind w:left="0" w:right="0" w:firstLine="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5.演示对目标数据库进行SQL审计的功能，能够审计出系统中不规范或低效的SQL</w:t>
            </w:r>
            <w:r/>
          </w:p>
          <w:p>
            <w:pPr>
              <w:ind w:left="0" w:right="0" w:firstLine="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演示总时长不超过10分钟。</w:t>
            </w:r>
            <w:bookmarkEnd w:id="204"/>
            <w:r/>
            <w:bookmarkEnd w:id="205"/>
            <w:r/>
            <w:r/>
          </w:p>
          <w:p>
            <w:pPr>
              <w:ind w:left="0" w:right="0" w:firstLine="0"/>
              <w:jc w:val="left"/>
              <w:rPr>
                <w:rFonts w:hint="default" w:ascii="宋体" w:hAnsi="宋体" w:eastAsia="宋体" w:cs="宋体"/>
                <w:b/>
                <w:bCs/>
                <w:color w:val="auto"/>
                <w:sz w:val="24"/>
                <w:szCs w:val="24"/>
                <w:highlight w:val="none"/>
                <w:u w:val="single"/>
                <w:lang w:val="en-US" w:eastAsia="zh-CN"/>
              </w:rPr>
            </w:pPr>
            <w:r>
              <w:rPr>
                <w:rFonts w:hint="eastAsia" w:ascii="宋体" w:hAnsi="宋体" w:cs="宋体"/>
                <w:b/>
                <w:bCs/>
                <w:color w:val="auto"/>
                <w:sz w:val="24"/>
                <w:szCs w:val="24"/>
                <w:highlight w:val="yellow"/>
                <w:u w:val="single"/>
                <w:lang w:val="en-US" w:eastAsia="zh-CN"/>
              </w:rPr>
              <w:t xml:space="preserve">注：投标时未演示此项内容作为无效标处理</w:t>
            </w:r>
            <w:r/>
          </w:p>
        </w:tc>
      </w:tr>
    </w:tbl>
    <w:p>
      <w:pPr>
        <w:pStyle w:val="813"/>
        <w:ind w:firstLine="482"/>
        <w:jc w:val="left"/>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1.6 </w:t>
      </w:r>
      <w:r>
        <w:rPr>
          <w:rFonts w:hint="eastAsia" w:ascii="宋体" w:hAnsi="宋体" w:eastAsia="宋体" w:cs="宋体"/>
          <w:b/>
          <w:bCs/>
          <w:color w:val="auto"/>
          <w:sz w:val="24"/>
          <w:szCs w:val="24"/>
        </w:rPr>
        <w:t xml:space="preserve">网络运维服务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1、负责所有提供核心设备、汇聚设备、负载均衡设备等网络设备和软件的故障诊断、维修、备件更换，并提供设备配置、升级建议;</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2、负责所有核心网络设备设备和软件的升级、补丁安装、系统部署等技术服务；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3、定期检查所有核心网络设备上的系统，包括设备的系统的配置与版本进行原厂更新，保障整个系统更加安全、稳定。</w:t>
      </w:r>
      <w:r/>
    </w:p>
    <w:p>
      <w:pPr>
        <w:pStyle w:val="814"/>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1.6.1 </w:t>
      </w:r>
      <w:r>
        <w:rPr>
          <w:rFonts w:hint="eastAsia" w:ascii="宋体" w:hAnsi="宋体" w:eastAsia="宋体" w:cs="宋体"/>
          <w:b/>
          <w:bCs/>
          <w:color w:val="auto"/>
          <w:sz w:val="24"/>
          <w:szCs w:val="24"/>
        </w:rPr>
        <w:t xml:space="preserve">网络运维工具要求</w:t>
      </w:r>
      <w:r/>
    </w:p>
    <w:tbl>
      <w:tblPr>
        <w:tblStyle w:val="825"/>
        <w:tblW w:w="8505" w:type="dxa"/>
        <w:tblInd w:w="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1785"/>
        <w:gridCol w:w="5610"/>
      </w:tblGrid>
      <w:tr>
        <w:trPr>
          <w:trHeight w:val="0"/>
          <w:tblHeader/>
        </w:trPr>
        <w:tc>
          <w:tcPr>
            <w:tcW w:w="1110"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785"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w:t>
            </w:r>
            <w:r/>
          </w:p>
        </w:tc>
        <w:tc>
          <w:tcPr>
            <w:tcW w:w="5610"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招标要求</w:t>
            </w:r>
            <w:r/>
          </w:p>
        </w:tc>
      </w:tr>
      <w:tr>
        <w:trPr>
          <w:trHeight w:val="0"/>
        </w:trPr>
        <w:tc>
          <w:tcPr>
            <w:tcW w:w="1110"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78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技术架构</w:t>
            </w:r>
            <w:r/>
          </w:p>
        </w:tc>
        <w:tc>
          <w:tcPr>
            <w:tcW w:w="561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无需在被监控目标上安装 Agent，无需开启SNMP管理协议，即可实现网络设备运维管理。</w:t>
            </w:r>
            <w:r/>
          </w:p>
        </w:tc>
      </w:tr>
      <w:tr>
        <w:trPr>
          <w:trHeight w:val="0"/>
        </w:trPr>
        <w:tc>
          <w:tcPr>
            <w:tcW w:w="1110"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78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监控目标类型</w:t>
            </w:r>
            <w:r/>
          </w:p>
        </w:tc>
        <w:tc>
          <w:tcPr>
            <w:tcW w:w="561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支持主流的H3C、华为交换机，不限制交换机型号。</w:t>
            </w:r>
            <w:r/>
          </w:p>
        </w:tc>
      </w:tr>
      <w:tr>
        <w:trPr>
          <w:trHeight w:val="0"/>
        </w:trPr>
        <w:tc>
          <w:tcPr>
            <w:tcW w:w="1110"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78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协议支持</w:t>
            </w:r>
            <w:r/>
          </w:p>
        </w:tc>
        <w:tc>
          <w:tcPr>
            <w:tcW w:w="561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至少支持以下协议对目标进行监控：SSH、Telnet等协议</w:t>
            </w:r>
            <w:r/>
          </w:p>
        </w:tc>
      </w:tr>
      <w:tr>
        <w:trPr>
          <w:trHeight w:val="0"/>
        </w:trPr>
        <w:tc>
          <w:tcPr>
            <w:tcW w:w="1110" w:type="dxa"/>
            <w:vAlign w:val="center"/>
            <w:textDirection w:val="lrTb"/>
            <w:noWrap w:val="false"/>
          </w:tcPr>
          <w:p>
            <w:pPr>
              <w:ind w:left="0" w:right="0" w:firstLine="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 xml:space="preserve">4</w:t>
            </w:r>
            <w:r/>
          </w:p>
        </w:tc>
        <w:tc>
          <w:tcPr>
            <w:tcW w:w="1785" w:type="dxa"/>
            <w:vAlign w:val="center"/>
            <w:textDirection w:val="lrTb"/>
            <w:noWrap w:val="false"/>
          </w:tcPr>
          <w:p>
            <w:pPr>
              <w:ind w:left="0" w:right="0" w:firstLine="0"/>
              <w:jc w:val="left"/>
              <w:rPr>
                <w:rFonts w:hint="eastAsia" w:ascii="宋体" w:hAnsi="宋体" w:eastAsia="宋体" w:cs="宋体"/>
                <w:b/>
                <w:bCs/>
                <w:color w:val="auto"/>
                <w:sz w:val="24"/>
                <w:szCs w:val="24"/>
                <w:u w:val="none"/>
                <w:shd w:val="clear" w:color="auto" w:fill="ffffff"/>
              </w:rPr>
            </w:pPr>
            <w:r>
              <w:rPr>
                <w:rFonts w:hint="eastAsia" w:ascii="宋体" w:hAnsi="宋体" w:eastAsia="宋体" w:cs="宋体"/>
                <w:b/>
                <w:bCs/>
                <w:color w:val="auto"/>
                <w:sz w:val="24"/>
                <w:szCs w:val="24"/>
                <w:u w:val="none"/>
                <w:shd w:val="clear" w:color="auto" w:fill="ffffff"/>
              </w:rPr>
              <w:t xml:space="preserve">服务和授权</w:t>
            </w:r>
            <w:r/>
          </w:p>
        </w:tc>
        <w:tc>
          <w:tcPr>
            <w:tcW w:w="5610" w:type="dxa"/>
            <w:vAlign w:val="center"/>
            <w:textDirection w:val="lrTb"/>
            <w:noWrap w:val="false"/>
          </w:tcPr>
          <w:p>
            <w:pPr>
              <w:ind w:left="0" w:right="0" w:firstLine="0"/>
              <w:jc w:val="left"/>
              <w:rPr>
                <w:rFonts w:hint="default" w:ascii="宋体" w:hAnsi="宋体" w:eastAsia="宋体" w:cs="宋体"/>
                <w:b/>
                <w:bCs/>
                <w:color w:val="auto"/>
                <w:sz w:val="24"/>
                <w:szCs w:val="24"/>
                <w:u w:val="single"/>
                <w:lang w:val="en-US" w:eastAsia="zh-CN"/>
              </w:rPr>
            </w:pPr>
            <w:r>
              <w:rPr>
                <w:rFonts w:hint="eastAsia" w:ascii="宋体" w:hAnsi="宋体" w:eastAsia="宋体" w:cs="宋体"/>
                <w:b/>
                <w:bCs/>
                <w:color w:val="auto"/>
                <w:sz w:val="24"/>
                <w:szCs w:val="24"/>
                <w:u w:val="single"/>
                <w:lang w:val="en-US" w:eastAsia="zh-CN"/>
              </w:rPr>
              <w:t xml:space="preserve">需提供</w:t>
            </w:r>
            <w:r>
              <w:rPr>
                <w:rFonts w:hint="eastAsia" w:ascii="宋体" w:hAnsi="宋体" w:eastAsia="宋体" w:cs="宋体"/>
                <w:b/>
                <w:bCs/>
                <w:color w:val="auto"/>
                <w:sz w:val="24"/>
                <w:szCs w:val="24"/>
                <w:u w:val="single"/>
              </w:rPr>
              <w:t xml:space="preserve">产品原厂提供的技术支持服务3年</w:t>
            </w:r>
            <w:r>
              <w:rPr>
                <w:rFonts w:hint="eastAsia" w:ascii="宋体" w:hAnsi="宋体" w:eastAsia="宋体" w:cs="宋体"/>
                <w:b/>
                <w:bCs/>
                <w:color w:val="auto"/>
                <w:sz w:val="24"/>
                <w:szCs w:val="24"/>
                <w:u w:val="single"/>
                <w:lang w:val="en-US" w:eastAsia="zh-CN"/>
              </w:rPr>
              <w:t xml:space="preserve">的承诺函（格式自拟）</w:t>
            </w:r>
            <w:r/>
          </w:p>
          <w:p>
            <w:pPr>
              <w:ind w:left="0" w:right="0" w:firstLine="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支持不少于1000个主机管理的授权；</w:t>
            </w:r>
            <w:r/>
          </w:p>
        </w:tc>
      </w:tr>
      <w:tr>
        <w:trPr>
          <w:trHeight w:val="0"/>
        </w:trPr>
        <w:tc>
          <w:tcPr>
            <w:tcW w:w="1110"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785" w:type="dxa"/>
            <w:vAlign w:val="center"/>
            <w:textDirection w:val="lrTb"/>
            <w:noWrap w:val="false"/>
          </w:tcPr>
          <w:p>
            <w:pPr>
              <w:ind w:left="0" w:right="0" w:firstLine="0"/>
              <w:jc w:val="lef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实时探测</w:t>
            </w:r>
            <w:r/>
          </w:p>
        </w:tc>
        <w:tc>
          <w:tcPr>
            <w:tcW w:w="561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实现同步采集网络内终端的IP地址与MAC地址，建立二者精准映射关系；</w:t>
            </w:r>
            <w:r/>
          </w:p>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基于采集数据自动生成结构化 Excel 表格，清晰呈现IP-MAC 对应清单。</w:t>
            </w:r>
            <w:r/>
          </w:p>
        </w:tc>
      </w:tr>
      <w:tr>
        <w:trPr>
          <w:trHeight w:val="0"/>
        </w:trPr>
        <w:tc>
          <w:tcPr>
            <w:tcW w:w="1110" w:type="dxa"/>
            <w:vAlign w:val="center"/>
            <w:textDirection w:val="lrTb"/>
            <w:noWrap w:val="false"/>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785" w:type="dxa"/>
            <w:vAlign w:val="center"/>
            <w:textDirection w:val="lrTb"/>
            <w:noWrap w:val="false"/>
          </w:tcPr>
          <w:p>
            <w:pPr>
              <w:ind w:left="0" w:right="0" w:firstLine="0"/>
              <w:jc w:val="lef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一键巡检</w:t>
            </w:r>
            <w:r/>
          </w:p>
        </w:tc>
        <w:tc>
          <w:tcPr>
            <w:tcW w:w="561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支持一键触发网络巡检功能，可自动探测交换机硬件健康状态（含 CPU 使用率、内存占用率、风扇运行状态等核心指标），并生成标准化巡检报表；</w:t>
            </w:r>
            <w:r/>
          </w:p>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同步采集并呈现终端 IP 地址与交换机接入接口的绑定关系，以及网络内各节点对应的网关设备信息，实现网络设备状态、终端接入路径与网关配置的可视化呈现。</w:t>
            </w:r>
            <w:r/>
          </w:p>
        </w:tc>
      </w:tr>
    </w:tbl>
    <w:p>
      <w:pPr>
        <w:pStyle w:val="835"/>
        <w:ind w:firstLine="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3"/>
        <w:ind w:firstLine="482"/>
        <w:jc w:val="both"/>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1.7 </w:t>
      </w:r>
      <w:r>
        <w:rPr>
          <w:rFonts w:hint="eastAsia" w:ascii="宋体" w:hAnsi="宋体" w:eastAsia="宋体" w:cs="宋体"/>
          <w:b/>
          <w:bCs/>
          <w:color w:val="auto"/>
          <w:sz w:val="24"/>
          <w:szCs w:val="24"/>
        </w:rPr>
        <w:t xml:space="preserve">虚拟化运维服务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现有虚拟化平台分为两套系统，一套是原VMware体系的50台左右虚拟化服务器，另一套是华为体系的虚拟化平台，目前两套虚拟化平台共同承担我院所有重要业务运行，供应商需对我院虚拟化平台提供切实可行的运维服务，保障业务稳定运行。</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定期巡检执行：每周开展 1 次基础巡检，内容包括虚拟主机健康状态（CPU / 内存 / 存储使用率、硬件告警）、管理平台运行状态、虚拟机资源分配合理性；每月开展 1 次深度巡检，增加网络配置校验（如 VLAN、端口组）、存储兼容性检查、备份策略有效性验证，并输出《虚拟化平台运维巡检报告》。</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配置变更规范：所有虚拟化环境配置变更（如添加虚拟主机、调整虚拟机资源、修改网络策略）都需要申请，允许后方可进行变更，变更前需备份相关配置文件（如 管理平台数据库、虚拟主机配置），变更后需进行 24 小时稳定性观察，确保无异常影响。</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资源监控预警：部署专业监控工具，对 CPU 使用率、内存利用率、存储 IOPS 等关键指标设置阈值预警（如 CPU 持续 80% 以上 30 分钟触发预警），预警信息需实时推送至运维团队，避免资源过载导致服务中断。</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故障诊断流程：接到故障反馈后，需先通过远程工具收集日志（虚拟主机日志、管理平台日志、虚拟机事件日志），结合故障现象定位根因，避免盲目操作；每次故障需出具故障处理报告，必须包含日志分析及处理意见。</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数据恢复保障：需建立虚拟化环境定期备份机制，虚拟机采用 “增量备份 + 每周全量备份” 策略，管理平台配置文件每日备份，备份数据需异地存储（如备份至云存储或本地备用机房）；故障导致数据丢失时，需确保虚拟机数据恢复时间不超过 4 小时，关键业务虚拟机恢复时间不超过 1 小时。</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漏洞修复要求：及时关注虚拟化官方安全公告，对虚拟主机、管理平台存在的高危漏洞（如远程代码执行漏洞、权限提升漏洞），需在漏洞发布后 15 个工作日内完成补丁更新；补丁更新前需在测试环境验证兼容性，避免影响生产环境稳定。</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性能优化服务：每半年对虚拟化环境进行 1 次性能评估，结合业务负载变化（如高峰期虚拟机资源占用情况），优化资源分配（如调整虚拟机 CPU / 内存配额、优化存储 IO 调度）；对存在性能瓶颈的组件（如虚拟主机内存不足、存储阵列 IO 延迟过高），提供针对性优化方案并协助实施。</w:t>
      </w:r>
      <w:r/>
    </w:p>
    <w:p>
      <w:pPr>
        <w:pStyle w:val="814"/>
        <w:ind w:left="0"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1.7.1 </w:t>
      </w:r>
      <w:r>
        <w:rPr>
          <w:rFonts w:hint="eastAsia" w:ascii="宋体" w:hAnsi="宋体" w:eastAsia="宋体" w:cs="宋体"/>
          <w:b/>
          <w:bCs/>
          <w:color w:val="auto"/>
          <w:sz w:val="24"/>
          <w:szCs w:val="24"/>
        </w:rPr>
        <w:t xml:space="preserve">虚拟化运维工具要求</w:t>
      </w:r>
      <w:r/>
    </w:p>
    <w:tbl>
      <w:tblPr>
        <w:tblStyle w:val="816"/>
        <w:tblW w:w="843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215"/>
        <w:gridCol w:w="5970"/>
      </w:tblGrid>
      <w:tr>
        <w:trPr>
          <w:trHeight w:val="0"/>
          <w:tblHeader/>
        </w:trPr>
        <w:tc>
          <w:tcPr>
            <w:tcW w:w="1245"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215"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w:t>
            </w:r>
            <w:r/>
          </w:p>
        </w:tc>
        <w:tc>
          <w:tcPr>
            <w:tcW w:w="5970" w:type="dxa"/>
            <w:vAlign w:val="center"/>
            <w:textDirection w:val="lrTb"/>
            <w:noWrap w:val="false"/>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招标要求</w:t>
            </w:r>
            <w:r/>
          </w:p>
        </w:tc>
      </w:tr>
      <w:tr>
        <w:trPr>
          <w:trHeight w:val="0"/>
        </w:trPr>
        <w:tc>
          <w:tcPr>
            <w:tcW w:w="1245"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1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架构</w:t>
            </w:r>
            <w:r/>
          </w:p>
        </w:tc>
        <w:tc>
          <w:tcPr>
            <w:tcW w:w="597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适用于虚拟化架构的运维管理。监控虚拟机、主机、数据存储和集群的性能，深入分析正在影响各对象运行状况的因素。</w:t>
            </w:r>
            <w:r/>
          </w:p>
        </w:tc>
      </w:tr>
      <w:tr>
        <w:trPr>
          <w:trHeight w:val="0"/>
        </w:trPr>
        <w:tc>
          <w:tcPr>
            <w:tcW w:w="1245" w:type="dxa"/>
            <w:vAlign w:val="center"/>
            <w:textDirection w:val="lrTb"/>
            <w:noWrap/>
          </w:tcPr>
          <w:p>
            <w:pPr>
              <w:ind w:left="0" w:right="0" w:firstLine="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w:t>
            </w:r>
            <w:r/>
          </w:p>
        </w:tc>
        <w:tc>
          <w:tcPr>
            <w:tcW w:w="1215" w:type="dxa"/>
            <w:vAlign w:val="center"/>
            <w:textDirection w:val="lrTb"/>
            <w:noWrap w:val="false"/>
          </w:tcPr>
          <w:p>
            <w:pPr>
              <w:ind w:left="0" w:right="0" w:firstLine="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仪表板</w:t>
            </w:r>
            <w:r/>
          </w:p>
        </w:tc>
        <w:tc>
          <w:tcPr>
            <w:tcW w:w="5970" w:type="dxa"/>
            <w:vAlign w:val="center"/>
            <w:textDirection w:val="lrTb"/>
            <w:noWrap w:val="false"/>
          </w:tcPr>
          <w:p>
            <w:pPr>
              <w:ind w:left="0" w:right="0" w:firstLine="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以直观的图形方式（如仪表盘、面板等等）展示系统架构的运行状态和健康状况。应对于主要的环境资源，包括CPU，内存，网络以及存储I/O等，进行使用情况汇总。优化资源与负载分配，提高基础架构的利用率。对关键指标进行分析，配合不同的颜色标示，清晰的展现系统性能状态。</w:t>
            </w:r>
            <w:r/>
          </w:p>
          <w:p>
            <w:pPr>
              <w:ind w:left="0" w:right="0" w:firstLine="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u w:val="single"/>
              </w:rPr>
              <w:t xml:space="preserve">（</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提供软件界面截图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245"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21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溯源要求</w:t>
            </w:r>
            <w:r/>
          </w:p>
        </w:tc>
        <w:tc>
          <w:tcPr>
            <w:tcW w:w="597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对性能和运行状况的下降进行溯源，快速发现异常、故障和可能影响基础架构性能和运行状况的过重工作负载。</w:t>
            </w:r>
            <w:r/>
          </w:p>
        </w:tc>
      </w:tr>
      <w:tr>
        <w:trPr>
          <w:trHeight w:val="0"/>
        </w:trPr>
        <w:tc>
          <w:tcPr>
            <w:tcW w:w="1245"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21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风险监控</w:t>
            </w:r>
            <w:r/>
          </w:p>
        </w:tc>
        <w:tc>
          <w:tcPr>
            <w:tcW w:w="597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风险状况。可显示监控中的环境是否存在性能风险,风险表示对象过去一段时间超过效能临界值的时间占总时间多少比例。</w:t>
            </w:r>
            <w:r/>
          </w:p>
        </w:tc>
      </w:tr>
      <w:tr>
        <w:trPr>
          <w:trHeight w:val="0"/>
        </w:trPr>
        <w:tc>
          <w:tcPr>
            <w:tcW w:w="1245"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21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效率监控</w:t>
            </w:r>
            <w:r/>
          </w:p>
        </w:tc>
        <w:tc>
          <w:tcPr>
            <w:tcW w:w="597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效率状况。可显示实时效能图标,可指出目前系统效能状况是否符合服务水平(SLAs)。</w:t>
            </w:r>
            <w:r/>
          </w:p>
        </w:tc>
      </w:tr>
      <w:tr>
        <w:trPr>
          <w:trHeight w:val="0"/>
        </w:trPr>
        <w:tc>
          <w:tcPr>
            <w:tcW w:w="1245" w:type="dxa"/>
            <w:vAlign w:val="center"/>
            <w:textDirection w:val="lrTb"/>
            <w:noWrap/>
          </w:tcPr>
          <w:p>
            <w:pPr>
              <w:ind w:left="0" w:right="0" w:firstLine="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w:t>
            </w:r>
            <w:r/>
          </w:p>
        </w:tc>
        <w:tc>
          <w:tcPr>
            <w:tcW w:w="1215" w:type="dxa"/>
            <w:vAlign w:val="center"/>
            <w:textDirection w:val="lrTb"/>
            <w:noWrap w:val="false"/>
          </w:tcPr>
          <w:p>
            <w:pPr>
              <w:ind w:left="0" w:right="0" w:firstLine="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资源回收</w:t>
            </w:r>
            <w:r/>
          </w:p>
        </w:tc>
        <w:tc>
          <w:tcPr>
            <w:tcW w:w="5970" w:type="dxa"/>
            <w:vAlign w:val="center"/>
            <w:textDirection w:val="lrTb"/>
            <w:noWrap w:val="false"/>
          </w:tcPr>
          <w:p>
            <w:pPr>
              <w:ind w:left="0" w:right="0" w:firstLine="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显示闲置、关机和资源分配过剩的虚拟机比例，综合统计可回收的总容量百分比。简单易用，与虚拟化管理中心紧密集成，自动从虚拟化管理中心收集数据，并以友好的界面显现需要引起管理员注意的问题。</w:t>
            </w:r>
            <w:r/>
          </w:p>
          <w:p>
            <w:pPr>
              <w:ind w:left="0" w:right="0" w:firstLine="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u w:val="single"/>
              </w:rPr>
              <w:t xml:space="preserve">（</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提供软件界面截图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r>
        <w:trPr>
          <w:trHeight w:val="0"/>
        </w:trPr>
        <w:tc>
          <w:tcPr>
            <w:tcW w:w="1245"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21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w:t>
            </w:r>
            <w:r/>
          </w:p>
        </w:tc>
        <w:tc>
          <w:tcPr>
            <w:tcW w:w="597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可统一管理多个虚拟化管理中心管控的资源对象。</w:t>
            </w:r>
            <w:r/>
          </w:p>
        </w:tc>
      </w:tr>
      <w:tr>
        <w:trPr>
          <w:trHeight w:val="0"/>
        </w:trPr>
        <w:tc>
          <w:tcPr>
            <w:tcW w:w="1245"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21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架构</w:t>
            </w:r>
            <w:r/>
          </w:p>
        </w:tc>
        <w:tc>
          <w:tcPr>
            <w:tcW w:w="597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提供一个开放式的可延展平台，可扩展第三方数据源，从中获取相关数据，如使用来自第三方存储、网络和应用监视工具的数据源实现扩展功能。 </w:t>
            </w:r>
            <w:r/>
          </w:p>
        </w:tc>
      </w:tr>
      <w:tr>
        <w:trPr>
          <w:trHeight w:val="0"/>
        </w:trPr>
        <w:tc>
          <w:tcPr>
            <w:tcW w:w="1245"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21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报表</w:t>
            </w:r>
            <w:r/>
          </w:p>
        </w:tc>
        <w:tc>
          <w:tcPr>
            <w:tcW w:w="597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可自动判断监控中的环境运作是否有效率,是否有任何虚拟机的配置(CPU/Memory/Disk)是过度配置造成浪费或过少配置而可能导致效能问题,监控主机可自动生成这些报表。</w:t>
            </w:r>
            <w:r/>
          </w:p>
        </w:tc>
      </w:tr>
      <w:tr>
        <w:trPr>
          <w:trHeight w:val="0"/>
        </w:trPr>
        <w:tc>
          <w:tcPr>
            <w:tcW w:w="1245"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215"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趋势分析</w:t>
            </w:r>
            <w:r/>
          </w:p>
        </w:tc>
        <w:tc>
          <w:tcPr>
            <w:tcW w:w="5970" w:type="dxa"/>
            <w:vAlign w:val="center"/>
            <w:textDirection w:val="lrTb"/>
            <w:noWrap w:val="false"/>
          </w:tcPr>
          <w:p>
            <w:pPr>
              <w:ind w:left="0" w:right="0" w:firstLine="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趋势分析。能够直观的展示容量未来趋势走向。通过性能趋势、前瞻性预测和扩展预测可以清楚了解目前及未来的资源需求和使用情况，从而实现明智的容量管理和规划。</w:t>
            </w:r>
            <w:r/>
          </w:p>
        </w:tc>
      </w:tr>
      <w:tr>
        <w:trPr>
          <w:trHeight w:val="0"/>
        </w:trPr>
        <w:tc>
          <w:tcPr>
            <w:tcW w:w="1245" w:type="dxa"/>
            <w:vAlign w:val="center"/>
            <w:textDirection w:val="lrTb"/>
            <w:noWrap/>
          </w:tcPr>
          <w:p>
            <w:pPr>
              <w:ind w:left="0" w:right="0" w:firstLine="0"/>
              <w:jc w:val="center"/>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 xml:space="preserve">11</w:t>
            </w:r>
            <w:r/>
          </w:p>
        </w:tc>
        <w:tc>
          <w:tcPr>
            <w:tcW w:w="1215" w:type="dxa"/>
            <w:vAlign w:val="center"/>
            <w:textDirection w:val="lrTb"/>
            <w:noWrap w:val="false"/>
          </w:tcPr>
          <w:p>
            <w:pPr>
              <w:ind w:left="0" w:right="0" w:firstLine="0"/>
              <w:jc w:val="left"/>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rPr>
              <w:t xml:space="preserve">监控内容</w:t>
            </w:r>
            <w:r/>
          </w:p>
        </w:tc>
        <w:tc>
          <w:tcPr>
            <w:tcW w:w="5970" w:type="dxa"/>
            <w:vAlign w:val="center"/>
            <w:textDirection w:val="lrTb"/>
            <w:noWrap w:val="false"/>
          </w:tcPr>
          <w:p>
            <w:pPr>
              <w:ind w:left="0" w:right="0" w:firstLine="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统一管理存储资源的所有配置和监控。可监控IOPS、带宽、时延和容量。可监控CPU利用率、内存占用率、内存超用、存储卷的读写延迟等等。提供完整的日志分析工具，至少记录90天历史数据以供分析和预测。</w:t>
            </w:r>
            <w:r/>
          </w:p>
          <w:p>
            <w:pPr>
              <w:ind w:left="0" w:right="0" w:firstLine="0"/>
              <w:jc w:val="left"/>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w:t>
            </w:r>
            <w:r>
              <w:rPr>
                <w:rFonts w:hint="eastAsia" w:ascii="宋体" w:hAnsi="宋体" w:cs="宋体"/>
                <w:b/>
                <w:bCs/>
                <w:color w:val="auto"/>
                <w:sz w:val="24"/>
                <w:szCs w:val="24"/>
                <w:u w:val="single"/>
                <w:lang w:val="en-US" w:eastAsia="zh-CN"/>
              </w:rPr>
              <w:t xml:space="preserve">投标时需</w:t>
            </w:r>
            <w:r>
              <w:rPr>
                <w:rFonts w:hint="eastAsia" w:ascii="宋体" w:hAnsi="宋体" w:eastAsia="宋体" w:cs="宋体"/>
                <w:b/>
                <w:bCs/>
                <w:color w:val="auto"/>
                <w:sz w:val="24"/>
                <w:szCs w:val="24"/>
                <w:u w:val="single"/>
              </w:rPr>
              <w:t xml:space="preserve">提供软件界面截图</w:t>
            </w:r>
            <w:r>
              <w:rPr>
                <w:rFonts w:hint="eastAsia" w:ascii="宋体" w:hAnsi="宋体" w:cs="宋体"/>
                <w:b/>
                <w:bCs/>
                <w:color w:val="auto"/>
                <w:sz w:val="24"/>
                <w:szCs w:val="24"/>
                <w:u w:val="single"/>
                <w:lang w:val="en-US" w:eastAsia="zh-CN"/>
              </w:rPr>
              <w:t xml:space="preserve">扫描件</w:t>
            </w:r>
            <w:r>
              <w:rPr>
                <w:rFonts w:hint="eastAsia" w:ascii="宋体" w:hAnsi="宋体" w:eastAsia="宋体" w:cs="宋体"/>
                <w:b/>
                <w:bCs/>
                <w:color w:val="auto"/>
                <w:sz w:val="24"/>
                <w:szCs w:val="24"/>
                <w:u w:val="single"/>
              </w:rPr>
              <w:t xml:space="preserve">）</w:t>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3"/>
        <w:ind w:firstLine="482"/>
        <w:jc w:val="both"/>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1.8 </w:t>
      </w:r>
      <w:r>
        <w:rPr>
          <w:rFonts w:hint="eastAsia" w:ascii="宋体" w:hAnsi="宋体" w:eastAsia="宋体" w:cs="宋体"/>
          <w:b/>
          <w:bCs/>
          <w:color w:val="auto"/>
          <w:sz w:val="24"/>
          <w:szCs w:val="24"/>
        </w:rPr>
        <w:t xml:space="preserve">安全设备运维服务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1、负责所有IPS、IDS、防火墙/数据库审计、日志审计、WAF等安全设备和软件的故障诊断、维修、备件更换，并提供设备配置、升级建议;</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2、负责所有安全设备和软件的升级、补丁安装、系统部署等技术服务；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3、定期检查所有安全设备上的系统，包括设备的系统的配置（病毒库）与版本进行原厂更新，保证整个系统更加安全、稳定。</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3"/>
        <w:ind w:firstLine="482"/>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1.9 容灾和备份服务要求</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为保障我院业务系统的连续性、数据安全性和灾难恢复能力，</w:t>
      </w:r>
      <w:r>
        <w:rPr>
          <w:rFonts w:hint="eastAsia" w:ascii="宋体" w:hAnsi="宋体" w:cs="宋体"/>
          <w:color w:val="auto"/>
          <w:sz w:val="24"/>
          <w:szCs w:val="24"/>
          <w:lang w:eastAsia="zh-CN"/>
        </w:rPr>
        <w:t xml:space="preserve">运维</w:t>
      </w:r>
      <w:r>
        <w:rPr>
          <w:rFonts w:hint="eastAsia" w:ascii="宋体" w:hAnsi="宋体" w:eastAsia="宋体" w:cs="宋体"/>
          <w:color w:val="auto"/>
          <w:sz w:val="24"/>
          <w:szCs w:val="24"/>
        </w:rPr>
        <w:t xml:space="preserve">服务商须对现有容灾与备份体系提供全面、专业、及时的技术支持与运</w:t>
      </w:r>
      <w:r>
        <w:rPr>
          <w:rFonts w:hint="eastAsia" w:ascii="宋体" w:hAnsi="宋体" w:cs="宋体"/>
          <w:color w:val="auto"/>
          <w:sz w:val="24"/>
          <w:szCs w:val="24"/>
          <w:lang w:eastAsia="zh-CN"/>
        </w:rPr>
        <w:t xml:space="preserve">运维</w:t>
      </w:r>
      <w:r>
        <w:rPr>
          <w:rFonts w:hint="eastAsia" w:ascii="宋体" w:hAnsi="宋体" w:eastAsia="宋体" w:cs="宋体"/>
          <w:color w:val="auto"/>
          <w:sz w:val="24"/>
          <w:szCs w:val="24"/>
        </w:rPr>
        <w:t xml:space="preserve">障。具体要求如下：</w:t>
      </w:r>
      <w:r/>
    </w:p>
    <w:p>
      <w:pPr>
        <w:pStyle w:val="833"/>
        <w:numPr>
          <w:ilvl w:val="0"/>
          <w:numId w:val="0"/>
        </w:numPr>
        <w:ind w:left="860" w:hanging="4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rPr>
        <w:t xml:space="preserve">系统兼容性与配置维护</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确保现有备份软件与医院现有虚拟化平台、操作系统及数据库环境持续兼容，并根据官方建议及时更新补丁或版本。</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对数据库备份一体机的软硬件状态进行定期巡检，包括存储健康度、网络连通性、备份任务执行状态等，确保其与现有备份系统协同工作稳定高效。</w:t>
      </w:r>
      <w:r/>
    </w:p>
    <w:p>
      <w:pPr>
        <w:pStyle w:val="833"/>
        <w:numPr>
          <w:ilvl w:val="0"/>
          <w:numId w:val="0"/>
        </w:numPr>
        <w:ind w:left="860" w:hanging="4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rPr>
        <w:t xml:space="preserve">备份作业监控与故障响应</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 7×24 小时备份作业运行状态监控，对备份失败、延迟、容量预警等异常情况在 30 分钟内主动告警并启动应急处理流程。</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备份任务失败后，</w:t>
      </w:r>
      <w:r>
        <w:rPr>
          <w:rFonts w:hint="eastAsia" w:ascii="宋体" w:hAnsi="宋体" w:cs="宋体"/>
          <w:color w:val="auto"/>
          <w:sz w:val="24"/>
          <w:szCs w:val="24"/>
          <w:lang w:eastAsia="zh-CN"/>
        </w:rPr>
        <w:t xml:space="preserve">运维</w:t>
      </w:r>
      <w:r>
        <w:rPr>
          <w:rFonts w:hint="eastAsia" w:ascii="宋体" w:hAnsi="宋体" w:eastAsia="宋体" w:cs="宋体"/>
          <w:color w:val="auto"/>
          <w:sz w:val="24"/>
          <w:szCs w:val="24"/>
        </w:rPr>
        <w:t xml:space="preserve">服务商须在 2 小时内响应，4 小时内定位原因并恢复备份功能；若涉及数据恢复，须在业务部门提出请求后 1 小时内启动恢复操作，并按 RTO/RPO 要求完成。</w:t>
      </w:r>
      <w:r/>
    </w:p>
    <w:p>
      <w:pPr>
        <w:pStyle w:val="833"/>
        <w:numPr>
          <w:ilvl w:val="0"/>
          <w:numId w:val="0"/>
        </w:numPr>
        <w:ind w:left="860" w:hanging="4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rPr>
        <w:t xml:space="preserve">数据恢复验证与演练支持</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每季度协助医院开展一次备份数据可恢复性验证测试（如虚拟机即时恢复、文件级还原、数据库一致性校验等），并出具验证报告。</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每年至少完成4次全院级容灾演练，验证备份软件与数据库备份一体机在模拟灾难场景下的切换与恢复能力，确保满足医院《信息系统灾难恢复预案》要求。</w:t>
      </w:r>
      <w:r/>
    </w:p>
    <w:p>
      <w:pPr>
        <w:pStyle w:val="833"/>
        <w:numPr>
          <w:ilvl w:val="0"/>
          <w:numId w:val="0"/>
        </w:numPr>
        <w:ind w:left="860" w:hanging="4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rPr>
        <w:t xml:space="preserve">容量规划与性能优化</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根据医院业务增长趋势，每半年提供一次备份存储容量与性能评估报告，提出扩容或优化建议，避免因存储空间不足导致备份中断。</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针对关键业务系统（如HIS、LIS、PACS等），优化备份策略（如增量备份频率、压缩/去重设置、保留周期等），在保障数据安全前提下提升备份效率。</w:t>
      </w:r>
      <w:r/>
    </w:p>
    <w:p>
      <w:pPr>
        <w:pStyle w:val="833"/>
        <w:numPr>
          <w:ilvl w:val="0"/>
          <w:numId w:val="0"/>
        </w:numPr>
        <w:ind w:left="860" w:hanging="4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rPr>
        <w:t xml:space="preserve">技术支持与知识转移</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提供原厂级别或经认证工程师的技术支持，熟悉备份软件与数据库备份一体机产品架构与排错流程。</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每年至少组织两次面向医院信息科人员的技术培训，内容涵盖日常运维、故障排查、应急恢复操作等，提升院方自主运维能力。</w:t>
      </w:r>
      <w:r/>
    </w:p>
    <w:p>
      <w:pPr>
        <w:pStyle w:val="814"/>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1.9.1</w:t>
      </w:r>
      <w:r>
        <w:rPr>
          <w:rFonts w:hint="eastAsia" w:ascii="宋体" w:hAnsi="宋体" w:eastAsia="宋体" w:cs="宋体"/>
          <w:b/>
          <w:bCs/>
          <w:color w:val="auto"/>
          <w:sz w:val="24"/>
          <w:szCs w:val="24"/>
        </w:rPr>
        <w:t xml:space="preserve">容灾和备份运维服务要求</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为提高我院整体容灾备份能力，供应商需提供虚拟化平台的容灾软件，该软件能力要求如下</w:t>
      </w:r>
      <w:r/>
    </w:p>
    <w:tbl>
      <w:tblPr>
        <w:tblStyle w:val="816"/>
        <w:tblW w:w="8640" w:type="dxa"/>
        <w:tblInd w:w="-77" w:type="dxa"/>
        <w:tblLayout w:type="autofit"/>
        <w:tblCellMar>
          <w:left w:w="108" w:type="dxa"/>
          <w:top w:w="0" w:type="dxa"/>
          <w:right w:w="108" w:type="dxa"/>
          <w:bottom w:w="0" w:type="dxa"/>
        </w:tblCellMar>
        <w:tblLook w:val="04A0" w:firstRow="1" w:lastRow="0" w:firstColumn="1" w:lastColumn="0" w:noHBand="0" w:noVBand="1"/>
      </w:tblPr>
      <w:tblGrid>
        <w:gridCol w:w="1185"/>
        <w:gridCol w:w="1710"/>
        <w:gridCol w:w="5745"/>
      </w:tblGrid>
      <w:tr>
        <w:trPr>
          <w:trHeight w:val="0"/>
          <w:tblHead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710" w:type="dxa"/>
            <w:vAlign w:val="center"/>
            <w:textDirection w:val="lrTb"/>
            <w:noWrap w:val="false"/>
          </w:tcPr>
          <w:p>
            <w:pPr>
              <w:ind w:left="0" w:right="0" w:firstLine="0"/>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w:t>
            </w:r>
            <w:r/>
          </w:p>
        </w:tc>
        <w:tc>
          <w:tcPr>
            <w:tcBorders>
              <w:top w:val="single" w:color="auto"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招标要求</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none" w:color="000000" w:sz="4" w:space="0"/>
              <w:left w:val="single" w:color="auto" w:sz="4" w:space="0"/>
              <w:bottom w:val="single" w:color="auto" w:sz="4" w:space="0"/>
              <w:right w:val="single" w:color="auto" w:sz="4" w:space="0"/>
            </w:tcBorders>
            <w:tcW w:w="1710"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兼容性要求</w:t>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兼容现有的虚拟化平台</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single" w:color="auto" w:sz="4" w:space="0"/>
              <w:bottom w:val="single" w:color="auto"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支持直接从虚拟化管理控制中心，创建灾难恢复计划，并管理和监控灾难恢复计划的执行。</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none" w:color="000000" w:sz="4" w:space="0"/>
              <w:left w:val="single" w:color="auto" w:sz="4" w:space="0"/>
              <w:bottom w:val="single" w:color="auto"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支持自动发现和显示受保护的虚拟机</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none" w:color="000000" w:sz="4" w:space="0"/>
              <w:left w:val="single" w:color="auto" w:sz="4" w:space="0"/>
              <w:bottom w:val="single" w:color="000000" w:sz="4" w:space="0"/>
              <w:right w:val="single" w:color="auto" w:sz="4" w:space="0"/>
            </w:tcBorders>
            <w:tcW w:w="1710"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自动故障切换、回切</w:t>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支持在虚拟化管理工具中，通过一键点击即可发起恢复计划的执行</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none" w:color="000000" w:sz="4" w:space="0"/>
              <w:left w:val="single" w:color="auto" w:sz="4" w:space="0"/>
              <w:bottom w:val="single" w:color="000000"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支持按照原始灾难恢复计划，自动切回到原始生产站点</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none" w:color="000000" w:sz="4" w:space="0"/>
              <w:left w:val="single" w:color="auto" w:sz="4" w:space="0"/>
              <w:bottom w:val="single" w:color="000000"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通过自动反向复制到原始站点来重新保护虚拟机</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none" w:color="000000" w:sz="4" w:space="0"/>
              <w:left w:val="single" w:color="auto" w:sz="4" w:space="0"/>
              <w:bottom w:val="single" w:color="000000"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在测试场景，支持在隔离的网络演练虚拟机的恢复，在测试时不影响实际的生产应用</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none" w:color="000000" w:sz="4" w:space="0"/>
              <w:left w:val="single" w:color="auto" w:sz="4" w:space="0"/>
              <w:bottom w:val="single" w:color="000000"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支持测试完成后的测试环境自动清理</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none" w:color="000000" w:sz="4" w:space="0"/>
              <w:left w:val="single" w:color="auto" w:sz="4" w:space="0"/>
              <w:bottom w:val="single" w:color="000000"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可存储、查看和导出测试结果和故障切换执行结果</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none" w:color="000000" w:sz="4" w:space="0"/>
              <w:left w:val="single" w:color="auto" w:sz="4" w:space="0"/>
              <w:bottom w:val="single" w:color="000000"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支持在受保护站点和恢复站点断开连接时进行测试恢复操作</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none" w:color="000000" w:sz="4" w:space="0"/>
              <w:left w:val="single" w:color="auto" w:sz="4" w:space="0"/>
              <w:bottom w:val="single" w:color="auto" w:sz="4" w:space="0"/>
              <w:right w:val="single" w:color="auto" w:sz="4" w:space="0"/>
            </w:tcBorders>
            <w:tcW w:w="1710"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计划内迁移</w:t>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使用计划内迁移工作流确保数据零损失和应用一致性迁移</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Borders>
              <w:top w:val="none" w:color="000000" w:sz="4" w:space="0"/>
              <w:left w:val="single" w:color="auto" w:sz="4" w:space="0"/>
              <w:bottom w:val="single" w:color="auto"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可实现计划内的双向迁移，以简化站点间的迁移过程</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Borders>
              <w:top w:val="none" w:color="000000" w:sz="4" w:space="0"/>
              <w:left w:val="single" w:color="auto" w:sz="4" w:space="0"/>
              <w:bottom w:val="single" w:color="auto" w:sz="4" w:space="0"/>
              <w:right w:val="single" w:color="auto" w:sz="4" w:space="0"/>
            </w:tcBorders>
            <w:tcW w:w="1710" w:type="dxa"/>
            <w:vAlign w:val="center"/>
            <w:vMerge w:val="restart"/>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复制技术</w:t>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支持针对虚拟化平台的，基于虚拟化层的复制技术</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Borders>
              <w:top w:val="none" w:color="000000" w:sz="4" w:space="0"/>
              <w:left w:val="single" w:color="auto" w:sz="4" w:space="0"/>
              <w:bottom w:val="single" w:color="auto"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支持通过虚拟化管理中心，以虚拟机级别为粒度管理复制</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none" w:color="000000" w:sz="4" w:space="0"/>
              <w:left w:val="single" w:color="auto" w:sz="4" w:space="0"/>
              <w:bottom w:val="single" w:color="auto" w:sz="4" w:space="0"/>
              <w:right w:val="single" w:color="auto" w:sz="4" w:space="0"/>
            </w:tcBorders>
            <w:tcW w:w="1710" w:type="dxa"/>
            <w:vAlign w:val="center"/>
            <w:vMerge w:val="continue"/>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使用与存储无关的复制技术，支持低端存储，包括直连存储</w:t>
            </w:r>
            <w:r/>
          </w:p>
        </w:tc>
      </w:tr>
      <w:tr>
        <w:trPr>
          <w:trHeight w:val="0"/>
        </w:trPr>
        <w:tc>
          <w:tcPr>
            <w:shd w:val="clear" w:color="000000" w:fill="ffffff"/>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Borders>
              <w:top w:val="none" w:color="000000" w:sz="4" w:space="0"/>
              <w:left w:val="none" w:color="000000" w:sz="4" w:space="0"/>
              <w:bottom w:val="single" w:color="auto" w:sz="4" w:space="0"/>
              <w:right w:val="single" w:color="auto" w:sz="4" w:space="0"/>
            </w:tcBorders>
            <w:tcW w:w="1710"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服务及其它要求</w:t>
            </w:r>
            <w:r/>
          </w:p>
        </w:tc>
        <w:tc>
          <w:tcPr>
            <w:tcBorders>
              <w:top w:val="none" w:color="000000" w:sz="4" w:space="0"/>
              <w:left w:val="none" w:color="000000" w:sz="4" w:space="0"/>
              <w:bottom w:val="single" w:color="auto" w:sz="4" w:space="0"/>
              <w:right w:val="single" w:color="auto" w:sz="4" w:space="0"/>
            </w:tcBorders>
            <w:tcW w:w="574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供应商提供与</w:t>
            </w:r>
            <w:r>
              <w:rPr>
                <w:rFonts w:hint="eastAsia" w:ascii="宋体" w:hAnsi="宋体" w:cs="宋体"/>
                <w:color w:val="auto"/>
                <w:sz w:val="24"/>
                <w:szCs w:val="24"/>
                <w:lang w:eastAsia="zh-CN"/>
              </w:rPr>
              <w:t xml:space="preserve">运维</w:t>
            </w:r>
            <w:r>
              <w:rPr>
                <w:rFonts w:hint="eastAsia" w:ascii="宋体" w:hAnsi="宋体" w:eastAsia="宋体" w:cs="宋体"/>
                <w:color w:val="auto"/>
                <w:sz w:val="24"/>
                <w:szCs w:val="24"/>
              </w:rPr>
              <w:t xml:space="preserve">合同同样的技术支持服务</w:t>
            </w:r>
            <w:r/>
          </w:p>
        </w:tc>
      </w:tr>
    </w:tbl>
    <w:p>
      <w:pPr>
        <w:pStyle w:val="814"/>
        <w:ind w:firstLine="598"/>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1.9.2 </w:t>
      </w:r>
      <w:r>
        <w:rPr>
          <w:rFonts w:hint="eastAsia" w:ascii="宋体" w:hAnsi="宋体" w:eastAsia="宋体" w:cs="宋体"/>
          <w:b/>
          <w:bCs/>
          <w:color w:val="auto"/>
          <w:sz w:val="24"/>
          <w:szCs w:val="24"/>
        </w:rPr>
        <w:t xml:space="preserve">负载均衡技术服务要求</w:t>
      </w:r>
      <w:r/>
    </w:p>
    <w:p>
      <w:pPr>
        <w:pStyle w:val="833"/>
        <w:ind w:firstLine="420"/>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为提升医院核心业务系统的高可用性与访问性能，本次项目供应商需提供一套高性能、支持冗余部署的负载均衡，需兼容现有网络架构和虚拟化平台，支持SSL卸载、健康检查及应用层流量调度功能。</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816"/>
        <w:tblW w:w="8400" w:type="dxa"/>
        <w:tblInd w:w="4" w:type="dxa"/>
        <w:tblLayout w:type="fixed"/>
        <w:tblCellMar>
          <w:left w:w="108" w:type="dxa"/>
          <w:top w:w="0" w:type="dxa"/>
          <w:right w:w="108" w:type="dxa"/>
          <w:bottom w:w="0" w:type="dxa"/>
        </w:tblCellMar>
        <w:tblLook w:val="04A0" w:firstRow="1" w:lastRow="0" w:firstColumn="1" w:lastColumn="0" w:noHBand="0" w:noVBand="1"/>
      </w:tblPr>
      <w:tblGrid>
        <w:gridCol w:w="1185"/>
        <w:gridCol w:w="1500"/>
        <w:gridCol w:w="5715"/>
      </w:tblGrid>
      <w:tr>
        <w:trPr>
          <w:trHeight w:val="0"/>
          <w:tblHead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ind w:left="0" w:right="0" w:firstLine="0"/>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w:t>
            </w:r>
            <w:r/>
          </w:p>
        </w:tc>
        <w:tc>
          <w:tcPr>
            <w:tcBorders>
              <w:top w:val="single" w:color="auto" w:sz="4" w:space="0"/>
              <w:left w:val="none" w:color="000000" w:sz="4" w:space="0"/>
              <w:bottom w:val="single" w:color="auto" w:sz="4" w:space="0"/>
              <w:right w:val="single" w:color="auto" w:sz="4" w:space="0"/>
            </w:tcBorders>
            <w:tcW w:w="5715" w:type="dxa"/>
            <w:vAlign w:val="center"/>
            <w:textDirection w:val="lrTb"/>
            <w:noWrap/>
          </w:tcPr>
          <w:p>
            <w:pPr>
              <w:ind w:left="0" w:right="0" w:firstLine="0"/>
              <w:jc w:val="center"/>
              <w:widowControl/>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招标要求</w:t>
            </w:r>
            <w:r>
              <w:rPr>
                <w:rFonts w:hint="eastAsia" w:ascii="宋体" w:hAnsi="宋体" w:eastAsia="宋体" w:cs="宋体"/>
                <w:b/>
                <w:color w:val="auto"/>
                <w:sz w:val="24"/>
                <w:szCs w:val="24"/>
                <w:lang w:val="en-US" w:eastAsia="zh-CN"/>
              </w:rPr>
              <w:t xml:space="preserve">  </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 xml:space="preserve">基本功能</w:t>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支持与现有的虚拟化平台对接。</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支持OWSAP CRS保护</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支持应用性能监控功能，可以实时监控和记录，并能重现网络事件。</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支持根据实时网络流量自动化扩缩应用和负载均衡。</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支持从分布式服务代理到Web应用，应用颗粒度的实时安全防护和可视。</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支持分布式负载均衡的实时应用分析。</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 xml:space="preserve">负载均衡功能要求</w:t>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提供三层和四层的网络防火墙功能</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提供基于HTTP的7层防火墙功能</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支持基于4层和7层的DDOS攻击的安全防护</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支持基于支持智能WAF（iWAF）功能：</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支持Http安全，可以根据客户端IP、Url中的包含路径、标头、Cookie等方式进行匹配，可设定匹配的访问路径禁止或者允许访问。</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 xml:space="preserve">负载均衡高级功能要求</w:t>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支持基于http、https、四层端口、dns、7层应用的负载均衡功能</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负载均衡可以支持active/standby、active/active、active/active N+M等多种模式</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负载均衡支持单臂和双臂部署模式</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支持以下连接保持方式：Client Ip address、App Cookie、HTTP Header</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Borders>
              <w:top w:val="none" w:color="000000" w:sz="4" w:space="0"/>
              <w:left w:val="single" w:color="auto" w:sz="4" w:space="0"/>
              <w:bottom w:val="single" w:color="auto" w:sz="4" w:space="0"/>
              <w:right w:val="single" w:color="auto" w:sz="4" w:space="0"/>
            </w:tcBorders>
            <w:tcW w:w="1500" w:type="dxa"/>
            <w:vAlign w:val="center"/>
            <w:vMerge w:val="restart"/>
            <w:textDirection w:val="lrTb"/>
            <w:noWrap/>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val="0"/>
                <w:bCs w:val="0"/>
                <w:color w:val="auto"/>
                <w:sz w:val="24"/>
                <w:szCs w:val="24"/>
              </w:rPr>
              <w:t xml:space="preserve">应用智能运维</w:t>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支持端到端应用高级分析功能。</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可以提供端到端的时延信息，包括：客户端到负载均衡、负载均衡到后台服务器、后台应用时延、数据传输时延等</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支持内嵌的性能、终端用户行为、安全事件等分析功能，并在同一图形化界面中展示。</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可以显示WAF每秒的命中情况，Group、Rule、Tag、Client Ip和相关Path的信息</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可以显示客户端访问的以下信息：客户端IP地址、位置、设备类型、操作系统类型、浏览器类型、启动时间等相关信息</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支持图形化界面中点击式的简单策略部署。</w:t>
            </w:r>
            <w:r/>
          </w:p>
        </w:tc>
      </w:tr>
      <w:tr>
        <w:trPr>
          <w:trHeight w:val="0"/>
        </w:trPr>
        <w:tc>
          <w:tcPr>
            <w:tcBorders>
              <w:top w:val="none" w:color="000000" w:sz="4" w:space="0"/>
              <w:left w:val="single" w:color="auto" w:sz="4" w:space="0"/>
              <w:bottom w:val="single" w:color="auto" w:sz="4" w:space="0"/>
              <w:right w:val="single" w:color="auto" w:sz="4" w:space="0"/>
            </w:tcBorders>
            <w:tcW w:w="1185" w:type="dxa"/>
            <w:vAlign w:val="center"/>
            <w:textDirection w:val="lrTb"/>
            <w:noWrap/>
          </w:tcPr>
          <w:p>
            <w:pPr>
              <w:ind w:left="0" w:right="0" w:firstLine="0"/>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p>
        </w:tc>
        <w:tc>
          <w:tcPr>
            <w:tcBorders>
              <w:top w:val="none" w:color="000000" w:sz="4" w:space="0"/>
              <w:left w:val="single" w:color="auto" w:sz="4" w:space="0"/>
              <w:bottom w:val="single" w:color="auto" w:sz="4" w:space="0"/>
              <w:right w:val="single" w:color="auto" w:sz="4" w:space="0"/>
            </w:tcBorders>
            <w:tcW w:w="1500" w:type="dxa"/>
            <w:vAlign w:val="center"/>
            <w:vMerge w:val="continue"/>
            <w:textDirection w:val="lrTb"/>
            <w:noWrap w:val="false"/>
          </w:tcPr>
          <w:p>
            <w:pPr>
              <w:ind w:left="0" w:right="0" w:firstLine="0"/>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none" w:color="000000" w:sz="4" w:space="0"/>
              <w:left w:val="none" w:color="000000" w:sz="4" w:space="0"/>
              <w:bottom w:val="single" w:color="auto" w:sz="4" w:space="0"/>
              <w:right w:val="single" w:color="auto" w:sz="4" w:space="0"/>
            </w:tcBorders>
            <w:tcW w:w="5715" w:type="dxa"/>
            <w:vAlign w:val="center"/>
            <w:textDirection w:val="lrTb"/>
            <w:noWrap w:val="false"/>
          </w:tcPr>
          <w:p>
            <w:pPr>
              <w:ind w:left="0" w:right="0" w:firstLine="0"/>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支持对数据流进行细颗粒度跟踪，对精确策略进行规则匹配。</w:t>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3"/>
        <w:ind w:firstLine="482"/>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1.10 </w:t>
      </w:r>
      <w:r>
        <w:rPr>
          <w:rFonts w:hint="eastAsia" w:ascii="宋体" w:hAnsi="宋体" w:eastAsia="宋体" w:cs="宋体"/>
          <w:b/>
          <w:bCs/>
          <w:color w:val="auto"/>
          <w:sz w:val="24"/>
          <w:szCs w:val="24"/>
        </w:rPr>
        <w:t xml:space="preserve">机房环境运维服务</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1.10.1 </w:t>
      </w:r>
      <w:r>
        <w:rPr>
          <w:rFonts w:hint="eastAsia" w:ascii="宋体" w:hAnsi="宋体" w:eastAsia="宋体" w:cs="宋体"/>
          <w:color w:val="auto"/>
          <w:sz w:val="24"/>
          <w:szCs w:val="24"/>
        </w:rPr>
        <w:t xml:space="preserve">硬件设备的运维</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（1）温湿度传感器的校准和更换：温湿度传感器是机房环境监测的核心设备，需定期进行校准，确保数据准确可靠。如发现传感器损坏或故障，应及时向厂家申报故障并协助更换。</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（2）UPS（不间断电源系统）的运维：UPS是保障机房电力供应的关键设备，需定期检查电池状态、设备运行状态和输出电压稳定性。同时，UPS设备应定期进行负载测试，确保其正常工作。</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1.10.2 </w:t>
      </w:r>
      <w:r>
        <w:rPr>
          <w:rFonts w:hint="eastAsia" w:ascii="宋体" w:hAnsi="宋体" w:eastAsia="宋体" w:cs="宋体"/>
          <w:color w:val="auto"/>
          <w:sz w:val="24"/>
          <w:szCs w:val="24"/>
        </w:rPr>
        <w:t xml:space="preserve">软件系统的运维</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（1）数据采集与存储：监控系统需要定期采集机房温湿度、电压、电流等数据，并将其存储在数据库中。运维人员需定期检查数据采集是否正常，并确保数据库的稳定运行。</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（2）数据分析与报警：监控系统需要对采集到的数据进行分析，根据设定的阈值进行报警。运维人员应定期检查报警设置是否合理，并对报警规则进行优化。</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（3）系统升级与优化：根据厂家提供的升级包，及时对监控系统进行升级，确保系统功能的完善和性能的优化。</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1.10.3 </w:t>
      </w:r>
      <w:r>
        <w:rPr>
          <w:rFonts w:hint="eastAsia" w:ascii="宋体" w:hAnsi="宋体" w:eastAsia="宋体" w:cs="宋体"/>
          <w:color w:val="auto"/>
          <w:sz w:val="24"/>
          <w:szCs w:val="24"/>
        </w:rPr>
        <w:t xml:space="preserve">运维管理的运维</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（1）监控设备巡检：定期巡检监控设备，检查设备运行状态、网络连接情况等。如发现异常，及时进行故障排查和修复。</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（2）安全防护措施：监控系统涉及到机房的安全，运维人员需确保系统的安全性，包括设定合理的权限、加强对外部攻击的防护等。</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（3）定期维护：对机房设备连线图、资产清单、机柜图等定期更新和梳理，并对这些设备进行定期的灰尘清理工作，保证机房干净整洁。</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（4）报表和日志管理：运维人员应定期生成系统运行报表和日志，对系统的运行情况进行分析和总结，及时发现问题并解决。</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（5）培训和知识更新：监控系统技术不断更新，运维人员需定期参加培训，了解最新的技术和产品知识，以提高自身的运维能力。</w:t>
      </w:r>
      <w:r/>
    </w:p>
    <w:p>
      <w:pPr>
        <w:pStyle w:val="813"/>
        <w:ind w:firstLine="482"/>
        <w:jc w:val="both"/>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1.11 </w:t>
      </w:r>
      <w:r>
        <w:rPr>
          <w:rFonts w:hint="eastAsia" w:ascii="宋体" w:hAnsi="宋体" w:eastAsia="宋体" w:cs="宋体"/>
          <w:b/>
          <w:bCs/>
          <w:color w:val="auto"/>
          <w:sz w:val="24"/>
          <w:szCs w:val="24"/>
        </w:rPr>
        <w:t xml:space="preserve">服务人员</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1.11.1 </w:t>
      </w:r>
      <w:r>
        <w:rPr>
          <w:rFonts w:hint="eastAsia" w:ascii="宋体" w:hAnsi="宋体" w:eastAsia="宋体" w:cs="宋体"/>
          <w:color w:val="auto"/>
          <w:sz w:val="24"/>
          <w:szCs w:val="24"/>
        </w:rPr>
        <w:t xml:space="preserve">提供一名驻场运维服务人员，驻场人员必须同时具备华为或H3C最高级网络认证证书（HCIE同级别）、Linux中级认证以上证书、安全证书、虚拟化技术证书，且必须在医疗行业工作3年以上，提供6个月内员工社保缴存记录及工作记录证明。驻场人员需遵循我方单位工作时间值守，发生重大问题时，需在医院保障。上岗后提供驻场人员证书原件核查。</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1.11.2</w:t>
      </w:r>
      <w:r>
        <w:rPr>
          <w:rFonts w:hint="eastAsia" w:ascii="宋体" w:hAnsi="宋体" w:eastAsia="宋体" w:cs="宋体"/>
          <w:color w:val="auto"/>
          <w:sz w:val="24"/>
          <w:szCs w:val="24"/>
        </w:rPr>
        <w:t xml:space="preserve">根据本次运维服务项目包含内容，</w:t>
      </w:r>
      <w:r>
        <w:rPr>
          <w:rFonts w:hint="eastAsia" w:ascii="宋体" w:hAnsi="宋体" w:cs="宋体"/>
          <w:color w:val="auto"/>
          <w:sz w:val="24"/>
          <w:szCs w:val="24"/>
          <w:lang w:eastAsia="zh-CN"/>
        </w:rPr>
        <w:t xml:space="preserve">运维</w:t>
      </w:r>
      <w:r>
        <w:rPr>
          <w:rFonts w:hint="eastAsia" w:ascii="宋体" w:hAnsi="宋体" w:eastAsia="宋体" w:cs="宋体"/>
          <w:color w:val="auto"/>
          <w:sz w:val="24"/>
          <w:szCs w:val="24"/>
        </w:rPr>
        <w:t xml:space="preserve">单位必须具备运维服务的人员能力，运维团队必须包含服务器和存储能力证书、数据库能力证书、虚拟化平台能力证书、网络安全能力证书等。</w:t>
      </w:r>
      <w:r/>
    </w:p>
    <w:p>
      <w:pPr>
        <w:pStyle w:val="833"/>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1.11.3配备的后端数据库工程师：具有数据库厂家的认证证书；</w:t>
      </w:r>
      <w:r/>
    </w:p>
    <w:p>
      <w:pPr>
        <w:pStyle w:val="833"/>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1.11.4配备的虚拟化工程师：具备虚拟化平台的中高级认证证书；</w:t>
      </w:r>
      <w:r/>
    </w:p>
    <w:p>
      <w:pPr>
        <w:pStyle w:val="833"/>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1.11.5配备的网络工程师具有云计算方向、存储方向或数据通信方向的网络中高级认证证书；</w:t>
      </w:r>
      <w:r/>
    </w:p>
    <w:p>
      <w:pPr>
        <w:pStyle w:val="813"/>
        <w:ind w:firstLine="482"/>
        <w:jc w:val="both"/>
        <w:rPr>
          <w:rFonts w:hint="eastAsia" w:ascii="宋体" w:hAnsi="宋体" w:eastAsia="宋体" w:cs="宋体"/>
          <w:bCs w:val="0"/>
          <w:color w:val="auto"/>
          <w:sz w:val="24"/>
          <w:szCs w:val="24"/>
        </w:rPr>
      </w:pPr>
      <w:r>
        <w:rPr>
          <w:rFonts w:hint="eastAsia" w:ascii="宋体" w:hAnsi="宋体" w:eastAsia="宋体" w:cs="宋体"/>
          <w:b/>
          <w:bCs/>
          <w:color w:val="auto"/>
          <w:sz w:val="24"/>
          <w:szCs w:val="24"/>
          <w:lang w:val="en-US" w:eastAsia="zh-CN"/>
        </w:rPr>
        <w:t xml:space="preserve">1.12 </w:t>
      </w:r>
      <w:r>
        <w:rPr>
          <w:rFonts w:hint="eastAsia" w:ascii="宋体" w:hAnsi="宋体" w:eastAsia="宋体" w:cs="宋体"/>
          <w:b/>
          <w:bCs/>
          <w:color w:val="auto"/>
          <w:sz w:val="24"/>
          <w:szCs w:val="24"/>
        </w:rPr>
        <w:t xml:space="preserve">具体运维设备清单</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4"/>
        <w:ind w:left="0" w:firstLine="482"/>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1.12.1 </w:t>
      </w:r>
      <w:r>
        <w:rPr>
          <w:rFonts w:hint="eastAsia" w:ascii="宋体" w:hAnsi="宋体" w:eastAsia="宋体" w:cs="宋体"/>
          <w:b/>
          <w:bCs/>
          <w:color w:val="auto"/>
          <w:sz w:val="24"/>
          <w:szCs w:val="24"/>
        </w:rPr>
        <w:t xml:space="preserve">数据库</w:t>
      </w:r>
      <w:r/>
    </w:p>
    <w:tbl>
      <w:tblPr>
        <w:tblStyle w:val="816"/>
        <w:tblW w:w="4443" w:type="pct"/>
        <w:tblInd w:w="299" w:type="dxa"/>
        <w:tblLayout w:type="autofit"/>
        <w:tblCellMar>
          <w:left w:w="108" w:type="dxa"/>
          <w:top w:w="0" w:type="dxa"/>
          <w:right w:w="108" w:type="dxa"/>
          <w:bottom w:w="0" w:type="dxa"/>
        </w:tblCellMar>
        <w:tblLook w:val="04A0" w:firstRow="1" w:lastRow="0" w:firstColumn="1" w:lastColumn="0" w:noHBand="0" w:noVBand="1"/>
      </w:tblPr>
      <w:tblGrid>
        <w:gridCol w:w="740"/>
        <w:gridCol w:w="2916"/>
        <w:gridCol w:w="1984"/>
        <w:gridCol w:w="954"/>
        <w:gridCol w:w="979"/>
      </w:tblGrid>
      <w:tr>
        <w:trPr>
          <w:trHeight w:val="336"/>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2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33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r>
      <w:tr>
        <w:trPr>
          <w:trHeight w:val="336"/>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2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天健HIS oracle 11g</w:t>
            </w:r>
            <w:r/>
          </w:p>
        </w:tc>
        <w:tc>
          <w:tcPr>
            <w:tcBorders>
              <w:top w:val="single" w:color="000000" w:sz="4" w:space="0"/>
              <w:left w:val="single" w:color="000000" w:sz="4" w:space="0"/>
              <w:bottom w:val="single" w:color="000000" w:sz="4" w:space="0"/>
              <w:right w:val="single" w:color="000000" w:sz="4" w:space="0"/>
            </w:tcBorders>
            <w:tcW w:w="133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Oracle</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2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创业HIS oracle rac 19C</w:t>
            </w:r>
            <w:r/>
          </w:p>
        </w:tc>
        <w:tc>
          <w:tcPr>
            <w:tcBorders>
              <w:top w:val="single" w:color="000000" w:sz="4" w:space="0"/>
              <w:left w:val="single" w:color="000000" w:sz="4" w:space="0"/>
              <w:bottom w:val="single" w:color="000000" w:sz="4" w:space="0"/>
              <w:right w:val="single" w:color="000000" w:sz="4" w:space="0"/>
            </w:tcBorders>
            <w:tcW w:w="133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Oracle</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2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LIS数据库</w:t>
            </w:r>
            <w:r/>
          </w:p>
        </w:tc>
        <w:tc>
          <w:tcPr>
            <w:tcBorders>
              <w:top w:val="single" w:color="000000" w:sz="4" w:space="0"/>
              <w:left w:val="single" w:color="000000" w:sz="4" w:space="0"/>
              <w:bottom w:val="single" w:color="000000" w:sz="4" w:space="0"/>
              <w:right w:val="single" w:color="000000" w:sz="4" w:space="0"/>
            </w:tcBorders>
            <w:tcW w:w="133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SQL</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82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集成平台数据库</w:t>
            </w:r>
            <w:r/>
          </w:p>
        </w:tc>
        <w:tc>
          <w:tcPr>
            <w:tcBorders>
              <w:top w:val="single" w:color="000000" w:sz="4" w:space="0"/>
              <w:left w:val="single" w:color="000000" w:sz="4" w:space="0"/>
              <w:bottom w:val="single" w:color="000000" w:sz="4" w:space="0"/>
              <w:right w:val="single" w:color="000000" w:sz="4" w:space="0"/>
            </w:tcBorders>
            <w:tcW w:w="133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Oracle</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82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PACS数据库</w:t>
            </w:r>
            <w:r/>
          </w:p>
        </w:tc>
        <w:tc>
          <w:tcPr>
            <w:tcBorders>
              <w:top w:val="single" w:color="000000" w:sz="4" w:space="0"/>
              <w:left w:val="single" w:color="000000" w:sz="4" w:space="0"/>
              <w:bottom w:val="single" w:color="000000" w:sz="4" w:space="0"/>
              <w:right w:val="single" w:color="000000" w:sz="4" w:space="0"/>
            </w:tcBorders>
            <w:tcW w:w="133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Oracle</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bl>
    <w:p>
      <w:pPr>
        <w:pStyle w:val="814"/>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4"/>
        <w:ind w:left="0"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1.12.2 </w:t>
      </w:r>
      <w:r>
        <w:rPr>
          <w:rFonts w:hint="eastAsia" w:ascii="宋体" w:hAnsi="宋体" w:eastAsia="宋体" w:cs="宋体"/>
          <w:b/>
          <w:bCs/>
          <w:color w:val="auto"/>
          <w:sz w:val="24"/>
          <w:szCs w:val="24"/>
        </w:rPr>
        <w:t xml:space="preserve">软件</w:t>
      </w:r>
      <w:r/>
    </w:p>
    <w:tbl>
      <w:tblPr>
        <w:tblStyle w:val="816"/>
        <w:tblW w:w="4845" w:type="pct"/>
        <w:tblInd w:w="326" w:type="dxa"/>
        <w:tblLayout w:type="fixed"/>
        <w:tblCellMar>
          <w:left w:w="108" w:type="dxa"/>
          <w:top w:w="0" w:type="dxa"/>
          <w:right w:w="108" w:type="dxa"/>
          <w:bottom w:w="0" w:type="dxa"/>
        </w:tblCellMar>
        <w:tblLook w:val="04A0" w:firstRow="1" w:lastRow="0" w:firstColumn="1" w:lastColumn="0" w:noHBand="0" w:noVBand="1"/>
      </w:tblPr>
      <w:tblGrid>
        <w:gridCol w:w="855"/>
        <w:gridCol w:w="3608"/>
        <w:gridCol w:w="1530"/>
        <w:gridCol w:w="1170"/>
        <w:gridCol w:w="1095"/>
      </w:tblGrid>
      <w:tr>
        <w:trPr>
          <w:trHeight w:val="336"/>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662" w:type="pct"/>
            <w:vAlign w:val="bottom"/>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r>
      <w:tr>
        <w:trPr>
          <w:trHeight w:val="336"/>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外网vSphere</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VMware</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内网vSphere</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VMware</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内网FusionSphere 虚拟化软件</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华为</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盈高杀毒系统</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盈高</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云主机深度安全防护系统</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亚信安全</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虚拟化备份软件</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Veeam</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数据库容灾备份软件</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DSG</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Ucenter监控软件</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bl>
    <w:p>
      <w:pPr>
        <w:pStyle w:val="814"/>
        <w:ind w:left="0"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pStyle w:val="814"/>
        <w:ind w:left="0" w:firstLine="482"/>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lang w:val="en-US" w:eastAsia="zh-CN"/>
        </w:rPr>
        <w:t xml:space="preserve">1.12.3 </w:t>
      </w:r>
      <w:r>
        <w:rPr>
          <w:rFonts w:hint="eastAsia" w:ascii="宋体" w:hAnsi="宋体" w:eastAsia="宋体" w:cs="宋体"/>
          <w:b/>
          <w:bCs/>
          <w:color w:val="auto"/>
          <w:sz w:val="24"/>
          <w:szCs w:val="24"/>
        </w:rPr>
        <w:t xml:space="preserve">服务器</w:t>
      </w:r>
      <w:r/>
    </w:p>
    <w:tbl>
      <w:tblPr>
        <w:tblStyle w:val="816"/>
        <w:tblW w:w="4855" w:type="pct"/>
        <w:tblInd w:w="339" w:type="dxa"/>
        <w:tblLayout w:type="fixed"/>
        <w:tblCellMar>
          <w:left w:w="108" w:type="dxa"/>
          <w:top w:w="0" w:type="dxa"/>
          <w:right w:w="108" w:type="dxa"/>
          <w:bottom w:w="0" w:type="dxa"/>
        </w:tblCellMar>
        <w:tblLook w:val="04A0" w:firstRow="1" w:lastRow="0" w:firstColumn="1" w:lastColumn="0" w:noHBand="0" w:noVBand="1"/>
      </w:tblPr>
      <w:tblGrid>
        <w:gridCol w:w="860"/>
        <w:gridCol w:w="3654"/>
        <w:gridCol w:w="1691"/>
        <w:gridCol w:w="945"/>
        <w:gridCol w:w="1125"/>
      </w:tblGrid>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679" w:type="pct"/>
            <w:vAlign w:val="bottom"/>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天健HIS数据库服务器 DELL EMC</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虚拟化服务器</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联想X3650 X6</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赛柯云胶片服务器 DELL R730</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电子发票虚拟化集群 HP 380 Gen10</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HP</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数字认证-手写信息数字签名系统</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北京CA</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数字认证-时间戳服务器</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北京CA</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数字认证-证书管理服务器</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北京CA</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数字认证-签名验证服务器</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北京CA</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信安世纪-电子发票-SRJ1915</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信安世纪</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鼎甲虚拟化备份一体机</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鼎甲</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集成平台虚拟化服务器R4900G3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集成平台HIS数据库服务器R6900G3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外网虚拟化集群 H3C R4900G3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内网虚拟化2288HV5</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容灾虚拟化服务器H3C R4900G3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新院区虚拟化集群H3C R4900G3</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开特数据库备份一体机</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备份一体机</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NTP服务器</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NTP时间服务器</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赛柯胶片打印服务器</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 R250</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城市驾驶卫健分仓-前置机</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FUSION 2288H V5</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肺科医院服务器</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 R250</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2207"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传染病前置机</w:t>
            </w:r>
            <w:r/>
          </w:p>
        </w:tc>
        <w:tc>
          <w:tcPr>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HuaKun TG225 B1</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bl>
    <w:p>
      <w:pPr>
        <w:pStyle w:val="814"/>
        <w:ind w:left="0" w:firstLine="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pStyle w:val="814"/>
        <w:ind w:left="0"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1.12.4 存储和光纤交换机</w:t>
      </w:r>
      <w:r/>
    </w:p>
    <w:tbl>
      <w:tblPr>
        <w:tblStyle w:val="816"/>
        <w:tblW w:w="4842" w:type="pct"/>
        <w:tblInd w:w="339" w:type="dxa"/>
        <w:tblLayout w:type="fixed"/>
        <w:tblCellMar>
          <w:left w:w="108" w:type="dxa"/>
          <w:top w:w="0" w:type="dxa"/>
          <w:right w:w="108" w:type="dxa"/>
          <w:bottom w:w="0" w:type="dxa"/>
        </w:tblCellMar>
        <w:tblLook w:val="04A0" w:firstRow="1" w:lastRow="0" w:firstColumn="1" w:lastColumn="0" w:noHBand="0" w:noVBand="1"/>
      </w:tblPr>
      <w:tblGrid>
        <w:gridCol w:w="845"/>
        <w:gridCol w:w="3811"/>
        <w:gridCol w:w="1513"/>
        <w:gridCol w:w="945"/>
        <w:gridCol w:w="1140"/>
      </w:tblGrid>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690" w:type="pct"/>
            <w:vAlign w:val="bottom"/>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PACS存储交换机 EMC DS 6505B</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影像存储 EMC ISILON</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天健HIS存储 EMC UNITY400</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虚拟化存储 EMC UNITY400</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华为存储交换机SN3664</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集成平台存储 OceanStor 5500V6 </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影像存储 OceanStor 9000V5</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内网虚拟化存储 OceanStor 5210 V5</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专用EMC存储交换机 DS 6505B</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DELL</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影像在线存储5310F V5</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trHeight w:val="336"/>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30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区域影像存储</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bl>
    <w:p>
      <w:pPr>
        <w:pStyle w:val="814"/>
        <w:ind w:left="0"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1.12.5网络设备</w:t>
      </w:r>
      <w:r/>
    </w:p>
    <w:tbl>
      <w:tblPr>
        <w:tblStyle w:val="816"/>
        <w:tblW w:w="8953" w:type="dxa"/>
        <w:jc w:val="center"/>
        <w:tblLayout w:type="fixed"/>
        <w:tblCellMar>
          <w:left w:w="108" w:type="dxa"/>
          <w:top w:w="0" w:type="dxa"/>
          <w:right w:w="108" w:type="dxa"/>
          <w:bottom w:w="0" w:type="dxa"/>
        </w:tblCellMar>
        <w:tblLook w:val="04A0" w:firstRow="1" w:lastRow="0" w:firstColumn="1" w:lastColumn="0" w:noHBand="0" w:noVBand="1"/>
      </w:tblPr>
      <w:tblGrid>
        <w:gridCol w:w="1046"/>
        <w:gridCol w:w="4458"/>
        <w:gridCol w:w="1554"/>
        <w:gridCol w:w="950"/>
        <w:gridCol w:w="945"/>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内网核心CloudEngine S12700E-8</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外网核心CloudEngine S12700E-8</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容灾核心CloudEngine S12700E-8</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内网超融合交换机H3C S6520</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外网超融合交换机H3C S6520</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电子发票集群H3C S5500 Series</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影像存储交换机-华为6857E</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办公网核心H3C S7506E-X</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容灾虚拟化后端交换机S6805</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新院区超融合平台H3C S6520</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华三</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容灾机房交换机S5720-28X</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容灾内网汇聚华为S6735-S48X6C</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458"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容灾外网汇聚华为S6735-S48X6C</w:t>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ind w:left="0" w:right="0" w:firstLine="0"/>
              <w:jc w:val="center"/>
              <w:keepNext/>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bl>
    <w:p>
      <w:pPr>
        <w:pStyle w:val="814"/>
        <w:ind w:left="0" w:firstLine="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pStyle w:val="814"/>
        <w:ind w:left="0"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1.12.6 安全设备</w:t>
      </w:r>
      <w:r/>
    </w:p>
    <w:tbl>
      <w:tblPr>
        <w:tblStyle w:val="816"/>
        <w:tblW w:w="9184"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4614"/>
        <w:gridCol w:w="1527"/>
        <w:gridCol w:w="1014"/>
        <w:gridCol w:w="1020"/>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上网行为管理UAG3000-GS-XI</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迪普</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内网防火墙USG6620E</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外网防火墙USG6620E</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val="false"/>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准入Goldencis</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金盾</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val="false"/>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南京横渡防统方</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南京横渡</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齐治堡垒机RIS-OPC-XT6</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齐治</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网闸 GAP-6000-6600BD</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启明星辰</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日志审计 TSOC-SA5100N</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启明星辰</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数据库审计DA-1600-UR</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启明星辰</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外网WAF6000-M1</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启明星辰</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数据中心防火墙 SG-6000 X 8180</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山石网科</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外网防火墙SG-6000</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山石网科</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专网防火墙SG-6000</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山石网科</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防毒墙V6000-A3600</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网御星云</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盈高准入系统</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盈高</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负载均衡</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迪普</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探针TD3000-GS-DH-PY</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网御星云</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46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态势感知</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网御星云</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ind w:left="0" w:righ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r>
    </w:tbl>
    <w:p>
      <w:pPr>
        <w:pStyle w:val="835"/>
        <w:ind w:firstLine="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4"/>
        <w:ind w:left="0"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1.12.7 机房动环</w:t>
      </w:r>
      <w:r/>
    </w:p>
    <w:tbl>
      <w:tblPr>
        <w:tblStyle w:val="816"/>
        <w:tblW w:w="4889" w:type="pct"/>
        <w:tblInd w:w="189" w:type="dxa"/>
        <w:tblLayout w:type="autofit"/>
        <w:tblCellMar>
          <w:left w:w="108" w:type="dxa"/>
          <w:top w:w="0" w:type="dxa"/>
          <w:right w:w="108" w:type="dxa"/>
          <w:bottom w:w="0" w:type="dxa"/>
        </w:tblCellMar>
        <w:tblLook w:val="04A0" w:firstRow="1" w:lastRow="0" w:firstColumn="1" w:lastColumn="0" w:noHBand="0" w:noVBand="1"/>
      </w:tblPr>
      <w:tblGrid>
        <w:gridCol w:w="834"/>
        <w:gridCol w:w="1896"/>
        <w:gridCol w:w="1210"/>
        <w:gridCol w:w="1710"/>
        <w:gridCol w:w="1177"/>
        <w:gridCol w:w="1506"/>
      </w:tblGrid>
      <w:tr>
        <w:trPr>
          <w:trHeight w:val="28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8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机房名称</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UPS数量</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动环系统数量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空调数量</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08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中心机房</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2套</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8台</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精密空调</w:t>
            </w:r>
            <w:r/>
          </w:p>
        </w:tc>
      </w:tr>
      <w:tr>
        <w:trPr>
          <w:trHeight w:val="28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88" w:type="pct"/>
            <w:vAlign w:val="center"/>
            <w:textDirection w:val="lrTb"/>
            <w:noWrap/>
          </w:tcPr>
          <w:p>
            <w:pPr>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行政楼容灾机房</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2套</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3台</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tcPr>
          <w:p>
            <w:pPr>
              <w:jc w:val="center"/>
              <w:rPr>
                <w:rFonts w:hint="eastAsia" w:ascii="宋体" w:hAnsi="宋体" w:eastAsia="宋体" w:cs="宋体"/>
                <w:color w:val="auto"/>
                <w:sz w:val="24"/>
                <w:szCs w:val="24"/>
                <w:lang w:eastAsia="en-US"/>
              </w:rPr>
            </w:pPr>
            <w:r>
              <w:rPr>
                <w:rFonts w:hint="eastAsia" w:ascii="宋体" w:hAnsi="宋体" w:eastAsia="宋体" w:cs="宋体"/>
                <w:color w:val="auto"/>
                <w:sz w:val="24"/>
                <w:szCs w:val="24"/>
              </w:rPr>
              <w:t xml:space="preserve">精密空调</w:t>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19"/>
        <w:ind w:firstLine="0"/>
        <w:jc w:val="center"/>
        <w:rPr>
          <w:rFonts w:ascii="宋体" w:hAnsi="宋体" w:eastAsia="宋体"/>
          <w:color w:val="auto"/>
          <w:sz w:val="24"/>
          <w:szCs w:val="24"/>
        </w:rPr>
      </w:pPr>
      <w:r>
        <w:rPr>
          <w:rFonts w:ascii="宋体" w:hAnsi="宋体" w:eastAsia="宋体"/>
          <w:color w:val="auto"/>
          <w:sz w:val="24"/>
          <w:szCs w:val="24"/>
        </w:rPr>
      </w:r>
      <w:r/>
    </w:p>
    <w:p>
      <w:pPr>
        <w:spacing w:line="252" w:lineRule="auto"/>
        <w:rPr>
          <w:rFonts w:ascii="Arial"/>
          <w:color w:val="auto"/>
          <w:sz w:val="21"/>
        </w:rPr>
      </w:pPr>
      <w:r>
        <w:rPr>
          <w:rFonts w:ascii="Arial"/>
          <w:color w:val="auto"/>
          <w:sz w:val="21"/>
        </w:rPr>
      </w:r>
      <w:r/>
    </w:p>
    <w:p>
      <w:pPr>
        <w:ind w:firstLine="482"/>
        <w:spacing w:line="360" w:lineRule="auto"/>
        <w:rPr>
          <w:rFonts w:ascii="宋体" w:hAnsi="宋体" w:cs="宋体"/>
          <w:b/>
          <w:bCs/>
          <w:color w:val="auto"/>
          <w:sz w:val="24"/>
          <w:highlight w:val="yellow"/>
          <w:shd w:val="clear" w:color="auto" w:fill="ffffff"/>
        </w:rPr>
      </w:pPr>
      <w:r>
        <w:rPr>
          <w:rFonts w:hint="eastAsia" w:ascii="宋体" w:hAnsi="宋体" w:cs="宋体"/>
          <w:b/>
          <w:bCs/>
          <w:color w:val="auto"/>
          <w:sz w:val="24"/>
          <w:shd w:val="clear" w:color="auto" w:fill="ffffff"/>
        </w:rPr>
        <w:t xml:space="preserve">注：采购标的的所属行业为</w:t>
      </w:r>
      <w:r>
        <w:rPr>
          <w:rFonts w:hint="eastAsia" w:ascii="宋体" w:hAnsi="宋体" w:cs="宋体"/>
          <w:b/>
          <w:bCs/>
          <w:color w:val="auto"/>
          <w:sz w:val="24"/>
          <w:u w:val="single"/>
          <w:shd w:val="clear" w:color="auto" w:fill="ffffff"/>
        </w:rPr>
        <w:t xml:space="preserve">其他未列明行业</w:t>
      </w:r>
      <w:r>
        <w:rPr>
          <w:rFonts w:hint="eastAsia" w:ascii="宋体" w:hAnsi="宋体" w:cs="宋体"/>
          <w:b/>
          <w:bCs/>
          <w:color w:val="auto"/>
          <w:sz w:val="24"/>
          <w:shd w:val="clear" w:color="auto" w:fill="ffffff"/>
        </w:rPr>
        <w:t xml:space="preserve">，根据《工业和信息化部、国家统计局、国家发展和改革委员会、财政部关于印发中小企业划型标准规定的通知》（工信部联企业〔2011〕300号）规定的划分标准填写。</w:t>
      </w:r>
      <w:r/>
    </w:p>
    <w:p>
      <w:pPr>
        <w:pStyle w:val="824"/>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4"/>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t xml:space="preserve"> </w:t>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Lines w:val="0"/>
        <w:keepNext w:val="0"/>
        <w:pageBreakBefore w:val="0"/>
        <w:spacing w:beforeAutospacing="0" w:afterAutospacing="0"/>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24"/>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24"/>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lang w:val="en-US" w:eastAsia="zh-CN"/>
        </w:rPr>
        <w:t xml:space="preserve"> </w:t>
      </w:r>
      <w:r>
        <w:rPr>
          <w:rFonts w:hint="eastAsia" w:ascii="Calibri" w:hAnsi="Calibri"/>
          <w:color w:val="auto"/>
          <w:sz w:val="24"/>
          <w:u w:val="single"/>
        </w:rPr>
        <w:t xml:space="preserve">最低</w:t>
      </w:r>
      <w:r>
        <w:rPr>
          <w:rFonts w:hint="eastAsia" w:ascii="Calibri" w:hAnsi="Calibri"/>
          <w:color w:val="auto"/>
          <w:sz w:val="24"/>
          <w:u w:val="single"/>
          <w:lang w:val="en-US" w:eastAsia="zh-CN"/>
        </w:rPr>
        <w:t xml:space="preserve">评标</w:t>
      </w:r>
      <w:r>
        <w:rPr>
          <w:rFonts w:hint="eastAsia" w:ascii="Calibri" w:hAnsi="Calibri"/>
          <w:color w:val="auto"/>
          <w:sz w:val="24"/>
          <w:u w:val="single"/>
        </w:rPr>
        <w:t xml:space="preserve">价</w:t>
      </w:r>
      <w:r>
        <w:rPr>
          <w:rFonts w:hint="eastAsia" w:ascii="Calibri" w:hAnsi="Calibri"/>
          <w:color w:val="auto"/>
          <w:sz w:val="24"/>
          <w:u w:val="single"/>
          <w:lang w:val="en-US" w:eastAsia="zh-CN"/>
        </w:rPr>
        <w:t xml:space="preserve">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24"/>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24"/>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830"/>
        <w:ind w:firstLine="360"/>
        <w:spacing w:line="360" w:lineRule="auto"/>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824"/>
        <w:ind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24"/>
        <w:ind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24"/>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24"/>
        <w:ind w:left="120" w:firstLine="360"/>
        <w:spacing w:before="120" w:beforeAutospacing="0" w:after="120" w:afterAutospacing="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24"/>
        <w:ind w:left="120"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24"/>
        <w:ind w:left="120" w:firstLine="36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24"/>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24"/>
        <w:ind w:left="120" w:firstLine="360"/>
        <w:spacing w:before="120" w:beforeAutospacing="0" w:after="12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24"/>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4"/>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24"/>
        <w:ind w:firstLine="48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24"/>
        <w:ind w:firstLine="480"/>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24"/>
        <w:ind w:left="120" w:firstLine="360"/>
        <w:spacing w:before="120" w:beforeAutospacing="0" w:after="120" w:afterAutospacing="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w:t>
      </w:r>
      <w:r>
        <w:rPr>
          <w:rFonts w:hint="eastAsia" w:ascii="宋体" w:hAnsi="宋体" w:eastAsia="宋体" w:cs="宋体"/>
          <w:b/>
          <w:bCs/>
          <w:color w:val="ff0000"/>
          <w:sz w:val="24"/>
          <w:szCs w:val="24"/>
          <w:highlight w:val="yellow"/>
        </w:rPr>
        <w:t xml:space="preserve">《声明函》中用</w:t>
      </w:r>
      <w:r>
        <w:rPr>
          <w:rFonts w:hint="eastAsia" w:ascii="宋体" w:hAnsi="宋体" w:eastAsia="宋体" w:cs="宋体"/>
          <w:b/>
          <w:bCs/>
          <w:color w:val="ff0000"/>
          <w:sz w:val="24"/>
          <w:szCs w:val="24"/>
          <w:highlight w:val="yellow"/>
          <w:lang w:val="en-US" w:eastAsia="zh-CN"/>
        </w:rPr>
        <w:t xml:space="preserve">横</w:t>
      </w:r>
      <w:r>
        <w:rPr>
          <w:rFonts w:hint="eastAsia" w:ascii="宋体" w:hAnsi="宋体" w:eastAsia="宋体" w:cs="宋体"/>
          <w:b/>
          <w:bCs/>
          <w:color w:val="ff0000"/>
          <w:sz w:val="24"/>
          <w:szCs w:val="24"/>
          <w:highlight w:val="yellow"/>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rPr>
        <w:t xml:space="preserve">和招标文件规定的，供应商提供的相关产品视为不符合本国产品标准。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24"/>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24"/>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24"/>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24"/>
        <w:jc w:val="center"/>
        <w:spacing w:beforeAutospacing="0" w:afterAutospacing="0"/>
        <w:rPr>
          <w:rFonts w:hint="eastAsia" w:ascii="宋体" w:hAnsi="宋体" w:eastAsia="宋体" w:cs="宋体"/>
          <w:b/>
          <w:color w:val="000000"/>
          <w:sz w:val="72"/>
          <w:szCs w:val="72"/>
          <w:highlight w:val="none"/>
        </w:rPr>
      </w:pPr>
      <w:r/>
      <w:bookmarkStart w:id="206" w:name="_Hlt26955039"/>
      <w:r/>
      <w:bookmarkEnd w:id="206"/>
      <w:r/>
      <w:bookmarkStart w:id="207" w:name="_Toc26554094"/>
      <w:r/>
      <w:bookmarkEnd w:id="207"/>
      <w:r/>
      <w:bookmarkStart w:id="208" w:name="_Hlt26671244"/>
      <w:r/>
      <w:bookmarkEnd w:id="208"/>
      <w:r/>
      <w:bookmarkStart w:id="209" w:name="_Toc49090576"/>
      <w:r/>
      <w:bookmarkStart w:id="210" w:name="_Toc120614282"/>
      <w:r/>
      <w:r/>
    </w:p>
    <w:p>
      <w:pPr>
        <w:pStyle w:val="824"/>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4"/>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24"/>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24"/>
        <w:jc w:val="center"/>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highlight w:val="none"/>
        </w:rPr>
        <w:t xml:space="preserve"> </w:t>
      </w:r>
      <w:r/>
    </w:p>
    <w:p>
      <w:pPr>
        <w:pStyle w:val="824"/>
        <w:ind w:firstLine="1084"/>
        <w:jc w:val="both"/>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4"/>
        <w:ind w:firstLine="1084"/>
        <w:jc w:val="both"/>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2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24"/>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24"/>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24"/>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both"/>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4"/>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24"/>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   </w:t>
      </w:r>
      <w:r>
        <w:rPr>
          <w:highlight w:val="none"/>
        </w:rPr>
      </w:r>
      <w:r/>
    </w:p>
    <w:p>
      <w:pPr>
        <w:pStyle w:val="824"/>
        <w:jc w:val="center"/>
        <w:spacing w:beforeAutospacing="0" w:afterAutospacing="0" w:line="0" w:lineRule="atLeast"/>
        <w:rPr>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p>
    <w:p>
      <w:pPr>
        <w:pStyle w:val="824"/>
        <w:jc w:val="center"/>
        <w:spacing w:beforeAutospacing="0" w:afterAutospacing="0" w:line="0" w:lineRule="atLeast"/>
        <w:rPr>
          <w:highlight w:val="none"/>
        </w:rPr>
      </w:pPr>
      <w:r>
        <w:rPr>
          <w:highlight w:val="none"/>
        </w:rPr>
        <w:t xml:space="preserve"> </w:t>
      </w:r>
      <w:r/>
    </w:p>
    <w:p>
      <w:pPr>
        <w:pStyle w:val="824"/>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24"/>
        <w:ind w:left="480"/>
        <w:jc w:val="both"/>
        <w:spacing w:beforeAutospacing="0" w:afterAutospacing="0" w:line="36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24"/>
        <w:ind w:left="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24"/>
        <w:ind w:left="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4"/>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24"/>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24"/>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24"/>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24"/>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24"/>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24"/>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824"/>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824"/>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firstLine="480"/>
        <w:spacing w:before="50" w:after="50"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824"/>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ind w:firstLine="480"/>
        <w:spacing w:line="360" w:lineRule="auto"/>
        <w:rPr>
          <w:rFonts w:ascii="宋体" w:hAnsi="宋体" w:cs="宋体"/>
          <w:color w:val="auto"/>
          <w:sz w:val="24"/>
        </w:rPr>
      </w:pPr>
      <w:r>
        <w:rPr>
          <w:rFonts w:hint="eastAsia" w:ascii="宋体" w:hAnsi="宋体" w:cs="宋体"/>
          <w:color w:val="auto"/>
          <w:sz w:val="24"/>
        </w:rPr>
        <w:t xml:space="preserve">十</w:t>
      </w:r>
      <w:r>
        <w:rPr>
          <w:rFonts w:hint="eastAsia" w:ascii="宋体" w:hAnsi="宋体" w:cs="宋体"/>
          <w:color w:val="auto"/>
          <w:sz w:val="24"/>
          <w:lang w:val="en-US" w:eastAsia="zh-CN"/>
        </w:rPr>
        <w:t xml:space="preserve">七</w:t>
      </w:r>
      <w:r>
        <w:rPr>
          <w:rFonts w:hint="eastAsia" w:ascii="宋体" w:hAnsi="宋体" w:cs="宋体"/>
          <w:color w:val="auto"/>
          <w:sz w:val="24"/>
        </w:rPr>
        <w:t xml:space="preserve">、</w:t>
      </w:r>
      <w:r>
        <w:rPr>
          <w:rFonts w:hint="eastAsia"/>
          <w:color w:val="auto"/>
          <w:sz w:val="24"/>
        </w:rPr>
        <w:t xml:space="preserve">其他材料（如有）</w:t>
      </w:r>
      <w:r/>
    </w:p>
    <w:p>
      <w:pPr>
        <w:pStyle w:val="824"/>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r>
      <w:r/>
    </w:p>
    <w:p>
      <w:pPr>
        <w:pStyle w:val="824"/>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24"/>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24"/>
        <w:ind w:firstLine="480"/>
        <w:jc w:val="both"/>
        <w:spacing w:beforeAutospacing="0" w:afterAutospacing="0" w:line="0" w:lineRule="atLeast"/>
        <w:rPr>
          <w:highlight w:val="none"/>
        </w:rPr>
      </w:pPr>
      <w:r>
        <w:rPr>
          <w:highlight w:val="none"/>
        </w:rPr>
        <w:t xml:space="preserve"> </w:t>
      </w:r>
      <w:r/>
    </w:p>
    <w:p>
      <w:pPr>
        <w:pStyle w:val="824"/>
        <w:ind w:firstLine="480"/>
        <w:jc w:val="both"/>
        <w:spacing w:beforeAutospacing="0" w:afterAutospacing="0" w:line="0" w:lineRule="atLeast"/>
        <w:rPr>
          <w:highlight w:val="none"/>
        </w:rPr>
      </w:pPr>
      <w:r>
        <w:rPr>
          <w:highlight w:val="none"/>
        </w:rPr>
        <w:t xml:space="preserve"> </w:t>
      </w:r>
      <w:r/>
    </w:p>
    <w:p>
      <w:pPr>
        <w:pStyle w:val="824"/>
        <w:ind w:firstLine="480"/>
        <w:jc w:val="both"/>
        <w:spacing w:beforeAutospacing="0" w:afterAutospacing="0" w:line="0" w:lineRule="atLeast"/>
        <w:rPr>
          <w:highlight w:val="none"/>
        </w:rPr>
      </w:pPr>
      <w:r>
        <w:rPr>
          <w:highlight w:val="none"/>
        </w:rPr>
        <w:t xml:space="preserve"> </w:t>
      </w:r>
      <w:r/>
    </w:p>
    <w:p>
      <w:pPr>
        <w:pStyle w:val="824"/>
        <w:ind w:firstLine="480"/>
        <w:jc w:val="both"/>
        <w:spacing w:beforeAutospacing="0" w:afterAutospacing="0" w:line="0" w:lineRule="atLeast"/>
        <w:rPr>
          <w:highlight w:val="none"/>
        </w:rPr>
      </w:pPr>
      <w:r>
        <w:rPr>
          <w:highlight w:val="none"/>
        </w:rPr>
        <w:t xml:space="preserve"> </w:t>
      </w:r>
      <w:r/>
    </w:p>
    <w:p>
      <w:pPr>
        <w:pStyle w:val="824"/>
        <w:ind w:firstLine="480"/>
        <w:jc w:val="both"/>
        <w:spacing w:beforeAutospacing="0" w:afterAutospacing="0" w:line="0" w:lineRule="atLeast"/>
        <w:rPr>
          <w:highlight w:val="none"/>
        </w:rPr>
      </w:pPr>
      <w:r>
        <w:rPr>
          <w:highlight w:val="none"/>
        </w:rPr>
      </w:r>
      <w:r/>
    </w:p>
    <w:p>
      <w:pPr>
        <w:pStyle w:val="82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2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24"/>
        <w:jc w:val="both"/>
        <w:spacing w:beforeAutospacing="0" w:afterAutospacing="0"/>
        <w:rPr>
          <w:highlight w:val="none"/>
        </w:rPr>
      </w:pPr>
      <w:r/>
      <w:bookmarkStart w:id="229" w:name="_GoBack"/>
      <w:r/>
      <w:bookmarkEnd w:id="229"/>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24"/>
        <w:ind w:firstLine="480"/>
        <w:jc w:val="both"/>
        <w:spacing w:beforeAutospacing="0" w:afterAutospacing="0" w:line="0" w:lineRule="atLeast"/>
        <w:rPr>
          <w:highlight w:val="none"/>
        </w:rPr>
      </w:pPr>
      <w:r>
        <w:rPr>
          <w:highlight w:val="none"/>
        </w:rPr>
        <w:t xml:space="preserve"> </w:t>
      </w:r>
      <w:r/>
    </w:p>
    <w:p>
      <w:pPr>
        <w:pStyle w:val="824"/>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24"/>
        <w:ind w:firstLine="480"/>
        <w:jc w:val="both"/>
        <w:spacing w:beforeAutospacing="0" w:afterAutospacing="0" w:line="0" w:lineRule="atLeast"/>
        <w:rPr>
          <w:highlight w:val="none"/>
        </w:rPr>
      </w:pPr>
      <w:r>
        <w:rPr>
          <w:highlight w:val="none"/>
        </w:rPr>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2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2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2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2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24"/>
        <w:ind w:firstLine="480"/>
        <w:jc w:val="both"/>
        <w:spacing w:beforeAutospacing="0" w:afterAutospacing="0"/>
        <w:rPr>
          <w:highlight w:val="none"/>
        </w:rPr>
      </w:pPr>
      <w:r/>
      <w:bookmarkStart w:id="21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11"/>
      <w:r/>
      <w:r/>
    </w:p>
    <w:p>
      <w:pPr>
        <w:pStyle w:val="82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24"/>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2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24"/>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24"/>
        <w:jc w:val="both"/>
        <w:spacing w:beforeAutospacing="0" w:afterAutospacing="0" w:line="0" w:lineRule="atLeast"/>
        <w:rPr>
          <w:highlight w:val="none"/>
        </w:rPr>
      </w:pPr>
      <w:r>
        <w:rPr>
          <w:highlight w:val="none"/>
        </w:rPr>
        <w:t xml:space="preserve"> </w:t>
      </w:r>
      <w:r/>
    </w:p>
    <w:p>
      <w:pPr>
        <w:pStyle w:val="82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2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24"/>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24"/>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24"/>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24"/>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24"/>
        <w:jc w:val="center"/>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24"/>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t xml:space="preserve">七、法人授权书</w:t>
      </w:r>
      <w:r/>
    </w:p>
    <w:p>
      <w:pPr>
        <w:pStyle w:val="82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2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2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24"/>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24"/>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2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2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212" w:name="_格式3__银行出具的资信证明"/>
      <w:r/>
      <w:bookmarkStart w:id="213" w:name="_Hlt26955070"/>
      <w:r/>
      <w:bookmarkStart w:id="214" w:name="_Hlt26671380"/>
      <w:r>
        <w:rPr>
          <w:rFonts w:ascii="Times New Roman" w:hAnsi="Times New Roman"/>
          <w:color w:val="000000"/>
          <w:highlight w:val="none"/>
          <w:u w:val="single"/>
        </w:rPr>
        <w:t xml:space="preserve">                                         </w:t>
      </w:r>
      <w:r/>
    </w:p>
    <w:p>
      <w:pPr>
        <w:pStyle w:val="824"/>
        <w:ind w:firstLine="420"/>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line="0" w:lineRule="atLeast"/>
        <w:rPr>
          <w:highlight w:val="none"/>
        </w:rPr>
      </w:pPr>
      <w:r>
        <w:rPr>
          <w:highlight w:val="none"/>
        </w:rPr>
        <w:t xml:space="preserve"> </w:t>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val="0"/>
        <w:keepNext w:val="0"/>
        <w:pageBreakBefore w:val="0"/>
        <w:spacing w:before="260" w:beforeAutospacing="0" w:after="260" w:afterAutospacing="0" w:line="416" w:lineRule="auto"/>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24"/>
        <w:ind w:firstLine="3390"/>
        <w:jc w:val="both"/>
        <w:keepLines/>
        <w:keepNext/>
        <w:spacing w:before="260" w:beforeAutospacing="0" w:after="260" w:afterAutospacing="0" w:line="415" w:lineRule="auto"/>
        <w:rPr>
          <w:rFonts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24"/>
        <w:ind w:firstLine="3390"/>
        <w:jc w:val="both"/>
        <w:keepLines/>
        <w:keepNext/>
        <w:spacing w:before="260" w:beforeAutospacing="0" w:after="260" w:afterAutospacing="0" w:line="415" w:lineRule="auto"/>
        <w:rPr>
          <w:rFonts w:hint="eastAsia" w:ascii="黑体" w:hAnsi="宋体" w:eastAsia="黑体" w:cs="黑体"/>
          <w:b/>
          <w:bCs/>
          <w:color w:val="000000"/>
          <w:sz w:val="32"/>
          <w:szCs w:val="32"/>
          <w:highlight w:val="none"/>
        </w:rPr>
      </w:pPr>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rPr>
        <w:t xml:space="preserve">八、投标函</w:t>
      </w:r>
      <w:r/>
    </w:p>
    <w:p>
      <w:pPr>
        <w:pStyle w:val="824"/>
        <w:spacing w:beforeAutospacing="0" w:afterAutospacing="0" w:line="0" w:lineRule="atLeast"/>
        <w:rPr>
          <w:rFonts w:hint="default" w:eastAsia="宋体"/>
          <w:highlight w:val="none"/>
          <w:u w:val="singl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滨海县人民医院</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根据贵方的JSZC-320922-YCJT-G2026-0002号招标文件，正式授权下述签字人______(姓名)代表我方______________（投标人的名称），全权处理本次项目投标的有关事宜。</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24"/>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2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2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2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2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2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2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24"/>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24"/>
        <w:ind w:firstLine="240"/>
        <w:jc w:val="center"/>
        <w:spacing w:beforeAutospacing="0" w:afterAutospacing="0" w:line="0" w:lineRule="atLeast"/>
        <w:rPr>
          <w:highlight w:val="none"/>
        </w:rPr>
      </w:pPr>
      <w:r>
        <w:rPr>
          <w:highlight w:val="none"/>
        </w:rPr>
        <w:t xml:space="preserve"> </w:t>
      </w:r>
      <w:r/>
    </w:p>
    <w:p>
      <w:pPr>
        <w:pStyle w:val="824"/>
        <w:ind w:firstLine="240"/>
        <w:jc w:val="center"/>
        <w:spacing w:beforeAutospacing="0" w:afterAutospacing="0" w:line="0" w:lineRule="atLeast"/>
        <w:rPr>
          <w:highlight w:val="none"/>
        </w:rPr>
      </w:pPr>
      <w:r>
        <w:rPr>
          <w:highlight w:val="none"/>
        </w:rPr>
        <w:t xml:space="preserve"> </w:t>
      </w:r>
      <w:r/>
    </w:p>
    <w:p>
      <w:pPr>
        <w:pStyle w:val="824"/>
        <w:ind w:firstLine="240"/>
        <w:jc w:val="center"/>
        <w:spacing w:beforeAutospacing="0" w:afterAutospacing="0" w:line="0" w:lineRule="atLeast"/>
        <w:rPr>
          <w:highlight w:val="none"/>
        </w:rPr>
      </w:pPr>
      <w:r>
        <w:rPr>
          <w:highlight w:val="none"/>
        </w:rPr>
        <w:t xml:space="preserve"> </w:t>
      </w:r>
      <w:r/>
    </w:p>
    <w:p>
      <w:pPr>
        <w:pStyle w:val="824"/>
        <w:ind w:firstLine="240"/>
        <w:jc w:val="center"/>
        <w:spacing w:beforeAutospacing="0" w:afterAutospacing="0" w:line="0" w:lineRule="atLeast"/>
        <w:rPr>
          <w:highlight w:val="none"/>
        </w:rPr>
      </w:pPr>
      <w:r>
        <w:rPr>
          <w:highlight w:val="none"/>
        </w:rPr>
        <w:t xml:space="preserve"> </w:t>
      </w:r>
      <w:r/>
    </w:p>
    <w:p>
      <w:pPr>
        <w:pStyle w:val="824"/>
        <w:ind w:firstLine="240"/>
        <w:jc w:val="center"/>
        <w:spacing w:beforeAutospacing="0" w:afterAutospacing="0" w:line="0" w:lineRule="atLeast"/>
        <w:rPr>
          <w:highlight w:val="none"/>
        </w:rPr>
      </w:pPr>
      <w:r>
        <w:rPr>
          <w:highlight w:val="none"/>
        </w:rPr>
        <w:t xml:space="preserve"> </w:t>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ind w:firstLine="240"/>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2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w:t>
      </w:r>
      <w:r>
        <w:rPr>
          <w:rFonts w:hint="eastAsia"/>
          <w:color w:val="auto"/>
          <w:sz w:val="24"/>
          <w:highlight w:val="none"/>
          <w:lang w:eastAsia="zh-CN"/>
        </w:rPr>
        <w:t xml:space="preserve">采购代理机构</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24"/>
        <w:ind w:right="720"/>
        <w:jc w:val="both"/>
        <w:spacing w:beforeAutospacing="0" w:afterAutospacing="0" w:line="0" w:lineRule="atLeast"/>
        <w:rPr>
          <w:color w:val="auto"/>
          <w:highlight w:val="none"/>
        </w:rPr>
      </w:pPr>
      <w:r>
        <w:rPr>
          <w:color w:val="auto"/>
          <w:highlight w:val="none"/>
        </w:rPr>
        <w:t xml:space="preserve"> </w:t>
      </w:r>
      <w:r/>
    </w:p>
    <w:p>
      <w:pPr>
        <w:pStyle w:val="824"/>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24"/>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24"/>
        <w:ind w:firstLine="240"/>
        <w:jc w:val="both"/>
        <w:spacing w:beforeAutospacing="0" w:afterAutospacing="0" w:line="0" w:lineRule="atLeast"/>
        <w:rPr>
          <w:color w:val="auto"/>
          <w:highlight w:val="none"/>
        </w:rPr>
      </w:pPr>
      <w:r>
        <w:rPr>
          <w:color w:val="auto"/>
          <w:highlight w:val="none"/>
        </w:rPr>
        <w:t xml:space="preserve"> </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4"/>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82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82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24"/>
        <w:ind w:firstLine="480"/>
        <w:jc w:val="both"/>
        <w:spacing w:beforeAutospacing="0" w:afterAutospacing="0" w:line="0" w:lineRule="atLeast"/>
        <w:rPr>
          <w:highlight w:val="none"/>
        </w:rPr>
      </w:pPr>
      <w:r>
        <w:rPr>
          <w:highlight w:val="none"/>
        </w:rPr>
        <w:t xml:space="preserve"> </w:t>
      </w:r>
      <w:r/>
    </w:p>
    <w:p>
      <w:pPr>
        <w:pStyle w:val="824"/>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2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24"/>
        <w:ind w:firstLine="624"/>
        <w:jc w:val="both"/>
        <w:spacing w:beforeAutospacing="0" w:afterAutospacing="0" w:line="0" w:lineRule="atLeast"/>
        <w:rPr>
          <w:highlight w:val="none"/>
        </w:rPr>
      </w:pPr>
      <w:r>
        <w:rPr>
          <w:highlight w:val="none"/>
        </w:rPr>
        <w:t xml:space="preserve"> </w:t>
      </w:r>
      <w:r/>
    </w:p>
    <w:p>
      <w:pPr>
        <w:pStyle w:val="824"/>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24"/>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center"/>
        <w:spacing w:beforeAutospacing="0" w:afterAutospacing="0" w:line="0" w:lineRule="atLeast"/>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、技术要求响应及偏离表</w:t>
      </w:r>
      <w:r/>
    </w:p>
    <w:tbl>
      <w:tblPr>
        <w:tblStyle w:val="81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2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4"/>
              <w:jc w:val="center"/>
              <w:spacing w:beforeAutospacing="0" w:afterAutospacing="0"/>
              <w:rPr>
                <w:highlight w:val="none"/>
              </w:rPr>
            </w:pPr>
            <w:r>
              <w:rPr>
                <w:highlight w:val="none"/>
              </w:rPr>
              <w:t xml:space="preserve"> </w:t>
            </w:r>
            <w:r/>
          </w:p>
        </w:tc>
      </w:tr>
    </w:tbl>
    <w:p>
      <w:pPr>
        <w:pStyle w:val="82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24"/>
        <w:jc w:val="center"/>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highlight w:val="none"/>
        </w:rPr>
        <w:t xml:space="preserve"> </w:t>
      </w:r>
      <w:r/>
    </w:p>
    <w:p>
      <w:pPr>
        <w:pStyle w:val="824"/>
        <w:jc w:val="center"/>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t xml:space="preserve"> </w:t>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24"/>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24"/>
        <w:jc w:val="center"/>
        <w:spacing w:beforeAutospacing="0" w:afterAutospacing="0"/>
        <w:rPr>
          <w:rFonts w:hint="eastAsia" w:ascii="黑体" w:hAnsi="宋体" w:eastAsia="黑体" w:cs="黑体"/>
          <w:b/>
          <w:bCs/>
          <w:color w:val="000000"/>
          <w:sz w:val="32"/>
          <w:szCs w:val="32"/>
          <w:highlight w:val="none"/>
        </w:rPr>
      </w:pPr>
      <w:r/>
      <w:bookmarkStart w:id="215" w:name="_Hlt26955054"/>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、商务要求响应及偏离表</w:t>
      </w:r>
      <w:r/>
    </w:p>
    <w:tbl>
      <w:tblPr>
        <w:tblStyle w:val="81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3372"/>
        <w:gridCol w:w="1742"/>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4"/>
              <w:jc w:val="center"/>
              <w:spacing w:beforeAutospacing="0" w:afterAutospacing="0"/>
              <w:rPr>
                <w:highlight w:val="none"/>
              </w:rPr>
            </w:pPr>
            <w:r/>
            <w:bookmarkStart w:id="216" w:name="_Hlt26955064"/>
            <w:r/>
            <w:bookmarkStart w:id="217" w:name="_Hlt24879081"/>
            <w:r/>
            <w:bookmarkStart w:id="218" w:name="_Hlt26955056"/>
            <w:r/>
            <w:bookmarkStart w:id="219" w:name="_Hlt26580838"/>
            <w:r/>
            <w:bookmarkStart w:id="220" w:name="_Hlt26671372"/>
            <w:r/>
            <w:bookmarkStart w:id="221" w:name="_Hlt26671343"/>
            <w:r/>
            <w:bookmarkStart w:id="222" w:name="_Hlt26609391"/>
            <w:r/>
            <w:bookmarkStart w:id="223" w:name="_Hlt26782999"/>
            <w:r>
              <w:rPr>
                <w:rFonts w:hint="eastAsia" w:ascii="宋体" w:hAnsi="宋体" w:eastAsia="宋体" w:cs="宋体"/>
                <w:color w:val="000000"/>
                <w:highlight w:val="none"/>
              </w:rPr>
              <w:t xml:space="preserve">序号</w:t>
            </w:r>
            <w:bookmarkEnd w:id="216"/>
            <w:r/>
            <w:bookmarkEnd w:id="217"/>
            <w:r/>
            <w:bookmarkEnd w:id="218"/>
            <w:r/>
            <w:bookmarkEnd w:id="219"/>
            <w:r/>
            <w:bookmarkEnd w:id="220"/>
            <w:r/>
            <w:bookmarkEnd w:id="221"/>
            <w:r/>
            <w:bookmarkEnd w:id="222"/>
            <w:r/>
            <w:bookmarkEnd w:id="223"/>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24"/>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Ansi="宋体" w:asciiTheme="minorHAnsi" w:eastAsiaTheme="minorEastAsia" w:cstheme="minorBidi"/>
                <w:b/>
                <w:color w:val="auto"/>
                <w:sz w:val="24"/>
                <w:szCs w:val="24"/>
                <w:lang w:val="en-US" w:eastAsia="zh-CN" w:bidi="ar-SA"/>
              </w:rPr>
            </w:pPr>
            <w:r>
              <w:rPr>
                <w:rFonts w:hint="eastAsia" w:hAnsi="宋体"/>
                <w:b/>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top"/>
            <w:textDirection w:val="lrTb"/>
            <w:noWrap w:val="false"/>
          </w:tcPr>
          <w:p>
            <w:pPr>
              <w:spacing w:line="340" w:lineRule="exact"/>
              <w:rPr>
                <w:rFonts w:hAnsi="宋体" w:asciiTheme="minorHAnsi" w:eastAsiaTheme="minorEastAsia" w:cstheme="minorBidi"/>
                <w:iCs/>
                <w:color w:val="auto"/>
                <w:sz w:val="24"/>
                <w:szCs w:val="24"/>
                <w:lang w:val="en-US" w:eastAsia="zh-CN" w:bidi="ar-SA"/>
              </w:rPr>
            </w:pPr>
            <w:r>
              <w:rPr>
                <w:rFonts w:hint="eastAsia" w:ascii="宋体" w:hAnsi="宋体"/>
                <w:color w:val="auto"/>
                <w:sz w:val="24"/>
                <w:szCs w:val="24"/>
              </w:rPr>
              <w:t xml:space="preserve">法人或者其他组织的营业执照等证明文件</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Ansi="宋体" w:asciiTheme="minorHAnsi" w:eastAsiaTheme="minorEastAsia" w:cstheme="minorBidi"/>
                <w:color w:val="auto"/>
                <w:sz w:val="24"/>
                <w:szCs w:val="24"/>
                <w:lang w:val="en-US" w:eastAsia="zh-CN" w:bidi="ar-SA"/>
              </w:rPr>
            </w:pPr>
            <w:r>
              <w:rPr>
                <w:rFonts w:hint="eastAsia" w:hAnsi="宋体"/>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ind w:right="168"/>
              <w:spacing w:line="340" w:lineRule="exact"/>
              <w:rPr>
                <w:rFonts w:ascii="宋体" w:hAnsi="宋体" w:eastAsiaTheme="minorEastAsia" w:cstheme="minorBidi"/>
                <w:color w:val="auto"/>
                <w:sz w:val="24"/>
                <w:szCs w:val="24"/>
                <w:lang w:val="en-US" w:eastAsia="zh-CN" w:bidi="ar-SA"/>
              </w:rPr>
            </w:pPr>
            <w:r>
              <w:rPr>
                <w:rFonts w:hint="eastAsia" w:ascii="宋体" w:hAnsi="宋体"/>
                <w:color w:val="auto"/>
                <w:sz w:val="24"/>
                <w:szCs w:val="24"/>
              </w:rPr>
              <w:t xml:space="preserve">上一年度的财务状况报表（至少提供资产负债表、利润表、现金流量表，供应商成立不满一年无需提供）</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Ansi="宋体" w:asciiTheme="minorHAnsi" w:eastAsiaTheme="minorEastAsia" w:cstheme="minorBidi"/>
                <w:color w:val="auto"/>
                <w:sz w:val="24"/>
                <w:szCs w:val="24"/>
                <w:lang w:val="en-US" w:eastAsia="zh-CN" w:bidi="ar-SA"/>
              </w:rPr>
            </w:pPr>
            <w:r>
              <w:rPr>
                <w:rFonts w:hint="eastAsia" w:hAnsi="宋体"/>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ind w:right="168"/>
              <w:spacing w:line="340" w:lineRule="exact"/>
              <w:rPr>
                <w:rFonts w:ascii="宋体" w:hAnsi="宋体" w:eastAsiaTheme="minorEastAsia" w:cstheme="minorBidi"/>
                <w:color w:val="auto"/>
                <w:sz w:val="24"/>
                <w:szCs w:val="24"/>
                <w:lang w:val="en-US" w:eastAsia="zh-CN" w:bidi="ar-SA"/>
              </w:rPr>
            </w:pPr>
            <w:r>
              <w:rPr>
                <w:rFonts w:hint="eastAsia" w:ascii="宋体" w:hAnsi="宋体"/>
                <w:color w:val="auto"/>
                <w:sz w:val="24"/>
                <w:szCs w:val="24"/>
              </w:rPr>
              <w:t xml:space="preserve">依法缴纳税收的相关材料</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Ansi="宋体" w:asciiTheme="minorHAnsi" w:eastAsiaTheme="minorEastAsia" w:cstheme="minorBidi"/>
                <w:color w:val="auto"/>
                <w:sz w:val="24"/>
                <w:szCs w:val="24"/>
                <w:lang w:val="en-US" w:eastAsia="zh-CN" w:bidi="ar-SA"/>
              </w:rPr>
            </w:pPr>
            <w:r>
              <w:rPr>
                <w:rFonts w:hint="eastAsia" w:hAnsi="宋体"/>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ind w:right="168"/>
              <w:spacing w:line="340" w:lineRule="exact"/>
              <w:rPr>
                <w:rFonts w:ascii="宋体" w:hAnsi="宋体" w:eastAsiaTheme="minorEastAsia" w:cstheme="minorBidi"/>
                <w:color w:val="auto"/>
                <w:sz w:val="24"/>
                <w:szCs w:val="24"/>
                <w:lang w:val="en-US" w:eastAsia="zh-CN" w:bidi="ar-SA"/>
              </w:rPr>
            </w:pPr>
            <w:r>
              <w:rPr>
                <w:rFonts w:hint="eastAsia" w:ascii="宋体" w:hAnsi="宋体"/>
                <w:color w:val="auto"/>
                <w:sz w:val="24"/>
                <w:szCs w:val="24"/>
              </w:rPr>
              <w:t xml:space="preserve">社会保障资金的相关材料（提供提交投标文件截止时间前一年内至少一个月依法缴纳税收及缴纳社会保障资金的证明材料。供应商依法享受缓缴、免缴税收、社会保障资金的提供证明材料）</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Ansi="宋体" w:asciiTheme="minorHAnsi" w:eastAsiaTheme="minorEastAsia" w:cstheme="minorBidi"/>
                <w:color w:val="auto"/>
                <w:sz w:val="24"/>
                <w:szCs w:val="24"/>
                <w:lang w:val="en-US" w:eastAsia="zh-CN" w:bidi="ar-SA"/>
              </w:rPr>
            </w:pPr>
            <w:r>
              <w:rPr>
                <w:rFonts w:hint="eastAsia" w:hAnsi="宋体"/>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ind w:right="168"/>
              <w:spacing w:line="340" w:lineRule="exact"/>
              <w:rPr>
                <w:rFonts w:ascii="宋体" w:hAnsi="宋体" w:eastAsiaTheme="minorEastAsia" w:cstheme="minorBidi"/>
                <w:color w:val="auto"/>
                <w:sz w:val="24"/>
                <w:szCs w:val="24"/>
                <w:lang w:val="en-US" w:eastAsia="zh-CN" w:bidi="ar-SA"/>
              </w:rPr>
            </w:pPr>
            <w:r>
              <w:rPr>
                <w:rFonts w:hint="eastAsia" w:ascii="宋体" w:hAnsi="宋体"/>
                <w:color w:val="auto"/>
                <w:sz w:val="24"/>
                <w:szCs w:val="24"/>
              </w:rPr>
              <w:t xml:space="preserve">具备履行合同所必需的设备和专业技术能力的书面声明</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Ansi="宋体" w:asciiTheme="minorHAnsi" w:eastAsiaTheme="minorEastAsia" w:cstheme="minorBidi"/>
                <w:color w:val="auto"/>
                <w:sz w:val="24"/>
                <w:szCs w:val="24"/>
                <w:lang w:val="en-US" w:eastAsia="zh-CN" w:bidi="ar-SA"/>
              </w:rPr>
            </w:pPr>
            <w:r>
              <w:rPr>
                <w:rFonts w:hint="eastAsia" w:hAnsi="宋体"/>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ind w:right="168"/>
              <w:spacing w:line="340" w:lineRule="exact"/>
              <w:rPr>
                <w:rFonts w:ascii="宋体" w:hAnsi="宋体" w:eastAsiaTheme="minorEastAsia" w:cstheme="minorBidi"/>
                <w:color w:val="auto"/>
                <w:sz w:val="24"/>
                <w:szCs w:val="24"/>
                <w:lang w:val="en-US" w:eastAsia="zh-CN" w:bidi="ar-SA"/>
              </w:rPr>
            </w:pPr>
            <w:r>
              <w:rPr>
                <w:rFonts w:hint="eastAsia" w:ascii="宋体" w:hAnsi="宋体"/>
                <w:color w:val="auto"/>
                <w:sz w:val="24"/>
                <w:szCs w:val="24"/>
              </w:rPr>
              <w:t xml:space="preserve">参加政府采购活动前3年内在经营活动中没有重大违法记录的书面声明</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Ansi="宋体" w:asciiTheme="minorHAnsi" w:eastAsiaTheme="minorEastAsia" w:cstheme="minorBidi"/>
                <w:color w:val="auto"/>
                <w:sz w:val="24"/>
                <w:szCs w:val="24"/>
                <w:lang w:val="en-US" w:eastAsia="zh-CN" w:bidi="ar-SA"/>
              </w:rPr>
            </w:pPr>
            <w:r>
              <w:rPr>
                <w:rFonts w:hint="eastAsia" w:hAnsi="宋体"/>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ind w:right="168"/>
              <w:spacing w:line="340" w:lineRule="exact"/>
              <w:rPr>
                <w:rFonts w:ascii="宋体" w:hAnsi="宋体" w:eastAsiaTheme="minorEastAsia" w:cstheme="minorBidi"/>
                <w:color w:val="auto"/>
                <w:sz w:val="24"/>
                <w:szCs w:val="24"/>
                <w:lang w:val="en-US" w:eastAsia="zh-CN" w:bidi="ar-SA"/>
              </w:rPr>
            </w:pPr>
            <w:r>
              <w:rPr>
                <w:rFonts w:hint="eastAsia" w:ascii="宋体" w:hAnsi="宋体"/>
                <w:color w:val="auto"/>
                <w:sz w:val="24"/>
                <w:szCs w:val="24"/>
              </w:rPr>
              <w:t xml:space="preserve">单位负责人为同一人或者存在直接控股、管理关系的不同供应商，不得参加同一合同项下的政府采购活动</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hAnsi="宋体" w:asciiTheme="minorHAnsi" w:eastAsiaTheme="minorEastAsia" w:cstheme="minorBidi"/>
                <w:color w:val="auto"/>
                <w:sz w:val="24"/>
                <w:szCs w:val="24"/>
                <w:highlight w:val="yellow"/>
                <w:lang w:val="en-US" w:eastAsia="zh-CN" w:bidi="ar-SA"/>
              </w:rPr>
            </w:pPr>
            <w:r>
              <w:rPr>
                <w:rFonts w:hint="eastAsia" w:hAnsi="宋体"/>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ind w:right="168"/>
              <w:spacing w:line="340" w:lineRule="exact"/>
              <w:rPr>
                <w:rFonts w:ascii="宋体" w:hAnsi="宋体" w:eastAsiaTheme="minorEastAsia" w:cstheme="minorBidi"/>
                <w:color w:val="auto"/>
                <w:sz w:val="24"/>
                <w:szCs w:val="24"/>
                <w:lang w:val="en-US" w:eastAsia="zh-CN" w:bidi="ar-SA"/>
              </w:rPr>
            </w:pPr>
            <w:r>
              <w:rPr>
                <w:rFonts w:hint="eastAsia" w:ascii="宋体" w:hAnsi="宋体"/>
                <w:color w:val="auto"/>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pStyle w:val="82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82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4"/>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4"/>
              <w:jc w:val="center"/>
              <w:spacing w:beforeAutospacing="0" w:afterAutospacing="0"/>
              <w:rPr>
                <w:highlight w:val="none"/>
              </w:rPr>
            </w:pPr>
            <w:r>
              <w:rPr>
                <w:highlight w:val="none"/>
              </w:rPr>
            </w:r>
            <w:r/>
          </w:p>
        </w:tc>
      </w:tr>
    </w:tbl>
    <w:p>
      <w:pPr>
        <w:pStyle w:val="824"/>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24"/>
        <w:jc w:val="both"/>
        <w:spacing w:beforeAutospacing="0" w:afterAutospacing="0"/>
        <w:rPr>
          <w:highlight w:val="none"/>
        </w:rPr>
      </w:pPr>
      <w:r>
        <w:rPr>
          <w:highlight w:val="none"/>
        </w:rPr>
        <w:t xml:space="preserve"> </w:t>
      </w:r>
      <w:bookmarkStart w:id="224" w:name="_格式2__法定代表人授权书"/>
      <w:r/>
      <w:bookmarkStart w:id="225" w:name="_Hlt26955066"/>
      <w:r/>
      <w:bookmarkStart w:id="226" w:name="_Hlt26609389"/>
      <w:r/>
      <w:bookmarkStart w:id="227" w:name="_Toc462564146"/>
      <w:r/>
      <w:bookmarkStart w:id="228" w:name="_Hlt26671374"/>
      <w:r/>
      <w:r/>
    </w:p>
    <w:p>
      <w:pPr>
        <w:pStyle w:val="824"/>
        <w:jc w:val="both"/>
        <w:spacing w:beforeAutospacing="0" w:afterAutospacing="0"/>
        <w:rPr>
          <w:highlight w:val="none"/>
        </w:rPr>
      </w:pPr>
      <w:r>
        <w:rPr>
          <w:highlight w:val="none"/>
        </w:rPr>
      </w:r>
      <w:r/>
    </w:p>
    <w:p>
      <w:pPr>
        <w:pStyle w:val="824"/>
        <w:jc w:val="both"/>
        <w:spacing w:beforeAutospacing="0" w:afterAutospacing="0"/>
        <w:rPr>
          <w:highlight w:val="none"/>
        </w:rPr>
      </w:pPr>
      <w:r>
        <w:rPr>
          <w:highlight w:val="none"/>
        </w:rPr>
      </w:r>
      <w:r/>
    </w:p>
    <w:p>
      <w:pPr>
        <w:pStyle w:val="824"/>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十三、开标一览</w:t>
      </w:r>
      <w:r>
        <w:rPr>
          <w:rFonts w:hint="eastAsia" w:ascii="黑体" w:hAnsi="宋体" w:eastAsia="黑体" w:cs="黑体"/>
          <w:b/>
          <w:color w:val="000000"/>
          <w:sz w:val="32"/>
          <w:szCs w:val="32"/>
          <w:highlight w:val="none"/>
        </w:rPr>
        <w:t xml:space="preserve">表</w:t>
      </w:r>
      <w:r/>
    </w:p>
    <w:p>
      <w:pPr>
        <w:pStyle w:val="824"/>
        <w:jc w:val="both"/>
        <w:spacing w:beforeAutospacing="0" w:afterAutospacing="0"/>
        <w:rPr>
          <w:highlight w:val="none"/>
        </w:rPr>
      </w:pPr>
      <w:r>
        <w:rPr>
          <w:highlight w:val="none"/>
        </w:rPr>
      </w:r>
      <w:r/>
    </w:p>
    <w:p>
      <w:pPr>
        <w:spacing w:line="420" w:lineRule="auto"/>
        <w:rPr>
          <w:rFonts w:hint="eastAsia" w:ascii="宋体" w:hAnsi="宋体" w:cs="宋体"/>
          <w:color w:val="auto"/>
          <w:sz w:val="24"/>
          <w:szCs w:val="24"/>
        </w:rPr>
      </w:pPr>
      <w:r>
        <w:rPr>
          <w:rFonts w:hint="eastAsia" w:ascii="宋体" w:hAnsi="宋体" w:cs="宋体"/>
          <w:color w:val="auto"/>
          <w:sz w:val="24"/>
          <w:szCs w:val="24"/>
        </w:rPr>
        <w:t xml:space="preserve">投标人全称（加盖公章）：</w:t>
      </w:r>
      <w:r/>
    </w:p>
    <w:tbl>
      <w:tblPr>
        <w:tblStyle w:val="816"/>
        <w:tblW w:w="8598"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5898"/>
      </w:tblGrid>
      <w:tr>
        <w:trPr>
          <w:cantSplit/>
          <w:trHeight w:val="789"/>
        </w:trPr>
        <w:tc>
          <w:tcPr>
            <w:tcW w:w="2700" w:type="dxa"/>
            <w:vAlign w:val="center"/>
            <w:textDirection w:val="lrTb"/>
            <w:noWrap w:val="false"/>
          </w:tcPr>
          <w:p>
            <w:pPr>
              <w:ind w:firstLine="42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r>
            <w:r/>
          </w:p>
          <w:p>
            <w:pPr>
              <w:ind w:firstLine="42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项 目 名 称</w:t>
            </w:r>
            <w:r/>
          </w:p>
          <w:p>
            <w:pPr>
              <w:ind w:firstLine="42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r>
            <w:r/>
          </w:p>
        </w:tc>
        <w:tc>
          <w:tcPr>
            <w:tcW w:w="5898" w:type="dxa"/>
            <w:vAlign w:val="center"/>
            <w:textDirection w:val="lrTb"/>
            <w:noWrap w:val="false"/>
          </w:tcPr>
          <w:p>
            <w:pPr>
              <w:pStyle w:val="813"/>
              <w:jc w:val="both"/>
              <w:rPr>
                <w:rFonts w:hint="eastAsia"/>
                <w:color w:val="auto"/>
                <w:sz w:val="28"/>
                <w:szCs w:val="28"/>
              </w:rPr>
            </w:pPr>
            <w:r>
              <w:rPr>
                <w:rFonts w:hint="eastAsia"/>
                <w:color w:val="auto"/>
                <w:sz w:val="28"/>
                <w:szCs w:val="28"/>
              </w:rPr>
            </w:r>
            <w:r/>
          </w:p>
        </w:tc>
      </w:tr>
      <w:tr>
        <w:trPr>
          <w:cantSplit/>
          <w:trHeight w:val="821"/>
        </w:trPr>
        <w:tc>
          <w:tcPr>
            <w:gridSpan w:val="2"/>
            <w:tcW w:w="8598" w:type="dxa"/>
            <w:vAlign w:val="center"/>
            <w:textDirection w:val="lrTb"/>
            <w:noWrap w:val="false"/>
          </w:tcPr>
          <w:p>
            <w:pPr>
              <w:ind w:firstLine="240"/>
              <w:spacing w:line="600" w:lineRule="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r>
            <w:r/>
          </w:p>
          <w:p>
            <w:pPr>
              <w:ind w:firstLine="240"/>
              <w:spacing w:line="600" w:lineRule="auto"/>
              <w:rPr>
                <w:rFonts w:hint="eastAsia" w:ascii="Times New Roman" w:hAnsi="Times New Roman" w:eastAsia="宋体" w:cs="Times New Roman"/>
                <w:color w:val="auto"/>
                <w:sz w:val="24"/>
                <w:u w:val="single"/>
                <w:lang w:val="en-US" w:eastAsia="zh-CN"/>
              </w:rPr>
            </w:pPr>
            <w:r>
              <w:rPr>
                <w:rFonts w:hint="eastAsia" w:ascii="Times New Roman" w:hAnsi="Times New Roman" w:eastAsia="宋体" w:cs="Times New Roman"/>
                <w:color w:val="auto"/>
                <w:sz w:val="24"/>
              </w:rPr>
              <w:t xml:space="preserve">项目投标报价</w:t>
            </w:r>
            <w:r>
              <w:rPr>
                <w:rFonts w:hint="eastAsia" w:ascii="Times New Roman" w:hAnsi="Times New Roman" w:eastAsia="宋体" w:cs="Times New Roman"/>
                <w:color w:val="auto"/>
                <w:sz w:val="24"/>
                <w:lang w:val="en-US" w:eastAsia="zh-CN"/>
              </w:rPr>
              <w:t xml:space="preserve">为： 大写：</w:t>
            </w:r>
            <w:r>
              <w:rPr>
                <w:rFonts w:hint="eastAsia" w:ascii="Times New Roman" w:hAnsi="Times New Roman" w:eastAsia="宋体" w:cs="Times New Roman"/>
                <w:color w:val="auto"/>
                <w:sz w:val="24"/>
                <w:u w:val="single"/>
                <w:lang w:val="en-US" w:eastAsia="zh-CN"/>
              </w:rPr>
              <w:t xml:space="preserve">                </w:t>
            </w:r>
            <w:r>
              <w:rPr>
                <w:rFonts w:hint="eastAsia" w:ascii="Times New Roman" w:hAnsi="Times New Roman" w:eastAsia="宋体" w:cs="Times New Roman"/>
                <w:color w:val="auto"/>
                <w:sz w:val="24"/>
                <w:lang w:val="en-US" w:eastAsia="zh-CN"/>
              </w:rPr>
              <w:t xml:space="preserve">小写：</w:t>
            </w:r>
            <w:r>
              <w:rPr>
                <w:rFonts w:hint="eastAsia" w:ascii="Times New Roman" w:hAnsi="Times New Roman" w:eastAsia="宋体" w:cs="Times New Roman"/>
                <w:color w:val="auto"/>
                <w:sz w:val="24"/>
                <w:u w:val="single"/>
                <w:lang w:val="en-US" w:eastAsia="zh-CN"/>
              </w:rPr>
              <w:t xml:space="preserve">              </w:t>
            </w:r>
            <w:r/>
          </w:p>
          <w:p>
            <w:pPr>
              <w:ind w:firstLine="240"/>
              <w:spacing w:line="600" w:lineRule="auto"/>
              <w:rPr>
                <w:rFonts w:hint="default" w:ascii="宋体"/>
                <w:color w:val="auto"/>
                <w:szCs w:val="28"/>
                <w:lang w:val="en-US"/>
              </w:rPr>
            </w:pPr>
            <w:r>
              <w:rPr>
                <w:rFonts w:hint="eastAsia" w:cs="Times New Roman"/>
                <w:color w:val="auto"/>
                <w:sz w:val="24"/>
                <w:lang w:val="en-US" w:eastAsia="zh-CN"/>
              </w:rPr>
              <w:t xml:space="preserve">运维</w:t>
            </w:r>
            <w:r>
              <w:rPr>
                <w:rFonts w:hint="eastAsia" w:ascii="Times New Roman" w:hAnsi="Times New Roman" w:eastAsia="宋体" w:cs="Times New Roman"/>
                <w:color w:val="auto"/>
                <w:sz w:val="24"/>
                <w:lang w:val="en-US" w:eastAsia="zh-CN"/>
              </w:rPr>
              <w:t xml:space="preserve">期限：</w:t>
            </w:r>
            <w:r>
              <w:rPr>
                <w:rFonts w:hint="eastAsia" w:ascii="Times New Roman" w:hAnsi="Times New Roman" w:eastAsia="宋体" w:cs="Times New Roman"/>
                <w:color w:val="auto"/>
                <w:sz w:val="24"/>
                <w:u w:val="single"/>
                <w:lang w:val="en-US" w:eastAsia="zh-CN"/>
              </w:rPr>
              <w:t xml:space="preserve">                 </w:t>
            </w:r>
            <w:r/>
          </w:p>
        </w:tc>
      </w:tr>
    </w:tbl>
    <w:p>
      <w:pPr>
        <w:ind w:firstLine="440"/>
        <w:jc w:val="left"/>
        <w:spacing w:line="360" w:lineRule="auto"/>
        <w:rPr>
          <w:rFonts w:ascii="宋体" w:hAnsi="宋体" w:cs="黑体"/>
          <w:color w:val="auto"/>
          <w:sz w:val="24"/>
          <w:szCs w:val="24"/>
        </w:rPr>
      </w:pPr>
      <w:r>
        <w:rPr>
          <w:rFonts w:hint="eastAsia" w:ascii="宋体" w:hAnsi="宋体" w:cs="黑体"/>
          <w:color w:val="auto"/>
          <w:sz w:val="24"/>
          <w:szCs w:val="24"/>
        </w:rPr>
        <w:t xml:space="preserve">备注：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24"/>
          <w:szCs w:val="24"/>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、技术方案、服务承诺、培训承诺等</w:t>
      </w:r>
      <w:r/>
    </w:p>
    <w:p>
      <w:pPr>
        <w:pStyle w:val="824"/>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600"/>
        <w:spacing w:line="499" w:lineRule="atLeast"/>
        <w:widowControl/>
        <w:rPr>
          <w:rFonts w:ascii="宋体" w:hAnsi="宋体" w:eastAsia="宋体" w:cs="宋体"/>
          <w:sz w:val="24"/>
          <w:szCs w:val="24"/>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24"/>
        <w:jc w:val="center"/>
        <w:spacing w:beforeAutospacing="0" w:afterAutospacing="0"/>
        <w:rPr>
          <w:highlight w:val="none"/>
        </w:rPr>
      </w:pPr>
      <w:r>
        <w:rPr>
          <w:highlight w:val="none"/>
        </w:rPr>
      </w:r>
      <w:bookmarkEnd w:id="31"/>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8"/>
      <w:r/>
      <w:bookmarkEnd w:id="181"/>
      <w:r/>
      <w:bookmarkEnd w:id="209"/>
      <w:r/>
      <w:bookmarkEnd w:id="210"/>
      <w:r/>
      <w:bookmarkEnd w:id="212"/>
      <w:r/>
      <w:bookmarkEnd w:id="213"/>
      <w:r/>
      <w:bookmarkEnd w:id="214"/>
      <w:r/>
      <w:bookmarkEnd w:id="215"/>
      <w:r/>
      <w:bookmarkEnd w:id="224"/>
      <w:r/>
      <w:bookmarkEnd w:id="225"/>
      <w:r/>
      <w:bookmarkEnd w:id="226"/>
      <w:r/>
      <w:bookmarkEnd w:id="227"/>
      <w:r/>
      <w:bookmarkEnd w:id="228"/>
      <w:r/>
      <w:r/>
    </w:p>
    <w:p>
      <w:pPr>
        <w:rPr>
          <w:highlight w:val="none"/>
        </w:rPr>
      </w:pPr>
      <w:r>
        <w:rPr>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4"/>
        <w:ind w:firstLine="3097"/>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十六、其他材料（如有）</w:t>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24"/>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24"/>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24"/>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2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24"/>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24"/>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24"/>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2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2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2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2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24"/>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4"/>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2"/>
    <w:next w:val="812"/>
    <w:link w:val="641"/>
    <w:uiPriority w:val="9"/>
    <w:qFormat/>
    <w:pPr>
      <w:keepLines/>
      <w:keepNext/>
      <w:spacing w:before="480" w:after="200"/>
      <w:outlineLvl w:val="0"/>
    </w:pPr>
    <w:rPr>
      <w:rFonts w:ascii="Arial" w:hAnsi="Arial" w:eastAsia="Arial" w:cs="Arial"/>
      <w:sz w:val="40"/>
      <w:szCs w:val="40"/>
    </w:rPr>
  </w:style>
  <w:style w:type="character" w:styleId="641">
    <w:name w:val="Heading 1 Char"/>
    <w:basedOn w:val="815"/>
    <w:link w:val="640"/>
    <w:uiPriority w:val="9"/>
    <w:rPr>
      <w:rFonts w:ascii="Arial" w:hAnsi="Arial" w:eastAsia="Arial" w:cs="Arial"/>
      <w:sz w:val="40"/>
      <w:szCs w:val="40"/>
    </w:rPr>
  </w:style>
  <w:style w:type="character" w:styleId="642">
    <w:name w:val="Heading 2 Char"/>
    <w:basedOn w:val="815"/>
    <w:link w:val="813"/>
    <w:uiPriority w:val="9"/>
    <w:rPr>
      <w:rFonts w:ascii="Arial" w:hAnsi="Arial" w:eastAsia="Arial" w:cs="Arial"/>
      <w:sz w:val="34"/>
    </w:rPr>
  </w:style>
  <w:style w:type="character" w:styleId="643">
    <w:name w:val="Heading 3 Char"/>
    <w:basedOn w:val="815"/>
    <w:link w:val="814"/>
    <w:uiPriority w:val="9"/>
    <w:rPr>
      <w:rFonts w:ascii="Arial" w:hAnsi="Arial" w:eastAsia="Arial" w:cs="Arial"/>
      <w:sz w:val="30"/>
      <w:szCs w:val="30"/>
    </w:rPr>
  </w:style>
  <w:style w:type="paragraph" w:styleId="644">
    <w:name w:val="Heading 4"/>
    <w:basedOn w:val="812"/>
    <w:next w:val="812"/>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basedOn w:val="815"/>
    <w:link w:val="644"/>
    <w:uiPriority w:val="9"/>
    <w:rPr>
      <w:rFonts w:ascii="Arial" w:hAnsi="Arial" w:eastAsia="Arial" w:cs="Arial"/>
      <w:b/>
      <w:bCs/>
      <w:sz w:val="26"/>
      <w:szCs w:val="26"/>
    </w:rPr>
  </w:style>
  <w:style w:type="paragraph" w:styleId="646">
    <w:name w:val="Heading 5"/>
    <w:basedOn w:val="812"/>
    <w:next w:val="812"/>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basedOn w:val="815"/>
    <w:link w:val="646"/>
    <w:uiPriority w:val="9"/>
    <w:rPr>
      <w:rFonts w:ascii="Arial" w:hAnsi="Arial" w:eastAsia="Arial" w:cs="Arial"/>
      <w:b/>
      <w:bCs/>
      <w:sz w:val="24"/>
      <w:szCs w:val="24"/>
    </w:rPr>
  </w:style>
  <w:style w:type="paragraph" w:styleId="648">
    <w:name w:val="Heading 6"/>
    <w:basedOn w:val="812"/>
    <w:next w:val="812"/>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basedOn w:val="815"/>
    <w:link w:val="648"/>
    <w:uiPriority w:val="9"/>
    <w:rPr>
      <w:rFonts w:ascii="Arial" w:hAnsi="Arial" w:eastAsia="Arial" w:cs="Arial"/>
      <w:b/>
      <w:bCs/>
      <w:sz w:val="22"/>
      <w:szCs w:val="22"/>
    </w:rPr>
  </w:style>
  <w:style w:type="paragraph" w:styleId="650">
    <w:name w:val="Heading 7"/>
    <w:basedOn w:val="812"/>
    <w:next w:val="812"/>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basedOn w:val="815"/>
    <w:link w:val="650"/>
    <w:uiPriority w:val="9"/>
    <w:rPr>
      <w:rFonts w:ascii="Arial" w:hAnsi="Arial" w:eastAsia="Arial" w:cs="Arial"/>
      <w:b/>
      <w:bCs/>
      <w:i/>
      <w:iCs/>
      <w:sz w:val="22"/>
      <w:szCs w:val="22"/>
    </w:rPr>
  </w:style>
  <w:style w:type="paragraph" w:styleId="652">
    <w:name w:val="Heading 8"/>
    <w:basedOn w:val="812"/>
    <w:next w:val="812"/>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basedOn w:val="815"/>
    <w:link w:val="652"/>
    <w:uiPriority w:val="9"/>
    <w:rPr>
      <w:rFonts w:ascii="Arial" w:hAnsi="Arial" w:eastAsia="Arial" w:cs="Arial"/>
      <w:i/>
      <w:iCs/>
      <w:sz w:val="22"/>
      <w:szCs w:val="22"/>
    </w:rPr>
  </w:style>
  <w:style w:type="paragraph" w:styleId="654">
    <w:name w:val="Heading 9"/>
    <w:basedOn w:val="812"/>
    <w:next w:val="812"/>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basedOn w:val="815"/>
    <w:link w:val="654"/>
    <w:uiPriority w:val="9"/>
    <w:rPr>
      <w:rFonts w:ascii="Arial" w:hAnsi="Arial" w:eastAsia="Arial" w:cs="Arial"/>
      <w:i/>
      <w:iCs/>
      <w:sz w:val="21"/>
      <w:szCs w:val="21"/>
    </w:rPr>
  </w:style>
  <w:style w:type="paragraph" w:styleId="656">
    <w:name w:val="No Spacing"/>
    <w:uiPriority w:val="1"/>
    <w:qFormat/>
    <w:pPr>
      <w:spacing w:before="0" w:after="0" w:line="240" w:lineRule="auto"/>
    </w:pPr>
  </w:style>
  <w:style w:type="paragraph" w:styleId="657">
    <w:name w:val="Title"/>
    <w:basedOn w:val="812"/>
    <w:next w:val="812"/>
    <w:link w:val="658"/>
    <w:uiPriority w:val="10"/>
    <w:qFormat/>
    <w:pPr>
      <w:contextualSpacing/>
      <w:spacing w:before="300" w:after="200"/>
    </w:pPr>
    <w:rPr>
      <w:sz w:val="48"/>
      <w:szCs w:val="48"/>
    </w:rPr>
  </w:style>
  <w:style w:type="character" w:styleId="658">
    <w:name w:val="Title Char"/>
    <w:basedOn w:val="815"/>
    <w:link w:val="657"/>
    <w:uiPriority w:val="10"/>
    <w:rPr>
      <w:sz w:val="48"/>
      <w:szCs w:val="48"/>
    </w:rPr>
  </w:style>
  <w:style w:type="paragraph" w:styleId="659">
    <w:name w:val="Subtitle"/>
    <w:basedOn w:val="812"/>
    <w:next w:val="812"/>
    <w:link w:val="660"/>
    <w:uiPriority w:val="11"/>
    <w:qFormat/>
    <w:pPr>
      <w:spacing w:before="200" w:after="200"/>
    </w:pPr>
    <w:rPr>
      <w:sz w:val="24"/>
      <w:szCs w:val="24"/>
    </w:rPr>
  </w:style>
  <w:style w:type="character" w:styleId="660">
    <w:name w:val="Subtitle Char"/>
    <w:basedOn w:val="815"/>
    <w:link w:val="659"/>
    <w:uiPriority w:val="11"/>
    <w:rPr>
      <w:sz w:val="24"/>
      <w:szCs w:val="24"/>
    </w:rPr>
  </w:style>
  <w:style w:type="paragraph" w:styleId="661">
    <w:name w:val="Quote"/>
    <w:basedOn w:val="812"/>
    <w:next w:val="812"/>
    <w:link w:val="662"/>
    <w:uiPriority w:val="29"/>
    <w:qFormat/>
    <w:pPr>
      <w:ind w:left="720" w:right="720"/>
    </w:pPr>
    <w:rPr>
      <w:i/>
    </w:rPr>
  </w:style>
  <w:style w:type="character" w:styleId="662">
    <w:name w:val="Quote Char"/>
    <w:link w:val="661"/>
    <w:uiPriority w:val="29"/>
    <w:rPr>
      <w:i/>
    </w:rPr>
  </w:style>
  <w:style w:type="paragraph" w:styleId="663">
    <w:name w:val="Intense Quote"/>
    <w:basedOn w:val="812"/>
    <w:next w:val="812"/>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character" w:styleId="665">
    <w:name w:val="Header Char"/>
    <w:basedOn w:val="815"/>
    <w:link w:val="823"/>
    <w:uiPriority w:val="99"/>
  </w:style>
  <w:style w:type="character" w:styleId="666">
    <w:name w:val="Footer Char"/>
    <w:basedOn w:val="815"/>
    <w:link w:val="822"/>
    <w:uiPriority w:val="99"/>
  </w:style>
  <w:style w:type="paragraph" w:styleId="667">
    <w:name w:val="Caption"/>
    <w:basedOn w:val="812"/>
    <w:next w:val="812"/>
    <w:uiPriority w:val="35"/>
    <w:semiHidden/>
    <w:unhideWhenUsed/>
    <w:qFormat/>
    <w:pPr>
      <w:spacing w:line="276" w:lineRule="auto"/>
    </w:pPr>
    <w:rPr>
      <w:b/>
      <w:bCs/>
      <w:color w:val="4f81bd" w:themeColor="accent1"/>
      <w:sz w:val="18"/>
      <w:szCs w:val="18"/>
    </w:rPr>
  </w:style>
  <w:style w:type="character" w:styleId="668">
    <w:name w:val="Caption Char"/>
    <w:basedOn w:val="667"/>
    <w:link w:val="822"/>
    <w:uiPriority w:val="99"/>
  </w:style>
  <w:style w:type="table" w:styleId="669">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5">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6">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7">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8">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9">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0">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7">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0">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1">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2">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3">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4">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5">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7">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8">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9">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0">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1">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2">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1">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2">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3">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4">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5">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6">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8">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9">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0">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1">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2">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3">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5">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6">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7">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8">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9">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0">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2">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3">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4">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5">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6">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7">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basedOn w:val="812"/>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basedOn w:val="815"/>
    <w:uiPriority w:val="99"/>
    <w:unhideWhenUsed/>
    <w:rPr>
      <w:vertAlign w:val="superscript"/>
    </w:rPr>
  </w:style>
  <w:style w:type="paragraph" w:styleId="798">
    <w:name w:val="endnote text"/>
    <w:basedOn w:val="812"/>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basedOn w:val="815"/>
    <w:uiPriority w:val="99"/>
    <w:semiHidden/>
    <w:unhideWhenUsed/>
    <w:rPr>
      <w:vertAlign w:val="superscript"/>
    </w:rPr>
  </w:style>
  <w:style w:type="paragraph" w:styleId="801">
    <w:name w:val="toc 1"/>
    <w:basedOn w:val="812"/>
    <w:next w:val="812"/>
    <w:uiPriority w:val="39"/>
    <w:unhideWhenUsed/>
    <w:pPr>
      <w:ind w:left="0" w:right="0" w:firstLine="0"/>
      <w:spacing w:after="57"/>
    </w:pPr>
  </w:style>
  <w:style w:type="paragraph" w:styleId="802">
    <w:name w:val="toc 2"/>
    <w:basedOn w:val="812"/>
    <w:next w:val="812"/>
    <w:uiPriority w:val="39"/>
    <w:unhideWhenUsed/>
    <w:pPr>
      <w:ind w:left="283" w:right="0" w:firstLine="0"/>
      <w:spacing w:after="57"/>
    </w:pPr>
  </w:style>
  <w:style w:type="paragraph" w:styleId="803">
    <w:name w:val="toc 3"/>
    <w:basedOn w:val="812"/>
    <w:next w:val="812"/>
    <w:uiPriority w:val="39"/>
    <w:unhideWhenUsed/>
    <w:pPr>
      <w:ind w:left="567" w:right="0" w:firstLine="0"/>
      <w:spacing w:after="57"/>
    </w:pPr>
  </w:style>
  <w:style w:type="paragraph" w:styleId="804">
    <w:name w:val="toc 4"/>
    <w:basedOn w:val="812"/>
    <w:next w:val="812"/>
    <w:uiPriority w:val="39"/>
    <w:unhideWhenUsed/>
    <w:pPr>
      <w:ind w:left="850" w:right="0" w:firstLine="0"/>
      <w:spacing w:after="57"/>
    </w:pPr>
  </w:style>
  <w:style w:type="paragraph" w:styleId="805">
    <w:name w:val="toc 5"/>
    <w:basedOn w:val="812"/>
    <w:next w:val="812"/>
    <w:uiPriority w:val="39"/>
    <w:unhideWhenUsed/>
    <w:pPr>
      <w:ind w:left="1134" w:right="0" w:firstLine="0"/>
      <w:spacing w:after="57"/>
    </w:pPr>
  </w:style>
  <w:style w:type="paragraph" w:styleId="806">
    <w:name w:val="toc 6"/>
    <w:basedOn w:val="812"/>
    <w:next w:val="812"/>
    <w:uiPriority w:val="39"/>
    <w:unhideWhenUsed/>
    <w:pPr>
      <w:ind w:left="1417" w:right="0" w:firstLine="0"/>
      <w:spacing w:after="57"/>
    </w:pPr>
  </w:style>
  <w:style w:type="paragraph" w:styleId="807">
    <w:name w:val="toc 7"/>
    <w:basedOn w:val="812"/>
    <w:next w:val="812"/>
    <w:uiPriority w:val="39"/>
    <w:unhideWhenUsed/>
    <w:pPr>
      <w:ind w:left="1701" w:right="0" w:firstLine="0"/>
      <w:spacing w:after="57"/>
    </w:pPr>
  </w:style>
  <w:style w:type="paragraph" w:styleId="808">
    <w:name w:val="toc 8"/>
    <w:basedOn w:val="812"/>
    <w:next w:val="812"/>
    <w:uiPriority w:val="39"/>
    <w:unhideWhenUsed/>
    <w:pPr>
      <w:ind w:left="1984" w:right="0" w:firstLine="0"/>
      <w:spacing w:after="57"/>
    </w:pPr>
  </w:style>
  <w:style w:type="paragraph" w:styleId="809">
    <w:name w:val="toc 9"/>
    <w:basedOn w:val="812"/>
    <w:next w:val="812"/>
    <w:uiPriority w:val="39"/>
    <w:unhideWhenUsed/>
    <w:pPr>
      <w:ind w:left="2268" w:right="0" w:firstLine="0"/>
      <w:spacing w:after="57"/>
    </w:pPr>
  </w:style>
  <w:style w:type="paragraph" w:styleId="810">
    <w:name w:val="TOC Heading"/>
    <w:uiPriority w:val="39"/>
    <w:unhideWhenUsed/>
  </w:style>
  <w:style w:type="paragraph" w:styleId="811">
    <w:name w:val="table of figures"/>
    <w:basedOn w:val="812"/>
    <w:next w:val="812"/>
    <w:uiPriority w:val="99"/>
    <w:unhideWhenUsed/>
    <w:pPr>
      <w:spacing w:after="0" w:afterAutospacing="0"/>
    </w:pPr>
  </w:style>
  <w:style w:type="paragraph" w:styleId="81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3">
    <w:name w:val="Heading 2"/>
    <w:basedOn w:val="812"/>
    <w:next w:val="81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14">
    <w:name w:val="Heading 3"/>
    <w:basedOn w:val="812"/>
    <w:next w:val="812"/>
    <w:uiPriority w:val="99"/>
    <w:qFormat/>
    <w:pPr>
      <w:ind w:firstLine="137"/>
      <w:keepLines/>
      <w:keepNext/>
      <w:spacing w:line="415" w:lineRule="auto"/>
      <w:outlineLvl w:val="2"/>
    </w:pPr>
    <w:rPr>
      <w:rFonts w:hAnsi="黑体" w:eastAsia="黑体"/>
      <w:sz w:val="24"/>
      <w:szCs w:val="20"/>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annotation text"/>
    <w:basedOn w:val="812"/>
    <w:uiPriority w:val="0"/>
    <w:qFormat/>
    <w:pPr>
      <w:jc w:val="left"/>
    </w:pPr>
  </w:style>
  <w:style w:type="paragraph" w:styleId="818">
    <w:name w:val="Body Text"/>
    <w:basedOn w:val="812"/>
    <w:uiPriority w:val="0"/>
    <w:semiHidden/>
    <w:qFormat/>
    <w:rPr>
      <w:rFonts w:ascii="仿宋" w:hAnsi="仿宋" w:eastAsia="仿宋" w:cs="仿宋"/>
      <w:sz w:val="31"/>
      <w:szCs w:val="31"/>
      <w:lang w:val="en-US" w:eastAsia="en-US" w:bidi="ar-SA"/>
    </w:rPr>
  </w:style>
  <w:style w:type="paragraph" w:styleId="819">
    <w:name w:val="Body Text Indent"/>
    <w:basedOn w:val="812"/>
    <w:next w:val="820"/>
    <w:uiPriority w:val="99"/>
    <w:qFormat/>
    <w:pPr>
      <w:ind w:firstLine="645"/>
    </w:pPr>
    <w:rPr>
      <w:rFonts w:ascii="楷体_GB2312" w:eastAsia="楷体_GB2312"/>
      <w:sz w:val="32"/>
      <w:szCs w:val="32"/>
    </w:rPr>
  </w:style>
  <w:style w:type="paragraph" w:styleId="820">
    <w:name w:val="envelope return"/>
    <w:basedOn w:val="812"/>
    <w:uiPriority w:val="99"/>
    <w:unhideWhenUsed/>
    <w:qFormat/>
    <w:rPr>
      <w:rFonts w:ascii="Arial" w:hAnsi="Arial"/>
    </w:rPr>
  </w:style>
  <w:style w:type="paragraph" w:styleId="821">
    <w:name w:val="Plain Text"/>
    <w:basedOn w:val="812"/>
    <w:uiPriority w:val="0"/>
    <w:qFormat/>
    <w:rPr>
      <w:rFonts w:ascii="宋体" w:hAnsi="Courier New"/>
    </w:rPr>
  </w:style>
  <w:style w:type="paragraph" w:styleId="822">
    <w:name w:val="Footer"/>
    <w:basedOn w:val="812"/>
    <w:link w:val="829"/>
    <w:uiPriority w:val="0"/>
    <w:qFormat/>
    <w:pPr>
      <w:jc w:val="left"/>
      <w:tabs>
        <w:tab w:val="center" w:pos="4153" w:leader="none"/>
        <w:tab w:val="right" w:pos="8306" w:leader="none"/>
      </w:tabs>
    </w:pPr>
    <w:rPr>
      <w:sz w:val="18"/>
      <w:szCs w:val="18"/>
    </w:rPr>
  </w:style>
  <w:style w:type="paragraph" w:styleId="823">
    <w:name w:val="Header"/>
    <w:basedOn w:val="812"/>
    <w:link w:val="828"/>
    <w:uiPriority w:val="0"/>
    <w:qFormat/>
    <w:pPr>
      <w:jc w:val="center"/>
      <w:tabs>
        <w:tab w:val="center" w:pos="4153" w:leader="none"/>
        <w:tab w:val="right" w:pos="8306" w:leader="none"/>
      </w:tabs>
      <w:pBdr>
        <w:bottom w:val="single" w:color="auto" w:sz="6" w:space="1"/>
      </w:pBdr>
    </w:pPr>
    <w:rPr>
      <w:sz w:val="18"/>
      <w:szCs w:val="18"/>
    </w:rPr>
  </w:style>
  <w:style w:type="paragraph" w:styleId="824">
    <w:name w:val="Normal (Web)"/>
    <w:basedOn w:val="812"/>
    <w:uiPriority w:val="0"/>
    <w:qFormat/>
    <w:pPr>
      <w:jc w:val="left"/>
      <w:spacing w:beforeAutospacing="1" w:afterAutospacing="1"/>
    </w:pPr>
    <w:rPr>
      <w:rFonts w:cs="Times New Roman"/>
      <w:sz w:val="24"/>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mphasis"/>
    <w:uiPriority w:val="0"/>
    <w:qFormat/>
    <w:rPr>
      <w:i/>
    </w:rPr>
  </w:style>
  <w:style w:type="paragraph" w:styleId="827" w:customStyle="1">
    <w:name w:val="Default"/>
    <w:basedOn w:val="812"/>
    <w:uiPriority w:val="0"/>
    <w:semiHidden/>
    <w:qFormat/>
    <w:pPr>
      <w:jc w:val="left"/>
    </w:pPr>
    <w:rPr>
      <w:rFonts w:ascii="宋体" w:hAnsi="Calibri" w:cs="宋体"/>
      <w:color w:val="000000"/>
      <w:sz w:val="24"/>
    </w:rPr>
  </w:style>
  <w:style w:type="character" w:styleId="828" w:customStyle="1">
    <w:name w:val="页眉 Char"/>
    <w:basedOn w:val="815"/>
    <w:link w:val="823"/>
    <w:uiPriority w:val="0"/>
    <w:qFormat/>
    <w:rPr>
      <w:rFonts w:asciiTheme="minorHAnsi" w:hAnsiTheme="minorHAnsi" w:eastAsiaTheme="minorEastAsia" w:cstheme="minorBidi"/>
      <w:sz w:val="18"/>
      <w:szCs w:val="18"/>
    </w:rPr>
  </w:style>
  <w:style w:type="character" w:styleId="829" w:customStyle="1">
    <w:name w:val="页脚 Char"/>
    <w:basedOn w:val="815"/>
    <w:link w:val="822"/>
    <w:uiPriority w:val="0"/>
    <w:qFormat/>
    <w:rPr>
      <w:rFonts w:asciiTheme="minorHAnsi" w:hAnsiTheme="minorHAnsi" w:eastAsiaTheme="minorEastAsia" w:cstheme="minorBidi"/>
      <w:sz w:val="18"/>
      <w:szCs w:val="18"/>
    </w:rPr>
  </w:style>
  <w:style w:type="paragraph" w:styleId="830" w:customStyle="1">
    <w:name w:val="普通正文"/>
    <w:basedOn w:val="812"/>
    <w:uiPriority w:val="0"/>
    <w:qFormat/>
    <w:pPr>
      <w:ind w:firstLine="480"/>
      <w:jc w:val="left"/>
      <w:spacing w:before="120" w:after="120" w:line="360" w:lineRule="auto"/>
    </w:pPr>
    <w:rPr>
      <w:rFonts w:ascii="Arial" w:hAnsi="Arial" w:eastAsia="等线" w:cs="Arial"/>
      <w:sz w:val="24"/>
      <w:szCs w:val="24"/>
    </w:rPr>
  </w:style>
  <w:style w:type="paragraph" w:styleId="831" w:customStyle="1">
    <w:name w:val="正文首行缩进 21"/>
    <w:basedOn w:val="832"/>
    <w:uiPriority w:val="0"/>
    <w:qFormat/>
    <w:pPr>
      <w:ind w:firstLine="420"/>
    </w:pPr>
  </w:style>
  <w:style w:type="paragraph" w:styleId="832" w:customStyle="1">
    <w:name w:val="正文文本缩进1"/>
    <w:basedOn w:val="812"/>
    <w:uiPriority w:val="0"/>
    <w:qFormat/>
    <w:pPr>
      <w:ind w:left="420"/>
      <w:spacing w:after="120"/>
    </w:pPr>
  </w:style>
  <w:style w:type="paragraph" w:styleId="833" w:customStyle="1">
    <w:name w:val="正文_liull"/>
    <w:basedOn w:val="812"/>
    <w:uiPriority w:val="0"/>
    <w:qFormat/>
    <w:pPr>
      <w:ind w:firstLine="200"/>
      <w:spacing w:line="360" w:lineRule="auto"/>
    </w:pPr>
    <w:rPr>
      <w:rFonts w:ascii="Times New Roman" w:hAnsi="Times New Roman"/>
    </w:rPr>
  </w:style>
  <w:style w:type="paragraph" w:styleId="834">
    <w:name w:val="List Paragraph"/>
    <w:basedOn w:val="812"/>
    <w:uiPriority w:val="0"/>
    <w:qFormat/>
    <w:pPr>
      <w:ind w:firstLine="420"/>
    </w:pPr>
    <w:rPr>
      <w:sz w:val="21"/>
    </w:rPr>
  </w:style>
  <w:style w:type="paragraph" w:styleId="835" w:customStyle="1">
    <w:name w:val="__正文"/>
    <w:uiPriority w:val="0"/>
    <w:qFormat/>
    <w:pPr>
      <w:ind w:firstLine="200"/>
      <w:spacing w:line="360" w:lineRule="auto"/>
    </w:pPr>
    <w:rPr>
      <w:rFonts w:ascii="Calibri" w:hAnsi="Calibri" w:eastAsia="宋体" w:cs="宋体"/>
      <w:sz w:val="24"/>
      <w:szCs w:val="21"/>
      <w:lang w:val="en-US" w:eastAsia="zh-CN" w:bidi="ar-SA"/>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费朝萍</cp:lastModifiedBy>
  <cp:revision>274</cp:revision>
  <dcterms:created xsi:type="dcterms:W3CDTF">2014-10-29T12:08:00Z</dcterms:created>
  <dcterms:modified xsi:type="dcterms:W3CDTF">2026-02-28T01:10:17Z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65759699444F44BBBFCCC89CEABA8F49_13</vt:lpwstr>
  </property>
  <property fmtid="{D5CDD505-2E9C-101B-9397-08002B2CF9AE}" pid="4" name="KSOTemplateDocerSaveRecord">
    <vt:lpwstr>eyJoZGlkIjoiOTViOTc1ZDBiMGY3YjA3MTIyZTBmM2I3YWJlZWY1YzEiLCJ1c2VySWQiOiIxNzM0NDM5ODczIn0=</vt:lpwstr>
  </property>
</Properties>
</file>