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default"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 xml:space="preserve">   </w:t>
      </w:r>
      <w:r/>
    </w:p>
    <w:p>
      <w:pPr>
        <w:jc w:val="left"/>
        <w:spacing w:line="360" w:lineRule="auto"/>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ind w:right="-2"/>
        <w:jc w:val="center"/>
        <w:spacing w:line="360" w:lineRule="auto"/>
        <w:rPr>
          <w:rFonts w:hint="eastAsia" w:ascii="黑体" w:hAnsi="黑体" w:eastAsia="黑体" w:cs="仿宋"/>
          <w:b/>
          <w:color w:val="auto"/>
          <w:sz w:val="48"/>
          <w:szCs w:val="48"/>
          <w:highlight w:val="none"/>
          <w:lang w:eastAsia="zh-CN"/>
        </w:rPr>
      </w:pPr>
      <w:r>
        <w:rPr>
          <w:rFonts w:hint="eastAsia" w:ascii="黑体" w:hAnsi="黑体" w:eastAsia="黑体" w:cs="Times New Roman"/>
          <w:b/>
          <w:color w:val="auto"/>
          <w:sz w:val="48"/>
          <w:szCs w:val="48"/>
          <w:highlight w:val="none"/>
          <w:lang w:eastAsia="zh-CN"/>
        </w:rPr>
        <w:t xml:space="preserve">南通创新区2026年度紫琅湖未来产业创新创业大赛活动组织采购项目</w:t>
      </w:r>
      <w:r/>
    </w:p>
    <w:p>
      <w:pPr>
        <w:jc w:val="left"/>
        <w:spacing w:line="360" w:lineRule="auto"/>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jc w:val="left"/>
        <w:spacing w:line="360" w:lineRule="auto"/>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jc w:val="center"/>
        <w:spacing w:line="360" w:lineRule="auto"/>
        <w:rPr>
          <w:rFonts w:ascii="黑体" w:hAnsi="黑体" w:eastAsia="黑体" w:cs="仿宋"/>
          <w:b/>
          <w:bCs/>
          <w:color w:val="auto"/>
          <w:sz w:val="52"/>
          <w:szCs w:val="52"/>
          <w:highlight w:val="none"/>
          <w:lang w:val="zh-CN"/>
        </w:rPr>
      </w:pPr>
      <w:r>
        <w:rPr>
          <w:rFonts w:hint="eastAsia" w:ascii="黑体" w:hAnsi="黑体" w:eastAsia="黑体" w:cs="仿宋"/>
          <w:b/>
          <w:bCs/>
          <w:color w:val="auto"/>
          <w:sz w:val="52"/>
          <w:szCs w:val="52"/>
          <w:highlight w:val="none"/>
          <w:lang w:val="zh-CN"/>
        </w:rPr>
        <w:t xml:space="preserve">竞争性磋商文件</w:t>
      </w:r>
      <w:r/>
    </w:p>
    <w:p>
      <w:pPr>
        <w:jc w:val="left"/>
        <w:spacing w:line="360" w:lineRule="auto"/>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jc w:val="center"/>
        <w:spacing w:line="360" w:lineRule="auto"/>
        <w:rPr>
          <w:rFonts w:hint="eastAsia" w:ascii="华文中宋" w:hAnsi="华文中宋" w:eastAsia="华文中宋" w:cs="仿宋"/>
          <w:b/>
          <w:color w:val="auto"/>
          <w:sz w:val="28"/>
          <w:szCs w:val="36"/>
          <w:highlight w:val="none"/>
          <w:lang w:eastAsia="zh-CN"/>
        </w:rPr>
      </w:pPr>
      <w:r/>
      <w:bookmarkStart w:id="0" w:name="_Hlk118635279"/>
      <w:r>
        <w:rPr>
          <w:rFonts w:hint="eastAsia" w:ascii="华文中宋" w:hAnsi="华文中宋" w:eastAsia="华文中宋" w:cs="仿宋"/>
          <w:b/>
          <w:color w:val="auto"/>
          <w:sz w:val="28"/>
          <w:szCs w:val="36"/>
          <w:highlight w:val="none"/>
        </w:rPr>
        <w:t xml:space="preserve">项目编号：</w:t>
      </w:r>
      <w:bookmarkEnd w:id="0"/>
      <w:r>
        <w:rPr>
          <w:rFonts w:hint="eastAsia" w:ascii="华文中宋" w:hAnsi="华文中宋" w:eastAsia="华文中宋" w:cs="仿宋"/>
          <w:b/>
          <w:color w:val="auto"/>
          <w:sz w:val="28"/>
          <w:szCs w:val="36"/>
          <w:highlight w:val="none"/>
        </w:rPr>
        <w:t xml:space="preserve">JSZC-320600-SHSY-C2026-0002</w:t>
      </w:r>
      <w:r/>
    </w:p>
    <w:p>
      <w:pPr>
        <w:jc w:val="left"/>
        <w:spacing w:line="360" w:lineRule="auto"/>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jc w:val="left"/>
        <w:spacing w:line="360" w:lineRule="auto"/>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jc w:val="center"/>
        <w:spacing w:line="360" w:lineRule="auto"/>
        <w:rPr>
          <w:rFonts w:ascii="仿宋" w:hAnsi="仿宋" w:eastAsia="仿宋" w:cs="仿宋"/>
          <w:color w:val="auto"/>
          <w:szCs w:val="21"/>
          <w:highlight w:val="none"/>
        </w:rPr>
      </w:pPr>
      <w:r>
        <w:rPr>
          <w:rFonts w:ascii="仿宋" w:hAnsi="仿宋" w:eastAsia="仿宋" w:cs="仿宋"/>
          <w:color w:val="auto"/>
          <w:sz w:val="20"/>
          <w:szCs w:val="20"/>
          <w:highlight w:val="none"/>
          <w:lang w:val="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5.8pt;height:129.8pt;mso-wrap-distance-left:0.0pt;mso-wrap-distance-top:0.0pt;mso-wrap-distance-right:0.0pt;mso-wrap-distance-bottom:0.0pt;" filled="f" stroked="f">
            <v:path textboxrect="0,0,0,0"/>
            <v:imagedata r:id="rId11" o:title=""/>
          </v:shape>
          <o:OLEObject DrawAspect="Content" r:id="rId12" ObjectID="_1525040" ProgID="MS_ClipArt_Gallery.5" ShapeID="_x0000_i0" Type="Embed"/>
        </w:object>
      </w:r>
      <w:r/>
    </w:p>
    <w:p>
      <w:pPr>
        <w:jc w:val="left"/>
        <w:spacing w:line="360" w:lineRule="auto"/>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tbl>
      <w:tblPr>
        <w:tblStyle w:val="858"/>
        <w:tblW w:w="6833"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841"/>
        <w:gridCol w:w="992"/>
      </w:tblGrid>
      <w:tr>
        <w:trPr>
          <w:jc w:val="center"/>
        </w:trPr>
        <w:tc>
          <w:tcPr>
            <w:tcW w:w="5841" w:type="dxa"/>
            <w:textDirection w:val="lrTb"/>
            <w:noWrap w:val="false"/>
          </w:tcPr>
          <w:p>
            <w:pPr>
              <w:jc w:val="center"/>
              <w:spacing w:line="360" w:lineRule="auto"/>
              <w:rPr>
                <w:rFonts w:hint="eastAsia" w:ascii="华文中宋" w:hAnsi="华文中宋" w:eastAsia="华文中宋" w:cs="仿宋"/>
                <w:b/>
                <w:color w:val="auto"/>
                <w:spacing w:val="20"/>
                <w:sz w:val="28"/>
                <w:szCs w:val="28"/>
                <w:highlight w:val="none"/>
                <w:lang w:eastAsia="zh-CN"/>
              </w:rPr>
            </w:pPr>
            <w:r>
              <w:rPr>
                <w:rFonts w:hint="eastAsia" w:ascii="华文中宋" w:hAnsi="华文中宋" w:eastAsia="华文中宋" w:cs="仿宋"/>
                <w:b/>
                <w:color w:val="auto"/>
                <w:spacing w:val="20"/>
                <w:sz w:val="28"/>
                <w:szCs w:val="28"/>
                <w:highlight w:val="none"/>
                <w:lang w:eastAsia="zh-CN"/>
              </w:rPr>
              <w:t xml:space="preserve">南通创新区管理办公室</w:t>
            </w:r>
            <w:r/>
          </w:p>
        </w:tc>
        <w:tc>
          <w:tcPr>
            <w:tcW w:w="992" w:type="dxa"/>
            <w:vAlign w:val="center"/>
            <w:vMerge w:val="restart"/>
            <w:textDirection w:val="lrTb"/>
            <w:noWrap w:val="false"/>
          </w:tcPr>
          <w:p>
            <w:pPr>
              <w:spacing w:line="360" w:lineRule="auto"/>
              <w:rPr>
                <w:rFonts w:ascii="华文中宋" w:hAnsi="华文中宋" w:eastAsia="华文中宋" w:cs="仿宋"/>
                <w:b/>
                <w:color w:val="auto"/>
                <w:spacing w:val="20"/>
                <w:sz w:val="28"/>
                <w:szCs w:val="28"/>
                <w:highlight w:val="none"/>
              </w:rPr>
            </w:pPr>
            <w:r>
              <w:rPr>
                <w:rFonts w:hint="eastAsia" w:ascii="华文中宋" w:hAnsi="华文中宋" w:eastAsia="华文中宋" w:cs="仿宋"/>
                <w:b/>
                <w:color w:val="auto"/>
                <w:spacing w:val="20"/>
                <w:sz w:val="28"/>
                <w:szCs w:val="28"/>
                <w:highlight w:val="none"/>
              </w:rPr>
              <w:t xml:space="preserve">印制</w:t>
            </w:r>
            <w:r/>
          </w:p>
        </w:tc>
      </w:tr>
      <w:tr>
        <w:trPr>
          <w:jc w:val="center"/>
        </w:trPr>
        <w:tc>
          <w:tcPr>
            <w:tcW w:w="5841" w:type="dxa"/>
            <w:textDirection w:val="lrTb"/>
            <w:noWrap w:val="false"/>
          </w:tcPr>
          <w:p>
            <w:pPr>
              <w:jc w:val="center"/>
              <w:spacing w:line="360" w:lineRule="auto"/>
              <w:rPr>
                <w:rFonts w:hint="eastAsia" w:ascii="华文中宋" w:hAnsi="华文中宋" w:eastAsia="华文中宋" w:cs="仿宋"/>
                <w:b/>
                <w:color w:val="auto"/>
                <w:spacing w:val="20"/>
                <w:sz w:val="28"/>
                <w:szCs w:val="28"/>
                <w:highlight w:val="none"/>
                <w:lang w:eastAsia="zh-CN"/>
              </w:rPr>
            </w:pPr>
            <w:r>
              <w:rPr>
                <w:rFonts w:hint="eastAsia" w:ascii="华文中宋" w:hAnsi="华文中宋" w:eastAsia="华文中宋" w:cs="仿宋"/>
                <w:b/>
                <w:color w:val="auto"/>
                <w:spacing w:val="20"/>
                <w:sz w:val="28"/>
                <w:szCs w:val="28"/>
                <w:highlight w:val="none"/>
                <w:lang w:eastAsia="zh-CN"/>
              </w:rPr>
              <w:t xml:space="preserve">上海申邑工程咨询有限公司</w:t>
            </w:r>
            <w:r/>
          </w:p>
        </w:tc>
        <w:tc>
          <w:tcPr>
            <w:tcW w:w="992" w:type="dxa"/>
            <w:vMerge w:val="continue"/>
            <w:textDirection w:val="lrTb"/>
            <w:noWrap w:val="false"/>
          </w:tcPr>
          <w:p>
            <w:pPr>
              <w:jc w:val="center"/>
              <w:spacing w:line="360" w:lineRule="auto"/>
              <w:rPr>
                <w:rFonts w:ascii="华文中宋" w:hAnsi="华文中宋" w:eastAsia="华文中宋" w:cs="仿宋"/>
                <w:b/>
                <w:color w:val="auto"/>
                <w:spacing w:val="20"/>
                <w:sz w:val="28"/>
                <w:szCs w:val="28"/>
                <w:highlight w:val="none"/>
              </w:rPr>
            </w:pPr>
            <w:r>
              <w:rPr>
                <w:rFonts w:ascii="华文中宋" w:hAnsi="华文中宋" w:eastAsia="华文中宋" w:cs="仿宋"/>
                <w:b/>
                <w:color w:val="auto"/>
                <w:spacing w:val="20"/>
                <w:sz w:val="28"/>
                <w:szCs w:val="28"/>
                <w:highlight w:val="none"/>
              </w:rPr>
            </w:r>
            <w:r/>
          </w:p>
        </w:tc>
      </w:tr>
    </w:tbl>
    <w:p>
      <w:pPr>
        <w:jc w:val="center"/>
        <w:spacing w:line="360" w:lineRule="auto"/>
        <w:rPr>
          <w:rFonts w:ascii="华文中宋" w:hAnsi="华文中宋" w:eastAsia="华文中宋" w:cs="仿宋"/>
          <w:b/>
          <w:color w:val="auto"/>
          <w:sz w:val="28"/>
          <w:szCs w:val="28"/>
          <w:highlight w:val="none"/>
        </w:rPr>
      </w:pPr>
      <w:r>
        <w:rPr>
          <w:rFonts w:hint="eastAsia" w:ascii="华文中宋" w:hAnsi="华文中宋" w:eastAsia="华文中宋" w:cs="仿宋"/>
          <w:b/>
          <w:color w:val="auto"/>
          <w:sz w:val="28"/>
          <w:szCs w:val="28"/>
          <w:highlight w:val="none"/>
        </w:rPr>
        <w:t xml:space="preserve">二○二</w:t>
      </w:r>
      <w:r>
        <w:rPr>
          <w:rFonts w:hint="eastAsia" w:ascii="华文中宋" w:hAnsi="华文中宋" w:eastAsia="华文中宋" w:cs="仿宋"/>
          <w:b/>
          <w:color w:val="auto"/>
          <w:sz w:val="28"/>
          <w:szCs w:val="28"/>
          <w:highlight w:val="none"/>
          <w:lang w:val="en-US" w:eastAsia="zh-CN"/>
        </w:rPr>
        <w:t xml:space="preserve">六</w:t>
      </w:r>
      <w:r>
        <w:rPr>
          <w:rFonts w:hint="eastAsia" w:ascii="华文中宋" w:hAnsi="华文中宋" w:eastAsia="华文中宋" w:cs="仿宋"/>
          <w:b/>
          <w:color w:val="auto"/>
          <w:sz w:val="28"/>
          <w:szCs w:val="28"/>
          <w:highlight w:val="none"/>
        </w:rPr>
        <w:t xml:space="preserve">年</w:t>
      </w:r>
      <w:r>
        <w:rPr>
          <w:rFonts w:hint="eastAsia" w:ascii="华文中宋" w:hAnsi="华文中宋" w:eastAsia="华文中宋" w:cs="仿宋"/>
          <w:b/>
          <w:color w:val="auto"/>
          <w:sz w:val="28"/>
          <w:szCs w:val="28"/>
          <w:highlight w:val="none"/>
          <w:lang w:val="en-US" w:eastAsia="zh-CN"/>
        </w:rPr>
        <w:t xml:space="preserve">三</w:t>
      </w:r>
      <w:r>
        <w:rPr>
          <w:rFonts w:hint="eastAsia" w:ascii="华文中宋" w:hAnsi="华文中宋" w:eastAsia="华文中宋" w:cs="仿宋"/>
          <w:b/>
          <w:color w:val="auto"/>
          <w:sz w:val="28"/>
          <w:szCs w:val="28"/>
          <w:highlight w:val="none"/>
        </w:rPr>
        <w:t xml:space="preserve">月</w:t>
      </w:r>
      <w:r/>
    </w:p>
    <w:p>
      <w:pPr>
        <w:pStyle w:val="849"/>
        <w:rPr>
          <w:color w:val="auto"/>
          <w:highlight w:val="none"/>
        </w:rPr>
      </w:pPr>
      <w:r>
        <w:rPr>
          <w:color w:val="auto"/>
          <w:highlight w:val="none"/>
        </w:rPr>
      </w:r>
      <w:r/>
    </w:p>
    <w:p>
      <w:pPr>
        <w:pStyle w:val="859"/>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仿宋" w:hAnsi="仿宋" w:eastAsia="仿宋" w:cs="仿宋"/>
          <w:b/>
          <w:bCs/>
          <w:color w:val="auto"/>
          <w:sz w:val="52"/>
          <w:szCs w:val="32"/>
          <w:highlight w:val="none"/>
          <w:lang w:val="zh-CN"/>
        </w:rPr>
        <w:outlineLvl w:val="0"/>
      </w:pPr>
      <w:r>
        <w:rPr>
          <w:rFonts w:hint="eastAsia" w:ascii="仿宋" w:hAnsi="仿宋" w:eastAsia="仿宋" w:cs="仿宋"/>
          <w:b/>
          <w:bCs/>
          <w:color w:val="auto"/>
          <w:sz w:val="52"/>
          <w:szCs w:val="32"/>
          <w:highlight w:val="none"/>
          <w:lang w:val="zh-CN"/>
        </w:rPr>
        <w:t xml:space="preserve">目录</w:t>
      </w:r>
      <w:r/>
    </w:p>
    <w:p>
      <w:pPr>
        <w:ind w:firstLine="562"/>
        <w:jc w:val="left"/>
        <w:spacing w:line="360" w:lineRule="auto"/>
        <w:shd w:val="clear" w:color="auto" w:fill="ffffff"/>
        <w:widowControl/>
        <w:rPr>
          <w:rFonts w:ascii="仿宋" w:hAnsi="仿宋" w:eastAsia="仿宋" w:cs="仿宋"/>
          <w:b/>
          <w:color w:val="auto"/>
          <w:sz w:val="28"/>
          <w:szCs w:val="24"/>
          <w:highlight w:val="none"/>
        </w:rPr>
      </w:pPr>
      <w:r>
        <w:rPr>
          <w:rFonts w:hint="eastAsia" w:ascii="仿宋" w:hAnsi="仿宋" w:eastAsia="仿宋" w:cs="仿宋"/>
          <w:b/>
          <w:color w:val="auto"/>
          <w:sz w:val="28"/>
          <w:szCs w:val="24"/>
          <w:highlight w:val="none"/>
        </w:rPr>
        <w:t xml:space="preserve">第一部分  采购邀请</w:t>
      </w:r>
      <w:r/>
    </w:p>
    <w:p>
      <w:pPr>
        <w:ind w:firstLine="562"/>
        <w:spacing w:line="360" w:lineRule="auto"/>
        <w:shd w:val="clear" w:color="auto" w:fill="ffffff"/>
        <w:widowControl/>
        <w:rPr>
          <w:rFonts w:ascii="仿宋" w:hAnsi="仿宋" w:eastAsia="仿宋" w:cs="仿宋"/>
          <w:b/>
          <w:color w:val="auto"/>
          <w:sz w:val="28"/>
          <w:szCs w:val="24"/>
          <w:highlight w:val="none"/>
        </w:rPr>
      </w:pPr>
      <w:r>
        <w:rPr>
          <w:rFonts w:hint="eastAsia" w:ascii="仿宋" w:hAnsi="仿宋" w:eastAsia="仿宋" w:cs="仿宋"/>
          <w:b/>
          <w:color w:val="auto"/>
          <w:sz w:val="28"/>
          <w:szCs w:val="24"/>
          <w:highlight w:val="none"/>
        </w:rPr>
        <w:t xml:space="preserve">第二部分  磋商须知</w:t>
      </w:r>
      <w:r/>
    </w:p>
    <w:p>
      <w:pPr>
        <w:ind w:firstLine="562"/>
        <w:jc w:val="left"/>
        <w:spacing w:line="360" w:lineRule="auto"/>
        <w:shd w:val="clear" w:color="auto" w:fill="ffffff"/>
        <w:widowControl/>
        <w:rPr>
          <w:rFonts w:ascii="仿宋" w:hAnsi="仿宋" w:eastAsia="仿宋" w:cs="仿宋"/>
          <w:b/>
          <w:color w:val="auto"/>
          <w:sz w:val="28"/>
          <w:szCs w:val="24"/>
          <w:highlight w:val="none"/>
        </w:rPr>
      </w:pPr>
      <w:r>
        <w:rPr>
          <w:rFonts w:hint="eastAsia" w:ascii="仿宋" w:hAnsi="仿宋" w:eastAsia="仿宋" w:cs="仿宋"/>
          <w:b/>
          <w:color w:val="auto"/>
          <w:sz w:val="28"/>
          <w:szCs w:val="24"/>
          <w:highlight w:val="none"/>
        </w:rPr>
        <w:t xml:space="preserve">第三部分  项目需求</w:t>
      </w:r>
      <w:r/>
    </w:p>
    <w:p>
      <w:pPr>
        <w:ind w:firstLine="562"/>
        <w:jc w:val="left"/>
        <w:spacing w:line="360" w:lineRule="auto"/>
        <w:shd w:val="clear" w:color="auto" w:fill="ffffff"/>
        <w:widowControl/>
        <w:rPr>
          <w:rFonts w:ascii="仿宋" w:hAnsi="仿宋" w:eastAsia="仿宋" w:cs="仿宋"/>
          <w:b/>
          <w:color w:val="auto"/>
          <w:sz w:val="28"/>
          <w:szCs w:val="24"/>
          <w:highlight w:val="none"/>
        </w:rPr>
      </w:pPr>
      <w:r>
        <w:rPr>
          <w:rFonts w:hint="eastAsia" w:ascii="仿宋" w:hAnsi="仿宋" w:eastAsia="仿宋" w:cs="仿宋"/>
          <w:b/>
          <w:color w:val="auto"/>
          <w:sz w:val="28"/>
          <w:szCs w:val="24"/>
          <w:highlight w:val="none"/>
        </w:rPr>
        <w:t xml:space="preserve">第四部分  评审方法和评审标准</w:t>
      </w:r>
      <w:r/>
    </w:p>
    <w:p>
      <w:pPr>
        <w:ind w:firstLine="562"/>
        <w:jc w:val="left"/>
        <w:spacing w:line="360" w:lineRule="auto"/>
        <w:shd w:val="clear" w:color="auto" w:fill="ffffff"/>
        <w:widowControl/>
        <w:rPr>
          <w:rFonts w:hint="eastAsia" w:ascii="仿宋" w:hAnsi="仿宋" w:eastAsia="仿宋" w:cs="仿宋"/>
          <w:b/>
          <w:color w:val="auto"/>
          <w:sz w:val="28"/>
          <w:szCs w:val="24"/>
          <w:highlight w:val="none"/>
        </w:rPr>
      </w:pPr>
      <w:r>
        <w:rPr>
          <w:rFonts w:hint="eastAsia" w:ascii="仿宋" w:hAnsi="仿宋" w:eastAsia="仿宋" w:cs="仿宋"/>
          <w:b/>
          <w:color w:val="auto"/>
          <w:sz w:val="28"/>
          <w:szCs w:val="24"/>
          <w:highlight w:val="none"/>
        </w:rPr>
        <w:t xml:space="preserve">第五部分  合同条款及格式</w:t>
      </w:r>
      <w:r/>
    </w:p>
    <w:p>
      <w:pPr>
        <w:ind w:firstLine="562"/>
        <w:jc w:val="left"/>
        <w:spacing w:line="360" w:lineRule="auto"/>
        <w:shd w:val="clear" w:color="auto" w:fill="ffffff"/>
        <w:widowControl/>
        <w:rPr>
          <w:rFonts w:hint="eastAsia" w:ascii="仿宋" w:hAnsi="仿宋" w:eastAsia="仿宋" w:cs="仿宋"/>
          <w:b/>
          <w:color w:val="auto"/>
          <w:sz w:val="28"/>
          <w:szCs w:val="24"/>
          <w:highlight w:val="none"/>
        </w:rPr>
      </w:pPr>
      <w:r>
        <w:rPr>
          <w:rFonts w:hint="eastAsia" w:ascii="仿宋" w:hAnsi="仿宋" w:eastAsia="仿宋" w:cs="仿宋"/>
          <w:b/>
          <w:color w:val="auto"/>
          <w:sz w:val="28"/>
          <w:szCs w:val="24"/>
          <w:highlight w:val="none"/>
        </w:rPr>
        <w:t xml:space="preserve">第</w:t>
      </w:r>
      <w:r>
        <w:rPr>
          <w:rFonts w:hint="eastAsia" w:ascii="仿宋" w:hAnsi="仿宋" w:eastAsia="仿宋" w:cs="仿宋"/>
          <w:b/>
          <w:color w:val="auto"/>
          <w:sz w:val="28"/>
          <w:szCs w:val="24"/>
          <w:highlight w:val="none"/>
          <w:lang w:val="en-US" w:eastAsia="zh-CN"/>
        </w:rPr>
        <w:t xml:space="preserve">六</w:t>
      </w:r>
      <w:r>
        <w:rPr>
          <w:rFonts w:hint="eastAsia" w:ascii="仿宋" w:hAnsi="仿宋" w:eastAsia="仿宋" w:cs="仿宋"/>
          <w:b/>
          <w:color w:val="auto"/>
          <w:sz w:val="28"/>
          <w:szCs w:val="24"/>
          <w:highlight w:val="none"/>
        </w:rPr>
        <w:t xml:space="preserve">部分  响应文件组成</w:t>
      </w:r>
      <w:r/>
    </w:p>
    <w:p>
      <w:pPr>
        <w:pStyle w:val="860"/>
        <w:rPr>
          <w:color w:val="auto"/>
          <w:highlight w:val="none"/>
        </w:rPr>
      </w:pPr>
      <w:r>
        <w:rPr>
          <w:color w:val="auto"/>
          <w:highlight w:val="none"/>
        </w:rPr>
      </w:r>
      <w:r/>
    </w:p>
    <w:p>
      <w:pPr>
        <w:jc w:val="left"/>
        <w:spacing w:line="360" w:lineRule="auto"/>
        <w:widowControl/>
        <w:rPr>
          <w:rFonts w:ascii="仿宋" w:hAnsi="仿宋" w:eastAsia="仿宋"/>
          <w:color w:val="auto"/>
          <w:sz w:val="28"/>
          <w:szCs w:val="28"/>
          <w:highlight w:val="none"/>
        </w:rPr>
      </w:pPr>
      <w:r>
        <w:rPr>
          <w:rFonts w:ascii="仿宋" w:hAnsi="仿宋" w:eastAsia="仿宋"/>
          <w:color w:val="auto"/>
          <w:sz w:val="28"/>
          <w:szCs w:val="28"/>
          <w:highlight w:val="none"/>
        </w:rPr>
        <w:br w:type="page" w:clear="all"/>
      </w:r>
      <w:r/>
    </w:p>
    <w:p>
      <w:pPr>
        <w:pStyle w:val="843"/>
        <w:jc w:val="center"/>
        <w:spacing w:before="638" w:after="319" w:line="360" w:lineRule="auto"/>
        <w:rPr>
          <w:rFonts w:ascii="仿宋" w:hAnsi="仿宋" w:eastAsia="仿宋"/>
          <w:color w:val="auto"/>
          <w:sz w:val="32"/>
          <w:szCs w:val="32"/>
          <w:highlight w:val="none"/>
        </w:rPr>
      </w:pPr>
      <w:r/>
      <w:bookmarkStart w:id="1" w:name="_Hlk117003629"/>
      <w:r>
        <w:rPr>
          <w:rFonts w:hint="eastAsia" w:ascii="仿宋" w:hAnsi="仿宋" w:eastAsia="仿宋"/>
          <w:color w:val="auto"/>
          <w:sz w:val="32"/>
          <w:szCs w:val="32"/>
          <w:highlight w:val="none"/>
        </w:rPr>
        <w:t xml:space="preserve">第一部分 </w:t>
      </w:r>
      <w:bookmarkStart w:id="2" w:name="_Hlk81297243"/>
      <w:r/>
      <w:bookmarkStart w:id="3" w:name="_Hlk103330607"/>
      <w:r>
        <w:rPr>
          <w:rFonts w:hint="eastAsia" w:ascii="仿宋" w:hAnsi="仿宋" w:eastAsia="仿宋"/>
          <w:color w:val="auto"/>
          <w:sz w:val="32"/>
          <w:szCs w:val="32"/>
          <w:highlight w:val="none"/>
        </w:rPr>
        <w:t xml:space="preserve">采购邀请</w:t>
      </w:r>
      <w:bookmarkEnd w:id="2"/>
      <w:r/>
      <w:r/>
    </w:p>
    <w:p>
      <w:pPr>
        <w:ind w:firstLine="480"/>
        <w:spacing w:line="360" w:lineRule="auto"/>
        <w:rPr>
          <w:rFonts w:ascii="仿宋" w:hAnsi="仿宋" w:eastAsia="仿宋"/>
          <w:color w:val="auto"/>
          <w:sz w:val="24"/>
          <w:szCs w:val="24"/>
          <w:highlight w:val="none"/>
        </w:rPr>
      </w:pPr>
      <w:r/>
      <w:bookmarkStart w:id="4" w:name="OLE_LINK2"/>
      <w:r/>
      <w:bookmarkStart w:id="5" w:name="_Hlk117005804"/>
      <w:r/>
      <w:bookmarkStart w:id="6" w:name="OLE_LINK3"/>
      <w:r>
        <w:rPr>
          <w:rFonts w:hint="eastAsia" w:ascii="仿宋" w:hAnsi="仿宋" w:eastAsia="仿宋"/>
          <w:color w:val="auto"/>
          <w:sz w:val="24"/>
          <w:szCs w:val="24"/>
          <w:highlight w:val="none"/>
          <w:lang w:eastAsia="zh-CN"/>
        </w:rPr>
        <w:t xml:space="preserve">上海申邑工程咨询有限公司</w:t>
      </w:r>
      <w:r>
        <w:rPr>
          <w:rFonts w:hint="eastAsia" w:ascii="仿宋" w:hAnsi="仿宋" w:eastAsia="仿宋"/>
          <w:color w:val="auto"/>
          <w:sz w:val="24"/>
          <w:szCs w:val="24"/>
          <w:highlight w:val="none"/>
        </w:rPr>
        <w:t xml:space="preserve">（以下简称“代理机构”）受</w:t>
      </w:r>
      <w:r>
        <w:rPr>
          <w:rFonts w:hint="eastAsia" w:ascii="仿宋" w:hAnsi="仿宋" w:eastAsia="仿宋"/>
          <w:color w:val="auto"/>
          <w:sz w:val="24"/>
          <w:szCs w:val="24"/>
          <w:highlight w:val="none"/>
          <w:lang w:eastAsia="zh-CN"/>
        </w:rPr>
        <w:t xml:space="preserve">南通创新区管理办公室</w:t>
      </w:r>
      <w:r>
        <w:rPr>
          <w:rFonts w:hint="eastAsia" w:ascii="仿宋" w:hAnsi="仿宋" w:eastAsia="仿宋"/>
          <w:color w:val="auto"/>
          <w:sz w:val="24"/>
          <w:szCs w:val="24"/>
          <w:highlight w:val="none"/>
        </w:rPr>
        <w:t xml:space="preserve">的委托，就</w:t>
      </w:r>
      <w:r>
        <w:rPr>
          <w:rFonts w:hint="eastAsia" w:ascii="仿宋" w:hAnsi="仿宋" w:eastAsia="仿宋"/>
          <w:color w:val="auto"/>
          <w:sz w:val="24"/>
          <w:szCs w:val="24"/>
          <w:highlight w:val="none"/>
          <w:lang w:eastAsia="zh-CN"/>
        </w:rPr>
        <w:t xml:space="preserve">南通创新区2026年度紫琅湖未来产业创新创业大赛活动组织采购项目</w:t>
      </w:r>
      <w:r>
        <w:rPr>
          <w:rFonts w:hint="eastAsia" w:ascii="仿宋" w:hAnsi="仿宋" w:eastAsia="仿宋"/>
          <w:color w:val="auto"/>
          <w:sz w:val="24"/>
          <w:szCs w:val="24"/>
          <w:highlight w:val="none"/>
        </w:rPr>
        <w:t xml:space="preserve">（项目编号：JSZC-320600-SHSY-C2026-0002）进行竞争性磋商采购，欢迎符合条件的供应商参加磋商。</w:t>
      </w:r>
      <w:r/>
    </w:p>
    <w:p>
      <w:pPr>
        <w:ind w:firstLine="482"/>
        <w:jc w:val="left"/>
        <w:spacing w:line="360" w:lineRule="auto"/>
        <w:shd w:val="clear" w:color="auto" w:fill="ffffff"/>
        <w:widowControl/>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项目概况</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olor w:val="auto"/>
          <w:sz w:val="24"/>
          <w:szCs w:val="24"/>
          <w:highlight w:val="none"/>
          <w:lang w:eastAsia="zh-CN"/>
        </w:rPr>
        <w:t xml:space="preserve">南通创新区2026年度紫琅湖未来产业创新创业大赛活动组织采购项目</w:t>
      </w:r>
      <w:r>
        <w:rPr>
          <w:rFonts w:hint="eastAsia" w:ascii="仿宋" w:hAnsi="仿宋" w:eastAsia="仿宋" w:cs="仿宋"/>
          <w:color w:val="auto"/>
          <w:sz w:val="24"/>
          <w:szCs w:val="24"/>
          <w:highlight w:val="none"/>
        </w:rPr>
        <w:t xml:space="preserve">的潜在供应商应在</w:t>
      </w:r>
      <w:r>
        <w:rPr>
          <w:rFonts w:hint="eastAsia" w:ascii="仿宋" w:hAnsi="仿宋" w:eastAsia="仿宋" w:cs="仿宋"/>
          <w:color w:val="auto"/>
          <w:sz w:val="24"/>
          <w:szCs w:val="24"/>
          <w:highlight w:val="none"/>
          <w:u w:val="single"/>
        </w:rPr>
        <w:t xml:space="preserve">“江苏省政府采购网”</w:t>
      </w:r>
      <w:r>
        <w:rPr>
          <w:rFonts w:hint="eastAsia" w:ascii="仿宋" w:hAnsi="仿宋" w:eastAsia="仿宋" w:cs="仿宋"/>
          <w:color w:val="auto"/>
          <w:sz w:val="24"/>
          <w:szCs w:val="24"/>
          <w:highlight w:val="none"/>
        </w:rPr>
        <w:t xml:space="preserve">获取采购文件，并于</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年</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rPr>
        <w:t xml:space="preserve">月</w:t>
      </w:r>
      <w:r>
        <w:rPr>
          <w:rFonts w:hint="eastAsia" w:ascii="仿宋" w:hAnsi="仿宋" w:eastAsia="仿宋" w:cs="仿宋"/>
          <w:color w:val="auto"/>
          <w:sz w:val="24"/>
          <w:szCs w:val="24"/>
          <w:highlight w:val="none"/>
          <w:u w:val="single"/>
          <w:lang w:val="en-US" w:eastAsia="zh-CN"/>
        </w:rPr>
        <w:t xml:space="preserve">30</w:t>
      </w:r>
      <w:r>
        <w:rPr>
          <w:rFonts w:hint="eastAsia" w:ascii="仿宋" w:hAnsi="仿宋" w:eastAsia="仿宋" w:cs="仿宋"/>
          <w:color w:val="auto"/>
          <w:sz w:val="24"/>
          <w:szCs w:val="24"/>
          <w:highlight w:val="none"/>
          <w:u w:val="single"/>
        </w:rPr>
        <w:t xml:space="preserve">日</w:t>
      </w:r>
      <w:r>
        <w:rPr>
          <w:rFonts w:hint="eastAsia" w:ascii="仿宋" w:hAnsi="仿宋" w:eastAsia="仿宋" w:cs="仿宋"/>
          <w:color w:val="auto"/>
          <w:sz w:val="24"/>
          <w:szCs w:val="24"/>
          <w:highlight w:val="none"/>
          <w:u w:val="single"/>
          <w:lang w:val="en-US" w:eastAsia="zh-CN"/>
        </w:rPr>
        <w:t xml:space="preserve">14</w:t>
      </w:r>
      <w:r>
        <w:rPr>
          <w:rFonts w:hint="eastAsia" w:ascii="仿宋" w:hAnsi="仿宋" w:eastAsia="仿宋" w:cs="仿宋"/>
          <w:color w:val="auto"/>
          <w:sz w:val="24"/>
          <w:szCs w:val="24"/>
          <w:highlight w:val="none"/>
          <w:u w:val="single"/>
        </w:rPr>
        <w:t xml:space="preserve">时</w:t>
      </w:r>
      <w:r>
        <w:rPr>
          <w:rFonts w:hint="eastAsia" w:ascii="仿宋" w:hAnsi="仿宋" w:eastAsia="仿宋" w:cs="仿宋"/>
          <w:color w:val="auto"/>
          <w:sz w:val="24"/>
          <w:szCs w:val="24"/>
          <w:highlight w:val="none"/>
          <w:u w:val="single"/>
          <w:lang w:val="en-US" w:eastAsia="zh-CN"/>
        </w:rPr>
        <w:t xml:space="preserve">0</w:t>
      </w:r>
      <w:r>
        <w:rPr>
          <w:rFonts w:hint="eastAsia" w:ascii="仿宋" w:hAnsi="仿宋" w:eastAsia="仿宋" w:cs="仿宋"/>
          <w:color w:val="auto"/>
          <w:sz w:val="24"/>
          <w:szCs w:val="24"/>
          <w:highlight w:val="none"/>
          <w:u w:val="single"/>
        </w:rPr>
        <w:t xml:space="preserve">0分</w:t>
      </w:r>
      <w:r>
        <w:rPr>
          <w:rFonts w:hint="eastAsia" w:ascii="仿宋" w:hAnsi="仿宋" w:eastAsia="仿宋" w:cs="仿宋"/>
          <w:color w:val="auto"/>
          <w:sz w:val="24"/>
          <w:szCs w:val="24"/>
          <w:highlight w:val="none"/>
        </w:rPr>
        <w:t xml:space="preserve">（北京时间）前递交响应文件。</w:t>
      </w:r>
      <w:r/>
    </w:p>
    <w:p>
      <w:pPr>
        <w:ind w:firstLine="482"/>
        <w:jc w:val="left"/>
        <w:spacing w:line="360" w:lineRule="auto"/>
        <w:shd w:val="clear" w:color="auto" w:fill="ffffff"/>
        <w:widowControl/>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一、项目基本情况</w:t>
      </w:r>
      <w:r/>
    </w:p>
    <w:p>
      <w:pPr>
        <w:ind w:firstLine="480"/>
        <w:jc w:val="left"/>
        <w:spacing w:line="360" w:lineRule="auto"/>
        <w:shd w:val="clear" w:color="auto" w:fill="ffffff"/>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项目编号：JSZC-320600-SHSY-C2026-0002</w:t>
      </w:r>
      <w:r/>
    </w:p>
    <w:p>
      <w:pPr>
        <w:ind w:firstLine="480"/>
        <w:jc w:val="left"/>
        <w:spacing w:line="360" w:lineRule="auto"/>
        <w:shd w:val="clear" w:color="auto" w:fill="ffffff"/>
        <w:widowControl/>
        <w:rPr>
          <w:rFonts w:hint="eastAsia" w:ascii="仿宋" w:hAnsi="仿宋" w:eastAsia="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olor w:val="auto"/>
          <w:sz w:val="24"/>
          <w:szCs w:val="24"/>
          <w:highlight w:val="none"/>
          <w:lang w:eastAsia="zh-CN"/>
        </w:rPr>
        <w:t xml:space="preserve">南通创新区2026年度紫琅湖未来产业创新创业大赛活动组织采购项目</w:t>
      </w:r>
      <w:r/>
    </w:p>
    <w:p>
      <w:pPr>
        <w:ind w:firstLine="480"/>
        <w:jc w:val="left"/>
        <w:spacing w:line="360" w:lineRule="auto"/>
        <w:shd w:val="clear" w:color="auto" w:fill="ffffff"/>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项目类型：服务</w:t>
      </w:r>
      <w:r/>
    </w:p>
    <w:p>
      <w:pPr>
        <w:ind w:firstLine="480"/>
        <w:jc w:val="left"/>
        <w:spacing w:line="360" w:lineRule="auto"/>
        <w:shd w:val="clear" w:color="auto" w:fill="ffffff"/>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预算金额：265万元。</w:t>
      </w:r>
      <w:r/>
    </w:p>
    <w:p>
      <w:pPr>
        <w:ind w:firstLine="480"/>
        <w:jc w:val="left"/>
        <w:spacing w:line="360" w:lineRule="auto"/>
        <w:shd w:val="clear" w:color="auto" w:fill="ffffff"/>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最高限价： </w:t>
      </w:r>
      <w:r>
        <w:rPr>
          <w:rFonts w:hint="default" w:ascii="仿宋" w:hAnsi="仿宋" w:eastAsia="仿宋" w:cs="仿宋"/>
          <w:color w:val="auto"/>
          <w:sz w:val="24"/>
          <w:szCs w:val="24"/>
          <w:highlight w:val="none"/>
          <w:lang w:val="en-US" w:eastAsia="zh-CN"/>
        </w:rPr>
        <w:t xml:space="preserve">本项目设置招标控制总价和各控制单价；招标控制总限价为</w:t>
      </w:r>
      <w:r>
        <w:rPr>
          <w:rFonts w:hint="eastAsia" w:ascii="仿宋" w:hAnsi="仿宋" w:eastAsia="仿宋" w:cs="仿宋"/>
          <w:color w:val="auto"/>
          <w:sz w:val="24"/>
          <w:szCs w:val="24"/>
          <w:highlight w:val="none"/>
          <w:lang w:val="en-US" w:eastAsia="zh-CN"/>
        </w:rPr>
        <w:t xml:space="preserve">265</w:t>
      </w:r>
      <w:r>
        <w:rPr>
          <w:rFonts w:hint="default" w:ascii="仿宋" w:hAnsi="仿宋" w:eastAsia="仿宋" w:cs="仿宋"/>
          <w:color w:val="auto"/>
          <w:sz w:val="24"/>
          <w:szCs w:val="24"/>
          <w:highlight w:val="none"/>
          <w:lang w:val="en-US" w:eastAsia="zh-CN"/>
        </w:rPr>
        <w:t xml:space="preserve">万元；各控制单价“见第三部分 项目需求”，报价高于招标控制总价和控制单价的为无效响应文件。</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采购需求：详见磋商文件，请仔细研究。</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合同履行期限：详见磋商文件。</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本项目是否接受联合体投标：否。</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本项目是否接受分包：否。</w:t>
      </w:r>
      <w:r/>
    </w:p>
    <w:p>
      <w:pPr>
        <w:ind w:firstLine="482"/>
        <w:jc w:val="left"/>
        <w:spacing w:line="360" w:lineRule="auto"/>
        <w:shd w:val="clear" w:color="auto" w:fill="ffffff"/>
        <w:widowControl/>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二、供应商的资格要求：</w:t>
      </w:r>
      <w:r/>
    </w:p>
    <w:p>
      <w:pPr>
        <w:ind w:firstLine="480"/>
        <w:jc w:val="left"/>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满足《中华人民共和国政府采购法》第二十二条规定，并提供下列材料：</w:t>
      </w:r>
      <w:r/>
    </w:p>
    <w:p>
      <w:pPr>
        <w:ind w:firstLine="480"/>
        <w:jc w:val="left"/>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1.具有独立承担民事责任的能力（提供法人或者其他组织的营业执照，提供原件扫描件）；</w:t>
      </w:r>
      <w:r/>
    </w:p>
    <w:p>
      <w:pPr>
        <w:ind w:firstLine="480"/>
        <w:jc w:val="left"/>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2.具有良好的商业信誉和健全的财务会计制度（提供上一年度的财务状况报告，成立不满一年不需提供）；</w:t>
      </w:r>
      <w:r/>
    </w:p>
    <w:p>
      <w:pPr>
        <w:ind w:firstLine="480"/>
        <w:jc w:val="left"/>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3.具有履行合同所必需的设备和专业技术能力（提供承诺函，格式详见第六部分附件）；</w:t>
      </w:r>
      <w:r/>
    </w:p>
    <w:p>
      <w:pPr>
        <w:ind w:firstLine="480"/>
        <w:jc w:val="left"/>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4.有依法缴纳税收和社会保障资金的良好记录（提供最近的依法缴纳税收和社会保障资金的相关材料）；</w:t>
      </w:r>
      <w:r/>
    </w:p>
    <w:p>
      <w:pPr>
        <w:ind w:firstLine="480"/>
        <w:jc w:val="left"/>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5.参加政府采购活动前三年内，在经营活动中没有重大违法记录（提供参加本项目政府采购活动前3年内在经营活动中没有重大违法记录的书面声明，格式详见第六部分附件）；</w:t>
      </w:r>
      <w:r/>
    </w:p>
    <w:p>
      <w:pPr>
        <w:ind w:firstLine="480"/>
        <w:jc w:val="left"/>
        <w:spacing w:line="360" w:lineRule="auto"/>
        <w:shd w:val="clear" w:color="auto" w:fill="ffffff"/>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6.响应供应商未列入失信被执行人或重大税收违法案件当事人名单或政府采购严重失信行为记录名单的证明材料：投标供应商需提供企业信用查询结果（企业信用可以从“国家企业信用信息公示系统http://www.gsxt.gov.cn/index.html”或“信用中国（https://www.creditchina.gov.cn/”进入查询自行打印)，查询结果有效期须在自本项目公告发布之日起至本项目投标截止日内有效。提供以上网页的磋商供应商单位企业信用的截图，未提供截图或失信的供应商资格审查均不予通过；</w:t>
      </w:r>
      <w:r/>
    </w:p>
    <w:p>
      <w:pPr>
        <w:ind w:firstLine="480"/>
        <w:jc w:val="left"/>
        <w:spacing w:line="360" w:lineRule="auto"/>
        <w:shd w:val="clear" w:color="auto" w:fill="ffffff"/>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本项目的特定资格要求：</w:t>
      </w:r>
      <w:r>
        <w:rPr>
          <w:rFonts w:hint="eastAsia" w:ascii="仿宋" w:hAnsi="仿宋" w:eastAsia="仿宋" w:cs="仿宋"/>
          <w:b/>
          <w:bCs/>
          <w:color w:val="auto"/>
          <w:sz w:val="24"/>
          <w:szCs w:val="24"/>
          <w:highlight w:val="none"/>
          <w:lang w:val="en-US" w:eastAsia="zh-CN"/>
        </w:rPr>
        <w:t xml:space="preserve">无</w:t>
      </w:r>
      <w:r>
        <w:rPr>
          <w:rFonts w:hint="eastAsia" w:ascii="仿宋" w:hAnsi="仿宋" w:eastAsia="仿宋" w:cs="仿宋"/>
          <w:b/>
          <w:bCs/>
          <w:color w:val="auto"/>
          <w:sz w:val="24"/>
          <w:szCs w:val="24"/>
          <w:highlight w:val="none"/>
        </w:rPr>
        <w:t xml:space="preserve">。</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落实政府采购政策需满足的资格要求：</w:t>
      </w:r>
      <w:r>
        <w:rPr>
          <w:rFonts w:hint="eastAsia" w:ascii="仿宋" w:hAnsi="仿宋" w:eastAsia="仿宋" w:cs="仿宋"/>
          <w:color w:val="auto"/>
          <w:sz w:val="24"/>
          <w:szCs w:val="24"/>
          <w:highlight w:val="none"/>
          <w:u w:val="single"/>
        </w:rPr>
        <w:t xml:space="preserve">本项目属于专门面向中小企业采购的项目,供应商应为中小微企业、监狱企业或残疾人福利性单位，并按照采购文件要求提供《中小企业声明函》、《残疾人福利性单位声明函》或监狱和戒毒企业证明材料。</w:t>
      </w:r>
      <w:r/>
    </w:p>
    <w:p>
      <w:pPr>
        <w:ind w:firstLine="482"/>
        <w:jc w:val="left"/>
        <w:spacing w:line="360" w:lineRule="auto"/>
        <w:shd w:val="clear" w:color="auto" w:fill="ffffff"/>
        <w:widowControl/>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三、获取采购文件</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时间：</w:t>
      </w:r>
      <w:r>
        <w:rPr>
          <w:rFonts w:hint="eastAsia" w:ascii="仿宋" w:hAnsi="仿宋" w:eastAsia="仿宋" w:cs="仿宋"/>
          <w:color w:val="auto"/>
          <w:sz w:val="24"/>
          <w:szCs w:val="24"/>
          <w:highlight w:val="none"/>
          <w:lang w:val="en-US" w:eastAsia="zh-CN"/>
        </w:rPr>
        <w:t xml:space="preserve">自本磋商公告发布之日起</w:t>
      </w:r>
      <w:r>
        <w:rPr>
          <w:rFonts w:hint="eastAsia" w:ascii="仿宋" w:hAnsi="仿宋" w:eastAsia="仿宋" w:cs="仿宋"/>
          <w:color w:val="auto"/>
          <w:sz w:val="24"/>
          <w:szCs w:val="24"/>
          <w:highlight w:val="none"/>
        </w:rPr>
        <w:t xml:space="preserve">至202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rPr>
        <w:t xml:space="preserve">时</w:t>
      </w:r>
      <w:r>
        <w:rPr>
          <w:rFonts w:hint="eastAsia" w:ascii="仿宋" w:hAnsi="仿宋" w:eastAsia="仿宋" w:cs="仿宋"/>
          <w:color w:val="auto"/>
          <w:sz w:val="24"/>
          <w:szCs w:val="24"/>
          <w:highlight w:val="none"/>
          <w:lang w:val="en-US" w:eastAsia="zh-CN"/>
        </w:rPr>
        <w:t xml:space="preserve">0</w:t>
      </w:r>
      <w:r>
        <w:rPr>
          <w:rFonts w:ascii="仿宋" w:hAnsi="仿宋" w:eastAsia="仿宋" w:cs="仿宋"/>
          <w:color w:val="auto"/>
          <w:sz w:val="24"/>
          <w:szCs w:val="24"/>
          <w:highlight w:val="none"/>
        </w:rPr>
        <w:t xml:space="preserve">0</w:t>
      </w:r>
      <w:r>
        <w:rPr>
          <w:rFonts w:hint="eastAsia" w:ascii="仿宋" w:hAnsi="仿宋" w:eastAsia="仿宋" w:cs="仿宋"/>
          <w:color w:val="auto"/>
          <w:sz w:val="24"/>
          <w:szCs w:val="24"/>
          <w:highlight w:val="none"/>
        </w:rPr>
        <w:t xml:space="preserve">分前（北京时间）</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地点：网上注册登记成功后系统内免费下载。</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获取方式：本项目采用网上注册登记方式。</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3.1潜在供应商访问电子招标响应交易平台的网络地址和方法：</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3.2潜在供应商访问“苏采云”系统的网络地址和方法：“苏采云”系统的网址：http://jszfcg.jsczt.cn/。</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3.3“CA数字证书”的获取：</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供应商需办理“CA 数字证书”，CA办理指南及“苏采云”操作手册可至江苏省政府采购网-办事指南-资料下载中心下载。</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3.4采购文件（后缀名为“.kedt”）、供应商操作手册及政府采购客户端工具可通过“苏采云”系统--已报名项目--报名详情页面内相应链接进行下载。</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3.5采购人或采购代理机构将数据电文形式的采购文件加载至“苏采云”系统，供潜在供应商下载或者查阅。</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2"/>
        <w:jc w:val="left"/>
        <w:spacing w:line="360" w:lineRule="auto"/>
        <w:shd w:val="clear" w:color="auto" w:fill="ffffff"/>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注：如潜在供应商未按上述要求操作，将自行承担所产生的风险。</w:t>
      </w:r>
      <w:r/>
    </w:p>
    <w:p>
      <w:pPr>
        <w:ind w:firstLine="482"/>
        <w:jc w:val="left"/>
        <w:spacing w:line="360" w:lineRule="auto"/>
        <w:shd w:val="clear" w:color="auto" w:fill="ffffff"/>
        <w:widowControl/>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四、响应文件提交截止时间、磋商时间和地点</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1.提交响应文件截止时间、开标时间：202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rPr>
        <w:t xml:space="preserve">时</w:t>
      </w:r>
      <w:r>
        <w:rPr>
          <w:rFonts w:hint="eastAsia" w:ascii="仿宋" w:hAnsi="仿宋" w:eastAsia="仿宋" w:cs="仿宋"/>
          <w:color w:val="auto"/>
          <w:sz w:val="24"/>
          <w:szCs w:val="24"/>
          <w:highlight w:val="none"/>
          <w:lang w:val="en-US" w:eastAsia="zh-CN"/>
        </w:rPr>
        <w:t xml:space="preserve">0</w:t>
      </w:r>
      <w:r>
        <w:rPr>
          <w:rFonts w:ascii="仿宋" w:hAnsi="仿宋" w:eastAsia="仿宋" w:cs="仿宋"/>
          <w:color w:val="auto"/>
          <w:sz w:val="24"/>
          <w:szCs w:val="24"/>
          <w:highlight w:val="none"/>
        </w:rPr>
        <w:t xml:space="preserve">0</w:t>
      </w:r>
      <w:r>
        <w:rPr>
          <w:rFonts w:hint="eastAsia" w:ascii="仿宋" w:hAnsi="仿宋" w:eastAsia="仿宋" w:cs="仿宋"/>
          <w:color w:val="auto"/>
          <w:sz w:val="24"/>
          <w:szCs w:val="24"/>
          <w:highlight w:val="none"/>
        </w:rPr>
        <w:t xml:space="preserve">分（北京时间）。逾时，“苏采云”系统将拒绝接受上传响应文件电子文档。</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2.地点：“苏采云”系统（网址：http://jszfcg.jsczt.cn/）。</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仿宋" w:hAnsi="仿宋" w:eastAsia="仿宋" w:cs="仿宋"/>
          <w:b/>
          <w:bCs/>
          <w:color w:val="auto"/>
          <w:sz w:val="24"/>
          <w:szCs w:val="24"/>
          <w:highlight w:val="none"/>
        </w:rPr>
        <w:t xml:space="preserve">供应商解密限定在开标后30分钟之内完成</w:t>
      </w:r>
      <w:r>
        <w:rPr>
          <w:rFonts w:hint="eastAsia" w:ascii="仿宋" w:hAnsi="仿宋" w:eastAsia="仿宋" w:cs="仿宋"/>
          <w:color w:val="auto"/>
          <w:sz w:val="24"/>
          <w:szCs w:val="24"/>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注：各供应商请关注开标大厅交流区，在开标结束后，请勿离开开标大厅。采购人或采购代理机构通知最后报价填报后，所有的响应供应商须在</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分钟内填写并提交最后报价，未在规定时间内提交最后报价的，视作无效响应处理。</w:t>
      </w:r>
      <w:r/>
    </w:p>
    <w:p>
      <w:pPr>
        <w:ind w:firstLine="482"/>
        <w:jc w:val="left"/>
        <w:spacing w:line="360" w:lineRule="auto"/>
        <w:shd w:val="clear" w:color="auto" w:fill="ffffff"/>
        <w:widowControl/>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五、公告期限</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自本公告发布之日起</w:t>
      </w:r>
      <w:r>
        <w:rPr>
          <w:rFonts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t xml:space="preserve">个工作日。</w:t>
      </w:r>
      <w:r/>
    </w:p>
    <w:p>
      <w:pPr>
        <w:ind w:firstLine="482"/>
        <w:jc w:val="left"/>
        <w:spacing w:line="360" w:lineRule="auto"/>
        <w:shd w:val="clear" w:color="auto" w:fill="ffffff"/>
        <w:widowControl/>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六、其他补充事宜</w:t>
      </w:r>
      <w:r/>
    </w:p>
    <w:p>
      <w:pPr>
        <w:ind w:firstLine="480"/>
        <w:jc w:val="left"/>
        <w:spacing w:line="360" w:lineRule="auto"/>
        <w:shd w:val="clear" w:color="auto" w:fill="ffffff"/>
        <w:widowControl/>
        <w:tabs>
          <w:tab w:val="left" w:pos="3575" w:leader="none"/>
        </w:tabs>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rPr>
        <w:t xml:space="preserve">磋商保证金：免收。</w:t>
      </w:r>
      <w:r/>
    </w:p>
    <w:p>
      <w:pPr>
        <w:ind w:firstLine="480"/>
        <w:jc w:val="left"/>
        <w:spacing w:line="360" w:lineRule="auto"/>
        <w:shd w:val="clear" w:color="auto" w:fill="ffffff"/>
        <w:widowControl/>
        <w:tabs>
          <w:tab w:val="left" w:pos="3575" w:leader="none"/>
        </w:tabs>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rPr>
        <w:t xml:space="preserve">履约保证金：</w:t>
      </w:r>
      <w:r>
        <w:rPr>
          <w:rFonts w:hint="eastAsia" w:ascii="仿宋" w:hAnsi="仿宋" w:eastAsia="仿宋" w:cs="仿宋"/>
          <w:bCs/>
          <w:color w:val="auto"/>
          <w:sz w:val="24"/>
          <w:szCs w:val="24"/>
          <w:highlight w:val="none"/>
          <w:lang w:val="en-US" w:eastAsia="zh-CN"/>
        </w:rPr>
        <w:t xml:space="preserve">本项目不收取履约保证金</w:t>
      </w:r>
      <w:r>
        <w:rPr>
          <w:rFonts w:hint="eastAsia" w:ascii="仿宋" w:hAnsi="仿宋" w:eastAsia="仿宋" w:cs="仿宋"/>
          <w:bCs/>
          <w:color w:val="auto"/>
          <w:sz w:val="24"/>
          <w:szCs w:val="24"/>
          <w:highlight w:val="none"/>
        </w:rPr>
        <w:t xml:space="preserve">。</w:t>
      </w:r>
      <w:r/>
    </w:p>
    <w:p>
      <w:pPr>
        <w:ind w:firstLine="480"/>
        <w:jc w:val="left"/>
        <w:spacing w:line="360" w:lineRule="auto"/>
        <w:shd w:val="clear" w:color="auto" w:fill="ffffff"/>
        <w:widowControl/>
        <w:tabs>
          <w:tab w:val="left" w:pos="3575" w:leader="none"/>
        </w:tabs>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rPr>
        <w:t xml:space="preserve">项目磋商活动模式：不见面远程开标模式，供应商在各自地点通过不见面交易系统参加开标会。</w:t>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w:t>
      </w:r>
      <w:r>
        <w:rPr>
          <w:rFonts w:hint="eastAsia" w:ascii="仿宋" w:hAnsi="仿宋" w:eastAsia="仿宋" w:cs="仿宋"/>
          <w:b/>
          <w:bCs w:val="0"/>
          <w:color w:val="auto"/>
          <w:sz w:val="24"/>
          <w:szCs w:val="24"/>
          <w:highlight w:val="none"/>
        </w:rPr>
        <w:t xml:space="preserve">样品：</w:t>
      </w:r>
      <w:r>
        <w:rPr>
          <w:rFonts w:hint="eastAsia" w:ascii="仿宋" w:hAnsi="仿宋" w:eastAsia="仿宋" w:cs="仿宋"/>
          <w:color w:val="auto"/>
          <w:sz w:val="24"/>
          <w:szCs w:val="24"/>
          <w:highlight w:val="none"/>
          <w:lang w:val="en-US" w:eastAsia="zh-CN"/>
        </w:rPr>
        <w:t xml:space="preserve">无</w:t>
      </w:r>
      <w:r>
        <w:rPr>
          <w:rFonts w:hint="eastAsia" w:ascii="仿宋" w:hAnsi="仿宋" w:eastAsia="仿宋" w:cs="仿宋"/>
          <w:color w:val="auto"/>
          <w:sz w:val="24"/>
          <w:szCs w:val="24"/>
          <w:highlight w:val="none"/>
        </w:rPr>
        <w:t xml:space="preserve">。</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5.对项目需求部分（项目需求）的询问、质疑请向采购人提出，由采购人负责答复；对项目磋商文件其它部分的询问请向代理机构经办人提出。</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2"/>
        <w:spacing w:line="360" w:lineRule="auto"/>
        <w:rPr>
          <w:rFonts w:hint="eastAsia" w:ascii="仿宋" w:hAnsi="仿宋" w:eastAsia="仿宋" w:cs="仿宋"/>
          <w:highlight w:val="none"/>
        </w:rPr>
      </w:pPr>
      <w:r>
        <w:rPr>
          <w:rFonts w:hint="eastAsia" w:ascii="仿宋" w:hAnsi="仿宋" w:eastAsia="仿宋" w:cs="仿宋"/>
          <w:b/>
          <w:sz w:val="24"/>
          <w:szCs w:val="24"/>
          <w:highlight w:val="none"/>
          <w:lang w:val="en-US" w:eastAsia="zh-CN"/>
        </w:rPr>
        <w:t xml:space="preserve">7</w:t>
      </w:r>
      <w:r>
        <w:rPr>
          <w:rFonts w:hint="eastAsia" w:ascii="仿宋" w:hAnsi="仿宋" w:eastAsia="仿宋" w:cs="仿宋"/>
          <w:b/>
          <w:sz w:val="24"/>
          <w:szCs w:val="24"/>
          <w:highlight w:val="none"/>
        </w:rPr>
        <w:t xml:space="preserve">、本项目属于非招标方式，不存在唱标环节。按照政府采购法律制度规定，在磋商中任何一方不得透露与磋商有关的其他供应商的技术资料、价格和其他信息，因此不公开唱标。最终成交供应商名称和成交金额可通过江苏省政府采购网站发布成交结果公告获得。</w:t>
      </w:r>
      <w:r/>
    </w:p>
    <w:p>
      <w:pPr>
        <w:pStyle w:val="860"/>
        <w:ind w:firstLine="482"/>
        <w:spacing w:line="360" w:lineRule="auto"/>
        <w:rPr>
          <w:rFonts w:hint="eastAsia" w:ascii="仿宋" w:hAnsi="仿宋" w:eastAsia="仿宋" w:cs="仿宋"/>
          <w:highlight w:val="none"/>
        </w:rPr>
      </w:pPr>
      <w:r>
        <w:rPr>
          <w:rFonts w:hint="eastAsia" w:ascii="仿宋" w:hAnsi="仿宋" w:eastAsia="仿宋" w:cs="仿宋"/>
          <w:b/>
          <w:bCs/>
          <w:sz w:val="24"/>
          <w:szCs w:val="24"/>
          <w:highlight w:val="none"/>
          <w:lang w:val="en-US" w:eastAsia="zh-CN"/>
        </w:rPr>
        <w:t xml:space="preserve">8</w:t>
      </w:r>
      <w:r>
        <w:rPr>
          <w:rFonts w:hint="eastAsia" w:ascii="仿宋" w:hAnsi="仿宋" w:eastAsia="仿宋" w:cs="仿宋"/>
          <w:b/>
          <w:bCs/>
          <w:sz w:val="24"/>
          <w:szCs w:val="24"/>
          <w:highlight w:val="none"/>
        </w:rPr>
        <w:t xml:space="preserve">、本次采购的有关信息将在江苏政府采购网上发布，敬请留意。</w:t>
      </w:r>
      <w:r/>
    </w:p>
    <w:p>
      <w:pPr>
        <w:ind w:firstLine="482"/>
        <w:jc w:val="left"/>
        <w:spacing w:line="360" w:lineRule="auto"/>
        <w:shd w:val="clear" w:color="auto" w:fill="ffffff"/>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七、对本次采购提出询问，请按以下方式联系。</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1.采购人信息</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名称：</w:t>
      </w:r>
      <w:r>
        <w:rPr>
          <w:rFonts w:hint="eastAsia" w:ascii="仿宋" w:hAnsi="仿宋" w:eastAsia="仿宋" w:cs="仿宋"/>
          <w:bCs/>
          <w:color w:val="auto"/>
          <w:sz w:val="24"/>
          <w:szCs w:val="24"/>
          <w:highlight w:val="none"/>
          <w:lang w:eastAsia="zh-CN"/>
        </w:rPr>
        <w:t xml:space="preserve">南通创新区管理办公室</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地址：</w:t>
      </w:r>
      <w:r>
        <w:rPr>
          <w:rFonts w:hint="eastAsia" w:ascii="仿宋" w:hAnsi="仿宋" w:eastAsia="仿宋" w:cs="仿宋"/>
          <w:bCs/>
          <w:color w:val="auto"/>
          <w:sz w:val="24"/>
          <w:szCs w:val="24"/>
          <w:highlight w:val="none"/>
          <w:lang w:eastAsia="zh-CN"/>
        </w:rPr>
        <w:t xml:space="preserve">南通市开发区崇州大道60号</w:t>
      </w:r>
      <w:r/>
    </w:p>
    <w:p>
      <w:pPr>
        <w:ind w:firstLine="480"/>
        <w:jc w:val="left"/>
        <w:spacing w:line="360" w:lineRule="auto"/>
        <w:shd w:val="clear" w:color="auto" w:fill="ffffff"/>
        <w:widowControl/>
        <w:rPr>
          <w:rFonts w:hint="default"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rPr>
        <w:t xml:space="preserve">联系方式：</w:t>
      </w:r>
      <w:r>
        <w:rPr>
          <w:rFonts w:hint="eastAsia" w:ascii="仿宋" w:hAnsi="仿宋" w:eastAsia="仿宋" w:cs="仿宋"/>
          <w:bCs/>
          <w:color w:val="auto"/>
          <w:sz w:val="24"/>
          <w:szCs w:val="24"/>
          <w:highlight w:val="none"/>
          <w:lang w:val="en-US" w:eastAsia="zh-CN"/>
        </w:rPr>
        <w:t xml:space="preserve"> 张女士    0513-59001229</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2.采购代理机构信息</w:t>
      </w:r>
      <w:r/>
    </w:p>
    <w:p>
      <w:pPr>
        <w:ind w:firstLine="480"/>
        <w:jc w:val="left"/>
        <w:spacing w:line="360" w:lineRule="auto"/>
        <w:shd w:val="clear" w:color="auto" w:fill="ffffff"/>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上海申邑工程咨询有限公司</w:t>
      </w:r>
      <w:r/>
    </w:p>
    <w:p>
      <w:pPr>
        <w:ind w:firstLine="480"/>
        <w:jc w:val="left"/>
        <w:spacing w:line="360" w:lineRule="auto"/>
        <w:shd w:val="clear" w:color="auto" w:fill="ffffff"/>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南通市崇川区桃坞路2号友谊大厦10楼</w:t>
      </w:r>
      <w:r/>
    </w:p>
    <w:p>
      <w:pPr>
        <w:ind w:firstLine="480"/>
        <w:jc w:val="left"/>
        <w:spacing w:line="360" w:lineRule="auto"/>
        <w:shd w:val="clear" w:color="auto" w:fill="ffffff"/>
        <w:widowControl/>
        <w:rPr>
          <w:rFonts w:ascii="仿宋" w:hAnsi="仿宋" w:eastAsia="仿宋"/>
          <w:color w:val="auto"/>
          <w:sz w:val="28"/>
          <w:szCs w:val="28"/>
          <w:highlight w:val="none"/>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val="en-US" w:eastAsia="zh-CN"/>
        </w:rPr>
        <w:t xml:space="preserve">曹工   18012240098</w:t>
      </w:r>
      <w:bookmarkEnd w:id="1"/>
      <w:r/>
      <w:bookmarkEnd w:id="3"/>
      <w:r/>
      <w:bookmarkEnd w:id="4"/>
      <w:r/>
      <w:bookmarkEnd w:id="5"/>
      <w:r/>
      <w:bookmarkEnd w:id="6"/>
      <w:r/>
      <w:r/>
    </w:p>
    <w:p>
      <w:pPr>
        <w:pStyle w:val="843"/>
        <w:jc w:val="center"/>
        <w:spacing w:before="638" w:after="319"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第二部分 磋商须知</w:t>
      </w:r>
      <w:r/>
    </w:p>
    <w:p>
      <w:pPr>
        <w:pStyle w:val="844"/>
        <w:spacing w:before="0" w:after="0" w:line="360" w:lineRule="auto"/>
        <w:rPr>
          <w:rFonts w:ascii="仿宋" w:hAnsi="仿宋" w:eastAsia="仿宋"/>
          <w:color w:val="auto"/>
          <w:sz w:val="24"/>
          <w:szCs w:val="24"/>
          <w:highlight w:val="none"/>
        </w:rPr>
      </w:pPr>
      <w:r/>
      <w:bookmarkStart w:id="7" w:name="_Toc16938519"/>
      <w:r/>
      <w:bookmarkStart w:id="8" w:name="_Toc513029203"/>
      <w:r/>
      <w:bookmarkStart w:id="9" w:name="_Toc20823275"/>
      <w:r/>
      <w:bookmarkStart w:id="10" w:name="_Toc120614214"/>
      <w:r>
        <w:rPr>
          <w:rFonts w:ascii="仿宋" w:hAnsi="仿宋" w:eastAsia="仿宋"/>
          <w:color w:val="auto"/>
          <w:sz w:val="24"/>
          <w:szCs w:val="24"/>
          <w:highlight w:val="none"/>
        </w:rPr>
        <w:t xml:space="preserve">（一）总则</w:t>
      </w:r>
      <w:bookmarkEnd w:id="7"/>
      <w:r/>
      <w:bookmarkEnd w:id="8"/>
      <w:r/>
      <w:bookmarkEnd w:id="9"/>
      <w:r/>
      <w:bookmarkEnd w:id="10"/>
      <w:r/>
      <w:r/>
    </w:p>
    <w:p>
      <w:pPr>
        <w:pStyle w:val="845"/>
        <w:spacing w:before="0" w:after="0" w:line="360" w:lineRule="auto"/>
        <w:rPr>
          <w:rFonts w:ascii="仿宋" w:hAnsi="仿宋" w:eastAsia="仿宋"/>
          <w:color w:val="auto"/>
          <w:sz w:val="24"/>
          <w:szCs w:val="24"/>
          <w:highlight w:val="none"/>
        </w:rPr>
      </w:pPr>
      <w:r/>
      <w:bookmarkStart w:id="11" w:name="_Hlt16619475"/>
      <w:r/>
      <w:bookmarkEnd w:id="11"/>
      <w:r/>
      <w:bookmarkStart w:id="12" w:name="_Toc458694821"/>
      <w:r/>
      <w:bookmarkStart w:id="13" w:name="_Toc16938520"/>
      <w:r/>
      <w:bookmarkStart w:id="14" w:name="_Toc513029204"/>
      <w:r/>
      <w:bookmarkStart w:id="15" w:name="_Toc20823276"/>
      <w:r>
        <w:rPr>
          <w:rFonts w:ascii="仿宋" w:hAnsi="仿宋" w:eastAsia="仿宋"/>
          <w:color w:val="auto"/>
          <w:sz w:val="24"/>
          <w:szCs w:val="24"/>
          <w:highlight w:val="none"/>
        </w:rPr>
        <w:t xml:space="preserve">1</w:t>
      </w:r>
      <w:bookmarkEnd w:id="12"/>
      <w:r>
        <w:rPr>
          <w:rFonts w:ascii="仿宋" w:hAnsi="仿宋" w:eastAsia="仿宋"/>
          <w:color w:val="auto"/>
          <w:sz w:val="24"/>
          <w:szCs w:val="24"/>
          <w:highlight w:val="none"/>
        </w:rPr>
        <w:t xml:space="preserve">.采购方式</w:t>
      </w:r>
      <w:bookmarkEnd w:id="13"/>
      <w:r/>
      <w:bookmarkEnd w:id="14"/>
      <w:r/>
      <w:bookmarkEnd w:id="15"/>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本次采取竞争性磋商方式，本磋商文件仅适用于磋商公告中所述项目。</w:t>
      </w:r>
      <w:r/>
    </w:p>
    <w:p>
      <w:pPr>
        <w:pStyle w:val="845"/>
        <w:spacing w:before="0" w:after="0" w:line="360" w:lineRule="auto"/>
        <w:rPr>
          <w:rFonts w:ascii="仿宋" w:hAnsi="仿宋" w:eastAsia="仿宋"/>
          <w:color w:val="auto"/>
          <w:sz w:val="24"/>
          <w:szCs w:val="24"/>
          <w:highlight w:val="none"/>
        </w:rPr>
      </w:pPr>
      <w:r/>
      <w:bookmarkStart w:id="16" w:name="_Toc16938521"/>
      <w:r/>
      <w:bookmarkStart w:id="17" w:name="_Toc20823277"/>
      <w:r/>
      <w:bookmarkStart w:id="18" w:name="_Toc513029205"/>
      <w:r>
        <w:rPr>
          <w:rFonts w:ascii="仿宋" w:hAnsi="仿宋" w:eastAsia="仿宋"/>
          <w:color w:val="auto"/>
          <w:sz w:val="24"/>
          <w:szCs w:val="24"/>
          <w:highlight w:val="none"/>
        </w:rPr>
        <w:t xml:space="preserve">2.合格的</w:t>
      </w:r>
      <w:bookmarkEnd w:id="16"/>
      <w:r/>
      <w:bookmarkEnd w:id="17"/>
      <w:r/>
      <w:bookmarkEnd w:id="18"/>
      <w:r>
        <w:rPr>
          <w:rFonts w:ascii="仿宋" w:hAnsi="仿宋" w:eastAsia="仿宋"/>
          <w:color w:val="auto"/>
          <w:sz w:val="24"/>
          <w:szCs w:val="24"/>
          <w:highlight w:val="none"/>
        </w:rPr>
        <w:t xml:space="preserve">供应商</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2.1 满足磋商公告中供应商的资格要求的规定。</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2.2 满足本文件实质性条款的规定。</w:t>
      </w:r>
      <w:r/>
    </w:p>
    <w:p>
      <w:pPr>
        <w:pStyle w:val="845"/>
        <w:spacing w:before="0" w:after="0" w:line="360" w:lineRule="auto"/>
        <w:rPr>
          <w:rFonts w:ascii="仿宋" w:hAnsi="仿宋" w:eastAsia="仿宋"/>
          <w:color w:val="auto"/>
          <w:sz w:val="24"/>
          <w:szCs w:val="24"/>
          <w:highlight w:val="none"/>
        </w:rPr>
      </w:pPr>
      <w:r/>
      <w:bookmarkStart w:id="19" w:name="_Toc16938522"/>
      <w:r/>
      <w:bookmarkStart w:id="20" w:name="_Toc513029206"/>
      <w:r/>
      <w:bookmarkStart w:id="21" w:name="_Toc20823278"/>
      <w:r>
        <w:rPr>
          <w:rFonts w:ascii="仿宋" w:hAnsi="仿宋" w:eastAsia="仿宋"/>
          <w:color w:val="auto"/>
          <w:sz w:val="24"/>
          <w:szCs w:val="24"/>
          <w:highlight w:val="none"/>
        </w:rPr>
        <w:t xml:space="preserve">3.适用法律</w:t>
      </w:r>
      <w:bookmarkEnd w:id="19"/>
      <w:r/>
      <w:bookmarkEnd w:id="20"/>
      <w:r/>
      <w:bookmarkEnd w:id="21"/>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本次采购及由此产生的合同受中华人民共和国有关的法律法规制约和保护。</w:t>
      </w:r>
      <w:r/>
    </w:p>
    <w:p>
      <w:pPr>
        <w:pStyle w:val="845"/>
        <w:spacing w:before="0" w:after="0" w:line="360" w:lineRule="auto"/>
        <w:rPr>
          <w:rFonts w:ascii="仿宋" w:hAnsi="仿宋" w:eastAsia="仿宋"/>
          <w:color w:val="auto"/>
          <w:sz w:val="24"/>
          <w:szCs w:val="24"/>
          <w:highlight w:val="none"/>
        </w:rPr>
      </w:pPr>
      <w:r/>
      <w:bookmarkStart w:id="22" w:name="_Toc462564067"/>
      <w:r/>
      <w:bookmarkStart w:id="23" w:name="_Toc513029207"/>
      <w:r/>
      <w:bookmarkStart w:id="24" w:name="_Toc16938523"/>
      <w:r/>
      <w:bookmarkStart w:id="25" w:name="_Toc20823279"/>
      <w:r>
        <w:rPr>
          <w:rFonts w:ascii="仿宋" w:hAnsi="仿宋" w:eastAsia="仿宋"/>
          <w:color w:val="auto"/>
          <w:sz w:val="24"/>
          <w:szCs w:val="24"/>
          <w:highlight w:val="none"/>
        </w:rPr>
        <w:t xml:space="preserve">4.磋商费用</w:t>
      </w:r>
      <w:bookmarkEnd w:id="22"/>
      <w:r/>
      <w:bookmarkEnd w:id="23"/>
      <w:r/>
      <w:bookmarkEnd w:id="24"/>
      <w:r/>
      <w:bookmarkEnd w:id="25"/>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4.1 供应商应自行承担所有与参加磋商有关的费用，无论磋商过程中的做法和结果如何，</w:t>
      </w:r>
      <w:r>
        <w:rPr>
          <w:rFonts w:hint="eastAsia" w:ascii="仿宋" w:hAnsi="仿宋" w:eastAsia="仿宋" w:cs="仿宋"/>
          <w:color w:val="auto"/>
          <w:sz w:val="24"/>
          <w:szCs w:val="24"/>
          <w:highlight w:val="none"/>
        </w:rPr>
        <w:t xml:space="preserve">采购人和招标代理机构</w:t>
      </w:r>
      <w:r>
        <w:rPr>
          <w:rFonts w:ascii="仿宋" w:hAnsi="仿宋" w:eastAsia="仿宋" w:cs="仿宋"/>
          <w:color w:val="auto"/>
          <w:sz w:val="24"/>
          <w:szCs w:val="24"/>
          <w:highlight w:val="none"/>
        </w:rPr>
        <w:t xml:space="preserve">在任何情况下均无义务和责任承担这些费用。</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default" w:ascii="仿宋" w:hAnsi="仿宋" w:eastAsia="仿宋" w:cs="仿宋"/>
          <w:color w:val="auto"/>
          <w:sz w:val="24"/>
          <w:szCs w:val="24"/>
          <w:highlight w:val="none"/>
        </w:rPr>
        <w:t xml:space="preserve">4.2本项目招标代理服务费由成交人在领取成交通知书前向招标代理机构一次性支付，招标代理服务费计取标准：参照国家计划委员会下发的《招标代理服务收费管理暂行办法》（计价格【2002】1980号文）规定的标准收取，按合同总价作为计费基础。</w:t>
      </w:r>
      <w:r/>
    </w:p>
    <w:p>
      <w:pPr>
        <w:ind w:firstLine="480"/>
        <w:jc w:val="left"/>
        <w:spacing w:line="360" w:lineRule="auto"/>
        <w:shd w:val="clear" w:color="auto" w:fill="ffffff"/>
        <w:widowControl/>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采购人不收取任何费用。</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default" w:ascii="仿宋" w:hAnsi="仿宋" w:eastAsia="仿宋" w:cs="仿宋"/>
          <w:color w:val="auto"/>
          <w:sz w:val="24"/>
          <w:szCs w:val="24"/>
          <w:highlight w:val="none"/>
        </w:rPr>
        <w:t xml:space="preserve">4.4评审费：以实际支出为准。</w:t>
      </w:r>
      <w:r/>
    </w:p>
    <w:p>
      <w:pPr>
        <w:pStyle w:val="845"/>
        <w:spacing w:before="0" w:after="0"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5.磋商文件的约束力</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供应商一旦参加本项目采购活动，即被认为接受了本磋商文件的规定和约束。</w:t>
      </w:r>
      <w:r/>
    </w:p>
    <w:p>
      <w:pPr>
        <w:pStyle w:val="845"/>
        <w:spacing w:before="0" w:after="0"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6.磋商文件的解释</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磋商文件需求部分（项目需求）由采购人解释，其它部分由采购</w:t>
      </w:r>
      <w:r>
        <w:rPr>
          <w:rFonts w:hint="eastAsia" w:ascii="仿宋" w:hAnsi="仿宋" w:eastAsia="仿宋" w:cs="仿宋"/>
          <w:color w:val="auto"/>
          <w:sz w:val="24"/>
          <w:szCs w:val="24"/>
          <w:highlight w:val="none"/>
        </w:rPr>
        <w:t xml:space="preserve">代理机构</w:t>
      </w:r>
      <w:r>
        <w:rPr>
          <w:rFonts w:ascii="仿宋" w:hAnsi="仿宋" w:eastAsia="仿宋" w:cs="仿宋"/>
          <w:color w:val="auto"/>
          <w:sz w:val="24"/>
          <w:szCs w:val="24"/>
          <w:highlight w:val="none"/>
        </w:rPr>
        <w:t xml:space="preserve">解释。</w:t>
      </w:r>
      <w:r/>
    </w:p>
    <w:p>
      <w:pPr>
        <w:pStyle w:val="844"/>
        <w:spacing w:before="0" w:after="0" w:line="360" w:lineRule="auto"/>
        <w:rPr>
          <w:rFonts w:ascii="仿宋" w:hAnsi="仿宋" w:eastAsia="仿宋"/>
          <w:color w:val="auto"/>
          <w:sz w:val="24"/>
          <w:szCs w:val="24"/>
          <w:highlight w:val="none"/>
        </w:rPr>
      </w:pPr>
      <w:r/>
      <w:bookmarkStart w:id="26" w:name="_Toc16938525"/>
      <w:r/>
      <w:bookmarkStart w:id="27" w:name="_Toc20823281"/>
      <w:r/>
      <w:bookmarkStart w:id="28" w:name="_Toc120614215"/>
      <w:r/>
      <w:bookmarkStart w:id="29" w:name="_Toc513029209"/>
      <w:r>
        <w:rPr>
          <w:rFonts w:ascii="仿宋" w:hAnsi="仿宋" w:eastAsia="仿宋"/>
          <w:color w:val="auto"/>
          <w:sz w:val="24"/>
          <w:szCs w:val="24"/>
          <w:highlight w:val="none"/>
        </w:rPr>
        <w:t xml:space="preserve">（二）磋商文件</w:t>
      </w:r>
      <w:bookmarkEnd w:id="26"/>
      <w:r/>
      <w:bookmarkEnd w:id="27"/>
      <w:r/>
      <w:bookmarkEnd w:id="28"/>
      <w:r/>
      <w:bookmarkEnd w:id="29"/>
      <w:r/>
      <w:r/>
    </w:p>
    <w:p>
      <w:pPr>
        <w:pStyle w:val="845"/>
        <w:spacing w:before="0" w:after="0" w:line="360" w:lineRule="auto"/>
        <w:rPr>
          <w:rFonts w:ascii="仿宋" w:hAnsi="仿宋" w:eastAsia="仿宋"/>
          <w:color w:val="auto"/>
          <w:sz w:val="24"/>
          <w:szCs w:val="24"/>
          <w:highlight w:val="none"/>
        </w:rPr>
      </w:pPr>
      <w:r/>
      <w:bookmarkStart w:id="30" w:name="_Toc20823282"/>
      <w:r/>
      <w:bookmarkStart w:id="31" w:name="_Toc16938526"/>
      <w:r/>
      <w:bookmarkStart w:id="32" w:name="_Toc513029210"/>
      <w:r>
        <w:rPr>
          <w:rFonts w:ascii="仿宋" w:hAnsi="仿宋" w:eastAsia="仿宋"/>
          <w:color w:val="auto"/>
          <w:sz w:val="24"/>
          <w:szCs w:val="24"/>
          <w:highlight w:val="none"/>
        </w:rPr>
        <w:t xml:space="preserve">1.磋商文件构成</w:t>
      </w:r>
      <w:bookmarkEnd w:id="30"/>
      <w:r/>
      <w:bookmarkEnd w:id="31"/>
      <w:r/>
      <w:bookmarkEnd w:id="32"/>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 磋商文件由以下部分组成：</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rPr>
        <w:t xml:space="preserve">采购邀请</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（2）磋商须知</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（3）项目需求</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（4）评审方法和评审标准</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（5）响应文件组成</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（6）附件</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请仔细检查磋商文件是否齐全，如有缺漏请立即与采购</w:t>
      </w:r>
      <w:r>
        <w:rPr>
          <w:rFonts w:hint="eastAsia" w:ascii="仿宋" w:hAnsi="仿宋" w:eastAsia="仿宋" w:cs="仿宋"/>
          <w:color w:val="auto"/>
          <w:sz w:val="24"/>
          <w:szCs w:val="24"/>
          <w:highlight w:val="none"/>
        </w:rPr>
        <w:t xml:space="preserve">代理机构</w:t>
      </w:r>
      <w:r>
        <w:rPr>
          <w:rFonts w:ascii="仿宋" w:hAnsi="仿宋" w:eastAsia="仿宋" w:cs="仿宋"/>
          <w:color w:val="auto"/>
          <w:sz w:val="24"/>
          <w:szCs w:val="24"/>
          <w:highlight w:val="none"/>
        </w:rPr>
        <w:t xml:space="preserve">联系解决。</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45"/>
        <w:spacing w:before="0" w:after="0" w:line="360" w:lineRule="auto"/>
        <w:rPr>
          <w:rFonts w:ascii="仿宋" w:hAnsi="仿宋" w:eastAsia="仿宋"/>
          <w:color w:val="auto"/>
          <w:sz w:val="24"/>
          <w:szCs w:val="24"/>
          <w:highlight w:val="none"/>
        </w:rPr>
      </w:pPr>
      <w:r/>
      <w:bookmarkStart w:id="33" w:name="_Toc20823283"/>
      <w:r/>
      <w:bookmarkStart w:id="34" w:name="_Toc16938527"/>
      <w:r/>
      <w:bookmarkStart w:id="35" w:name="_Toc513029211"/>
      <w:r/>
      <w:bookmarkStart w:id="36" w:name="_Toc462564070"/>
      <w:r>
        <w:rPr>
          <w:rFonts w:ascii="仿宋" w:hAnsi="仿宋" w:eastAsia="仿宋"/>
          <w:color w:val="auto"/>
          <w:sz w:val="24"/>
          <w:szCs w:val="24"/>
          <w:highlight w:val="none"/>
        </w:rPr>
        <w:t xml:space="preserve">2.磋商文件的澄清</w:t>
      </w:r>
      <w:bookmarkEnd w:id="33"/>
      <w:r/>
      <w:bookmarkEnd w:id="34"/>
      <w:r/>
      <w:bookmarkEnd w:id="35"/>
      <w:r/>
      <w:bookmarkEnd w:id="36"/>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2.1 任何要求对磋商文件进行澄清的供应商，应在提交首次响应文件截止时间五日前按磋商公告中的通讯地址，以书面形式通知采购人。采购人有权对发出的磋商文件进行必要的澄清或修改。</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2.2 采购人视情组织答疑会</w:t>
      </w:r>
      <w:r>
        <w:rPr>
          <w:rFonts w:hint="eastAsia" w:ascii="仿宋" w:hAnsi="仿宋" w:eastAsia="仿宋" w:cs="仿宋"/>
          <w:color w:val="auto"/>
          <w:sz w:val="24"/>
          <w:szCs w:val="24"/>
          <w:highlight w:val="none"/>
        </w:rPr>
        <w:t xml:space="preserve">。</w:t>
      </w:r>
      <w:r/>
    </w:p>
    <w:p>
      <w:pPr>
        <w:pStyle w:val="845"/>
        <w:spacing w:before="0" w:after="0" w:line="360" w:lineRule="auto"/>
        <w:rPr>
          <w:rFonts w:ascii="仿宋" w:hAnsi="仿宋" w:eastAsia="仿宋"/>
          <w:color w:val="auto"/>
          <w:sz w:val="24"/>
          <w:szCs w:val="24"/>
          <w:highlight w:val="none"/>
        </w:rPr>
      </w:pPr>
      <w:r/>
      <w:bookmarkStart w:id="37" w:name="_Toc20823284"/>
      <w:r/>
      <w:bookmarkStart w:id="38" w:name="_Toc16938528"/>
      <w:r/>
      <w:bookmarkStart w:id="39" w:name="_Toc513029212"/>
      <w:r/>
      <w:bookmarkStart w:id="40" w:name="_Toc462564071"/>
      <w:r>
        <w:rPr>
          <w:rFonts w:ascii="仿宋" w:hAnsi="仿宋" w:eastAsia="仿宋"/>
          <w:color w:val="auto"/>
          <w:sz w:val="24"/>
          <w:szCs w:val="24"/>
          <w:highlight w:val="none"/>
        </w:rPr>
        <w:t xml:space="preserve">3.磋商文件的修改</w:t>
      </w:r>
      <w:bookmarkEnd w:id="37"/>
      <w:r/>
      <w:bookmarkEnd w:id="38"/>
      <w:r/>
      <w:bookmarkEnd w:id="39"/>
      <w:r/>
      <w:bookmarkEnd w:id="40"/>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3.1 在响应文件提交截止时间前，采购</w:t>
      </w:r>
      <w:r>
        <w:rPr>
          <w:rFonts w:hint="eastAsia" w:ascii="仿宋" w:hAnsi="仿宋" w:eastAsia="仿宋" w:cs="仿宋"/>
          <w:color w:val="auto"/>
          <w:sz w:val="24"/>
          <w:szCs w:val="24"/>
          <w:highlight w:val="none"/>
        </w:rPr>
        <w:t xml:space="preserve">代理机构</w:t>
      </w:r>
      <w:r>
        <w:rPr>
          <w:rFonts w:ascii="仿宋" w:hAnsi="仿宋" w:eastAsia="仿宋" w:cs="仿宋"/>
          <w:color w:val="auto"/>
          <w:sz w:val="24"/>
          <w:szCs w:val="24"/>
          <w:highlight w:val="none"/>
        </w:rPr>
        <w:t xml:space="preserve">可以对磋商文件进行修改。</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3.2 采购</w:t>
      </w:r>
      <w:r>
        <w:rPr>
          <w:rFonts w:hint="eastAsia" w:ascii="仿宋" w:hAnsi="仿宋" w:eastAsia="仿宋" w:cs="仿宋"/>
          <w:color w:val="auto"/>
          <w:sz w:val="24"/>
          <w:szCs w:val="24"/>
          <w:highlight w:val="none"/>
        </w:rPr>
        <w:t xml:space="preserve">代理机构</w:t>
      </w:r>
      <w:r>
        <w:rPr>
          <w:rFonts w:ascii="仿宋" w:hAnsi="仿宋" w:eastAsia="仿宋" w:cs="仿宋"/>
          <w:color w:val="auto"/>
          <w:sz w:val="24"/>
          <w:szCs w:val="24"/>
          <w:highlight w:val="none"/>
        </w:rPr>
        <w:t xml:space="preserve">有权按照法定的要求推迟响应文件提交截止日期和磋商日期。</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3.3 磋商文件的修改将在</w:t>
      </w:r>
      <w:r>
        <w:rPr>
          <w:rFonts w:hint="eastAsia" w:ascii="仿宋" w:hAnsi="仿宋" w:eastAsia="仿宋" w:cs="仿宋"/>
          <w:color w:val="auto"/>
          <w:sz w:val="24"/>
          <w:szCs w:val="24"/>
          <w:highlight w:val="none"/>
        </w:rPr>
        <w:t xml:space="preserve">指定媒体上</w:t>
      </w:r>
      <w:r>
        <w:rPr>
          <w:rFonts w:ascii="仿宋" w:hAnsi="仿宋" w:eastAsia="仿宋" w:cs="仿宋"/>
          <w:color w:val="auto"/>
          <w:sz w:val="24"/>
          <w:szCs w:val="24"/>
          <w:highlight w:val="none"/>
        </w:rPr>
        <w:t xml:space="preserve">公布，补充文件将作为磋商文件的组成部分，并对供应商具有约束力。</w:t>
      </w:r>
      <w:r/>
    </w:p>
    <w:p>
      <w:pPr>
        <w:ind w:firstLine="480"/>
        <w:jc w:val="left"/>
        <w:spacing w:line="360" w:lineRule="auto"/>
        <w:shd w:val="clear" w:color="auto" w:fill="ffffff"/>
        <w:widowControl/>
        <w:rPr>
          <w:rFonts w:ascii="仿宋" w:hAnsi="仿宋" w:eastAsia="仿宋" w:cs="仿宋"/>
          <w:b/>
          <w:bCs/>
          <w:color w:val="auto"/>
          <w:sz w:val="24"/>
          <w:szCs w:val="24"/>
          <w:highlight w:val="none"/>
          <w:u w:val="single"/>
        </w:rPr>
      </w:pPr>
      <w:r>
        <w:rPr>
          <w:rFonts w:ascii="仿宋" w:hAnsi="仿宋" w:eastAsia="仿宋" w:cs="仿宋"/>
          <w:b/>
          <w:bCs/>
          <w:color w:val="auto"/>
          <w:sz w:val="24"/>
          <w:szCs w:val="24"/>
          <w:highlight w:val="none"/>
          <w:u w:val="single"/>
        </w:rPr>
        <w:t xml:space="preserve">3.</w:t>
      </w:r>
      <w:r>
        <w:rPr>
          <w:rFonts w:hint="eastAsia" w:ascii="仿宋" w:hAnsi="仿宋" w:eastAsia="仿宋" w:cs="仿宋"/>
          <w:b/>
          <w:bCs/>
          <w:color w:val="auto"/>
          <w:sz w:val="24"/>
          <w:szCs w:val="24"/>
          <w:highlight w:val="none"/>
          <w:u w:val="single"/>
        </w:rPr>
        <w:t xml:space="preserve">4</w:t>
      </w:r>
      <w:r>
        <w:rPr>
          <w:rFonts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供应商。发布本项目的“更正（澄清）公告”后采购代理机构已尽通知义务。敬请各潜供应商关注本项目的“更正（澄清）公告”，并通过“苏采云”系统重新下载更正（澄清）后的采购文件（后缀名为“.kedt”），离线编制响应文件，否则，将自行承担相应的风险。</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3.5 </w:t>
      </w:r>
      <w:r>
        <w:rPr>
          <w:rFonts w:hint="eastAsia" w:ascii="仿宋" w:hAnsi="仿宋" w:eastAsia="仿宋" w:cs="仿宋"/>
          <w:color w:val="auto"/>
          <w:sz w:val="24"/>
          <w:szCs w:val="24"/>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pStyle w:val="844"/>
        <w:spacing w:before="0" w:after="0" w:line="360" w:lineRule="auto"/>
        <w:rPr>
          <w:rFonts w:ascii="仿宋" w:hAnsi="仿宋" w:eastAsia="仿宋"/>
          <w:color w:val="auto"/>
          <w:sz w:val="24"/>
          <w:szCs w:val="24"/>
          <w:highlight w:val="none"/>
        </w:rPr>
      </w:pPr>
      <w:r/>
      <w:bookmarkStart w:id="41" w:name="_Toc20823285"/>
      <w:r/>
      <w:bookmarkStart w:id="42" w:name="_Toc120614216"/>
      <w:r/>
      <w:bookmarkStart w:id="43" w:name="_Toc16938529"/>
      <w:r/>
      <w:bookmarkStart w:id="44" w:name="_Toc462564072"/>
      <w:r/>
      <w:bookmarkStart w:id="45" w:name="_Toc513029213"/>
      <w:r>
        <w:rPr>
          <w:rFonts w:ascii="仿宋" w:hAnsi="仿宋" w:eastAsia="仿宋"/>
          <w:color w:val="auto"/>
          <w:sz w:val="24"/>
          <w:szCs w:val="24"/>
          <w:highlight w:val="none"/>
        </w:rPr>
        <w:t xml:space="preserve">（三）响应文件的编制</w:t>
      </w:r>
      <w:bookmarkEnd w:id="41"/>
      <w:r/>
      <w:bookmarkEnd w:id="42"/>
      <w:r/>
      <w:bookmarkEnd w:id="43"/>
      <w:r/>
      <w:bookmarkEnd w:id="44"/>
      <w:r/>
      <w:bookmarkEnd w:id="45"/>
      <w:r/>
      <w:r/>
    </w:p>
    <w:p>
      <w:pPr>
        <w:pStyle w:val="845"/>
        <w:spacing w:before="0" w:after="0" w:line="360" w:lineRule="auto"/>
        <w:rPr>
          <w:rFonts w:ascii="仿宋" w:hAnsi="仿宋" w:eastAsia="仿宋"/>
          <w:color w:val="auto"/>
          <w:sz w:val="24"/>
          <w:szCs w:val="24"/>
          <w:highlight w:val="none"/>
        </w:rPr>
      </w:pPr>
      <w:r/>
      <w:bookmarkStart w:id="46" w:name="_Toc20823286"/>
      <w:r/>
      <w:bookmarkStart w:id="47" w:name="_Toc513029214"/>
      <w:r/>
      <w:bookmarkStart w:id="48" w:name="_Toc462564073"/>
      <w:r/>
      <w:bookmarkStart w:id="49" w:name="_Toc16938530"/>
      <w:r>
        <w:rPr>
          <w:rFonts w:ascii="仿宋" w:hAnsi="仿宋" w:eastAsia="仿宋"/>
          <w:color w:val="auto"/>
          <w:sz w:val="24"/>
          <w:szCs w:val="24"/>
          <w:highlight w:val="none"/>
        </w:rPr>
        <w:t xml:space="preserve">1.响应文件的语言及度量衡单位</w:t>
      </w:r>
      <w:bookmarkEnd w:id="46"/>
      <w:r/>
      <w:bookmarkEnd w:id="47"/>
      <w:r/>
      <w:bookmarkEnd w:id="48"/>
      <w:r/>
      <w:bookmarkEnd w:id="49"/>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 供应商提交的响应文件以及供应商与采购</w:t>
      </w:r>
      <w:r>
        <w:rPr>
          <w:rFonts w:hint="eastAsia" w:ascii="仿宋" w:hAnsi="仿宋" w:eastAsia="仿宋" w:cs="仿宋"/>
          <w:color w:val="auto"/>
          <w:sz w:val="24"/>
          <w:szCs w:val="24"/>
          <w:highlight w:val="none"/>
        </w:rPr>
        <w:t xml:space="preserve">代理机构</w:t>
      </w:r>
      <w:r>
        <w:rPr>
          <w:rFonts w:ascii="仿宋" w:hAnsi="仿宋" w:eastAsia="仿宋" w:cs="仿宋"/>
          <w:color w:val="auto"/>
          <w:sz w:val="24"/>
          <w:szCs w:val="24"/>
          <w:highlight w:val="none"/>
        </w:rPr>
        <w:t xml:space="preserve">及采购人就有关磋商的所有来往通知、函件和文件均应使用简体中文。</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 除技术性能另有规定外，响应文件所使用的度量衡单位，均须采用国家法定计量单位。</w:t>
      </w:r>
      <w:r/>
    </w:p>
    <w:p>
      <w:pPr>
        <w:pStyle w:val="845"/>
        <w:spacing w:before="0" w:after="0" w:line="360" w:lineRule="auto"/>
        <w:rPr>
          <w:rFonts w:ascii="仿宋" w:hAnsi="仿宋" w:eastAsia="仿宋"/>
          <w:color w:val="auto"/>
          <w:sz w:val="24"/>
          <w:szCs w:val="24"/>
          <w:highlight w:val="none"/>
        </w:rPr>
      </w:pPr>
      <w:r/>
      <w:bookmarkStart w:id="50" w:name="_Toc513029215"/>
      <w:r/>
      <w:bookmarkStart w:id="51" w:name="_Toc16938531"/>
      <w:r/>
      <w:bookmarkStart w:id="52" w:name="_Toc20823287"/>
      <w:r/>
      <w:bookmarkStart w:id="53" w:name="_Toc462564074"/>
      <w:r>
        <w:rPr>
          <w:rFonts w:ascii="仿宋" w:hAnsi="仿宋" w:eastAsia="仿宋"/>
          <w:color w:val="auto"/>
          <w:sz w:val="24"/>
          <w:szCs w:val="24"/>
          <w:highlight w:val="none"/>
        </w:rPr>
        <w:t xml:space="preserve">2.响应文件构成</w:t>
      </w:r>
      <w:bookmarkEnd w:id="50"/>
      <w:r/>
      <w:bookmarkEnd w:id="51"/>
      <w:r/>
      <w:bookmarkEnd w:id="52"/>
      <w:r/>
      <w:bookmarkEnd w:id="53"/>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供应商编写的响应文件应包括资格审查证明材料文件、商务技术标文件、价格标文件。供应商按“第</w:t>
      </w:r>
      <w:r>
        <w:rPr>
          <w:rFonts w:hint="eastAsia" w:ascii="仿宋" w:hAnsi="仿宋" w:eastAsia="仿宋" w:cs="仿宋"/>
          <w:color w:val="auto"/>
          <w:sz w:val="24"/>
          <w:szCs w:val="24"/>
          <w:highlight w:val="none"/>
          <w:lang w:val="en-US" w:eastAsia="zh-CN"/>
        </w:rPr>
        <w:t xml:space="preserve">六</w:t>
      </w:r>
      <w:r>
        <w:rPr>
          <w:rFonts w:ascii="仿宋" w:hAnsi="仿宋" w:eastAsia="仿宋" w:cs="仿宋"/>
          <w:color w:val="auto"/>
          <w:sz w:val="24"/>
          <w:szCs w:val="24"/>
          <w:highlight w:val="none"/>
        </w:rPr>
        <w:t xml:space="preserve">部分 响应文件组成”要求编写响应文件。</w:t>
      </w:r>
      <w:r/>
    </w:p>
    <w:p>
      <w:pPr>
        <w:pStyle w:val="845"/>
        <w:spacing w:before="0" w:after="0" w:line="360" w:lineRule="auto"/>
        <w:rPr>
          <w:rFonts w:ascii="仿宋" w:hAnsi="仿宋" w:eastAsia="仿宋"/>
          <w:color w:val="auto"/>
          <w:sz w:val="24"/>
          <w:szCs w:val="24"/>
          <w:highlight w:val="none"/>
        </w:rPr>
      </w:pPr>
      <w:r/>
      <w:bookmarkStart w:id="54" w:name="_Hlt26668975"/>
      <w:r/>
      <w:bookmarkEnd w:id="54"/>
      <w:r/>
      <w:bookmarkStart w:id="55" w:name="_Hlt26670360"/>
      <w:r/>
      <w:bookmarkEnd w:id="55"/>
      <w:r/>
      <w:bookmarkStart w:id="56" w:name="_Hlt26954838"/>
      <w:r/>
      <w:bookmarkEnd w:id="56"/>
      <w:r/>
      <w:bookmarkStart w:id="57" w:name="_Toc14577360"/>
      <w:r/>
      <w:bookmarkStart w:id="58" w:name="_Toc49090511"/>
      <w:r>
        <w:rPr>
          <w:rFonts w:ascii="仿宋" w:hAnsi="仿宋" w:eastAsia="仿宋"/>
          <w:color w:val="auto"/>
          <w:sz w:val="24"/>
          <w:szCs w:val="24"/>
          <w:highlight w:val="none"/>
        </w:rPr>
        <w:t xml:space="preserve">3.</w:t>
      </w:r>
      <w:bookmarkEnd w:id="57"/>
      <w:r/>
      <w:bookmarkEnd w:id="58"/>
      <w:r>
        <w:rPr>
          <w:rFonts w:ascii="仿宋" w:hAnsi="仿宋" w:eastAsia="仿宋"/>
          <w:color w:val="auto"/>
          <w:sz w:val="24"/>
          <w:szCs w:val="24"/>
          <w:highlight w:val="none"/>
        </w:rPr>
        <w:t xml:space="preserve">磋商响应有效期</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磋商响应有效期为采购</w:t>
      </w:r>
      <w:r>
        <w:rPr>
          <w:rFonts w:hint="eastAsia" w:ascii="仿宋" w:hAnsi="仿宋" w:eastAsia="仿宋" w:cs="仿宋"/>
          <w:color w:val="auto"/>
          <w:sz w:val="24"/>
          <w:szCs w:val="24"/>
          <w:highlight w:val="none"/>
        </w:rPr>
        <w:t xml:space="preserve">代理机构</w:t>
      </w:r>
      <w:r>
        <w:rPr>
          <w:rFonts w:ascii="仿宋" w:hAnsi="仿宋" w:eastAsia="仿宋" w:cs="仿宋"/>
          <w:color w:val="auto"/>
          <w:sz w:val="24"/>
          <w:szCs w:val="24"/>
          <w:highlight w:val="none"/>
        </w:rPr>
        <w:t xml:space="preserve">规定的响应文件提交截止时间后六十（60）天。磋商响应有效期比规定短的将被视为非实质性响应而予以拒绝。</w:t>
      </w:r>
      <w:r/>
    </w:p>
    <w:p>
      <w:pPr>
        <w:pStyle w:val="845"/>
        <w:spacing w:before="0" w:after="0"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4.磋商响应有效期的延长</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在特殊情况下，采购</w:t>
      </w:r>
      <w:r>
        <w:rPr>
          <w:rFonts w:hint="eastAsia" w:ascii="仿宋" w:hAnsi="仿宋" w:eastAsia="仿宋" w:cs="仿宋"/>
          <w:color w:val="auto"/>
          <w:sz w:val="24"/>
          <w:szCs w:val="24"/>
          <w:highlight w:val="none"/>
        </w:rPr>
        <w:t xml:space="preserve">代理机构</w:t>
      </w:r>
      <w:r>
        <w:rPr>
          <w:rFonts w:ascii="仿宋" w:hAnsi="仿宋" w:eastAsia="仿宋" w:cs="仿宋"/>
          <w:color w:val="auto"/>
          <w:sz w:val="24"/>
          <w:szCs w:val="24"/>
          <w:highlight w:val="none"/>
        </w:rPr>
        <w:t xml:space="preserve">于原磋商响应有效期满之前，可向磋商供应商提出延长磋商响应有效期的要求。这种要求与答复均应采用书面形式。供应商可以拒绝采购</w:t>
      </w:r>
      <w:r>
        <w:rPr>
          <w:rFonts w:hint="eastAsia" w:ascii="仿宋" w:hAnsi="仿宋" w:eastAsia="仿宋" w:cs="仿宋"/>
          <w:color w:val="auto"/>
          <w:sz w:val="24"/>
          <w:szCs w:val="24"/>
          <w:highlight w:val="none"/>
        </w:rPr>
        <w:t xml:space="preserve">代理机构</w:t>
      </w:r>
      <w:r>
        <w:rPr>
          <w:rFonts w:ascii="仿宋" w:hAnsi="仿宋" w:eastAsia="仿宋" w:cs="仿宋"/>
          <w:color w:val="auto"/>
          <w:sz w:val="24"/>
          <w:szCs w:val="24"/>
          <w:highlight w:val="none"/>
        </w:rPr>
        <w:t xml:space="preserve">的这一要求而放弃磋商响应，同意延长磋商响应有效期的供应商既不能要求也不允许修改其响应文件。受磋商响应有效期约束的所有权利与义务均延长至新的有效期。</w:t>
      </w:r>
      <w:r/>
    </w:p>
    <w:p>
      <w:pPr>
        <w:pStyle w:val="845"/>
        <w:spacing w:before="0" w:after="0"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5.电子响应文件其他要求</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电子招标投标交易平台（即“苏采云”系统）相关要求是本采购文件的组成部分。</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供应商应对CA证书妥善保管，如被他人盗用投标，因此带来的结果均由供应商自行承担。</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供应商应当对采购文件提出的实质性要求和条件作出实质性响应，并在电子投标系统逐条应答。</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供应商应对要求提供的资格证明文件（如资质证书、资格证书）、技术资料（如白皮书、彩页、手册、检测报告等）扫描上传至投标系统。 </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5.5 </w:t>
      </w:r>
      <w:r>
        <w:rPr>
          <w:rFonts w:hint="eastAsia" w:ascii="仿宋" w:hAnsi="仿宋" w:eastAsia="仿宋" w:cs="仿宋"/>
          <w:color w:val="auto"/>
          <w:sz w:val="24"/>
          <w:szCs w:val="24"/>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pStyle w:val="844"/>
        <w:spacing w:before="0" w:after="0" w:line="360" w:lineRule="auto"/>
        <w:rPr>
          <w:rFonts w:ascii="仿宋" w:hAnsi="仿宋" w:eastAsia="仿宋"/>
          <w:color w:val="auto"/>
          <w:sz w:val="24"/>
          <w:szCs w:val="24"/>
          <w:highlight w:val="none"/>
        </w:rPr>
      </w:pPr>
      <w:r/>
      <w:bookmarkStart w:id="59" w:name="_Hlt26954852"/>
      <w:r/>
      <w:bookmarkEnd w:id="59"/>
      <w:r/>
      <w:bookmarkStart w:id="60" w:name="_Hlt26954739"/>
      <w:r/>
      <w:bookmarkEnd w:id="60"/>
      <w:r/>
      <w:bookmarkStart w:id="61" w:name="_Toc513029224"/>
      <w:r/>
      <w:bookmarkStart w:id="62" w:name="_Toc120614217"/>
      <w:r/>
      <w:bookmarkStart w:id="63" w:name="_Toc16938540"/>
      <w:r/>
      <w:bookmarkStart w:id="64" w:name="_Toc20823296"/>
      <w:r>
        <w:rPr>
          <w:rFonts w:ascii="仿宋" w:hAnsi="仿宋" w:eastAsia="仿宋"/>
          <w:color w:val="auto"/>
          <w:sz w:val="24"/>
          <w:szCs w:val="24"/>
          <w:highlight w:val="none"/>
        </w:rPr>
        <w:t xml:space="preserve">（四）响应文件的提交</w:t>
      </w:r>
      <w:bookmarkEnd w:id="61"/>
      <w:r/>
      <w:bookmarkEnd w:id="62"/>
      <w:r/>
      <w:bookmarkEnd w:id="63"/>
      <w:r/>
      <w:bookmarkEnd w:id="64"/>
      <w:r/>
      <w:r/>
    </w:p>
    <w:p>
      <w:pPr>
        <w:pStyle w:val="845"/>
        <w:spacing w:before="0" w:after="0" w:line="360" w:lineRule="auto"/>
        <w:rPr>
          <w:rFonts w:ascii="仿宋" w:hAnsi="仿宋" w:eastAsia="仿宋"/>
          <w:color w:val="auto"/>
          <w:sz w:val="24"/>
          <w:szCs w:val="24"/>
          <w:highlight w:val="none"/>
        </w:rPr>
      </w:pPr>
      <w:r/>
      <w:bookmarkStart w:id="65" w:name="_Toc20823297"/>
      <w:r/>
      <w:bookmarkStart w:id="66" w:name="_Toc513029225"/>
      <w:r/>
      <w:bookmarkStart w:id="67" w:name="_Toc462564084"/>
      <w:r/>
      <w:bookmarkStart w:id="68" w:name="_Toc16938541"/>
      <w:r>
        <w:rPr>
          <w:rFonts w:ascii="仿宋" w:hAnsi="仿宋" w:eastAsia="仿宋"/>
          <w:color w:val="auto"/>
          <w:sz w:val="24"/>
          <w:szCs w:val="24"/>
          <w:highlight w:val="none"/>
        </w:rPr>
        <w:t xml:space="preserve">1.</w:t>
      </w:r>
      <w:bookmarkEnd w:id="65"/>
      <w:r/>
      <w:bookmarkEnd w:id="66"/>
      <w:r/>
      <w:bookmarkEnd w:id="67"/>
      <w:r/>
      <w:bookmarkEnd w:id="68"/>
      <w:r>
        <w:rPr>
          <w:rFonts w:hint="eastAsia" w:ascii="仿宋" w:hAnsi="仿宋" w:eastAsia="仿宋"/>
          <w:color w:val="auto"/>
          <w:sz w:val="24"/>
          <w:szCs w:val="24"/>
          <w:highlight w:val="none"/>
        </w:rPr>
        <w:t xml:space="preserve">响应文件的递交</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线上提交与接收地点：供应商应当通过“苏采云”系统提交数据电文形式的响应文件（即电子投标），“苏采云”系统自动接收。</w:t>
      </w:r>
      <w:r/>
    </w:p>
    <w:p>
      <w:pPr>
        <w:ind w:firstLine="480"/>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p>
    <w:p>
      <w:pPr>
        <w:pStyle w:val="845"/>
        <w:spacing w:before="0" w:after="0" w:line="360" w:lineRule="auto"/>
        <w:rPr>
          <w:rFonts w:ascii="仿宋" w:hAnsi="仿宋" w:eastAsia="仿宋"/>
          <w:color w:val="auto"/>
          <w:sz w:val="24"/>
          <w:szCs w:val="24"/>
          <w:highlight w:val="none"/>
        </w:rPr>
      </w:pPr>
      <w:r/>
      <w:bookmarkStart w:id="69" w:name="_Toc20823298"/>
      <w:r/>
      <w:bookmarkStart w:id="70" w:name="_Toc513029226"/>
      <w:r/>
      <w:bookmarkStart w:id="71" w:name="_Toc16938542"/>
      <w:r>
        <w:rPr>
          <w:rFonts w:ascii="仿宋" w:hAnsi="仿宋" w:eastAsia="仿宋"/>
          <w:color w:val="auto"/>
          <w:sz w:val="24"/>
          <w:szCs w:val="24"/>
          <w:highlight w:val="none"/>
        </w:rPr>
        <w:t xml:space="preserve">2.响应文件截止日期</w:t>
      </w:r>
      <w:bookmarkEnd w:id="69"/>
      <w:r/>
      <w:bookmarkEnd w:id="70"/>
      <w:r/>
      <w:bookmarkEnd w:id="71"/>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供应商上传电子响应文件的时间不得迟于招标公告中规定的投标截止时间。</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采购人或采购代理机构可以按照规定，通过修改招标文件酌情延长投标截止日期，在此情况下，供应商的所有权利和义务以及供应商受制的截止日期均应以延长后新的截止日期为准</w:t>
      </w:r>
      <w:r>
        <w:rPr>
          <w:rFonts w:ascii="仿宋" w:hAnsi="仿宋" w:eastAsia="仿宋" w:cs="仿宋"/>
          <w:color w:val="auto"/>
          <w:sz w:val="24"/>
          <w:szCs w:val="24"/>
          <w:highlight w:val="none"/>
        </w:rPr>
        <w:t xml:space="preserve">。</w:t>
      </w:r>
      <w:r/>
    </w:p>
    <w:p>
      <w:pPr>
        <w:pStyle w:val="845"/>
        <w:spacing w:before="0" w:after="0"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3.响应文件的加密要求</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3.2供应商须通过“苏采云”系统提供的政府采购客户端工具（使用“CA数字证书”）加盖电子签章。</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说明：供应商应在用CA数字证书以及自备的能够登录“苏采云”系统的笔记本电脑，在达到开标时间后，使用CA数字证书解密各自响应文件。</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3.3供应商未按规定加密的响应文件，“苏采云”系统应当拒收并提示。</w:t>
      </w:r>
      <w:r/>
    </w:p>
    <w:p>
      <w:pPr>
        <w:pStyle w:val="845"/>
        <w:spacing w:before="0" w:after="0" w:line="360" w:lineRule="auto"/>
        <w:rPr>
          <w:rFonts w:ascii="仿宋" w:hAnsi="仿宋" w:eastAsia="仿宋"/>
          <w:color w:val="auto"/>
          <w:sz w:val="24"/>
          <w:szCs w:val="24"/>
          <w:highlight w:val="none"/>
        </w:rPr>
      </w:pPr>
      <w:r/>
      <w:bookmarkStart w:id="72" w:name="_Toc20823299"/>
      <w:r/>
      <w:bookmarkStart w:id="73" w:name="_Toc16938543"/>
      <w:r/>
      <w:bookmarkStart w:id="74" w:name="_Toc513029227"/>
      <w:r>
        <w:rPr>
          <w:rFonts w:ascii="仿宋" w:hAnsi="仿宋" w:eastAsia="仿宋"/>
          <w:color w:val="auto"/>
          <w:sz w:val="24"/>
          <w:szCs w:val="24"/>
          <w:highlight w:val="none"/>
        </w:rPr>
        <w:t xml:space="preserve">4.响应文件</w:t>
      </w:r>
      <w:bookmarkEnd w:id="72"/>
      <w:r/>
      <w:bookmarkEnd w:id="73"/>
      <w:r/>
      <w:bookmarkEnd w:id="74"/>
      <w:r>
        <w:rPr>
          <w:rFonts w:ascii="仿宋" w:hAnsi="仿宋" w:eastAsia="仿宋"/>
          <w:color w:val="auto"/>
          <w:sz w:val="24"/>
          <w:szCs w:val="24"/>
          <w:highlight w:val="none"/>
        </w:rPr>
        <w:t xml:space="preserve">的拒收</w:t>
      </w:r>
      <w:r/>
    </w:p>
    <w:p>
      <w:pPr>
        <w:ind w:firstLine="480"/>
        <w:jc w:val="left"/>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“苏采云”系统拒绝接收在规定的响应文件提交截止时间后上传的任何响应文件。</w:t>
      </w:r>
      <w:r/>
    </w:p>
    <w:p>
      <w:pPr>
        <w:pStyle w:val="845"/>
        <w:spacing w:before="0" w:after="0" w:line="360" w:lineRule="auto"/>
        <w:rPr>
          <w:rFonts w:ascii="仿宋" w:hAnsi="仿宋" w:eastAsia="仿宋"/>
          <w:color w:val="auto"/>
          <w:sz w:val="24"/>
          <w:szCs w:val="24"/>
          <w:highlight w:val="none"/>
        </w:rPr>
      </w:pPr>
      <w:r/>
      <w:bookmarkStart w:id="75" w:name="_Toc513029228"/>
      <w:r/>
      <w:bookmarkStart w:id="76" w:name="_Toc16938544"/>
      <w:r/>
      <w:bookmarkStart w:id="77" w:name="_Toc20823300"/>
      <w:r>
        <w:rPr>
          <w:rFonts w:ascii="仿宋" w:hAnsi="仿宋" w:eastAsia="仿宋"/>
          <w:color w:val="auto"/>
          <w:sz w:val="24"/>
          <w:szCs w:val="24"/>
          <w:highlight w:val="none"/>
        </w:rPr>
        <w:t xml:space="preserve">5.响应文件的撤回和修改</w:t>
      </w:r>
      <w:bookmarkEnd w:id="75"/>
      <w:r/>
      <w:bookmarkEnd w:id="76"/>
      <w:r/>
      <w:bookmarkEnd w:id="77"/>
      <w:r/>
      <w:r/>
    </w:p>
    <w:p>
      <w:pPr>
        <w:ind w:firstLine="480"/>
        <w:jc w:val="left"/>
        <w:spacing w:line="360" w:lineRule="auto"/>
        <w:shd w:val="clear" w:color="auto" w:fill="ffffff"/>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5.1 响应文件的撤回</w:t>
      </w:r>
      <w:r>
        <w:rPr>
          <w:rFonts w:hint="eastAsia" w:ascii="仿宋" w:hAnsi="仿宋" w:eastAsia="仿宋" w:cs="仿宋"/>
          <w:color w:val="auto"/>
          <w:sz w:val="24"/>
          <w:szCs w:val="24"/>
          <w:highlight w:val="none"/>
          <w:lang w:eastAsia="zh-CN"/>
        </w:rPr>
        <w:t xml:space="preserve">。</w:t>
      </w:r>
      <w:r/>
    </w:p>
    <w:p>
      <w:pPr>
        <w:ind w:firstLine="480"/>
        <w:jc w:val="left"/>
        <w:spacing w:line="360" w:lineRule="auto"/>
        <w:shd w:val="clear" w:color="auto" w:fill="ffffff"/>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5.1.1 电子响应文件的撤回</w:t>
      </w:r>
      <w:r>
        <w:rPr>
          <w:rFonts w:hint="eastAsia" w:ascii="仿宋" w:hAnsi="仿宋" w:eastAsia="仿宋" w:cs="仿宋"/>
          <w:color w:val="auto"/>
          <w:sz w:val="24"/>
          <w:szCs w:val="24"/>
          <w:highlight w:val="none"/>
          <w:lang w:eastAsia="zh-CN"/>
        </w:rPr>
        <w:t xml:space="preserve">。</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供应商可在投标截止时间前，撤回其电子响应文件，具体操作方法见CA办理指南及“苏采云”操作手册。</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5.1.2 供应商撤回电子响应文件，则认为其不再参与本项目投标活动。</w:t>
      </w:r>
      <w:r/>
    </w:p>
    <w:p>
      <w:pPr>
        <w:ind w:firstLine="480"/>
        <w:jc w:val="left"/>
        <w:spacing w:line="360" w:lineRule="auto"/>
        <w:shd w:val="clear" w:color="auto" w:fill="ffffff"/>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5.2 响应文件的修改</w:t>
      </w:r>
      <w:r>
        <w:rPr>
          <w:rFonts w:hint="eastAsia" w:ascii="仿宋" w:hAnsi="仿宋" w:eastAsia="仿宋" w:cs="仿宋"/>
          <w:color w:val="auto"/>
          <w:sz w:val="24"/>
          <w:szCs w:val="24"/>
          <w:highlight w:val="none"/>
          <w:lang w:eastAsia="zh-CN"/>
        </w:rPr>
        <w:t xml:space="preserve">。</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供应商可在投标截止时间前，对其电子响应文件进行修改。</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 在投标截止时间之后，供应商不得对其电子响应文件作任何修改。</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 在投标截止时间至招标文件中规定的投标有效期满之间的这段时间内，供应商不得撤回其投标</w:t>
      </w:r>
      <w:r>
        <w:rPr>
          <w:rFonts w:ascii="仿宋" w:hAnsi="仿宋" w:eastAsia="仿宋" w:cs="仿宋"/>
          <w:color w:val="auto"/>
          <w:sz w:val="24"/>
          <w:szCs w:val="24"/>
          <w:highlight w:val="none"/>
        </w:rPr>
        <w:t xml:space="preserve">。</w:t>
      </w:r>
      <w:r/>
    </w:p>
    <w:p>
      <w:pPr>
        <w:pStyle w:val="844"/>
        <w:spacing w:before="0" w:after="0" w:line="360" w:lineRule="auto"/>
        <w:rPr>
          <w:rFonts w:ascii="仿宋" w:hAnsi="仿宋" w:eastAsia="仿宋"/>
          <w:color w:val="auto"/>
          <w:sz w:val="24"/>
          <w:szCs w:val="24"/>
          <w:highlight w:val="none"/>
        </w:rPr>
      </w:pPr>
      <w:r/>
      <w:bookmarkStart w:id="78" w:name="_Toc16938545"/>
      <w:r/>
      <w:bookmarkStart w:id="79" w:name="_Toc513029229"/>
      <w:r/>
      <w:bookmarkStart w:id="80" w:name="_Toc120614218"/>
      <w:r/>
      <w:bookmarkStart w:id="81" w:name="_Toc20823301"/>
      <w:r>
        <w:rPr>
          <w:rFonts w:ascii="仿宋" w:hAnsi="仿宋" w:eastAsia="仿宋"/>
          <w:color w:val="auto"/>
          <w:sz w:val="24"/>
          <w:szCs w:val="24"/>
          <w:highlight w:val="none"/>
        </w:rPr>
        <w:t xml:space="preserve">（五）</w:t>
      </w:r>
      <w:bookmarkEnd w:id="78"/>
      <w:r/>
      <w:bookmarkEnd w:id="79"/>
      <w:r/>
      <w:bookmarkEnd w:id="80"/>
      <w:r/>
      <w:bookmarkEnd w:id="81"/>
      <w:r/>
      <w:bookmarkStart w:id="82" w:name="_Toc513029230"/>
      <w:r/>
      <w:bookmarkStart w:id="83" w:name="_Toc16938546"/>
      <w:r/>
      <w:bookmarkStart w:id="84" w:name="_Toc20823302"/>
      <w:r>
        <w:rPr>
          <w:rFonts w:ascii="仿宋" w:hAnsi="仿宋" w:eastAsia="仿宋"/>
          <w:color w:val="auto"/>
          <w:sz w:val="24"/>
          <w:szCs w:val="24"/>
          <w:highlight w:val="none"/>
        </w:rPr>
        <w:t xml:space="preserve">磋商与评审</w:t>
      </w:r>
      <w:r/>
    </w:p>
    <w:p>
      <w:pPr>
        <w:pStyle w:val="845"/>
        <w:spacing w:before="0" w:after="0"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1.磋商仪式</w:t>
      </w:r>
      <w:r/>
    </w:p>
    <w:p>
      <w:pPr>
        <w:ind w:firstLine="480"/>
        <w:jc w:val="left"/>
        <w:spacing w:line="360" w:lineRule="auto"/>
        <w:shd w:val="clear" w:color="auto" w:fill="ffffff"/>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t xml:space="preserve">1.1 </w:t>
      </w:r>
      <w:r>
        <w:rPr>
          <w:rFonts w:hint="eastAsia" w:ascii="仿宋" w:hAnsi="仿宋" w:eastAsia="仿宋" w:cs="仿宋"/>
          <w:b/>
          <w:bCs/>
          <w:color w:val="auto"/>
          <w:sz w:val="24"/>
          <w:szCs w:val="24"/>
          <w:highlight w:val="none"/>
        </w:rPr>
        <w:t xml:space="preserve">采购人或采购代理机构将在招标公告中规定的时间和地点组织开标</w:t>
      </w:r>
      <w:r>
        <w:rPr>
          <w:rFonts w:ascii="仿宋" w:hAnsi="仿宋" w:eastAsia="仿宋" w:cs="仿宋"/>
          <w:b/>
          <w:bCs/>
          <w:color w:val="auto"/>
          <w:sz w:val="24"/>
          <w:szCs w:val="24"/>
          <w:highlight w:val="none"/>
        </w:rPr>
        <w:t xml:space="preserve">。</w:t>
      </w:r>
      <w:r/>
    </w:p>
    <w:p>
      <w:pPr>
        <w:ind w:firstLine="480"/>
        <w:jc w:val="left"/>
        <w:spacing w:line="360" w:lineRule="auto"/>
        <w:shd w:val="clear" w:color="auto" w:fill="ffffff"/>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开标当天供应商及时登录不见面开标大厅，响应文件递交截止时间后，采购人将在系统内公布供应商名单，然后通过开标会议区发出响应文件解密的指令，供应商在开标室按规定时间自行实施远程解密，供应商解密限定在开标后</w:t>
      </w:r>
      <w:r>
        <w:rPr>
          <w:rFonts w:hint="eastAsia" w:ascii="仿宋" w:hAnsi="仿宋" w:eastAsia="仿宋" w:cs="仿宋"/>
          <w:b/>
          <w:bCs/>
          <w:color w:val="auto"/>
          <w:sz w:val="24"/>
          <w:szCs w:val="24"/>
          <w:highlight w:val="none"/>
          <w:u w:val="single"/>
        </w:rPr>
        <w:t xml:space="preserve">30分钟之内</w:t>
      </w:r>
      <w:r>
        <w:rPr>
          <w:rFonts w:hint="eastAsia" w:ascii="仿宋" w:hAnsi="仿宋" w:eastAsia="仿宋" w:cs="仿宋"/>
          <w:b/>
          <w:bCs/>
          <w:color w:val="auto"/>
          <w:sz w:val="24"/>
          <w:szCs w:val="24"/>
          <w:highlight w:val="none"/>
        </w:rPr>
        <w:t xml:space="preserve">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360" w:lineRule="auto"/>
        <w:shd w:val="clear" w:color="auto" w:fill="ffffff"/>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1.2 磋商活动的文件解密工作由采购代理机构组织。</w:t>
      </w:r>
      <w:r/>
    </w:p>
    <w:p>
      <w:pPr>
        <w:ind w:firstLine="480"/>
        <w:jc w:val="left"/>
        <w:spacing w:line="360" w:lineRule="auto"/>
        <w:shd w:val="clear" w:color="auto" w:fill="ffffff"/>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注：各供应商请关注开标大厅交流区，在开标结束后，请勿离开开标大厅，采购人或采购代理机构通知最后报价填报后，所有的响应供应商须在</w:t>
      </w:r>
      <w:r>
        <w:rPr>
          <w:rFonts w:hint="eastAsia" w:ascii="仿宋" w:hAnsi="仿宋" w:eastAsia="仿宋" w:cs="仿宋"/>
          <w:b/>
          <w:bCs/>
          <w:color w:val="auto"/>
          <w:sz w:val="24"/>
          <w:szCs w:val="24"/>
          <w:highlight w:val="none"/>
          <w:lang w:val="en-US" w:eastAsia="zh-CN"/>
        </w:rPr>
        <w:t xml:space="preserve">10</w:t>
      </w:r>
      <w:r>
        <w:rPr>
          <w:rFonts w:hint="eastAsia" w:ascii="仿宋" w:hAnsi="仿宋" w:eastAsia="仿宋" w:cs="仿宋"/>
          <w:b/>
          <w:bCs/>
          <w:color w:val="auto"/>
          <w:sz w:val="24"/>
          <w:szCs w:val="24"/>
          <w:highlight w:val="none"/>
        </w:rPr>
        <w:t xml:space="preserve">分钟内填写并提交最后报价，未在规定时间内提交最后报价的，视作无效响应处理。</w:t>
      </w:r>
      <w:r/>
    </w:p>
    <w:p>
      <w:pPr>
        <w:pStyle w:val="845"/>
        <w:spacing w:before="0" w:after="0"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2.磋商小组</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2.1 磋商开始仪式结束后，采购</w:t>
      </w:r>
      <w:r>
        <w:rPr>
          <w:rFonts w:hint="eastAsia" w:ascii="仿宋" w:hAnsi="仿宋" w:eastAsia="仿宋" w:cs="仿宋"/>
          <w:color w:val="auto"/>
          <w:sz w:val="24"/>
          <w:szCs w:val="24"/>
          <w:highlight w:val="none"/>
        </w:rPr>
        <w:t xml:space="preserve">代理机构</w:t>
      </w:r>
      <w:r>
        <w:rPr>
          <w:rFonts w:ascii="仿宋" w:hAnsi="仿宋" w:eastAsia="仿宋" w:cs="仿宋"/>
          <w:color w:val="auto"/>
          <w:sz w:val="24"/>
          <w:szCs w:val="24"/>
          <w:highlight w:val="none"/>
        </w:rPr>
        <w:t xml:space="preserve">将立即组织磋商小组进行评审。</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2.2 磋商小组由采购人代表和评审专家共3人</w:t>
      </w:r>
      <w:r>
        <w:rPr>
          <w:rFonts w:hint="eastAsia" w:ascii="仿宋" w:hAnsi="仿宋" w:eastAsia="仿宋" w:cs="仿宋"/>
          <w:color w:val="auto"/>
          <w:sz w:val="24"/>
          <w:szCs w:val="24"/>
          <w:highlight w:val="none"/>
          <w:lang w:val="en-US" w:eastAsia="zh-CN"/>
        </w:rPr>
        <w:t xml:space="preserve">及</w:t>
      </w:r>
      <w:r>
        <w:rPr>
          <w:rFonts w:ascii="仿宋" w:hAnsi="仿宋" w:eastAsia="仿宋" w:cs="仿宋"/>
          <w:color w:val="auto"/>
          <w:sz w:val="24"/>
          <w:szCs w:val="24"/>
          <w:highlight w:val="none"/>
        </w:rPr>
        <w:t xml:space="preserve">以上单数组成，其中评审专家人数不得少于磋商小组成员总数的2/3。采购人不得以评审专家身份参加本部门或本单位采购项目的评审。本</w:t>
      </w:r>
      <w:r>
        <w:rPr>
          <w:rFonts w:hint="eastAsia" w:ascii="仿宋" w:hAnsi="仿宋" w:eastAsia="仿宋" w:cs="仿宋"/>
          <w:color w:val="auto"/>
          <w:sz w:val="24"/>
          <w:szCs w:val="24"/>
          <w:highlight w:val="none"/>
        </w:rPr>
        <w:t xml:space="preserve">代理机构</w:t>
      </w:r>
      <w:r>
        <w:rPr>
          <w:rFonts w:ascii="仿宋" w:hAnsi="仿宋" w:eastAsia="仿宋" w:cs="仿宋"/>
          <w:color w:val="auto"/>
          <w:sz w:val="24"/>
          <w:szCs w:val="24"/>
          <w:highlight w:val="none"/>
        </w:rPr>
        <w:t xml:space="preserve">人员不得参加本机构代理的采购项目的评审。</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限额以上项目</w:t>
      </w:r>
      <w:r>
        <w:rPr>
          <w:rFonts w:ascii="仿宋" w:hAnsi="仿宋" w:eastAsia="仿宋" w:cs="仿宋"/>
          <w:color w:val="auto"/>
          <w:sz w:val="24"/>
          <w:szCs w:val="24"/>
          <w:highlight w:val="none"/>
        </w:rPr>
        <w:t xml:space="preserve">采用竞争性磋商的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ascii="仿宋" w:hAnsi="仿宋" w:eastAsia="仿宋" w:cs="仿宋"/>
          <w:color w:val="auto"/>
          <w:sz w:val="24"/>
          <w:szCs w:val="24"/>
          <w:highlight w:val="none"/>
        </w:rPr>
        <w:t xml:space="preserve"> 磋商小组独立工作，负责评审所有响应文件并确定成交侯选人。</w:t>
      </w:r>
      <w:r/>
    </w:p>
    <w:p>
      <w:pPr>
        <w:pStyle w:val="845"/>
        <w:spacing w:before="0" w:after="0"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3.磋商评审过程的保密与公正</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3.1 磋商小组、采购人和采购</w:t>
      </w:r>
      <w:r>
        <w:rPr>
          <w:rFonts w:hint="eastAsia" w:ascii="仿宋" w:hAnsi="仿宋" w:eastAsia="仿宋" w:cs="仿宋"/>
          <w:color w:val="auto"/>
          <w:sz w:val="24"/>
          <w:szCs w:val="24"/>
          <w:highlight w:val="none"/>
        </w:rPr>
        <w:t xml:space="preserve">代理机构</w:t>
      </w:r>
      <w:r>
        <w:rPr>
          <w:rFonts w:ascii="仿宋" w:hAnsi="仿宋" w:eastAsia="仿宋" w:cs="仿宋"/>
          <w:color w:val="auto"/>
          <w:sz w:val="24"/>
          <w:szCs w:val="24"/>
          <w:highlight w:val="none"/>
        </w:rPr>
        <w:t xml:space="preserve">工作人员、相关监督人员等与评审工作有关的人员，对评审情况以及在评审过程中获悉的国家秘密、商业秘密负有保密责任。</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3.2 在磋商评审过程中，磋商供应商不得以任何行为影响磋商评审过程，否则其响应文件将被作为无效响应文件。</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3.4 评审开始后，直至向成交供应商授予合同时止，凡是与审查、澄清、评价和比较响应的有关资料以及授标建议等，采购人、磋商小组、采购</w:t>
      </w:r>
      <w:r>
        <w:rPr>
          <w:rFonts w:hint="eastAsia" w:ascii="仿宋" w:hAnsi="仿宋" w:eastAsia="仿宋" w:cs="仿宋"/>
          <w:color w:val="auto"/>
          <w:sz w:val="24"/>
          <w:szCs w:val="24"/>
          <w:highlight w:val="none"/>
        </w:rPr>
        <w:t xml:space="preserve">代理机构</w:t>
      </w:r>
      <w:r>
        <w:rPr>
          <w:rFonts w:ascii="仿宋" w:hAnsi="仿宋" w:eastAsia="仿宋" w:cs="仿宋"/>
          <w:color w:val="auto"/>
          <w:sz w:val="24"/>
          <w:szCs w:val="24"/>
          <w:highlight w:val="none"/>
        </w:rPr>
        <w:t xml:space="preserve">均不得向供应商或与评标无关的其他人员透露。</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3.5 在评审期间，采购</w:t>
      </w:r>
      <w:r>
        <w:rPr>
          <w:rFonts w:hint="eastAsia" w:ascii="仿宋" w:hAnsi="仿宋" w:eastAsia="仿宋" w:cs="仿宋"/>
          <w:color w:val="auto"/>
          <w:sz w:val="24"/>
          <w:szCs w:val="24"/>
          <w:highlight w:val="none"/>
        </w:rPr>
        <w:t xml:space="preserve">代理机构</w:t>
      </w:r>
      <w:r>
        <w:rPr>
          <w:rFonts w:ascii="仿宋" w:hAnsi="仿宋" w:eastAsia="仿宋" w:cs="仿宋"/>
          <w:color w:val="auto"/>
          <w:sz w:val="24"/>
          <w:szCs w:val="24"/>
          <w:highlight w:val="none"/>
        </w:rPr>
        <w:t xml:space="preserve">将设专门人员与供应商联系。</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3.6 采购</w:t>
      </w:r>
      <w:r>
        <w:rPr>
          <w:rFonts w:hint="eastAsia" w:ascii="仿宋" w:hAnsi="仿宋" w:eastAsia="仿宋" w:cs="仿宋"/>
          <w:color w:val="auto"/>
          <w:sz w:val="24"/>
          <w:szCs w:val="24"/>
          <w:highlight w:val="none"/>
        </w:rPr>
        <w:t xml:space="preserve">代理机构</w:t>
      </w:r>
      <w:r>
        <w:rPr>
          <w:rFonts w:ascii="仿宋" w:hAnsi="仿宋" w:eastAsia="仿宋" w:cs="仿宋"/>
          <w:color w:val="auto"/>
          <w:sz w:val="24"/>
          <w:szCs w:val="24"/>
          <w:highlight w:val="none"/>
        </w:rPr>
        <w:t xml:space="preserve">和评审小组不向未成交的供应商解释未成交原因，也不公布评审过程中的相关细节。</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3.7 </w:t>
      </w:r>
      <w:r>
        <w:rPr>
          <w:rFonts w:hint="eastAsia" w:ascii="仿宋" w:hAnsi="仿宋" w:eastAsia="仿宋" w:cs="仿宋"/>
          <w:color w:val="auto"/>
          <w:sz w:val="24"/>
          <w:szCs w:val="24"/>
          <w:highlight w:val="none"/>
        </w:rPr>
        <w:t xml:space="preserve">采用综合评分法的项目，公布评标结果时一并公布所有供应商的评审得分及排序情况。</w:t>
      </w:r>
      <w:r/>
    </w:p>
    <w:p>
      <w:pPr>
        <w:pStyle w:val="845"/>
        <w:spacing w:before="0" w:after="0"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评审过程的澄清</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4.1 评审期间，为有助于对响应文件的审查、评价和比较，磋商小组有权以电子函件形式要求响应人对其响应文件进行澄清，但并非对每个供应商都作澄清要求。</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4.2 接到磋商小组澄清要求的供应商应派人按磋商小组规定的时间和格式</w:t>
      </w:r>
      <w:r>
        <w:rPr>
          <w:rFonts w:hint="eastAsia" w:ascii="仿宋" w:hAnsi="仿宋" w:eastAsia="仿宋" w:cs="仿宋"/>
          <w:color w:val="auto"/>
          <w:sz w:val="24"/>
          <w:szCs w:val="24"/>
          <w:highlight w:val="none"/>
        </w:rPr>
        <w:t xml:space="preserve">在“苏采云”系统中</w:t>
      </w:r>
      <w:r>
        <w:rPr>
          <w:rFonts w:ascii="仿宋" w:hAnsi="仿宋" w:eastAsia="仿宋" w:cs="仿宋"/>
          <w:color w:val="auto"/>
          <w:sz w:val="24"/>
          <w:szCs w:val="24"/>
          <w:highlight w:val="none"/>
        </w:rPr>
        <w:t xml:space="preserve">做出澄清，澄清的内容作为响应文件的补充部分，但实质性的内容不得做任何更改。</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4.3 接到磋商小组澄清要求的供应商如未按规定做出澄清，其风险由供应商自行承担。</w:t>
      </w:r>
      <w:r/>
    </w:p>
    <w:p>
      <w:pPr>
        <w:pStyle w:val="845"/>
        <w:spacing w:before="0" w:after="0"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5.对响应文件的初审</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5.1 响应文件初审分为资格性审查和符合性审查。</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5.1.1 资格性检查：依据法律法规和磋商文件的规定，由采购人对响应文件中的资格审查证明材料进行审查，资格审查的结论，采购人以书面形式向磋商小组进行反馈。</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5.1.2 符合性审查：依据磋商文件的规定，由磋商小组从响应文件的有效性、完整性和对磋商文件的响应程度进行审查，以确定是否对磋商文件的实质性要求作出响应。</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5.1.3 未通过资格审查或符合性审查的供应商，采购</w:t>
      </w:r>
      <w:r>
        <w:rPr>
          <w:rFonts w:hint="eastAsia" w:ascii="仿宋" w:hAnsi="仿宋" w:eastAsia="仿宋" w:cs="仿宋"/>
          <w:color w:val="auto"/>
          <w:sz w:val="24"/>
          <w:szCs w:val="24"/>
          <w:highlight w:val="none"/>
        </w:rPr>
        <w:t xml:space="preserve">代理机构</w:t>
      </w:r>
      <w:r>
        <w:rPr>
          <w:rFonts w:ascii="仿宋" w:hAnsi="仿宋" w:eastAsia="仿宋" w:cs="仿宋"/>
          <w:color w:val="auto"/>
          <w:sz w:val="24"/>
          <w:szCs w:val="24"/>
          <w:highlight w:val="none"/>
        </w:rPr>
        <w:t xml:space="preserve">将告知未通过资格审查或符合性审查的原因，评审结束后，采购</w:t>
      </w:r>
      <w:r>
        <w:rPr>
          <w:rFonts w:hint="eastAsia" w:ascii="仿宋" w:hAnsi="仿宋" w:eastAsia="仿宋" w:cs="仿宋"/>
          <w:color w:val="auto"/>
          <w:sz w:val="24"/>
          <w:szCs w:val="24"/>
          <w:highlight w:val="none"/>
        </w:rPr>
        <w:t xml:space="preserve">代理机构</w:t>
      </w:r>
      <w:r>
        <w:rPr>
          <w:rFonts w:ascii="仿宋" w:hAnsi="仿宋" w:eastAsia="仿宋" w:cs="仿宋"/>
          <w:color w:val="auto"/>
          <w:sz w:val="24"/>
          <w:szCs w:val="24"/>
          <w:highlight w:val="none"/>
        </w:rPr>
        <w:t xml:space="preserve">将不再告知未通过资格审查或符合性审查的原因。</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5.2 在正式磋商之前，磋商小组将首先审查每份响应文件是否实质性响应了磋商文件的要求。实质性响应的响应文件应该是与磋商文件要求的全部条款、条件和规格相符，没有重大负偏离或保留。</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5.3 如果响应文件实质上没有响应磋商文件的要求，磋商小组将予以拒绝，供应商不得通过修改或撤销不合要求的偏离或保留而使其响应文件成为实质性响应的文件。</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5.4 磋商小组将对确定为实质性响应的文件进行进一步审核，看其是否有计算上或累加上的算术错误，修正错误的原则如下：</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（1）响应文件中报价总表内容与响应文件中相应内容不一致的，以</w:t>
      </w:r>
      <w:r>
        <w:rPr>
          <w:rFonts w:hint="eastAsia" w:ascii="仿宋" w:hAnsi="仿宋" w:eastAsia="仿宋" w:cs="仿宋"/>
          <w:color w:val="auto"/>
          <w:sz w:val="24"/>
          <w:szCs w:val="24"/>
          <w:highlight w:val="none"/>
        </w:rPr>
        <w:t xml:space="preserve">开标一览表</w:t>
      </w:r>
      <w:r>
        <w:rPr>
          <w:rFonts w:ascii="仿宋" w:hAnsi="仿宋" w:eastAsia="仿宋" w:cs="仿宋"/>
          <w:color w:val="auto"/>
          <w:sz w:val="24"/>
          <w:szCs w:val="24"/>
          <w:highlight w:val="none"/>
        </w:rPr>
        <w:t xml:space="preserve">为准。</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（2）大写金额和小写金额不一致的，以大写金额为准。</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（3）单价金额小数点或者百分比有明显错位的，以</w:t>
      </w:r>
      <w:r>
        <w:rPr>
          <w:rFonts w:hint="eastAsia" w:ascii="仿宋" w:hAnsi="仿宋" w:eastAsia="仿宋" w:cs="仿宋"/>
          <w:color w:val="auto"/>
          <w:sz w:val="24"/>
          <w:szCs w:val="24"/>
          <w:highlight w:val="none"/>
        </w:rPr>
        <w:t xml:space="preserve">开标一览表</w:t>
      </w:r>
      <w:r>
        <w:rPr>
          <w:rFonts w:ascii="仿宋" w:hAnsi="仿宋" w:eastAsia="仿宋" w:cs="仿宋"/>
          <w:color w:val="auto"/>
          <w:sz w:val="24"/>
          <w:szCs w:val="24"/>
          <w:highlight w:val="none"/>
        </w:rPr>
        <w:t xml:space="preserve">的总价为准，并修改单价。</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（4）总价金额与按单价汇总金额不一致的，以单价金额计算结果为准。</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同时出现两种以上错误的，按照前款规定的顺序修正。</w:t>
      </w:r>
      <w:r/>
    </w:p>
    <w:p>
      <w:pPr>
        <w:ind w:firstLine="480"/>
        <w:jc w:val="left"/>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5.5</w:t>
      </w:r>
      <w:r>
        <w:rPr>
          <w:rFonts w:hint="eastAsia" w:ascii="仿宋" w:hAnsi="仿宋" w:eastAsia="仿宋" w:cs="仿宋"/>
          <w:sz w:val="24"/>
          <w:szCs w:val="24"/>
          <w:highlight w:val="none"/>
        </w:rPr>
        <w:t xml:space="preserve">磋商小组将按上述修正错误的方法调整响应文件中的报价，通过“苏采云系统”开标大厅告知供应商，调整后的价格应对供应商具有约束力。如果供应商不接受修正后的价格，则其磋商响应文件将被拒绝</w:t>
      </w:r>
      <w:r>
        <w:rPr>
          <w:rFonts w:hint="eastAsia" w:ascii="仿宋" w:hAnsi="仿宋" w:eastAsia="仿宋" w:cs="仿宋"/>
          <w:color w:val="auto"/>
          <w:sz w:val="24"/>
          <w:szCs w:val="24"/>
          <w:highlight w:val="none"/>
        </w:rPr>
        <w:t xml:space="preserve">。</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5.6 磋商小组将允许修正响应文件中不构成重大偏离的、微小的、非正规的、不一致的或不规则的地方，但这些修改不能影响任何供应商相应的名次排列。</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rPr>
        <w:t xml:space="preserve">8</w:t>
      </w:r>
      <w:r>
        <w:rPr>
          <w:rFonts w:ascii="仿宋" w:hAnsi="仿宋" w:eastAsia="仿宋" w:cs="仿宋"/>
          <w:color w:val="auto"/>
          <w:sz w:val="24"/>
          <w:szCs w:val="24"/>
          <w:highlight w:val="none"/>
        </w:rPr>
        <w:t xml:space="preserve">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非单一产品采购项目，磋商文件中将载明其中的核心产品。多家供应商提供的核心产品品牌相同的，按前款规定处理。</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rPr>
        <w:t xml:space="preserve">9</w:t>
      </w:r>
      <w:r>
        <w:rPr>
          <w:rFonts w:ascii="仿宋" w:hAnsi="仿宋" w:eastAsia="仿宋" w:cs="仿宋"/>
          <w:color w:val="auto"/>
          <w:sz w:val="24"/>
          <w:szCs w:val="24"/>
          <w:highlight w:val="none"/>
        </w:rPr>
        <w:t xml:space="preserve"> 供应商在评审全过程中应保持通讯畅通，并安排专人与采购</w:t>
      </w:r>
      <w:r>
        <w:rPr>
          <w:rFonts w:hint="eastAsia" w:ascii="仿宋" w:hAnsi="仿宋" w:eastAsia="仿宋" w:cs="仿宋"/>
          <w:color w:val="auto"/>
          <w:sz w:val="24"/>
          <w:szCs w:val="24"/>
          <w:highlight w:val="none"/>
        </w:rPr>
        <w:t xml:space="preserve">代理机构</w:t>
      </w:r>
      <w:r>
        <w:rPr>
          <w:rFonts w:ascii="仿宋" w:hAnsi="仿宋" w:eastAsia="仿宋" w:cs="仿宋"/>
          <w:color w:val="auto"/>
          <w:sz w:val="24"/>
          <w:szCs w:val="24"/>
          <w:highlight w:val="none"/>
        </w:rPr>
        <w:t xml:space="preserve">及磋商小组联系。</w:t>
      </w:r>
      <w:r/>
    </w:p>
    <w:p>
      <w:pPr>
        <w:pStyle w:val="845"/>
        <w:spacing w:before="0" w:after="0"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6.被认定为未实质性响应磋商文件的响应文件的情形。</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6.1 出现下列情形之一的，作无效响应处理。</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6.1.1 </w:t>
      </w:r>
      <w:r>
        <w:rPr>
          <w:rFonts w:hint="eastAsia" w:ascii="仿宋" w:hAnsi="仿宋" w:eastAsia="仿宋" w:cs="仿宋"/>
          <w:color w:val="auto"/>
          <w:sz w:val="24"/>
          <w:szCs w:val="24"/>
          <w:highlight w:val="none"/>
        </w:rPr>
        <w:t xml:space="preserve">供应商在规定的时间内未成功解密电子响应文件的</w:t>
      </w:r>
      <w:r>
        <w:rPr>
          <w:rFonts w:ascii="仿宋" w:hAnsi="仿宋" w:eastAsia="仿宋" w:cs="仿宋"/>
          <w:color w:val="auto"/>
          <w:sz w:val="24"/>
          <w:szCs w:val="24"/>
          <w:highlight w:val="none"/>
        </w:rPr>
        <w:t xml:space="preserve">。</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6.1.2 </w:t>
      </w:r>
      <w:r>
        <w:rPr>
          <w:rFonts w:hint="eastAsia" w:ascii="仿宋" w:hAnsi="仿宋" w:eastAsia="仿宋" w:cs="仿宋"/>
          <w:color w:val="auto"/>
          <w:sz w:val="24"/>
          <w:szCs w:val="24"/>
          <w:highlight w:val="none"/>
        </w:rPr>
        <w:t xml:space="preserve">供应商未按照招标文件要求上传电子响应文件的</w:t>
      </w:r>
      <w:r>
        <w:rPr>
          <w:rFonts w:ascii="仿宋" w:hAnsi="仿宋" w:eastAsia="仿宋" w:cs="仿宋"/>
          <w:color w:val="auto"/>
          <w:sz w:val="24"/>
          <w:szCs w:val="24"/>
          <w:highlight w:val="none"/>
        </w:rPr>
        <w:t xml:space="preserve">。</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6.1.3 同一供应商提交两个（含两个）以上不同的响应报价的。</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6.1.4 不具备磋商文件中规定的资格要求的。</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6.1.5 响应报价超过了采购预算或最高限价的。</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6.1.6 未通过符合性检查的。</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6.1.7 不符合法律、法规和磋商文件中规定的其他实质性要求的。</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6.1.8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6.1.9 响应文件含有采购人不能接受的附加条件的。</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6.1.10 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6.1.11 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6.1.12 </w:t>
      </w:r>
      <w:r>
        <w:rPr>
          <w:rFonts w:hint="eastAsia" w:ascii="仿宋" w:hAnsi="仿宋" w:eastAsia="仿宋" w:cs="仿宋"/>
          <w:color w:val="auto"/>
          <w:sz w:val="24"/>
          <w:szCs w:val="24"/>
          <w:highlight w:val="none"/>
        </w:rPr>
        <w:t xml:space="preserve">响应文件未按照招标文件要求加盖电子签章</w:t>
      </w:r>
      <w:r>
        <w:rPr>
          <w:rFonts w:ascii="仿宋" w:hAnsi="仿宋" w:eastAsia="仿宋" w:cs="仿宋"/>
          <w:color w:val="auto"/>
          <w:sz w:val="24"/>
          <w:szCs w:val="24"/>
          <w:highlight w:val="none"/>
        </w:rPr>
        <w:t xml:space="preserve">。</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6.1.13 </w:t>
      </w:r>
      <w:r>
        <w:rPr>
          <w:rFonts w:hint="eastAsia" w:ascii="仿宋" w:hAnsi="仿宋" w:eastAsia="仿宋" w:cs="仿宋"/>
          <w:color w:val="auto"/>
          <w:sz w:val="24"/>
          <w:szCs w:val="24"/>
          <w:highlight w:val="none"/>
        </w:rPr>
        <w:t xml:space="preserve">不同的供应商响应文件制作机器码、文件创建标识码一致的</w:t>
      </w:r>
      <w:r>
        <w:rPr>
          <w:rFonts w:ascii="仿宋" w:hAnsi="仿宋" w:eastAsia="仿宋" w:cs="仿宋"/>
          <w:color w:val="auto"/>
          <w:sz w:val="24"/>
          <w:szCs w:val="24"/>
          <w:highlight w:val="none"/>
        </w:rPr>
        <w:t xml:space="preserve">。</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6.1.14</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供应商的商务技术部分得分相差悬殊，评标委员会认为得分畸低者没有实质性响应的。</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6.1.1</w:t>
      </w:r>
      <w:r>
        <w:rPr>
          <w:rFonts w:hint="eastAsia" w:ascii="仿宋" w:hAnsi="仿宋" w:eastAsia="仿宋" w:cs="仿宋"/>
          <w:color w:val="auto"/>
          <w:sz w:val="24"/>
          <w:szCs w:val="24"/>
          <w:highlight w:val="none"/>
        </w:rPr>
        <w:t xml:space="preserve">5</w:t>
      </w:r>
      <w:r>
        <w:rPr>
          <w:rFonts w:ascii="仿宋" w:hAnsi="仿宋" w:eastAsia="仿宋" w:cs="仿宋"/>
          <w:color w:val="auto"/>
          <w:sz w:val="24"/>
          <w:szCs w:val="24"/>
          <w:highlight w:val="none"/>
        </w:rPr>
        <w:t xml:space="preserve"> 其他法律、法规及本磋商文件规定的属无效响应的情形。</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 出现下列情形之一的，磋商失败。</w:t>
      </w:r>
      <w:r/>
    </w:p>
    <w:p>
      <w:pPr>
        <w:ind w:firstLine="480"/>
        <w:jc w:val="left"/>
        <w:spacing w:line="360" w:lineRule="auto"/>
        <w:shd w:val="clear" w:color="auto" w:fill="ffffff"/>
        <w:widowControl/>
        <w:rPr>
          <w:rFonts w:hint="eastAsia"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6.2.1 符合条件的供应商或者对磋商文件作实质响应的供应商不足3家的（市场竞争不充分的科研项目，以及需要扶持的科技成果转化项目可以是2家）</w:t>
      </w:r>
      <w:r>
        <w:rPr>
          <w:rFonts w:hint="eastAsia" w:ascii="仿宋" w:hAnsi="仿宋" w:eastAsia="仿宋" w:cs="仿宋"/>
          <w:color w:val="auto"/>
          <w:sz w:val="24"/>
          <w:szCs w:val="24"/>
          <w:highlight w:val="none"/>
          <w:lang w:eastAsia="zh-CN"/>
        </w:rPr>
        <w:t xml:space="preserve">。</w:t>
      </w:r>
      <w:r/>
    </w:p>
    <w:p>
      <w:pPr>
        <w:ind w:firstLine="480"/>
        <w:jc w:val="left"/>
        <w:spacing w:line="360" w:lineRule="auto"/>
        <w:shd w:val="clear" w:color="auto" w:fill="ffffff"/>
        <w:widowControl/>
        <w:rPr>
          <w:rFonts w:hint="eastAsia"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6.2.2 出现影响采购公正的违法违规行为的</w:t>
      </w:r>
      <w:r>
        <w:rPr>
          <w:rFonts w:hint="eastAsia" w:ascii="仿宋" w:hAnsi="仿宋" w:eastAsia="仿宋" w:cs="仿宋"/>
          <w:color w:val="auto"/>
          <w:sz w:val="24"/>
          <w:szCs w:val="24"/>
          <w:highlight w:val="none"/>
          <w:lang w:eastAsia="zh-CN"/>
        </w:rPr>
        <w:t xml:space="preserve">。</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6.2.3 因重大变故，采购任务取消的。</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6.2.4 磋商小组认定磋商文件存在歧义、重大缺陷导致评审工作无法进行。</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6.3 响应文件提交截止时间结束后参加磋商的供应商不足三家的处理：</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6.3.1 如出现响应文件提交截止时间结束后参加磋商的供应商或者在评审期间对磋商文件做出实质响应的供应商不足三家情况，按政府采购相关规定执行。</w:t>
      </w:r>
      <w:r/>
    </w:p>
    <w:p>
      <w:pPr>
        <w:pStyle w:val="845"/>
        <w:spacing w:before="0" w:after="0"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 响应文件线上格式要求</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7.1供应商应当通过“苏采云”系统提交数据电文形式的响应文件（即电子投标）。</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 通过“苏采云”系统提交政府采购客户端工具导出加密的响应文件（后缀名为zip）。响应文件不得超过150M。</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 本项目采用线上投标，即供应商的响应文件从政府采购客户端工具制作通过“苏采云”系统提交，未提供线上响应文件的，投标无效。</w:t>
      </w:r>
      <w:bookmarkEnd w:id="82"/>
      <w:r/>
      <w:bookmarkEnd w:id="83"/>
      <w:r/>
      <w:bookmarkEnd w:id="84"/>
      <w:r/>
      <w:r/>
    </w:p>
    <w:p>
      <w:pPr>
        <w:pStyle w:val="844"/>
        <w:spacing w:before="0" w:after="0" w:line="360" w:lineRule="auto"/>
        <w:rPr>
          <w:rFonts w:ascii="仿宋" w:hAnsi="仿宋" w:eastAsia="仿宋"/>
          <w:color w:val="auto"/>
          <w:sz w:val="24"/>
          <w:szCs w:val="24"/>
          <w:highlight w:val="none"/>
        </w:rPr>
      </w:pPr>
      <w:r/>
      <w:bookmarkStart w:id="85" w:name="_Toc120614219"/>
      <w:r>
        <w:rPr>
          <w:rFonts w:ascii="仿宋" w:hAnsi="仿宋" w:eastAsia="仿宋"/>
          <w:color w:val="auto"/>
          <w:sz w:val="24"/>
          <w:szCs w:val="24"/>
          <w:highlight w:val="none"/>
        </w:rPr>
        <w:t xml:space="preserve">（六）</w:t>
      </w:r>
      <w:bookmarkEnd w:id="85"/>
      <w:r>
        <w:rPr>
          <w:rFonts w:ascii="仿宋" w:hAnsi="仿宋" w:eastAsia="仿宋"/>
          <w:color w:val="auto"/>
          <w:sz w:val="24"/>
          <w:szCs w:val="24"/>
          <w:highlight w:val="none"/>
        </w:rPr>
        <w:t xml:space="preserve">成交</w:t>
      </w:r>
      <w:r/>
    </w:p>
    <w:p>
      <w:pPr>
        <w:pStyle w:val="845"/>
        <w:spacing w:before="0" w:after="0" w:line="360" w:lineRule="auto"/>
        <w:rPr>
          <w:rFonts w:ascii="仿宋" w:hAnsi="仿宋" w:eastAsia="仿宋"/>
          <w:color w:val="auto"/>
          <w:sz w:val="24"/>
          <w:szCs w:val="24"/>
          <w:highlight w:val="none"/>
        </w:rPr>
      </w:pPr>
      <w:r/>
      <w:bookmarkStart w:id="86" w:name="_Toc20823310"/>
      <w:r/>
      <w:bookmarkStart w:id="87" w:name="_Toc16938554"/>
      <w:r>
        <w:rPr>
          <w:rFonts w:ascii="仿宋" w:hAnsi="仿宋" w:eastAsia="仿宋"/>
          <w:color w:val="auto"/>
          <w:sz w:val="24"/>
          <w:szCs w:val="24"/>
          <w:highlight w:val="none"/>
        </w:rPr>
        <w:t xml:space="preserve">1.确定</w:t>
      </w:r>
      <w:bookmarkEnd w:id="86"/>
      <w:r/>
      <w:bookmarkEnd w:id="87"/>
      <w:r>
        <w:rPr>
          <w:rFonts w:ascii="仿宋" w:hAnsi="仿宋" w:eastAsia="仿宋"/>
          <w:color w:val="auto"/>
          <w:sz w:val="24"/>
          <w:szCs w:val="24"/>
          <w:highlight w:val="none"/>
        </w:rPr>
        <w:t xml:space="preserve">成交单位</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 成交候选供应商的选取原则和数量见磋商文件第四部分规定。</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 采购人授权磋商小组在成交候选供应商中直接确定成交供应商。</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 采购</w:t>
      </w:r>
      <w:r>
        <w:rPr>
          <w:rFonts w:hint="eastAsia" w:ascii="仿宋" w:hAnsi="仿宋" w:eastAsia="仿宋" w:cs="仿宋"/>
          <w:color w:val="auto"/>
          <w:sz w:val="24"/>
          <w:szCs w:val="24"/>
          <w:highlight w:val="none"/>
        </w:rPr>
        <w:t xml:space="preserve">代理机构</w:t>
      </w:r>
      <w:r>
        <w:rPr>
          <w:rFonts w:ascii="仿宋" w:hAnsi="仿宋" w:eastAsia="仿宋" w:cs="仿宋"/>
          <w:color w:val="auto"/>
          <w:sz w:val="24"/>
          <w:szCs w:val="24"/>
          <w:highlight w:val="none"/>
        </w:rPr>
        <w:t xml:space="preserve">将在</w:t>
      </w:r>
      <w:r>
        <w:rPr>
          <w:rFonts w:hint="eastAsia" w:ascii="仿宋" w:hAnsi="仿宋" w:eastAsia="仿宋" w:cs="仿宋"/>
          <w:color w:val="auto"/>
          <w:sz w:val="24"/>
          <w:szCs w:val="24"/>
          <w:highlight w:val="none"/>
        </w:rPr>
        <w:t xml:space="preserve">指定媒体上</w:t>
      </w:r>
      <w:r>
        <w:rPr>
          <w:rFonts w:ascii="仿宋" w:hAnsi="仿宋" w:eastAsia="仿宋" w:cs="仿宋"/>
          <w:color w:val="auto"/>
          <w:sz w:val="24"/>
          <w:szCs w:val="24"/>
          <w:highlight w:val="none"/>
        </w:rPr>
        <w:t xml:space="preserve">发布成交结果公告，公告期限为1个工作日。</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rPr>
        <w:t xml:space="preserve">4</w:t>
      </w:r>
      <w:r>
        <w:rPr>
          <w:rFonts w:ascii="仿宋" w:hAnsi="仿宋" w:eastAsia="仿宋" w:cs="仿宋"/>
          <w:color w:val="auto"/>
          <w:sz w:val="24"/>
          <w:szCs w:val="24"/>
          <w:highlight w:val="none"/>
        </w:rPr>
        <w:t xml:space="preserve"> 若有充分证据证明，成交供应商出现下列情况之一的，一经查实，将被取消成交资格：</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1.4.1 提供虚假材料谋取成交的。</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1.4.2 向采购人、采购</w:t>
      </w:r>
      <w:r>
        <w:rPr>
          <w:rFonts w:hint="eastAsia" w:ascii="仿宋" w:hAnsi="仿宋" w:eastAsia="仿宋" w:cs="仿宋"/>
          <w:color w:val="auto"/>
          <w:sz w:val="24"/>
          <w:szCs w:val="24"/>
          <w:highlight w:val="none"/>
        </w:rPr>
        <w:t xml:space="preserve">代理机构</w:t>
      </w:r>
      <w:r>
        <w:rPr>
          <w:rFonts w:ascii="仿宋" w:hAnsi="仿宋" w:eastAsia="仿宋" w:cs="仿宋"/>
          <w:color w:val="auto"/>
          <w:sz w:val="24"/>
          <w:szCs w:val="24"/>
          <w:highlight w:val="none"/>
        </w:rPr>
        <w:t xml:space="preserve">行贿或者评审专家提供其他不正当利益的。</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1.4.3 恶意竞争，最终总报价明显低于其自身合理成本且又无法提供证明的。</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1.4.4 属于本文件规定的无效条件，但在评审过程中又未被磋商小组发现的。</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1.4.5 与采购人或者其他供应商恶意串通的。</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1.4.6 采取不正当手段诋毁、排挤其他供应商的。</w:t>
      </w:r>
      <w:r/>
    </w:p>
    <w:p>
      <w:pPr>
        <w:ind w:firstLine="480"/>
        <w:jc w:val="left"/>
        <w:spacing w:line="360" w:lineRule="auto"/>
        <w:shd w:val="clear" w:color="auto" w:fill="ffffff"/>
        <w:widowControl/>
        <w:rPr>
          <w:rFonts w:ascii="仿宋" w:hAnsi="仿宋" w:eastAsia="仿宋" w:cs="仿宋"/>
          <w:color w:val="auto"/>
          <w:sz w:val="24"/>
          <w:szCs w:val="24"/>
          <w:highlight w:val="none"/>
        </w:rPr>
      </w:pPr>
      <w:r/>
      <w:bookmarkStart w:id="88" w:name="_Toc200451960"/>
      <w:r>
        <w:rPr>
          <w:rFonts w:ascii="仿宋" w:hAnsi="仿宋" w:eastAsia="仿宋" w:cs="仿宋"/>
          <w:color w:val="auto"/>
          <w:sz w:val="24"/>
          <w:szCs w:val="24"/>
          <w:highlight w:val="none"/>
        </w:rPr>
        <w:t xml:space="preserve">1.5 有下列情形之一的，视为供应商串通参与磋商，响应无效：</w:t>
      </w:r>
      <w:r/>
    </w:p>
    <w:p>
      <w:pPr>
        <w:ind w:firstLine="480"/>
        <w:jc w:val="left"/>
        <w:spacing w:line="360" w:lineRule="auto"/>
        <w:shd w:val="clear" w:color="auto" w:fill="ffffff"/>
        <w:widowControl/>
        <w:rPr>
          <w:rFonts w:hint="eastAsia"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1.5.1 不同供应商的响应文件由同一单位或者个人编制</w:t>
      </w:r>
      <w:r>
        <w:rPr>
          <w:rFonts w:hint="eastAsia" w:ascii="仿宋" w:hAnsi="仿宋" w:eastAsia="仿宋" w:cs="仿宋"/>
          <w:color w:val="auto"/>
          <w:sz w:val="24"/>
          <w:szCs w:val="24"/>
          <w:highlight w:val="none"/>
          <w:lang w:eastAsia="zh-CN"/>
        </w:rPr>
        <w:t xml:space="preserve">。</w:t>
      </w:r>
      <w:r/>
    </w:p>
    <w:p>
      <w:pPr>
        <w:ind w:firstLine="480"/>
        <w:jc w:val="left"/>
        <w:spacing w:line="360" w:lineRule="auto"/>
        <w:shd w:val="clear" w:color="auto" w:fill="ffffff"/>
        <w:widowControl/>
        <w:rPr>
          <w:rFonts w:hint="eastAsia"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1.5.2 不同供应商委托同一单位或者个人办理磋商事宜</w:t>
      </w:r>
      <w:r>
        <w:rPr>
          <w:rFonts w:hint="eastAsia" w:ascii="仿宋" w:hAnsi="仿宋" w:eastAsia="仿宋" w:cs="仿宋"/>
          <w:color w:val="auto"/>
          <w:sz w:val="24"/>
          <w:szCs w:val="24"/>
          <w:highlight w:val="none"/>
          <w:lang w:eastAsia="zh-CN"/>
        </w:rPr>
        <w:t xml:space="preserve">。</w:t>
      </w:r>
      <w:r/>
    </w:p>
    <w:p>
      <w:pPr>
        <w:ind w:firstLine="480"/>
        <w:jc w:val="left"/>
        <w:spacing w:line="360" w:lineRule="auto"/>
        <w:shd w:val="clear" w:color="auto" w:fill="ffffff"/>
        <w:widowControl/>
        <w:rPr>
          <w:rFonts w:hint="eastAsia"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1.5.3 不同供应商的响应文件载明的项目管理成员或者联系人员为同一人</w:t>
      </w:r>
      <w:r>
        <w:rPr>
          <w:rFonts w:hint="eastAsia" w:ascii="仿宋" w:hAnsi="仿宋" w:eastAsia="仿宋" w:cs="仿宋"/>
          <w:color w:val="auto"/>
          <w:sz w:val="24"/>
          <w:szCs w:val="24"/>
          <w:highlight w:val="none"/>
          <w:lang w:eastAsia="zh-CN"/>
        </w:rPr>
        <w:t xml:space="preserve">。</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1.5.4 不同供应商的响应文件异常一致或者响应报价呈规律性差异。</w:t>
      </w:r>
      <w:r/>
    </w:p>
    <w:p>
      <w:pPr>
        <w:pStyle w:val="845"/>
        <w:spacing w:before="0" w:after="0"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2.质疑处理</w:t>
      </w:r>
      <w:bookmarkEnd w:id="88"/>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2.1 提出质疑的供应商应当是参与所质疑项目采购活动的供应商。潜在供应商依法获取其可质疑的磋商文件的，可以对磋商文件提出质疑。</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2.2 供应商认为磋商文件、采购过程和采购结果使自己的权益受到损害的，可以在知道或应知其权益受到损害之日起七个工作日内，以书面形式向采购</w:t>
      </w:r>
      <w:r>
        <w:rPr>
          <w:rFonts w:hint="eastAsia" w:ascii="仿宋" w:hAnsi="仿宋" w:eastAsia="仿宋" w:cs="仿宋"/>
          <w:color w:val="auto"/>
          <w:sz w:val="24"/>
          <w:szCs w:val="24"/>
          <w:highlight w:val="none"/>
        </w:rPr>
        <w:t xml:space="preserve">代理机构</w:t>
      </w:r>
      <w:r>
        <w:rPr>
          <w:rFonts w:ascii="仿宋" w:hAnsi="仿宋" w:eastAsia="仿宋" w:cs="仿宋"/>
          <w:color w:val="auto"/>
          <w:sz w:val="24"/>
          <w:szCs w:val="24"/>
          <w:highlight w:val="none"/>
        </w:rPr>
        <w:t xml:space="preserve">或采购人提出质疑。上述应知其权益受到损害之日，是指：</w:t>
      </w:r>
      <w:r/>
    </w:p>
    <w:p>
      <w:pPr>
        <w:ind w:firstLine="480"/>
        <w:jc w:val="left"/>
        <w:spacing w:line="360" w:lineRule="auto"/>
        <w:shd w:val="clear" w:color="auto" w:fill="ffffff"/>
        <w:widowControl/>
        <w:rPr>
          <w:rFonts w:hint="eastAsia"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2.2.1 对可以质疑的磋商文件提出质疑的，为收到磋商文件之日或者磋商文件公告期限届满之日</w:t>
      </w:r>
      <w:r>
        <w:rPr>
          <w:rFonts w:hint="eastAsia" w:ascii="仿宋" w:hAnsi="仿宋" w:eastAsia="仿宋" w:cs="仿宋"/>
          <w:color w:val="auto"/>
          <w:sz w:val="24"/>
          <w:szCs w:val="24"/>
          <w:highlight w:val="none"/>
          <w:lang w:eastAsia="zh-CN"/>
        </w:rPr>
        <w:t xml:space="preserve">。</w:t>
      </w:r>
      <w:r/>
    </w:p>
    <w:p>
      <w:pPr>
        <w:ind w:firstLine="480"/>
        <w:jc w:val="left"/>
        <w:spacing w:line="360" w:lineRule="auto"/>
        <w:shd w:val="clear" w:color="auto" w:fill="ffffff"/>
        <w:widowControl/>
        <w:rPr>
          <w:rFonts w:hint="eastAsia"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2.2.2 对采购过程提出质疑的，为各采购程序环节结束之日</w:t>
      </w:r>
      <w:r>
        <w:rPr>
          <w:rFonts w:hint="eastAsia" w:ascii="仿宋" w:hAnsi="仿宋" w:eastAsia="仿宋" w:cs="仿宋"/>
          <w:color w:val="auto"/>
          <w:sz w:val="24"/>
          <w:szCs w:val="24"/>
          <w:highlight w:val="none"/>
          <w:lang w:eastAsia="zh-CN"/>
        </w:rPr>
        <w:t xml:space="preserve">。</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2.2.3 对成交结果提出质疑的，为成交结果公告期限届满之日。</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供应商应当在法定质疑期内一次性提出针对同一采购程序环节的质疑。</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2.3 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2.4 对采购方式、磋商文件中项目需求、供应商资格条件、评审方法和评审标准、资格审查结果等应当由采购人答复的质疑，请向采购人提出，由采购人负责答复。供应商对其他事项的质疑，请向采购</w:t>
      </w:r>
      <w:r>
        <w:rPr>
          <w:rFonts w:hint="eastAsia" w:ascii="仿宋" w:hAnsi="仿宋" w:eastAsia="仿宋" w:cs="仿宋"/>
          <w:color w:val="auto"/>
          <w:sz w:val="24"/>
          <w:szCs w:val="24"/>
          <w:highlight w:val="none"/>
        </w:rPr>
        <w:t xml:space="preserve">代理机构</w:t>
      </w:r>
      <w:r>
        <w:rPr>
          <w:rFonts w:ascii="仿宋" w:hAnsi="仿宋" w:eastAsia="仿宋" w:cs="仿宋"/>
          <w:color w:val="auto"/>
          <w:sz w:val="24"/>
          <w:szCs w:val="24"/>
          <w:highlight w:val="none"/>
        </w:rPr>
        <w:t xml:space="preserve">提出，由采购</w:t>
      </w:r>
      <w:r>
        <w:rPr>
          <w:rFonts w:hint="eastAsia" w:ascii="仿宋" w:hAnsi="仿宋" w:eastAsia="仿宋" w:cs="仿宋"/>
          <w:color w:val="auto"/>
          <w:sz w:val="24"/>
          <w:szCs w:val="24"/>
          <w:highlight w:val="none"/>
        </w:rPr>
        <w:t xml:space="preserve">代理机构</w:t>
      </w:r>
      <w:r>
        <w:rPr>
          <w:rFonts w:ascii="仿宋" w:hAnsi="仿宋" w:eastAsia="仿宋" w:cs="仿宋"/>
          <w:color w:val="auto"/>
          <w:sz w:val="24"/>
          <w:szCs w:val="24"/>
          <w:highlight w:val="none"/>
        </w:rPr>
        <w:t xml:space="preserve">负责答复。</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采购人质疑接收人及联系方式，见磋商文件第一部分。</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2.5 以下情形的质疑不予受理</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2.5.1 内容不符合《政府采购质疑和投诉办法》第十二条规定的质疑。</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2.5.2 超出政府采购法定期限的质疑。</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2.5.3 未参加磋商活动的供应商或在磋商活动中自身权益未受到损害的供应商所提出的质疑。</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2.5.4 供应商组成联合体参加磋商，联合体中任何一方或多方未按要求签字、盖章、加盖公章的质疑。</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2.6 供应商提出书面质疑必须有理、有据，不得捏造事实、提供虚假材料进行恶意质疑。否则，一经查实，采购</w:t>
      </w:r>
      <w:r>
        <w:rPr>
          <w:rFonts w:hint="eastAsia" w:ascii="仿宋" w:hAnsi="仿宋" w:eastAsia="仿宋" w:cs="仿宋"/>
          <w:color w:val="auto"/>
          <w:sz w:val="24"/>
          <w:szCs w:val="24"/>
          <w:highlight w:val="none"/>
        </w:rPr>
        <w:t xml:space="preserve">代理机构</w:t>
      </w:r>
      <w:r>
        <w:rPr>
          <w:rFonts w:ascii="仿宋" w:hAnsi="仿宋" w:eastAsia="仿宋" w:cs="仿宋"/>
          <w:color w:val="auto"/>
          <w:sz w:val="24"/>
          <w:szCs w:val="24"/>
          <w:highlight w:val="none"/>
        </w:rPr>
        <w:t xml:space="preserve">有权依据政府采购的有关规定，报请政府采购监管部门对该供应商进行相应的行政处罚和记录该供应商的失信信息。</w:t>
      </w:r>
      <w:r/>
    </w:p>
    <w:p>
      <w:pPr>
        <w:pStyle w:val="845"/>
        <w:spacing w:before="0" w:after="0"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3．成交通知书</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3.l 成交结果确定后，采购</w:t>
      </w:r>
      <w:r>
        <w:rPr>
          <w:rFonts w:hint="eastAsia" w:ascii="仿宋" w:hAnsi="仿宋" w:eastAsia="仿宋" w:cs="仿宋"/>
          <w:color w:val="auto"/>
          <w:sz w:val="24"/>
          <w:szCs w:val="24"/>
          <w:highlight w:val="none"/>
        </w:rPr>
        <w:t xml:space="preserve">代理机构</w:t>
      </w:r>
      <w:r>
        <w:rPr>
          <w:rFonts w:ascii="仿宋" w:hAnsi="仿宋" w:eastAsia="仿宋" w:cs="仿宋"/>
          <w:color w:val="auto"/>
          <w:sz w:val="24"/>
          <w:szCs w:val="24"/>
          <w:highlight w:val="none"/>
        </w:rPr>
        <w:t xml:space="preserve">将向成交供应商发出成交通知书。</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3.2 成交通知书将是合同的一个组成部分。对采购人和成交供应商均具有法律效力。成交通知书发出后，采购人改变成交结果的，或者成交供应商放弃磋商项目的，应当依法承担法律责任。</w:t>
      </w:r>
      <w:r/>
    </w:p>
    <w:p>
      <w:pPr>
        <w:pStyle w:val="844"/>
        <w:spacing w:before="0" w:after="0" w:line="360" w:lineRule="auto"/>
        <w:rPr>
          <w:rFonts w:ascii="仿宋" w:hAnsi="仿宋" w:eastAsia="仿宋"/>
          <w:color w:val="auto"/>
          <w:sz w:val="24"/>
          <w:szCs w:val="24"/>
          <w:highlight w:val="none"/>
        </w:rPr>
      </w:pPr>
      <w:r/>
      <w:bookmarkStart w:id="89" w:name="_Toc513029236"/>
      <w:r/>
      <w:bookmarkStart w:id="90" w:name="_Toc20823308"/>
      <w:r/>
      <w:bookmarkStart w:id="91" w:name="_Toc120614220"/>
      <w:r/>
      <w:bookmarkStart w:id="92" w:name="_Toc16938552"/>
      <w:r>
        <w:rPr>
          <w:rFonts w:ascii="仿宋" w:hAnsi="仿宋" w:eastAsia="仿宋"/>
          <w:color w:val="auto"/>
          <w:sz w:val="24"/>
          <w:szCs w:val="24"/>
          <w:highlight w:val="none"/>
        </w:rPr>
        <w:t xml:space="preserve">（七）授予合同</w:t>
      </w:r>
      <w:bookmarkEnd w:id="89"/>
      <w:r/>
      <w:bookmarkEnd w:id="90"/>
      <w:r/>
      <w:bookmarkEnd w:id="91"/>
      <w:r/>
      <w:bookmarkEnd w:id="92"/>
      <w:r/>
      <w:r/>
    </w:p>
    <w:p>
      <w:pPr>
        <w:pStyle w:val="845"/>
        <w:spacing w:before="0" w:after="0"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1.签订合同</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1.l 成交供应商应当在成交通知书发出之日起三十日内，按照磋商文件确定的事项与采购人签订政府采购合同。</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 磋商文件、成交供应商的响应文件及磋商过程中有关澄清、承诺文件均应作为合同附件。</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 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pStyle w:val="845"/>
        <w:spacing w:before="0" w:after="0"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2.货物和服务的追加、减少和添购。</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2.1 政府采购合同履行中，采购人需追加与合同标的相同的货物和服务的，在不改变合同其他条款的前提下，可以与成交供应商协商签订补充合同，但所有补充合同的采购金额不超过原合同金额10%。</w:t>
      </w:r>
      <w:r/>
    </w:p>
    <w:p>
      <w:pPr>
        <w:ind w:firstLine="480"/>
        <w:jc w:val="left"/>
        <w:spacing w:line="360" w:lineRule="auto"/>
        <w:shd w:val="clear" w:color="auto" w:fill="ffffff"/>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2.2 采购结束后，采购人若由于各种客观原因，必须对采购项目所牵涉的货物和服务进行适当的减少时，在双方协商一致的前提下，可以按照采购时的价格水平做相应的调减，并据此签订补充合同。</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 政府采购合同信用融资扶持政策</w:t>
      </w:r>
      <w:r/>
    </w:p>
    <w:p>
      <w:pPr>
        <w:ind w:firstLine="482"/>
        <w:spacing w:line="360" w:lineRule="auto"/>
        <w:rPr>
          <w:rFonts w:hint="eastAsia" w:cs="宋体"/>
          <w:b/>
          <w:sz w:val="24"/>
          <w:szCs w:val="24"/>
          <w:highlight w:val="none"/>
        </w:rPr>
        <w:outlineLvl w:val="3"/>
      </w:pPr>
      <w:r>
        <w:rPr>
          <w:rFonts w:hint="eastAsia" w:ascii="仿宋" w:hAnsi="仿宋" w:eastAsia="仿宋" w:cs="仿宋"/>
          <w:b/>
          <w:sz w:val="24"/>
          <w:szCs w:val="24"/>
          <w:highlight w:val="none"/>
        </w:rPr>
        <w:t xml:space="preserve">3.1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63"/>
        <w:spacing w:line="360" w:lineRule="auto"/>
        <w:rPr>
          <w:rFonts w:hint="eastAsia" w:ascii="仿宋" w:hAnsi="仿宋" w:eastAsia="仿宋" w:cstheme="majorBidi"/>
          <w:b/>
          <w:bCs/>
          <w:color w:val="auto"/>
          <w:sz w:val="24"/>
          <w:szCs w:val="24"/>
          <w:highlight w:val="none"/>
        </w:rPr>
      </w:pPr>
      <w:r>
        <w:rPr>
          <w:rFonts w:hint="eastAsia" w:ascii="仿宋" w:hAnsi="仿宋" w:eastAsia="仿宋" w:cstheme="majorBidi"/>
          <w:b/>
          <w:bCs/>
          <w:color w:val="auto"/>
          <w:sz w:val="24"/>
          <w:szCs w:val="24"/>
          <w:highlight w:val="none"/>
          <w:lang w:val="en-US" w:eastAsia="zh-CN"/>
        </w:rPr>
        <w:t xml:space="preserve">（八）</w:t>
      </w:r>
      <w:r>
        <w:rPr>
          <w:rFonts w:hint="eastAsia" w:ascii="仿宋" w:hAnsi="仿宋" w:eastAsia="仿宋" w:cstheme="majorBidi"/>
          <w:b/>
          <w:bCs/>
          <w:color w:val="auto"/>
          <w:sz w:val="24"/>
          <w:szCs w:val="24"/>
          <w:highlight w:val="none"/>
        </w:rPr>
        <w:t xml:space="preserve">电子招标投标交易平台</w:t>
      </w:r>
      <w:r/>
    </w:p>
    <w:p>
      <w:pPr>
        <w:ind w:firstLine="480"/>
        <w:spacing w:line="360" w:lineRule="auto"/>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电子招标投标交易平台（即“苏采云”系统，网址：</w:t>
      </w:r>
      <w:r>
        <w:rPr>
          <w:rFonts w:hint="eastAsia" w:ascii="仿宋" w:hAnsi="仿宋" w:eastAsia="仿宋" w:cs="仿宋"/>
          <w:sz w:val="24"/>
          <w:szCs w:val="24"/>
          <w:highlight w:val="none"/>
          <w:lang w:eastAsia="en-US"/>
        </w:rPr>
        <w:fldChar w:fldCharType="begin"/>
      </w:r>
      <w:r>
        <w:rPr>
          <w:rFonts w:hint="eastAsia" w:ascii="仿宋" w:hAnsi="仿宋" w:eastAsia="仿宋" w:cs="仿宋"/>
          <w:sz w:val="24"/>
          <w:szCs w:val="24"/>
          <w:highlight w:val="none"/>
          <w:lang w:eastAsia="en-US"/>
        </w:rPr>
        <w:instrText xml:space="preserve"> HYPERLINK "http://jszfcg.jsczt.cn/）相关要求是本采购文件的组成部分。" </w:instrText>
      </w:r>
      <w:r>
        <w:rPr>
          <w:rFonts w:hint="eastAsia" w:ascii="仿宋" w:hAnsi="仿宋" w:eastAsia="仿宋" w:cs="仿宋"/>
          <w:sz w:val="24"/>
          <w:szCs w:val="24"/>
          <w:highlight w:val="none"/>
          <w:lang w:eastAsia="en-US"/>
        </w:rPr>
        <w:fldChar w:fldCharType="separate"/>
      </w:r>
      <w:r>
        <w:rPr>
          <w:rFonts w:hint="eastAsia" w:ascii="仿宋" w:hAnsi="仿宋" w:eastAsia="仿宋" w:cs="仿宋"/>
          <w:sz w:val="24"/>
          <w:szCs w:val="24"/>
          <w:highlight w:val="none"/>
          <w:lang w:eastAsia="en-US"/>
        </w:rPr>
        <w:t xml:space="preserve">http://jszfcg.jsczt.cn/）相关要求是本采购文件的组成部分。</w:t>
      </w:r>
      <w:r>
        <w:rPr>
          <w:rFonts w:hint="eastAsia" w:ascii="仿宋" w:hAnsi="仿宋" w:eastAsia="仿宋" w:cs="仿宋"/>
          <w:sz w:val="24"/>
          <w:szCs w:val="24"/>
          <w:highlight w:val="none"/>
          <w:lang w:eastAsia="en-US"/>
        </w:rPr>
        <w:fldChar w:fldCharType="end"/>
      </w:r>
      <w:r/>
    </w:p>
    <w:p>
      <w:pPr>
        <w:ind w:firstLine="463"/>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（九）未尽事宜</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按《中华人民共和国政府采购法》《政府采购竞争性磋商采购方式管理暂行办法》及其他有关法律法规的规定执行。</w:t>
      </w:r>
      <w:r/>
    </w:p>
    <w:p>
      <w:pPr>
        <w:jc w:val="left"/>
        <w:spacing w:line="360" w:lineRule="auto"/>
        <w:widowControl/>
        <w:rPr>
          <w:rFonts w:ascii="仿宋" w:hAnsi="仿宋" w:eastAsia="仿宋"/>
          <w:color w:val="auto"/>
          <w:sz w:val="28"/>
          <w:szCs w:val="28"/>
          <w:highlight w:val="none"/>
        </w:rPr>
      </w:pPr>
      <w:r>
        <w:rPr>
          <w:rFonts w:ascii="仿宋" w:hAnsi="仿宋" w:eastAsia="仿宋"/>
          <w:color w:val="auto"/>
          <w:sz w:val="28"/>
          <w:szCs w:val="28"/>
          <w:highlight w:val="none"/>
        </w:rPr>
        <w:br w:type="page" w:clear="all"/>
      </w:r>
      <w:r/>
    </w:p>
    <w:p>
      <w:pPr>
        <w:pStyle w:val="843"/>
        <w:jc w:val="center"/>
        <w:spacing w:before="638" w:after="319"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第三部分 项目需求</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482"/>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一、有关要求说明（货物、服务、工程类通用说明）</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 xml:space="preserve">1</w:t>
      </w:r>
      <w:r>
        <w:rPr>
          <w:rFonts w:hint="eastAsia" w:ascii="仿宋" w:hAnsi="仿宋" w:eastAsia="仿宋" w:cs="宋体"/>
          <w:color w:val="auto"/>
          <w:sz w:val="24"/>
          <w:szCs w:val="24"/>
          <w:highlight w:val="none"/>
        </w:rPr>
        <w:t xml:space="preserve">.产品要求：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 xml:space="preserve">2</w:t>
      </w:r>
      <w:r>
        <w:rPr>
          <w:rFonts w:hint="eastAsia" w:ascii="仿宋" w:hAnsi="仿宋" w:eastAsia="仿宋" w:cs="宋体"/>
          <w:color w:val="auto"/>
          <w:sz w:val="24"/>
          <w:szCs w:val="24"/>
          <w:highlight w:val="none"/>
        </w:rPr>
        <w:t xml:space="preserve">.服务要求：供应商提供的服务人员必须是响应文件中所承诺的，杜绝采用分包、转包或挂靠单位人员。采购人发现提供服务的技术人员不能满足项目需求的，有权要求成交供应商按照承诺配备或更换相应资格的技术人员，且未经采购人同意不得随意私自更换技术人员。</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二、需求</w:t>
      </w:r>
      <w:r/>
    </w:p>
    <w:p>
      <w:pPr>
        <w:ind w:left="440" w:right="220" w:firstLine="480"/>
        <w:jc w:val="both"/>
        <w:spacing w:line="360" w:lineRule="auto"/>
        <w:rPr>
          <w:rFonts w:hint="eastAsia" w:cs="Times New Roman" w:asciiTheme="minorEastAsia" w:hAnsiTheme="minorEastAsia"/>
          <w:b/>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bCs w:val="0"/>
          <w:color w:val="000000" w:themeColor="text1"/>
          <w:sz w:val="24"/>
          <w:szCs w:val="24"/>
          <w:highlight w:val="none"/>
          <w:lang w:val="en-US" w:eastAsia="zh-CN"/>
          <w14:textFill>
            <w14:solidFill>
              <w14:schemeClr w14:val="tx1"/>
            </w14:solidFill>
          </w14:textFill>
        </w:rPr>
        <w:t xml:space="preserve">2.1</w:t>
      </w:r>
      <w:r>
        <w:rPr>
          <w:rFonts w:hint="eastAsia" w:cs="Times New Roman" w:asciiTheme="minorEastAsia" w:hAnsiTheme="minorEastAsia"/>
          <w:b/>
          <w:bCs w:val="0"/>
          <w:color w:val="000000" w:themeColor="text1"/>
          <w:sz w:val="24"/>
          <w:szCs w:val="24"/>
          <w:highlight w:val="none"/>
          <w:lang w:eastAsia="zh-CN"/>
          <w14:textFill>
            <w14:solidFill>
              <w14:schemeClr w14:val="tx1"/>
            </w14:solidFill>
          </w14:textFill>
        </w:rPr>
        <w:t xml:space="preserve">、</w:t>
      </w:r>
      <w:r>
        <w:rPr>
          <w:rFonts w:hint="eastAsia" w:cs="Times New Roman" w:asciiTheme="minorEastAsia" w:hAnsiTheme="minorEastAsia"/>
          <w:b/>
          <w:color w:val="000000" w:themeColor="text1"/>
          <w:sz w:val="24"/>
          <w:szCs w:val="24"/>
          <w:highlight w:val="none"/>
          <w:lang w:eastAsia="zh-CN"/>
          <w14:textFill>
            <w14:solidFill>
              <w14:schemeClr w14:val="tx1"/>
            </w14:solidFill>
          </w14:textFill>
        </w:rPr>
        <w:t xml:space="preserve">场次</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1.2026年3-12月期间，拟举办5场第五届江海英才创新创业大赛创新区子项暨第四届紫琅湖未来产业创新创业大赛，即在上海、深圳、成都、香港（或其他境外城市）等区域择期举办4场创新创业活动，在创新区举办1场总决赛。</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2.境内每个城市以创业周形式举办活动，内容包括：创新区投资环境宣传推介，链接符合创新区主导产业方向的高校院所、产业创新平台、科技园区、行业协会等资源，开展活动前链接45个创新创业项目并择优开展拜访洽谈，组织项目参加活动。活动邀请产业界、投资界专家现场评选。</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3.境外城市链接15-20个创新创业项目，举办一场创新创业项目路演或分站比赛。</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4.</w:t>
      </w:r>
      <w:r>
        <w:rPr>
          <w:rFonts w:hint="eastAsia" w:cs="Times New Roman" w:asciiTheme="minorEastAsia" w:hAnsiTheme="minorEastAsia"/>
          <w:b w:val="0"/>
          <w:bCs/>
          <w:color w:val="000000" w:themeColor="text1"/>
          <w:sz w:val="24"/>
          <w:szCs w:val="24"/>
          <w:highlight w:val="none"/>
          <w:lang w:val="en-US" w:eastAsia="zh-CN"/>
          <w14:textFill>
            <w14:solidFill>
              <w14:schemeClr w14:val="tx1"/>
            </w14:solidFill>
          </w14:textFill>
        </w:rPr>
        <w:t xml:space="preserve"> </w:t>
      </w: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4场城市赛总计评选出不超过20个项目参加创新区总决赛。</w:t>
      </w:r>
      <w:r/>
    </w:p>
    <w:p>
      <w:pPr>
        <w:ind w:left="440" w:right="220" w:firstLine="480"/>
        <w:jc w:val="both"/>
        <w:spacing w:line="360" w:lineRule="auto"/>
        <w:rPr>
          <w:rFonts w:hint="eastAsia" w:cs="Times New Roman" w:asciiTheme="minorEastAsia" w:hAnsiTheme="minorEastAsia"/>
          <w:b/>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color w:val="000000" w:themeColor="text1"/>
          <w:sz w:val="24"/>
          <w:szCs w:val="24"/>
          <w:highlight w:val="none"/>
          <w:lang w:eastAsia="zh-CN"/>
          <w14:textFill>
            <w14:solidFill>
              <w14:schemeClr w14:val="tx1"/>
            </w14:solidFill>
          </w14:textFill>
        </w:rPr>
      </w:r>
      <w:r/>
    </w:p>
    <w:p>
      <w:pPr>
        <w:ind w:left="440" w:right="220" w:firstLine="480"/>
        <w:jc w:val="both"/>
        <w:spacing w:line="360" w:lineRule="auto"/>
        <w:rPr>
          <w:rFonts w:hint="eastAsia" w:cs="Times New Roman" w:asciiTheme="minorEastAsia" w:hAnsiTheme="minorEastAsia"/>
          <w:b/>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color w:val="000000" w:themeColor="text1"/>
          <w:sz w:val="24"/>
          <w:szCs w:val="24"/>
          <w:highlight w:val="none"/>
          <w:lang w:val="en-US" w:eastAsia="zh-CN"/>
          <w14:textFill>
            <w14:solidFill>
              <w14:schemeClr w14:val="tx1"/>
            </w14:solidFill>
          </w14:textFill>
        </w:rPr>
        <w:t xml:space="preserve">2.2、</w:t>
      </w:r>
      <w:r>
        <w:rPr>
          <w:rFonts w:hint="eastAsia" w:cs="Times New Roman" w:asciiTheme="minorEastAsia" w:hAnsiTheme="minorEastAsia"/>
          <w:b/>
          <w:color w:val="000000" w:themeColor="text1"/>
          <w:sz w:val="24"/>
          <w:szCs w:val="24"/>
          <w:highlight w:val="none"/>
          <w:lang w:eastAsia="zh-CN"/>
          <w14:textFill>
            <w14:solidFill>
              <w14:schemeClr w14:val="tx1"/>
            </w14:solidFill>
          </w14:textFill>
        </w:rPr>
        <w:t xml:space="preserve">活动组织要求</w:t>
      </w:r>
      <w:r/>
    </w:p>
    <w:p>
      <w:pPr>
        <w:ind w:left="440" w:right="220" w:firstLine="480"/>
        <w:jc w:val="both"/>
        <w:spacing w:line="360" w:lineRule="auto"/>
        <w:rPr>
          <w:rFonts w:hint="eastAsia" w:cs="Times New Roman" w:asciiTheme="minorEastAsia" w:hAnsiTheme="minorEastAsia"/>
          <w:b/>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color w:val="000000" w:themeColor="text1"/>
          <w:sz w:val="24"/>
          <w:szCs w:val="24"/>
          <w:highlight w:val="none"/>
          <w:lang w:eastAsia="zh-CN"/>
          <w14:textFill>
            <w14:solidFill>
              <w14:schemeClr w14:val="tx1"/>
            </w14:solidFill>
          </w14:textFill>
        </w:rPr>
        <w:t xml:space="preserve">（一）赛前服务</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1.活动宣传项目征集。提前做好活动宣传及项目征集、资格审查等工作。</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2.项目拜访洽谈。协助创新区开展高校院所、产业创新平台、科技园区、行业协会等拜访洽谈，与活动项目拜访洽谈合作，做好项目研判，确保项目质量、真实性。</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3.活动策划。活动方案须提前与创新区确认，包括活动议程、项目清单、专家清单、活动地点、宣传物料、总体规模等。</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4.活动准备。活动期间行程规划，活动现场签到、指引、控场、摄影、摄像、BP收集、路演辅导等。</w:t>
      </w:r>
      <w:r/>
    </w:p>
    <w:p>
      <w:pPr>
        <w:ind w:left="440" w:right="220" w:firstLine="480"/>
        <w:jc w:val="both"/>
        <w:spacing w:line="360" w:lineRule="auto"/>
        <w:rPr>
          <w:rFonts w:hint="eastAsia" w:cs="Times New Roman" w:asciiTheme="minorEastAsia" w:hAnsiTheme="minorEastAsia"/>
          <w:b/>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color w:val="000000" w:themeColor="text1"/>
          <w:sz w:val="24"/>
          <w:szCs w:val="24"/>
          <w:highlight w:val="none"/>
          <w:lang w:eastAsia="zh-CN"/>
          <w14:textFill>
            <w14:solidFill>
              <w14:schemeClr w14:val="tx1"/>
            </w14:solidFill>
          </w14:textFill>
        </w:rPr>
        <w:t xml:space="preserve">（二）组织服务</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1.负责大赛活动涉及项目代表、评委（投资专家为主）、嘉宾、主持（如需）的邀请对接；</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2.负责大赛活动场地布置搭建、现场摄影摄像、影音记录、推介和路演场控等；</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3.负责大赛活动期间各个拜访对接、项目路演等全流程实施。</w:t>
      </w:r>
      <w:r/>
    </w:p>
    <w:p>
      <w:pPr>
        <w:ind w:left="440" w:right="220" w:firstLine="480"/>
        <w:jc w:val="both"/>
        <w:spacing w:line="360" w:lineRule="auto"/>
        <w:rPr>
          <w:rFonts w:hint="eastAsia" w:cs="Times New Roman" w:asciiTheme="minorEastAsia" w:hAnsiTheme="minorEastAsia"/>
          <w:b/>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color w:val="000000" w:themeColor="text1"/>
          <w:sz w:val="24"/>
          <w:szCs w:val="24"/>
          <w:highlight w:val="none"/>
          <w:lang w:eastAsia="zh-CN"/>
          <w14:textFill>
            <w14:solidFill>
              <w14:schemeClr w14:val="tx1"/>
            </w14:solidFill>
          </w14:textFill>
        </w:rPr>
        <w:t xml:space="preserve">（三）事后成效</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服务期间，协助创新区达成不少于10个创新创业项目合作落地，项目须符合创新区主导产业赛道，满足创新区项目认定条件。</w:t>
      </w:r>
      <w:r/>
    </w:p>
    <w:p>
      <w:pPr>
        <w:ind w:left="440" w:right="220" w:firstLine="480"/>
        <w:jc w:val="both"/>
        <w:spacing w:line="360" w:lineRule="auto"/>
        <w:rPr>
          <w:rFonts w:hint="eastAsia" w:cs="Times New Roman" w:asciiTheme="minorEastAsia" w:hAnsiTheme="minorEastAsia"/>
          <w:b/>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color w:val="000000" w:themeColor="text1"/>
          <w:sz w:val="24"/>
          <w:szCs w:val="24"/>
          <w:highlight w:val="none"/>
          <w:lang w:val="en-US" w:eastAsia="zh-CN"/>
          <w14:textFill>
            <w14:solidFill>
              <w14:schemeClr w14:val="tx1"/>
            </w14:solidFill>
          </w14:textFill>
        </w:rPr>
        <w:t xml:space="preserve">三、</w:t>
      </w:r>
      <w:r>
        <w:rPr>
          <w:rFonts w:hint="eastAsia" w:cs="Times New Roman" w:asciiTheme="minorEastAsia" w:hAnsiTheme="minorEastAsia"/>
          <w:b/>
          <w:color w:val="000000" w:themeColor="text1"/>
          <w:sz w:val="24"/>
          <w:szCs w:val="24"/>
          <w:highlight w:val="none"/>
          <w:lang w:eastAsia="zh-CN"/>
          <w14:textFill>
            <w14:solidFill>
              <w14:schemeClr w14:val="tx1"/>
            </w14:solidFill>
          </w14:textFill>
        </w:rPr>
        <w:t xml:space="preserve">项目要求</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本次大赛面向全国创新创业资源，参赛人才（团队）总体上需满足以下要求：</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（1）参赛项目需聚焦人工智能、集成电路等相关领域；</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2）参赛项目团队核心人员需取得硕士（含）以上学位，年龄一般不超过50周岁（1976年1月1日以后出生），有在国内外知名企业、高校、科研单位及相关机构从事研发或管理等岗位工作经历，有较强的经营管理能力；</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（3）参赛项目关键知识产权为团队核心人员，或团队成员通过受让、受赠等方式获得上述知识产权的所有权，与其他任何单位或个人无产权纠纷；</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（4）参赛项目能够提供完整的商业计划书，有清晰的技术方案和盈利模式，产品或服务至少初具规模；</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（5）参赛团队在报名截止前尚未在南通创新区注册成立企业，且有意向在赛后一年内到南通创新区注册落户；</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（6）其他符合相关条件的创新创业项目。</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符合以下条件之一者，优先入围：</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（1）参赛项目技术成果达到国际先进或国内领先水平，能够填补国内外空白或引领相关产业发展，具有较好市场发展前景和预期经济效益。</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（2）参赛项目前已认定高企、省级瞪羚及以上、专精特新中小企业、专精特新“小巨人”等，或获得过社会投资机构（私募股权投资、产业投资）投资资金入股。</w:t>
      </w:r>
      <w:r/>
    </w:p>
    <w:p>
      <w:pPr>
        <w:ind w:left="440" w:right="220" w:firstLine="480"/>
        <w:jc w:val="both"/>
        <w:spacing w:line="360" w:lineRule="auto"/>
        <w:rPr>
          <w:rFonts w:hint="eastAsia" w:cs="Times New Roman" w:asciiTheme="minorEastAsia" w:hAnsiTheme="minorEastAsia"/>
          <w:b/>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color w:val="000000" w:themeColor="text1"/>
          <w:sz w:val="24"/>
          <w:szCs w:val="24"/>
          <w:highlight w:val="none"/>
          <w:lang w:val="en-US" w:eastAsia="zh-CN"/>
          <w14:textFill>
            <w14:solidFill>
              <w14:schemeClr w14:val="tx1"/>
            </w14:solidFill>
          </w14:textFill>
        </w:rPr>
        <w:t xml:space="preserve">四、</w:t>
      </w:r>
      <w:r>
        <w:rPr>
          <w:rFonts w:hint="eastAsia" w:cs="Times New Roman" w:asciiTheme="minorEastAsia" w:hAnsiTheme="minorEastAsia"/>
          <w:b/>
          <w:color w:val="000000" w:themeColor="text1"/>
          <w:sz w:val="24"/>
          <w:szCs w:val="24"/>
          <w:highlight w:val="none"/>
          <w:lang w:eastAsia="zh-CN"/>
          <w14:textFill>
            <w14:solidFill>
              <w14:schemeClr w14:val="tx1"/>
            </w14:solidFill>
          </w14:textFill>
        </w:rPr>
        <w:t xml:space="preserve">服务期限:</w:t>
      </w: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2026年3-12月。</w:t>
      </w:r>
      <w:r/>
    </w:p>
    <w:p>
      <w:pPr>
        <w:ind w:left="440" w:right="220" w:firstLine="480"/>
        <w:jc w:val="both"/>
        <w:spacing w:line="360" w:lineRule="auto"/>
        <w:rPr>
          <w:rFonts w:hint="eastAsia" w:cs="Times New Roman" w:asciiTheme="minorEastAsia" w:hAnsiTheme="minorEastAsia"/>
          <w:b/>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color w:val="000000" w:themeColor="text1"/>
          <w:sz w:val="24"/>
          <w:szCs w:val="24"/>
          <w:highlight w:val="none"/>
          <w:lang w:val="en-US" w:eastAsia="zh-CN"/>
          <w14:textFill>
            <w14:solidFill>
              <w14:schemeClr w14:val="tx1"/>
            </w14:solidFill>
          </w14:textFill>
        </w:rPr>
        <w:t xml:space="preserve">五、</w:t>
      </w:r>
      <w:r>
        <w:rPr>
          <w:rFonts w:hint="eastAsia" w:cs="Times New Roman" w:asciiTheme="minorEastAsia" w:hAnsiTheme="minorEastAsia"/>
          <w:b/>
          <w:color w:val="000000" w:themeColor="text1"/>
          <w:sz w:val="24"/>
          <w:szCs w:val="24"/>
          <w:highlight w:val="none"/>
          <w:lang w:eastAsia="zh-CN"/>
          <w14:textFill>
            <w14:solidFill>
              <w14:schemeClr w14:val="tx1"/>
            </w14:solidFill>
          </w14:textFill>
        </w:rPr>
        <w:t xml:space="preserve">付款方式：</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合同款分为预付费用（25%）、活动组织费用（60%）和项目落户费用（15%）三部分：</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（1）预付费用</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合同签订后，供应商在每场活动举办前提供该场活动方案、预算和每场活动25%价款的银行预付款保函，经采购人确认后支付该笔预付款；</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（2）活动组织费用</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单场活动开展后，经采购人确认后支付单场活动费用的50%，如有未完成的合同约定内容，按实际情况扣减一定比例的活动经费，总决赛结束后采购人按活动实际举办场次进行结算并确认，支付每场剩余10%费用。</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（3）项目落户费用</w:t>
      </w:r>
      <w:r/>
    </w:p>
    <w:p>
      <w:pPr>
        <w:ind w:left="440" w:right="220" w:firstLine="480"/>
        <w:jc w:val="both"/>
        <w:spacing w:line="360" w:lineRule="auto"/>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根据项目实际落地数量按比例支付总合同15%费用，其中达成意向签约按比例支付8%，项目在创新区完成注册支付剩余7%（其中落户项目数小于6个，不予兑付；项目数在6（含）-10个之间，兑付50%；项目数在10个及以上，全额兑付），若落户项目达成市级高成长科创项目认定，可折合1.5个项目数量计，重大项目落户可一事一议。</w:t>
      </w:r>
      <w:r/>
    </w:p>
    <w:p>
      <w:pPr>
        <w:numPr>
          <w:ilvl w:val="-1"/>
          <w:numId w:val="0"/>
        </w:numPr>
        <w:ind w:left="0" w:right="220" w:firstLine="960"/>
        <w:jc w:val="both"/>
        <w:spacing w:line="360" w:lineRule="auto"/>
        <w:rPr>
          <w:rFonts w:hint="default" w:cs="Times New Roman" w:asciiTheme="minorEastAsia" w:hAnsiTheme="minorEastAsia" w:eastAsiaTheme="minorEastAsia"/>
          <w:bCs/>
          <w:color w:val="ff0000"/>
          <w:sz w:val="24"/>
          <w:szCs w:val="24"/>
          <w:highlight w:val="none"/>
          <w:lang w:val="en-US" w:eastAsia="zh-CN"/>
        </w:rPr>
      </w:pPr>
      <w:r>
        <w:rPr>
          <w:rFonts w:hint="eastAsia" w:cs="Times New Roman" w:asciiTheme="minorEastAsia" w:hAnsiTheme="minorEastAsia"/>
          <w:b w:val="0"/>
          <w:bCs/>
          <w:color w:val="000000" w:themeColor="text1"/>
          <w:sz w:val="24"/>
          <w:szCs w:val="24"/>
          <w:highlight w:val="none"/>
          <w:lang w:eastAsia="zh-CN"/>
          <w14:textFill>
            <w14:solidFill>
              <w14:schemeClr w14:val="tx1"/>
            </w14:solidFill>
          </w14:textFill>
        </w:rPr>
        <w:t xml:space="preserve">每次支付前，供应商须提供符合采购人要求的赛前服务、组织服务及赛后服务落实情况佐证，并开具相应金额发票</w:t>
      </w:r>
      <w:r>
        <w:rPr>
          <w:rFonts w:cs="Times New Roman" w:asciiTheme="minorEastAsia" w:hAnsiTheme="minorEastAsia" w:eastAsiaTheme="minorEastAsia"/>
          <w:bCs/>
          <w:color w:val="000000" w:themeColor="text1"/>
          <w:sz w:val="24"/>
          <w:szCs w:val="24"/>
          <w:highlight w:val="none"/>
          <w:lang w:eastAsia="zh-CN"/>
          <w14:textFill>
            <w14:solidFill>
              <w14:schemeClr w14:val="tx1"/>
            </w14:solidFill>
          </w14:textFill>
        </w:rPr>
        <w:t xml:space="preserve">。</w:t>
      </w:r>
      <w:r/>
    </w:p>
    <w:p>
      <w:pPr>
        <w:ind w:left="440" w:right="220" w:firstLine="480"/>
        <w:jc w:val="both"/>
        <w:spacing w:line="360" w:lineRule="auto"/>
        <w:rPr>
          <w:rFonts w:cs="Times New Roman" w:asciiTheme="minorEastAsia" w:hAnsiTheme="minorEastAsia" w:eastAsiaTheme="minorEastAsia"/>
          <w:b/>
          <w:bCs w:val="0"/>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b/>
          <w:bCs w:val="0"/>
          <w:color w:val="000000" w:themeColor="text1"/>
          <w:sz w:val="24"/>
          <w:szCs w:val="24"/>
          <w:highlight w:val="none"/>
          <w:lang w:val="en-US" w:eastAsia="zh-CN"/>
          <w14:textFill>
            <w14:solidFill>
              <w14:schemeClr w14:val="tx1"/>
            </w14:solidFill>
          </w14:textFill>
        </w:rPr>
        <w:t xml:space="preserve">2.6</w:t>
      </w:r>
      <w:r>
        <w:rPr>
          <w:rFonts w:cs="Times New Roman" w:asciiTheme="minorEastAsia" w:hAnsiTheme="minorEastAsia" w:eastAsiaTheme="minorEastAsia"/>
          <w:b/>
          <w:bCs w:val="0"/>
          <w:color w:val="000000" w:themeColor="text1"/>
          <w:sz w:val="24"/>
          <w:szCs w:val="24"/>
          <w:highlight w:val="none"/>
          <w:lang w:eastAsia="zh-CN"/>
          <w14:textFill>
            <w14:solidFill>
              <w14:schemeClr w14:val="tx1"/>
            </w14:solidFill>
          </w14:textFill>
        </w:rPr>
        <w:t xml:space="preserve">、</w:t>
      </w:r>
      <w:r>
        <w:rPr>
          <w:rFonts w:hint="eastAsia" w:cs="Times New Roman" w:asciiTheme="minorEastAsia" w:hAnsiTheme="minorEastAsia" w:eastAsiaTheme="minorEastAsia"/>
          <w:b/>
          <w:bCs w:val="0"/>
          <w:color w:val="000000" w:themeColor="text1"/>
          <w:sz w:val="24"/>
          <w:szCs w:val="24"/>
          <w:highlight w:val="none"/>
          <w:lang w:eastAsia="zh-CN"/>
          <w14:textFill>
            <w14:solidFill>
              <w14:schemeClr w14:val="tx1"/>
            </w14:solidFill>
          </w14:textFill>
        </w:rPr>
        <w:t xml:space="preserve">招标控制价</w:t>
      </w:r>
      <w:r>
        <w:rPr>
          <w:rFonts w:cs="Times New Roman" w:asciiTheme="minorEastAsia" w:hAnsiTheme="minorEastAsia" w:eastAsiaTheme="minorEastAsia"/>
          <w:b/>
          <w:bCs w:val="0"/>
          <w:color w:val="000000" w:themeColor="text1"/>
          <w:sz w:val="24"/>
          <w:szCs w:val="24"/>
          <w:highlight w:val="none"/>
          <w:lang w:eastAsia="zh-CN"/>
          <w14:textFill>
            <w14:solidFill>
              <w14:schemeClr w14:val="tx1"/>
            </w14:solidFill>
          </w14:textFill>
        </w:rPr>
        <w:t xml:space="preserve">：</w:t>
      </w:r>
      <w:r>
        <w:rPr>
          <w:rFonts w:hint="eastAsia" w:cs="Times New Roman" w:asciiTheme="minorEastAsia" w:hAnsiTheme="minorEastAsia" w:eastAsiaTheme="minorEastAsia"/>
          <w:b/>
          <w:bCs w:val="0"/>
          <w:color w:val="000000" w:themeColor="text1"/>
          <w:sz w:val="24"/>
          <w:szCs w:val="24"/>
          <w:highlight w:val="none"/>
          <w:lang w:eastAsia="zh-CN"/>
          <w14:textFill>
            <w14:solidFill>
              <w14:schemeClr w14:val="tx1"/>
            </w14:solidFill>
          </w14:textFill>
        </w:rPr>
        <w:t xml:space="preserve">上海、深圳、成都城市</w:t>
      </w:r>
      <w:r>
        <w:rPr>
          <w:rFonts w:hint="eastAsia" w:cs="Times New Roman" w:asciiTheme="minorEastAsia" w:hAnsiTheme="minorEastAsia"/>
          <w:b/>
          <w:bCs w:val="0"/>
          <w:color w:val="000000" w:themeColor="text1"/>
          <w:sz w:val="24"/>
          <w:szCs w:val="24"/>
          <w:highlight w:val="none"/>
          <w:lang w:val="en-US" w:eastAsia="zh-CN"/>
          <w14:textFill>
            <w14:solidFill>
              <w14:schemeClr w14:val="tx1"/>
            </w14:solidFill>
          </w14:textFill>
        </w:rPr>
        <w:t xml:space="preserve">分站活动</w:t>
      </w:r>
      <w:r>
        <w:rPr>
          <w:rFonts w:hint="eastAsia" w:cs="Times New Roman" w:asciiTheme="minorEastAsia" w:hAnsiTheme="minorEastAsia" w:eastAsiaTheme="minorEastAsia"/>
          <w:b/>
          <w:bCs w:val="0"/>
          <w:color w:val="000000" w:themeColor="text1"/>
          <w:sz w:val="24"/>
          <w:szCs w:val="24"/>
          <w:highlight w:val="none"/>
          <w:lang w:eastAsia="zh-CN"/>
          <w14:textFill>
            <w14:solidFill>
              <w14:schemeClr w14:val="tx1"/>
            </w14:solidFill>
          </w14:textFill>
        </w:rPr>
        <w:t xml:space="preserve">预算不超过</w:t>
      </w:r>
      <w:r>
        <w:rPr>
          <w:rFonts w:hint="eastAsia" w:cs="Times New Roman" w:asciiTheme="minorEastAsia" w:hAnsiTheme="minorEastAsia"/>
          <w:b/>
          <w:bCs w:val="0"/>
          <w:color w:val="000000" w:themeColor="text1"/>
          <w:sz w:val="24"/>
          <w:szCs w:val="24"/>
          <w:highlight w:val="none"/>
          <w:lang w:val="en-US" w:eastAsia="zh-CN"/>
          <w14:textFill>
            <w14:solidFill>
              <w14:schemeClr w14:val="tx1"/>
            </w14:solidFill>
          </w14:textFill>
        </w:rPr>
        <w:t xml:space="preserve">165</w:t>
      </w:r>
      <w:r>
        <w:rPr>
          <w:rFonts w:hint="eastAsia" w:cs="Times New Roman" w:asciiTheme="minorEastAsia" w:hAnsiTheme="minorEastAsia" w:eastAsiaTheme="minorEastAsia"/>
          <w:b/>
          <w:bCs w:val="0"/>
          <w:color w:val="000000" w:themeColor="text1"/>
          <w:sz w:val="24"/>
          <w:szCs w:val="24"/>
          <w:highlight w:val="none"/>
          <w:lang w:eastAsia="zh-CN"/>
          <w14:textFill>
            <w14:solidFill>
              <w14:schemeClr w14:val="tx1"/>
            </w14:solidFill>
          </w14:textFill>
        </w:rPr>
        <w:t xml:space="preserve">万元</w:t>
      </w:r>
      <w:r>
        <w:rPr>
          <w:rFonts w:hint="eastAsia" w:cs="Times New Roman" w:asciiTheme="minorEastAsia" w:hAnsiTheme="minorEastAsia"/>
          <w:b/>
          <w:bCs w:val="0"/>
          <w:color w:val="000000" w:themeColor="text1"/>
          <w:sz w:val="24"/>
          <w:szCs w:val="24"/>
          <w:highlight w:val="none"/>
          <w:lang w:eastAsia="zh-CN"/>
          <w14:textFill>
            <w14:solidFill>
              <w14:schemeClr w14:val="tx1"/>
            </w14:solidFill>
          </w14:textFill>
        </w:rPr>
        <w:t xml:space="preserve">，</w:t>
      </w:r>
      <w:r>
        <w:rPr>
          <w:rFonts w:hint="eastAsia" w:cs="Times New Roman" w:asciiTheme="minorEastAsia" w:hAnsiTheme="minorEastAsia"/>
          <w:b/>
          <w:color w:val="000000" w:themeColor="text1"/>
          <w:sz w:val="24"/>
          <w:szCs w:val="24"/>
          <w:highlight w:val="none"/>
          <w:lang w:eastAsia="zh-CN"/>
          <w14:textFill>
            <w14:solidFill>
              <w14:schemeClr w14:val="tx1"/>
            </w14:solidFill>
          </w14:textFill>
        </w:rPr>
        <w:t xml:space="preserve">香港（或其他境外城市）</w:t>
      </w:r>
      <w:r>
        <w:rPr>
          <w:rFonts w:hint="eastAsia" w:cs="Times New Roman" w:asciiTheme="minorEastAsia" w:hAnsiTheme="minorEastAsia"/>
          <w:b/>
          <w:bCs w:val="0"/>
          <w:color w:val="000000" w:themeColor="text1"/>
          <w:sz w:val="24"/>
          <w:szCs w:val="24"/>
          <w:highlight w:val="none"/>
          <w:lang w:val="en-US" w:eastAsia="zh-CN"/>
          <w14:textFill>
            <w14:solidFill>
              <w14:schemeClr w14:val="tx1"/>
            </w14:solidFill>
          </w14:textFill>
        </w:rPr>
        <w:t xml:space="preserve">分站活动</w:t>
      </w:r>
      <w:r>
        <w:rPr>
          <w:rFonts w:hint="eastAsia" w:cs="Times New Roman" w:asciiTheme="minorEastAsia" w:hAnsiTheme="minorEastAsia" w:eastAsiaTheme="minorEastAsia"/>
          <w:b/>
          <w:bCs w:val="0"/>
          <w:color w:val="000000" w:themeColor="text1"/>
          <w:sz w:val="24"/>
          <w:szCs w:val="24"/>
          <w:highlight w:val="none"/>
          <w:lang w:eastAsia="zh-CN"/>
          <w14:textFill>
            <w14:solidFill>
              <w14:schemeClr w14:val="tx1"/>
            </w14:solidFill>
          </w14:textFill>
        </w:rPr>
        <w:t xml:space="preserve">预算不超过</w:t>
      </w:r>
      <w:r>
        <w:rPr>
          <w:rFonts w:hint="eastAsia" w:cs="Times New Roman" w:asciiTheme="minorEastAsia" w:hAnsiTheme="minorEastAsia"/>
          <w:b/>
          <w:bCs w:val="0"/>
          <w:color w:val="000000" w:themeColor="text1"/>
          <w:sz w:val="24"/>
          <w:szCs w:val="24"/>
          <w:highlight w:val="none"/>
          <w:lang w:val="en-US" w:eastAsia="zh-CN"/>
          <w14:textFill>
            <w14:solidFill>
              <w14:schemeClr w14:val="tx1"/>
            </w14:solidFill>
          </w14:textFill>
        </w:rPr>
        <w:t xml:space="preserve">60</w:t>
      </w:r>
      <w:r>
        <w:rPr>
          <w:rFonts w:hint="eastAsia" w:cs="Times New Roman" w:asciiTheme="minorEastAsia" w:hAnsiTheme="minorEastAsia" w:eastAsiaTheme="minorEastAsia"/>
          <w:b/>
          <w:bCs w:val="0"/>
          <w:color w:val="000000" w:themeColor="text1"/>
          <w:sz w:val="24"/>
          <w:szCs w:val="24"/>
          <w:highlight w:val="none"/>
          <w:lang w:eastAsia="zh-CN"/>
          <w14:textFill>
            <w14:solidFill>
              <w14:schemeClr w14:val="tx1"/>
            </w14:solidFill>
          </w14:textFill>
        </w:rPr>
        <w:t xml:space="preserve">万元，</w:t>
      </w:r>
      <w:r>
        <w:rPr>
          <w:rFonts w:hint="eastAsia" w:cs="Times New Roman" w:asciiTheme="minorEastAsia" w:hAnsiTheme="minorEastAsia"/>
          <w:b/>
          <w:bCs w:val="0"/>
          <w:color w:val="000000" w:themeColor="text1"/>
          <w:sz w:val="24"/>
          <w:szCs w:val="24"/>
          <w:highlight w:val="none"/>
          <w:lang w:val="en-US" w:eastAsia="zh-CN"/>
          <w14:textFill>
            <w14:solidFill>
              <w14:schemeClr w14:val="tx1"/>
            </w14:solidFill>
          </w14:textFill>
        </w:rPr>
        <w:t xml:space="preserve">南通</w:t>
      </w:r>
      <w:r>
        <w:rPr>
          <w:rFonts w:hint="eastAsia" w:cs="Times New Roman" w:asciiTheme="minorEastAsia" w:hAnsiTheme="minorEastAsia" w:eastAsiaTheme="minorEastAsia"/>
          <w:b/>
          <w:bCs w:val="0"/>
          <w:color w:val="000000" w:themeColor="text1"/>
          <w:sz w:val="24"/>
          <w:szCs w:val="24"/>
          <w:highlight w:val="none"/>
          <w:lang w:eastAsia="zh-CN"/>
          <w14:textFill>
            <w14:solidFill>
              <w14:schemeClr w14:val="tx1"/>
            </w14:solidFill>
          </w14:textFill>
        </w:rPr>
        <w:t xml:space="preserve">总决赛不超过</w:t>
      </w:r>
      <w:r>
        <w:rPr>
          <w:rFonts w:hint="eastAsia" w:cs="Times New Roman" w:asciiTheme="minorEastAsia" w:hAnsiTheme="minorEastAsia"/>
          <w:b/>
          <w:bCs w:val="0"/>
          <w:color w:val="000000" w:themeColor="text1"/>
          <w:sz w:val="24"/>
          <w:szCs w:val="24"/>
          <w:highlight w:val="none"/>
          <w:lang w:val="en-US" w:eastAsia="zh-CN"/>
          <w14:textFill>
            <w14:solidFill>
              <w14:schemeClr w14:val="tx1"/>
            </w14:solidFill>
          </w14:textFill>
        </w:rPr>
        <w:t xml:space="preserve">40</w:t>
      </w:r>
      <w:r>
        <w:rPr>
          <w:rFonts w:hint="eastAsia" w:cs="Times New Roman" w:asciiTheme="minorEastAsia" w:hAnsiTheme="minorEastAsia" w:eastAsiaTheme="minorEastAsia"/>
          <w:b/>
          <w:bCs w:val="0"/>
          <w:color w:val="000000" w:themeColor="text1"/>
          <w:sz w:val="24"/>
          <w:szCs w:val="24"/>
          <w:highlight w:val="none"/>
          <w:lang w:eastAsia="zh-CN"/>
          <w14:textFill>
            <w14:solidFill>
              <w14:schemeClr w14:val="tx1"/>
            </w14:solidFill>
          </w14:textFill>
        </w:rPr>
        <w:t xml:space="preserve">万元，</w:t>
      </w:r>
      <w:r>
        <w:rPr>
          <w:rFonts w:hint="eastAsia" w:cs="Times New Roman" w:asciiTheme="minorEastAsia" w:hAnsiTheme="minorEastAsia"/>
          <w:b/>
          <w:bCs w:val="0"/>
          <w:color w:val="000000" w:themeColor="text1"/>
          <w:sz w:val="24"/>
          <w:szCs w:val="24"/>
          <w:highlight w:val="none"/>
          <w:lang w:val="en-US" w:eastAsia="zh-CN"/>
          <w14:textFill>
            <w14:solidFill>
              <w14:schemeClr w14:val="tx1"/>
            </w14:solidFill>
          </w14:textFill>
        </w:rPr>
        <w:t xml:space="preserve">5</w:t>
      </w:r>
      <w:r>
        <w:rPr>
          <w:rFonts w:hint="eastAsia" w:cs="Times New Roman" w:asciiTheme="minorEastAsia" w:hAnsiTheme="minorEastAsia" w:eastAsiaTheme="minorEastAsia"/>
          <w:b/>
          <w:bCs w:val="0"/>
          <w:color w:val="000000" w:themeColor="text1"/>
          <w:sz w:val="24"/>
          <w:szCs w:val="24"/>
          <w:highlight w:val="none"/>
          <w:lang w:eastAsia="zh-CN"/>
          <w14:textFill>
            <w14:solidFill>
              <w14:schemeClr w14:val="tx1"/>
            </w14:solidFill>
          </w14:textFill>
        </w:rPr>
        <w:t xml:space="preserve">场活动预算合计不超过</w:t>
      </w:r>
      <w:r>
        <w:rPr>
          <w:rFonts w:hint="eastAsia" w:cs="Times New Roman" w:asciiTheme="minorEastAsia" w:hAnsiTheme="minorEastAsia"/>
          <w:b/>
          <w:bCs w:val="0"/>
          <w:color w:val="000000" w:themeColor="text1"/>
          <w:sz w:val="24"/>
          <w:szCs w:val="24"/>
          <w:highlight w:val="none"/>
          <w:lang w:val="en-US" w:eastAsia="zh-CN"/>
          <w14:textFill>
            <w14:solidFill>
              <w14:schemeClr w14:val="tx1"/>
            </w14:solidFill>
          </w14:textFill>
        </w:rPr>
        <w:t xml:space="preserve">265</w:t>
      </w:r>
      <w:r>
        <w:rPr>
          <w:rFonts w:hint="eastAsia" w:cs="Times New Roman" w:asciiTheme="minorEastAsia" w:hAnsiTheme="minorEastAsia" w:eastAsiaTheme="minorEastAsia"/>
          <w:b/>
          <w:bCs w:val="0"/>
          <w:color w:val="000000" w:themeColor="text1"/>
          <w:sz w:val="24"/>
          <w:szCs w:val="24"/>
          <w:highlight w:val="none"/>
          <w:lang w:eastAsia="zh-CN"/>
          <w14:textFill>
            <w14:solidFill>
              <w14:schemeClr w14:val="tx1"/>
            </w14:solidFill>
          </w14:textFill>
        </w:rPr>
        <w:t xml:space="preserve">万元</w:t>
      </w:r>
      <w:r>
        <w:rPr>
          <w:rFonts w:cs="Times New Roman" w:asciiTheme="minorEastAsia" w:hAnsiTheme="minorEastAsia" w:eastAsiaTheme="minorEastAsia"/>
          <w:b/>
          <w:bCs w:val="0"/>
          <w:color w:val="000000" w:themeColor="text1"/>
          <w:sz w:val="24"/>
          <w:szCs w:val="24"/>
          <w:highlight w:val="none"/>
          <w:lang w:eastAsia="zh-CN"/>
          <w14:textFill>
            <w14:solidFill>
              <w14:schemeClr w14:val="tx1"/>
            </w14:solidFill>
          </w14:textFill>
        </w:rPr>
        <w:t xml:space="preserve">。</w:t>
      </w:r>
      <w:r/>
    </w:p>
    <w:p>
      <w:pPr>
        <w:ind w:left="440" w:right="220" w:firstLine="480"/>
        <w:jc w:val="both"/>
        <w:spacing w:line="360" w:lineRule="auto"/>
        <w:rPr>
          <w:rFonts w:cs="Times New Roman" w:asciiTheme="minorEastAsia" w:hAnsiTheme="minorEastAsia" w:eastAsiaTheme="minorEastAsia"/>
          <w:b/>
          <w:bCs w:val="0"/>
          <w:color w:val="000000" w:themeColor="text1"/>
          <w:sz w:val="24"/>
          <w:szCs w:val="24"/>
          <w:highlight w:val="none"/>
          <w:lang w:eastAsia="zh-CN"/>
          <w14:textFill>
            <w14:solidFill>
              <w14:schemeClr w14:val="tx1"/>
            </w14:solidFill>
          </w14:textFill>
        </w:rPr>
      </w:pPr>
      <w:r>
        <w:rPr>
          <w:rFonts w:cs="Times New Roman" w:asciiTheme="minorEastAsia" w:hAnsiTheme="minorEastAsia" w:eastAsiaTheme="minorEastAsia"/>
          <w:b/>
          <w:bCs w:val="0"/>
          <w:color w:val="000000" w:themeColor="text1"/>
          <w:sz w:val="24"/>
          <w:szCs w:val="24"/>
          <w:highlight w:val="none"/>
          <w:lang w:eastAsia="zh-CN"/>
          <w14:textFill>
            <w14:solidFill>
              <w14:schemeClr w14:val="tx1"/>
            </w14:solidFill>
          </w14:textFill>
        </w:rPr>
      </w:r>
      <w:r/>
    </w:p>
    <w:tbl>
      <w:tblPr>
        <w:tblStyle w:val="847"/>
        <w:tblW w:w="949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2043"/>
        <w:gridCol w:w="2346"/>
        <w:gridCol w:w="2754"/>
        <w:gridCol w:w="1494"/>
      </w:tblGrid>
      <w:tr>
        <w:trPr>
          <w:jc w:val="center"/>
          <w:trHeight w:val="871"/>
        </w:trPr>
        <w:tc>
          <w:tcPr>
            <w:tcW w:w="856" w:type="dxa"/>
            <w:vAlign w:val="center"/>
            <w:textDirection w:val="lrTb"/>
            <w:noWrap w:val="false"/>
          </w:tcPr>
          <w:p>
            <w:pPr>
              <w:jc w:val="center"/>
              <w:keepLines w:val="0"/>
              <w:keepNext w:val="0"/>
              <w:pageBreakBefore w:val="0"/>
              <w:spacing w:line="0" w:lineRule="atLeas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序号</w:t>
            </w:r>
            <w:r/>
          </w:p>
        </w:tc>
        <w:tc>
          <w:tcPr>
            <w:tcW w:w="2043" w:type="dxa"/>
            <w:vAlign w:val="center"/>
            <w:textDirection w:val="lrTb"/>
            <w:noWrap w:val="false"/>
          </w:tcPr>
          <w:p>
            <w:pPr>
              <w:jc w:val="center"/>
              <w:keepLines w:val="0"/>
              <w:keepNext w:val="0"/>
              <w:pageBreakBefore w:val="0"/>
              <w:spacing w:line="0" w:lineRule="atLeas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名 称</w:t>
            </w:r>
            <w:r/>
          </w:p>
        </w:tc>
        <w:tc>
          <w:tcPr>
            <w:tcW w:w="2346" w:type="dxa"/>
            <w:vAlign w:val="center"/>
            <w:textDirection w:val="lrTb"/>
            <w:noWrap w:val="false"/>
          </w:tcPr>
          <w:p>
            <w:pPr>
              <w:jc w:val="center"/>
              <w:keepLines w:val="0"/>
              <w:keepNext w:val="0"/>
              <w:pageBreakBefore w:val="0"/>
              <w:spacing w:line="0" w:lineRule="atLeas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采购预算/采购最高限价（万元）</w:t>
            </w:r>
            <w:r/>
          </w:p>
        </w:tc>
        <w:tc>
          <w:tcPr>
            <w:tcW w:w="2754" w:type="dxa"/>
            <w:vAlign w:val="center"/>
            <w:textDirection w:val="lrTb"/>
            <w:noWrap w:val="false"/>
          </w:tcPr>
          <w:p>
            <w:pPr>
              <w:jc w:val="center"/>
              <w:keepLines w:val="0"/>
              <w:keepNext w:val="0"/>
              <w:pageBreakBefore w:val="0"/>
              <w:spacing w:line="0" w:lineRule="atLeas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各分赛区服务时间节点要求（以实际安排为准）</w:t>
            </w:r>
            <w:r/>
          </w:p>
        </w:tc>
        <w:tc>
          <w:tcPr>
            <w:tcW w:w="1494" w:type="dxa"/>
            <w:vAlign w:val="center"/>
            <w:textDirection w:val="lrTb"/>
            <w:noWrap w:val="false"/>
          </w:tcPr>
          <w:p>
            <w:pPr>
              <w:jc w:val="center"/>
              <w:keepLines w:val="0"/>
              <w:keepNext w:val="0"/>
              <w:pageBreakBefore w:val="0"/>
              <w:spacing w:line="0" w:lineRule="atLeas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城市</w:t>
            </w:r>
            <w:r/>
          </w:p>
        </w:tc>
      </w:tr>
      <w:tr>
        <w:trPr>
          <w:jc w:val="center"/>
          <w:trHeight w:val="1251"/>
        </w:trPr>
        <w:tc>
          <w:tcPr>
            <w:tcW w:w="856" w:type="dxa"/>
            <w:vAlign w:val="center"/>
            <w:textDirection w:val="lrTb"/>
            <w:noWrap w:val="false"/>
          </w:tcPr>
          <w:p>
            <w:pPr>
              <w:jc w:val="center"/>
              <w:keepLines w:val="0"/>
              <w:keepNext w:val="0"/>
              <w:pageBreakBefore w:val="0"/>
              <w:spacing w:line="0" w:lineRule="atLeas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1</w:t>
            </w:r>
            <w:r/>
          </w:p>
        </w:tc>
        <w:tc>
          <w:tcPr>
            <w:tcW w:w="2043" w:type="dxa"/>
            <w:vAlign w:val="center"/>
            <w:textDirection w:val="lrTb"/>
            <w:noWrap w:val="false"/>
          </w:tcPr>
          <w:p>
            <w:pPr>
              <w:jc w:val="center"/>
              <w:keepLines w:val="0"/>
              <w:keepNext w:val="0"/>
              <w:pageBreakBefore w:val="0"/>
              <w:spacing w:line="0" w:lineRule="atLeas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第五届江海英才创新创业大赛创新区子项暨第四届紫琅湖未来产业创新创业大赛</w:t>
            </w:r>
            <w:r>
              <w:rPr>
                <w:rFonts w:hint="eastAsia" w:ascii="宋体" w:hAnsi="宋体" w:eastAsia="宋体" w:cs="宋体"/>
                <w:b w:val="0"/>
                <w:bCs/>
                <w:color w:val="auto"/>
                <w:sz w:val="24"/>
                <w:szCs w:val="24"/>
                <w:highlight w:val="none"/>
                <w:lang w:val="en-US" w:eastAsia="zh-CN"/>
              </w:rPr>
              <w:t xml:space="preserve">3场境内城市分站创业周活动</w:t>
            </w:r>
            <w:r/>
          </w:p>
        </w:tc>
        <w:tc>
          <w:tcPr>
            <w:tcW w:w="2346" w:type="dxa"/>
            <w:vAlign w:val="center"/>
            <w:textDirection w:val="lrTb"/>
            <w:noWrap w:val="false"/>
          </w:tcPr>
          <w:p>
            <w:pPr>
              <w:jc w:val="center"/>
              <w:keepLines w:val="0"/>
              <w:keepNext w:val="0"/>
              <w:pageBreakBefore w:val="0"/>
              <w:spacing w:line="0" w:lineRule="atLeas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165</w:t>
            </w:r>
            <w:r/>
          </w:p>
        </w:tc>
        <w:tc>
          <w:tcPr>
            <w:tcW w:w="2754" w:type="dxa"/>
            <w:vAlign w:val="center"/>
            <w:vMerge w:val="restart"/>
            <w:textDirection w:val="lrTb"/>
            <w:noWrap w:val="false"/>
          </w:tcPr>
          <w:p>
            <w:pPr>
              <w:jc w:val="center"/>
              <w:keepLines w:val="0"/>
              <w:keepNext w:val="0"/>
              <w:pageBreakBefore w:val="0"/>
              <w:spacing w:line="0" w:lineRule="atLeas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3-11月间执行4场</w:t>
            </w:r>
            <w:r/>
          </w:p>
        </w:tc>
        <w:tc>
          <w:tcPr>
            <w:tcW w:w="1494" w:type="dxa"/>
            <w:vAlign w:val="center"/>
            <w:textDirection w:val="lrTb"/>
            <w:noWrap w:val="false"/>
          </w:tcPr>
          <w:p>
            <w:pPr>
              <w:jc w:val="center"/>
              <w:keepLines w:val="0"/>
              <w:keepNext w:val="0"/>
              <w:pageBreakBefore w:val="0"/>
              <w:spacing w:line="0" w:lineRule="atLeas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上海、深圳、</w:t>
            </w:r>
            <w:r>
              <w:rPr>
                <w:rFonts w:hint="eastAsia" w:ascii="宋体" w:hAnsi="宋体" w:eastAsia="宋体" w:cs="宋体"/>
                <w:b w:val="0"/>
                <w:bCs/>
                <w:color w:val="auto"/>
                <w:sz w:val="24"/>
                <w:szCs w:val="24"/>
                <w:highlight w:val="none"/>
                <w:lang w:val="en-US" w:eastAsia="zh-CN"/>
              </w:rPr>
              <w:t xml:space="preserve">成都</w:t>
            </w:r>
            <w:r/>
          </w:p>
        </w:tc>
      </w:tr>
      <w:tr>
        <w:trPr>
          <w:jc w:val="center"/>
          <w:trHeight w:val="1251"/>
        </w:trPr>
        <w:tc>
          <w:tcPr>
            <w:tcW w:w="856" w:type="dxa"/>
            <w:vAlign w:val="center"/>
            <w:textDirection w:val="lrTb"/>
            <w:noWrap w:val="false"/>
          </w:tcPr>
          <w:p>
            <w:pPr>
              <w:jc w:val="center"/>
              <w:keepLines w:val="0"/>
              <w:keepNext w:val="0"/>
              <w:pageBreakBefore w:val="0"/>
              <w:spacing w:line="0" w:lineRule="atLeas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2</w:t>
            </w:r>
            <w:r/>
          </w:p>
        </w:tc>
        <w:tc>
          <w:tcPr>
            <w:tcW w:w="2043" w:type="dxa"/>
            <w:vAlign w:val="center"/>
            <w:textDirection w:val="lrTb"/>
            <w:noWrap w:val="false"/>
          </w:tcPr>
          <w:p>
            <w:pPr>
              <w:jc w:val="center"/>
              <w:keepLines w:val="0"/>
              <w:keepNext w:val="0"/>
              <w:pageBreakBefore w:val="0"/>
              <w:spacing w:line="0" w:lineRule="atLeast"/>
              <w:widowControl/>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第五届江海英才创新创业大赛创新区子项暨第四届紫琅湖未来产业创新创业大赛</w:t>
            </w:r>
            <w:r>
              <w:rPr>
                <w:rFonts w:hint="eastAsia" w:ascii="宋体" w:hAnsi="宋体" w:eastAsia="宋体" w:cs="宋体"/>
                <w:b w:val="0"/>
                <w:bCs/>
                <w:color w:val="auto"/>
                <w:sz w:val="24"/>
                <w:szCs w:val="24"/>
                <w:highlight w:val="none"/>
                <w:lang w:val="en-US" w:eastAsia="zh-CN"/>
              </w:rPr>
              <w:t xml:space="preserve">1场境外城市分站活动</w:t>
            </w:r>
            <w:r/>
          </w:p>
        </w:tc>
        <w:tc>
          <w:tcPr>
            <w:tcW w:w="2346" w:type="dxa"/>
            <w:vAlign w:val="center"/>
            <w:textDirection w:val="lrTb"/>
            <w:noWrap w:val="false"/>
          </w:tcPr>
          <w:p>
            <w:pPr>
              <w:jc w:val="center"/>
              <w:keepLines w:val="0"/>
              <w:keepNext w:val="0"/>
              <w:pageBreakBefore w:val="0"/>
              <w:spacing w:line="0" w:lineRule="atLeas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60</w:t>
            </w:r>
            <w:r/>
          </w:p>
        </w:tc>
        <w:tc>
          <w:tcPr>
            <w:tcW w:w="2754"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r>
            <w:r/>
          </w:p>
        </w:tc>
        <w:tc>
          <w:tcPr>
            <w:tcW w:w="1494" w:type="dxa"/>
            <w:vAlign w:val="center"/>
            <w:textDirection w:val="lrTb"/>
            <w:noWrap w:val="false"/>
          </w:tcPr>
          <w:p>
            <w:pPr>
              <w:jc w:val="center"/>
              <w:keepLines w:val="0"/>
              <w:keepNext w:val="0"/>
              <w:pageBreakBefore w:val="0"/>
              <w:spacing w:line="0" w:lineRule="atLeas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香港（或其他境外城市）</w:t>
            </w:r>
            <w:r/>
          </w:p>
        </w:tc>
      </w:tr>
      <w:tr>
        <w:trPr>
          <w:jc w:val="center"/>
          <w:trHeight w:val="1251"/>
        </w:trPr>
        <w:tc>
          <w:tcPr>
            <w:tcW w:w="856" w:type="dxa"/>
            <w:vAlign w:val="center"/>
            <w:textDirection w:val="lrTb"/>
            <w:noWrap w:val="false"/>
          </w:tcPr>
          <w:p>
            <w:pPr>
              <w:jc w:val="center"/>
              <w:keepLines w:val="0"/>
              <w:keepNext w:val="0"/>
              <w:pageBreakBefore w:val="0"/>
              <w:spacing w:line="0" w:lineRule="atLeas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2</w:t>
            </w:r>
            <w:r/>
          </w:p>
        </w:tc>
        <w:tc>
          <w:tcPr>
            <w:tcW w:w="2043" w:type="dxa"/>
            <w:vAlign w:val="center"/>
            <w:textDirection w:val="lrTb"/>
            <w:noWrap w:val="false"/>
          </w:tcPr>
          <w:p>
            <w:pPr>
              <w:jc w:val="center"/>
              <w:keepLines w:val="0"/>
              <w:keepNext w:val="0"/>
              <w:pageBreakBefore w:val="0"/>
              <w:spacing w:line="0" w:lineRule="atLeast"/>
              <w:widowControl/>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南通决赛活动组织服务</w:t>
            </w:r>
            <w:r/>
          </w:p>
        </w:tc>
        <w:tc>
          <w:tcPr>
            <w:tcW w:w="2346" w:type="dxa"/>
            <w:vAlign w:val="center"/>
            <w:textDirection w:val="lrTb"/>
            <w:noWrap w:val="false"/>
          </w:tcPr>
          <w:p>
            <w:pPr>
              <w:jc w:val="center"/>
              <w:keepLines w:val="0"/>
              <w:keepNext w:val="0"/>
              <w:pageBreakBefore w:val="0"/>
              <w:spacing w:line="0" w:lineRule="atLeas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40</w:t>
            </w:r>
            <w:r/>
          </w:p>
        </w:tc>
        <w:tc>
          <w:tcPr>
            <w:tcW w:w="2754" w:type="dxa"/>
            <w:vAlign w:val="center"/>
            <w:textDirection w:val="lrTb"/>
            <w:noWrap w:val="false"/>
          </w:tcPr>
          <w:p>
            <w:pPr>
              <w:jc w:val="center"/>
              <w:keepLines w:val="0"/>
              <w:keepNext w:val="0"/>
              <w:pageBreakBefore w:val="0"/>
              <w:spacing w:line="0" w:lineRule="atLeas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10-11</w:t>
            </w:r>
            <w:r>
              <w:rPr>
                <w:rFonts w:hint="eastAsia" w:ascii="宋体" w:hAnsi="宋体" w:eastAsia="宋体" w:cs="宋体"/>
                <w:b w:val="0"/>
                <w:bCs/>
                <w:color w:val="auto"/>
                <w:sz w:val="24"/>
                <w:szCs w:val="24"/>
                <w:highlight w:val="none"/>
                <w:lang w:eastAsia="zh-CN"/>
              </w:rPr>
              <w:t xml:space="preserve">月</w:t>
            </w:r>
            <w:r/>
          </w:p>
        </w:tc>
        <w:tc>
          <w:tcPr>
            <w:tcW w:w="1494" w:type="dxa"/>
            <w:vAlign w:val="center"/>
            <w:textDirection w:val="lrTb"/>
            <w:noWrap w:val="false"/>
          </w:tcPr>
          <w:p>
            <w:pPr>
              <w:jc w:val="center"/>
              <w:keepLines w:val="0"/>
              <w:keepNext w:val="0"/>
              <w:pageBreakBefore w:val="0"/>
              <w:spacing w:line="0" w:lineRule="atLeas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南通</w:t>
            </w:r>
            <w:r/>
          </w:p>
        </w:tc>
      </w:tr>
    </w:tbl>
    <w:p>
      <w:pPr>
        <w:pStyle w:val="860"/>
        <w:rPr>
          <w:rFonts w:hint="eastAsia" w:eastAsiaTheme="minorEastAsia"/>
          <w:color w:val="auto"/>
          <w:highlight w:val="none"/>
          <w:lang w:val="en-US" w:eastAsia="zh-CN"/>
        </w:rPr>
      </w:pPr>
      <w:r>
        <w:rPr>
          <w:rFonts w:hint="eastAsia" w:eastAsiaTheme="minorEastAsia"/>
          <w:color w:val="auto"/>
          <w:highlight w:val="none"/>
          <w:lang w:val="en-US" w:eastAsia="zh-CN"/>
        </w:rPr>
      </w:r>
      <w:r/>
    </w:p>
    <w:p>
      <w:pPr>
        <w:pStyle w:val="859"/>
        <w:rPr>
          <w:rFonts w:hint="eastAsia" w:eastAsiaTheme="minorEastAsia"/>
          <w:color w:val="auto"/>
          <w:highlight w:val="none"/>
          <w:lang w:val="en-US" w:eastAsia="zh-CN"/>
        </w:rPr>
      </w:pPr>
      <w:r>
        <w:rPr>
          <w:rFonts w:hint="eastAsia" w:eastAsiaTheme="minorEastAsia"/>
          <w:color w:val="auto"/>
          <w:highlight w:val="none"/>
          <w:lang w:val="en-US" w:eastAsia="zh-CN"/>
        </w:rPr>
      </w:r>
      <w:r/>
    </w:p>
    <w:p>
      <w:pPr>
        <w:rPr>
          <w:rFonts w:hint="eastAsia" w:eastAsiaTheme="minorEastAsia"/>
          <w:color w:val="auto"/>
          <w:highlight w:val="none"/>
          <w:lang w:val="en-US" w:eastAsia="zh-CN"/>
        </w:rPr>
      </w:pPr>
      <w:r>
        <w:rPr>
          <w:rFonts w:hint="eastAsia" w:eastAsiaTheme="minorEastAsia"/>
          <w:color w:val="auto"/>
          <w:highlight w:val="none"/>
          <w:lang w:val="en-US" w:eastAsia="zh-CN"/>
        </w:rPr>
      </w:r>
      <w:r/>
    </w:p>
    <w:p>
      <w:pPr>
        <w:pStyle w:val="860"/>
        <w:rPr>
          <w:rFonts w:hint="eastAsia" w:eastAsiaTheme="minorEastAsia"/>
          <w:color w:val="auto"/>
          <w:highlight w:val="none"/>
          <w:lang w:val="en-US" w:eastAsia="zh-CN"/>
        </w:rPr>
      </w:pPr>
      <w:r>
        <w:rPr>
          <w:rFonts w:hint="eastAsia" w:eastAsiaTheme="minorEastAsia"/>
          <w:color w:val="auto"/>
          <w:highlight w:val="none"/>
          <w:lang w:val="en-US" w:eastAsia="zh-CN"/>
        </w:rPr>
      </w:r>
      <w:r/>
    </w:p>
    <w:p>
      <w:pPr>
        <w:pStyle w:val="859"/>
        <w:rPr>
          <w:rFonts w:hint="eastAsia" w:eastAsiaTheme="minorEastAsia"/>
          <w:color w:val="auto"/>
          <w:highlight w:val="none"/>
          <w:lang w:val="en-US" w:eastAsia="zh-CN"/>
        </w:rPr>
      </w:pPr>
      <w:r>
        <w:rPr>
          <w:rFonts w:hint="eastAsia" w:eastAsiaTheme="minorEastAsia"/>
          <w:color w:val="auto"/>
          <w:highlight w:val="none"/>
          <w:lang w:val="en-US" w:eastAsia="zh-CN"/>
        </w:rPr>
      </w:r>
      <w:r/>
    </w:p>
    <w:p>
      <w:pPr>
        <w:rPr>
          <w:color w:val="auto"/>
          <w:highlight w:val="none"/>
        </w:rPr>
      </w:pPr>
      <w:r>
        <w:rPr>
          <w:rFonts w:hint="eastAsia" w:ascii="仿宋" w:hAnsi="仿宋" w:eastAsia="仿宋"/>
          <w:color w:val="auto"/>
          <w:sz w:val="32"/>
          <w:szCs w:val="32"/>
          <w:highlight w:val="none"/>
        </w:rPr>
        <w:br w:type="page" w:clear="all"/>
      </w:r>
      <w:r/>
    </w:p>
    <w:p>
      <w:pPr>
        <w:pStyle w:val="843"/>
        <w:numPr>
          <w:ilvl w:val="0"/>
          <w:numId w:val="2"/>
        </w:numPr>
        <w:jc w:val="center"/>
        <w:spacing w:before="638" w:after="319" w:line="360" w:lineRule="auto"/>
        <w:rPr>
          <w:sz w:val="32"/>
          <w:szCs w:val="32"/>
          <w:highlight w:val="none"/>
        </w:rPr>
      </w:pPr>
      <w:r>
        <w:rPr>
          <w:rFonts w:hint="eastAsia" w:ascii="仿宋" w:hAnsi="仿宋" w:eastAsia="仿宋"/>
          <w:color w:val="auto"/>
          <w:sz w:val="32"/>
          <w:szCs w:val="32"/>
          <w:highlight w:val="none"/>
        </w:rPr>
        <w:t xml:space="preserve">评审方法和评审标准</w:t>
      </w:r>
      <w:r/>
    </w:p>
    <w:p>
      <w:pPr>
        <w:ind w:firstLine="48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一、磋商模式</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不见面远程磋商模式：开标当天各供应商在各自地点通过苏采云系统及时登录不见面开标大厅，参加磋商活动。</w:t>
      </w:r>
      <w:r/>
    </w:p>
    <w:p>
      <w:pPr>
        <w:ind w:firstLine="48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二、磋商组织及磋商小组职责</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2.磋商小组的职责：</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（2）磋商文件内容违反国家有关强制性规定的，磋商小组应当停止评审并向采购人或者采购代理机构说明情况</w:t>
      </w:r>
      <w:r>
        <w:rPr>
          <w:rFonts w:hint="eastAsia" w:ascii="仿宋" w:hAnsi="仿宋" w:eastAsia="仿宋" w:cs="仿宋"/>
          <w:sz w:val="24"/>
          <w:szCs w:val="24"/>
          <w:highlight w:val="none"/>
          <w:lang w:eastAsia="zh-CN"/>
        </w:rPr>
        <w:t xml:space="preserve">。</w:t>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（3）磋商小组成员应当遵守评审工作纪律，不得泄露评审情况和评审中获悉的商业秘密，对个人的评审意见承担法律责任</w:t>
      </w:r>
      <w:r>
        <w:rPr>
          <w:rFonts w:hint="eastAsia" w:ascii="仿宋" w:hAnsi="仿宋" w:eastAsia="仿宋" w:cs="仿宋"/>
          <w:sz w:val="24"/>
          <w:szCs w:val="24"/>
          <w:highlight w:val="none"/>
          <w:lang w:eastAsia="zh-CN"/>
        </w:rPr>
        <w:t xml:space="preserve">。</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（4）磋商小组成员在评审过程中发现供应商有行贿、提供虚假材料或者串通等违法行为的，应当及时向财政部门报告。</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（5）磋商小组成员在评审过程中受到非法干涉的，应当及时向财政、监察等部门举报。</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（6）配合采购单位答复供应商提出的质疑；配合财政部门的投诉处理和监督检查工作。</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3.评审有关记录由磋商小组成员签名，存档备查。</w:t>
      </w:r>
      <w:r/>
    </w:p>
    <w:p>
      <w:pPr>
        <w:ind w:firstLine="48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三、评审步骤</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第一阶段：</w:t>
      </w:r>
      <w:r>
        <w:rPr>
          <w:rFonts w:hint="eastAsia" w:ascii="仿宋" w:hAnsi="仿宋" w:eastAsia="仿宋" w:cs="仿宋"/>
          <w:sz w:val="24"/>
          <w:szCs w:val="24"/>
          <w:highlight w:val="none"/>
        </w:rPr>
        <w:t xml:space="preserve">磋商小组</w:t>
      </w:r>
      <w:r>
        <w:rPr>
          <w:rFonts w:hint="eastAsia" w:ascii="仿宋" w:hAnsi="仿宋" w:eastAsia="仿宋" w:cs="仿宋"/>
          <w:sz w:val="24"/>
          <w:szCs w:val="24"/>
          <w:highlight w:val="none"/>
          <w:lang w:val="zh-CN"/>
        </w:rPr>
        <w:t xml:space="preserve">对每个供应商的资格进行审查。</w:t>
      </w:r>
      <w:r>
        <w:rPr>
          <w:rFonts w:hint="eastAsia" w:ascii="仿宋" w:hAnsi="仿宋" w:eastAsia="仿宋" w:cs="仿宋"/>
          <w:sz w:val="24"/>
          <w:szCs w:val="24"/>
          <w:highlight w:val="none"/>
        </w:rPr>
        <w:t xml:space="preserve">供应商资格不合格的，其响应文件判定为无效响应文件。</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第二阶段：</w:t>
      </w:r>
      <w:r>
        <w:rPr>
          <w:rFonts w:hint="eastAsia" w:ascii="仿宋" w:hAnsi="仿宋" w:eastAsia="仿宋" w:cs="仿宋"/>
          <w:sz w:val="24"/>
          <w:szCs w:val="24"/>
          <w:highlight w:val="none"/>
        </w:rPr>
        <w:t xml:space="preserve">依据磋商文件的规定，由磋商小组</w:t>
      </w:r>
      <w:r>
        <w:rPr>
          <w:rFonts w:hint="eastAsia" w:ascii="仿宋" w:hAnsi="仿宋" w:eastAsia="仿宋" w:cs="仿宋"/>
          <w:sz w:val="24"/>
          <w:szCs w:val="24"/>
          <w:highlight w:val="none"/>
          <w:lang w:val="zh-CN"/>
        </w:rPr>
        <w:t xml:space="preserve">对每个符合资格要求的供应商</w:t>
      </w:r>
      <w:r>
        <w:rPr>
          <w:rFonts w:hint="eastAsia" w:ascii="仿宋" w:hAnsi="仿宋" w:eastAsia="仿宋" w:cs="仿宋"/>
          <w:sz w:val="24"/>
          <w:szCs w:val="24"/>
          <w:highlight w:val="none"/>
        </w:rPr>
        <w:t xml:space="preserve">从响应文件的有效性、完整性和对磋商文件的响应程度进行审查，以确定是否对磋商文件的实质性要求作出响应。未通过符合性审查的响应文件，将被判为不满足磋商文件实质性要求。 </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第三阶段：以供应商价格标文件内的竞争性磋商报价（即首次报价）为基础，磋商小组与供应商单一分别进行磋商。单一分别</w:t>
      </w:r>
      <w:r>
        <w:rPr>
          <w:rFonts w:hint="eastAsia" w:ascii="仿宋" w:hAnsi="仿宋" w:eastAsia="仿宋" w:cs="仿宋"/>
          <w:sz w:val="24"/>
          <w:szCs w:val="24"/>
          <w:highlight w:val="none"/>
        </w:rPr>
        <w:t xml:space="preserve">磋商</w:t>
      </w:r>
      <w:r>
        <w:rPr>
          <w:rFonts w:hint="eastAsia" w:ascii="仿宋" w:hAnsi="仿宋" w:eastAsia="仿宋" w:cs="仿宋"/>
          <w:sz w:val="24"/>
          <w:szCs w:val="24"/>
          <w:highlight w:val="none"/>
          <w:lang w:val="zh-CN"/>
        </w:rPr>
        <w:t xml:space="preserve">结束后，</w:t>
      </w:r>
      <w:r>
        <w:rPr>
          <w:rFonts w:hint="eastAsia" w:ascii="仿宋" w:hAnsi="仿宋" w:eastAsia="仿宋" w:cs="仿宋"/>
          <w:sz w:val="24"/>
          <w:szCs w:val="24"/>
          <w:highlight w:val="none"/>
        </w:rPr>
        <w:t xml:space="preserve">系统进入报价环节。</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rPr>
        <w:t xml:space="preserve">磋商程序见本章第四条</w:t>
      </w:r>
      <w:r>
        <w:rPr>
          <w:rFonts w:hint="eastAsia" w:ascii="仿宋" w:hAnsi="仿宋" w:eastAsia="仿宋" w:cs="仿宋"/>
          <w:sz w:val="24"/>
          <w:szCs w:val="24"/>
          <w:highlight w:val="none"/>
          <w:lang w:val="zh-CN"/>
        </w:rPr>
        <w:t xml:space="preserve">）。</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第</w:t>
      </w:r>
      <w:r>
        <w:rPr>
          <w:rFonts w:hint="eastAsia" w:ascii="仿宋" w:hAnsi="仿宋" w:eastAsia="仿宋" w:cs="仿宋"/>
          <w:sz w:val="24"/>
          <w:szCs w:val="24"/>
          <w:highlight w:val="none"/>
        </w:rPr>
        <w:t xml:space="preserve">四</w:t>
      </w:r>
      <w:r>
        <w:rPr>
          <w:rFonts w:hint="eastAsia" w:ascii="仿宋" w:hAnsi="仿宋" w:eastAsia="仿宋" w:cs="仿宋"/>
          <w:sz w:val="24"/>
          <w:szCs w:val="24"/>
          <w:highlight w:val="none"/>
          <w:lang w:val="zh-CN"/>
        </w:rPr>
        <w:t xml:space="preserve">阶段：经磋商确定最终采购需求和提交最后报价的供应商后，由磋商小组采用综合评分法对提交最后报价的供应商的响应文件和最后报价进行综合评分。</w:t>
      </w:r>
      <w:r/>
    </w:p>
    <w:p>
      <w:pPr>
        <w:ind w:firstLine="48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四、磋商程序</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在磋商过程中，磋商小组可能根据磋商文件和磋商情况实质性变动的内容有：</w:t>
      </w:r>
      <w:r>
        <w:rPr>
          <w:rFonts w:hint="eastAsia" w:ascii="仿宋" w:hAnsi="仿宋" w:eastAsia="仿宋" w:cs="仿宋"/>
          <w:b/>
          <w:bCs/>
          <w:sz w:val="24"/>
          <w:szCs w:val="24"/>
          <w:highlight w:val="none"/>
        </w:rPr>
        <w:t xml:space="preserve">采购需求中的技术、服务要求以及合同草案条款</w:t>
      </w:r>
      <w:r>
        <w:rPr>
          <w:rFonts w:hint="eastAsia" w:ascii="仿宋" w:hAnsi="仿宋" w:eastAsia="仿宋" w:cs="仿宋"/>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仿宋" w:hAnsi="仿宋" w:eastAsia="仿宋" w:cs="仿宋"/>
          <w:b/>
          <w:bCs/>
          <w:sz w:val="24"/>
          <w:szCs w:val="24"/>
          <w:highlight w:val="none"/>
          <w:lang w:val="en-US" w:eastAsia="zh-CN"/>
        </w:rPr>
        <w:t xml:space="preserve">10</w:t>
      </w:r>
      <w:r>
        <w:rPr>
          <w:rFonts w:hint="eastAsia" w:ascii="仿宋" w:hAnsi="仿宋" w:eastAsia="仿宋" w:cs="仿宋"/>
          <w:b/>
          <w:bCs/>
          <w:sz w:val="24"/>
          <w:szCs w:val="24"/>
          <w:highlight w:val="none"/>
        </w:rPr>
        <w:t xml:space="preserve">分钟内</w:t>
      </w:r>
      <w:r>
        <w:rPr>
          <w:rFonts w:hint="eastAsia" w:ascii="仿宋" w:hAnsi="仿宋" w:eastAsia="仿宋" w:cs="仿宋"/>
          <w:sz w:val="24"/>
          <w:szCs w:val="24"/>
          <w:highlight w:val="none"/>
        </w:rPr>
        <w:t xml:space="preserve">提交最后报价。</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最后报价是供应商响应文件的有效组成部分。符合《政府采购竞争性磋商采购方式</w:t>
      </w:r>
      <w:r>
        <w:rPr>
          <w:rFonts w:hint="eastAsia" w:ascii="仿宋" w:hAnsi="仿宋" w:eastAsia="仿宋" w:cs="仿宋"/>
          <w:sz w:val="24"/>
          <w:szCs w:val="24"/>
          <w:highlight w:val="none"/>
          <w:lang w:val="en-US" w:eastAsia="zh-CN"/>
        </w:rPr>
        <w:t xml:space="preserve">管</w:t>
      </w:r>
      <w:r>
        <w:rPr>
          <w:rFonts w:hint="eastAsia" w:ascii="仿宋" w:hAnsi="仿宋" w:eastAsia="仿宋" w:cs="仿宋"/>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4.除非在磋商中磋商小组对采购需求中的技术、服务要求以及合同草案条款作了实质性变更，</w:t>
      </w:r>
      <w:r>
        <w:rPr>
          <w:rFonts w:hint="eastAsia" w:ascii="仿宋" w:hAnsi="仿宋" w:eastAsia="仿宋" w:cs="仿宋"/>
          <w:b/>
          <w:bCs/>
          <w:sz w:val="24"/>
          <w:szCs w:val="24"/>
          <w:highlight w:val="none"/>
        </w:rPr>
        <w:t xml:space="preserve">否则采购单位不接受供应商高于自己前一轮的磋商报价</w:t>
      </w:r>
      <w:r>
        <w:rPr>
          <w:rFonts w:hint="eastAsia" w:ascii="仿宋" w:hAnsi="仿宋" w:eastAsia="仿宋" w:cs="仿宋"/>
          <w:sz w:val="24"/>
          <w:szCs w:val="24"/>
          <w:highlight w:val="none"/>
        </w:rPr>
        <w:t xml:space="preserve">。</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5.在磋商中，磋商的任何一方不得透露与磋商有关的其他响应磋商的供应商的技术资料、价格及其他信息。</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五、磋商评定结果的方法</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b/>
          <w:sz w:val="24"/>
          <w:szCs w:val="24"/>
          <w:highlight w:val="none"/>
          <w:u w:val="single"/>
        </w:rPr>
        <w:t xml:space="preserve">经磋商确定最终采购需求和提交最后报价的供应商后，</w:t>
      </w:r>
      <w:r>
        <w:rPr>
          <w:rFonts w:hint="eastAsia" w:ascii="仿宋" w:hAnsi="仿宋" w:eastAsia="仿宋" w:cs="仿宋"/>
          <w:sz w:val="24"/>
          <w:szCs w:val="24"/>
          <w:highlight w:val="none"/>
        </w:rPr>
        <w:t xml:space="preserve">由磋商小组采用综合评分法</w:t>
      </w:r>
      <w:r>
        <w:rPr>
          <w:rFonts w:hint="eastAsia" w:ascii="仿宋" w:hAnsi="仿宋" w:eastAsia="仿宋" w:cs="仿宋"/>
          <w:b/>
          <w:sz w:val="24"/>
          <w:szCs w:val="24"/>
          <w:highlight w:val="none"/>
          <w:u w:val="single"/>
        </w:rPr>
        <w:t xml:space="preserve">对提交最后报价的供应商的响应文件和最后报价</w:t>
      </w:r>
      <w:r>
        <w:rPr>
          <w:rFonts w:hint="eastAsia" w:ascii="仿宋" w:hAnsi="仿宋" w:eastAsia="仿宋" w:cs="仿宋"/>
          <w:sz w:val="24"/>
          <w:szCs w:val="24"/>
          <w:highlight w:val="none"/>
        </w:rPr>
        <w:t xml:space="preserve">进行综合评分。</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2、评审时，磋商小组各成员应当独立对每个有效响应的文件进行评价、打分，然后汇总每个供应商每项评分因素的得分（计算结果均四舍五入保留两位小数）。</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3、本次项目磋商的技术和商务报价评审总分值为100分。两部分评审因素比重如下： </w:t>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技术分值占总分值的比重为</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u w:val="single"/>
          <w:lang w:val="en-US" w:eastAsia="zh-CN"/>
        </w:rPr>
        <w:t xml:space="preserve">7</w:t>
      </w:r>
      <w:r>
        <w:rPr>
          <w:rFonts w:hint="eastAsia" w:ascii="仿宋" w:hAnsi="仿宋" w:eastAsia="仿宋" w:cs="仿宋"/>
          <w:b/>
          <w:sz w:val="24"/>
          <w:szCs w:val="24"/>
          <w:highlight w:val="none"/>
          <w:u w:val="single"/>
        </w:rPr>
        <w:t xml:space="preserve">0%（权重）</w:t>
      </w:r>
      <w:r>
        <w:rPr>
          <w:rFonts w:hint="eastAsia" w:ascii="仿宋" w:hAnsi="仿宋" w:eastAsia="仿宋" w:cs="仿宋"/>
          <w:sz w:val="24"/>
          <w:szCs w:val="24"/>
          <w:highlight w:val="none"/>
        </w:rPr>
        <w:t xml:space="preserve">（四舍五入保留两位小数）</w:t>
      </w:r>
      <w:r>
        <w:rPr>
          <w:rFonts w:hint="eastAsia" w:ascii="仿宋" w:hAnsi="仿宋" w:eastAsia="仿宋" w:cs="仿宋"/>
          <w:sz w:val="24"/>
          <w:szCs w:val="24"/>
          <w:highlight w:val="none"/>
          <w:lang w:eastAsia="zh-CN"/>
        </w:rPr>
        <w:t xml:space="preserve">。</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商务报价分值占总分值的比重为</w:t>
      </w:r>
      <w:r>
        <w:rPr>
          <w:rFonts w:hint="eastAsia" w:ascii="仿宋" w:hAnsi="仿宋" w:eastAsia="仿宋" w:cs="仿宋"/>
          <w:b/>
          <w:sz w:val="24"/>
          <w:szCs w:val="24"/>
          <w:highlight w:val="none"/>
          <w:u w:val="single"/>
          <w:lang w:val="en-US" w:eastAsia="zh-CN"/>
        </w:rPr>
        <w:t xml:space="preserve">3</w:t>
      </w:r>
      <w:r>
        <w:rPr>
          <w:rFonts w:hint="eastAsia" w:ascii="仿宋" w:hAnsi="仿宋" w:eastAsia="仿宋" w:cs="仿宋"/>
          <w:b/>
          <w:sz w:val="24"/>
          <w:szCs w:val="24"/>
          <w:highlight w:val="none"/>
          <w:u w:val="single"/>
        </w:rPr>
        <w:t xml:space="preserve">0%（权重） </w:t>
      </w:r>
      <w:r>
        <w:rPr>
          <w:rFonts w:hint="eastAsia" w:ascii="仿宋" w:hAnsi="仿宋" w:eastAsia="仿宋" w:cs="仿宋"/>
          <w:sz w:val="24"/>
          <w:szCs w:val="24"/>
          <w:highlight w:val="none"/>
        </w:rPr>
        <w:t xml:space="preserve">（四舍五入保留两位小数）。</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4、技术分按算术平均值计算，分值四舍五入保留两位小数。</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5、商务报价分统一采用低价优先法计算直接取得，与技术分相加为供应商的综合得分（四舍五入保留两位小数）。</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6、综合得分最高的供应商推荐为项目预成交人并出具评审磋商报告。</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7、确定成交候选人的特殊情况处理： </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（1）若总分相同，则按最终报价响应得分高者优先中标。</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（2）若总分且最终报价响应得分相同，则采取现场抽签的方式确定（投标供应商的抽签顺序分别为各投标供应商递交响应文件签到顺序号）。</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8、磋商评审时，评委对评审的细则若有争议，由磋商小组集体讨论确定，并对未尽情况有最终解释权。</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9、对落标的供应商不做落标原因的解释。</w:t>
      </w:r>
      <w:r/>
    </w:p>
    <w:p>
      <w:pPr>
        <w:ind w:firstLine="48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六、综合评分评审标准</w:t>
      </w:r>
      <w:r/>
    </w:p>
    <w:p>
      <w:pPr>
        <w:ind w:firstLine="360"/>
        <w:spacing w:line="360" w:lineRule="auto"/>
        <w:rPr>
          <w:rFonts w:hint="eastAsia" w:ascii="仿宋" w:hAnsi="仿宋" w:eastAsia="仿宋" w:cs="仿宋"/>
          <w:sz w:val="24"/>
          <w:szCs w:val="24"/>
          <w:highlight w:val="none"/>
        </w:rPr>
        <w:outlineLvl w:val="2"/>
      </w:pPr>
      <w:r>
        <w:rPr>
          <w:rFonts w:hint="eastAsia" w:ascii="仿宋" w:hAnsi="仿宋" w:eastAsia="仿宋" w:cs="仿宋"/>
          <w:sz w:val="24"/>
          <w:szCs w:val="24"/>
          <w:highlight w:val="none"/>
        </w:rPr>
        <w:t xml:space="preserve">（一）技术分：（</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0分）</w:t>
      </w:r>
      <w:r/>
    </w:p>
    <w:tbl>
      <w:tblPr>
        <w:tblStyle w:val="847"/>
        <w:tblpPr w:horzAnchor="text" w:tblpXSpec="center" w:vertAnchor="text" w:tblpY="1" w:leftFromText="180" w:topFromText="0" w:rightFromText="180" w:bottomFromText="0"/>
        <w:tblW w:w="100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43"/>
        <w:gridCol w:w="773"/>
        <w:gridCol w:w="1245"/>
        <w:gridCol w:w="894"/>
        <w:gridCol w:w="6385"/>
      </w:tblGrid>
      <w:tr>
        <w:trPr>
          <w:jc w:val="center"/>
          <w:trHeight w:val="655"/>
        </w:trPr>
        <w:tc>
          <w:tcPr>
            <w:shd w:val="clear" w:color="auto" w:fill="ffffff"/>
            <w:tcMar>
              <w:left w:w="108" w:type="dxa"/>
              <w:top w:w="0" w:type="dxa"/>
              <w:right w:w="108" w:type="dxa"/>
              <w:bottom w:w="0" w:type="dxa"/>
            </w:tcMar>
            <w:tcW w:w="743"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序号</w:t>
            </w:r>
            <w:r/>
          </w:p>
        </w:tc>
        <w:tc>
          <w:tcPr>
            <w:shd w:val="clear" w:color="auto" w:fill="ffffff"/>
            <w:tcMar>
              <w:left w:w="108" w:type="dxa"/>
              <w:top w:w="0" w:type="dxa"/>
              <w:right w:w="108" w:type="dxa"/>
              <w:bottom w:w="0" w:type="dxa"/>
            </w:tcMar>
            <w:tcW w:w="773"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内容</w:t>
            </w:r>
            <w:r/>
          </w:p>
        </w:tc>
        <w:tc>
          <w:tcPr>
            <w:shd w:val="clear" w:color="auto" w:fill="ffffff"/>
            <w:tcMar>
              <w:left w:w="108" w:type="dxa"/>
              <w:top w:w="0" w:type="dxa"/>
              <w:right w:w="108" w:type="dxa"/>
              <w:bottom w:w="0" w:type="dxa"/>
            </w:tcMar>
            <w:tcW w:w="1245"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评分因素</w:t>
            </w:r>
            <w:r/>
          </w:p>
        </w:tc>
        <w:tc>
          <w:tcPr>
            <w:shd w:val="clear" w:color="auto" w:fill="ffffff"/>
            <w:tcMar>
              <w:left w:w="108" w:type="dxa"/>
              <w:top w:w="0" w:type="dxa"/>
              <w:right w:w="108" w:type="dxa"/>
              <w:bottom w:w="0" w:type="dxa"/>
            </w:tcMar>
            <w:tcW w:w="894"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分值</w:t>
            </w:r>
            <w:r/>
          </w:p>
        </w:tc>
        <w:tc>
          <w:tcPr>
            <w:shd w:val="clear" w:color="auto" w:fill="ffffff"/>
            <w:tcMar>
              <w:left w:w="108" w:type="dxa"/>
              <w:top w:w="0" w:type="dxa"/>
              <w:right w:w="108" w:type="dxa"/>
              <w:bottom w:w="0" w:type="dxa"/>
            </w:tcMar>
            <w:tcW w:w="6385" w:type="dxa"/>
            <w:vAlign w:val="center"/>
            <w:textDirection w:val="lrTb"/>
            <w:noWrap w:val="false"/>
          </w:tcPr>
          <w:p>
            <w:pPr>
              <w:ind w:firstLine="480"/>
              <w:jc w:val="center"/>
              <w:keepLines w:val="0"/>
              <w:keepNext w:val="0"/>
              <w:pageBreakBefore w:val="0"/>
              <w:spacing w:line="0" w:lineRule="atLeas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评审标准</w:t>
            </w:r>
            <w:r/>
          </w:p>
        </w:tc>
      </w:tr>
      <w:tr>
        <w:trPr>
          <w:jc w:val="center"/>
          <w:trHeight w:val="1541"/>
        </w:trPr>
        <w:tc>
          <w:tcPr>
            <w:shd w:val="clear" w:color="auto" w:fill="ffffff"/>
            <w:tcMar>
              <w:left w:w="108" w:type="dxa"/>
              <w:top w:w="0" w:type="dxa"/>
              <w:right w:w="108" w:type="dxa"/>
              <w:bottom w:w="0" w:type="dxa"/>
            </w:tcMar>
            <w:tcW w:w="743" w:type="dxa"/>
            <w:vAlign w:val="center"/>
            <w:textDirection w:val="lrTb"/>
            <w:noWrap w:val="false"/>
          </w:tcPr>
          <w:p>
            <w:pPr>
              <w:ind w:firstLine="228"/>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ffffff"/>
            <w:tcMar>
              <w:left w:w="108" w:type="dxa"/>
              <w:top w:w="0" w:type="dxa"/>
              <w:right w:w="108" w:type="dxa"/>
              <w:bottom w:w="0" w:type="dxa"/>
            </w:tcMar>
            <w:tcW w:w="773" w:type="dxa"/>
            <w:vAlign w:val="center"/>
            <w:vMerge w:val="restart"/>
            <w:textDirection w:val="lrTb"/>
            <w:noWrap w:val="false"/>
          </w:tcPr>
          <w:p>
            <w:pP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商务部分（14）分</w:t>
            </w:r>
            <w:r/>
          </w:p>
        </w:tc>
        <w:tc>
          <w:tcPr>
            <w:shd w:val="clear" w:color="auto" w:fill="ffffff"/>
            <w:tcMar>
              <w:left w:w="108" w:type="dxa"/>
              <w:top w:w="0" w:type="dxa"/>
              <w:right w:w="108" w:type="dxa"/>
              <w:bottom w:w="0" w:type="dxa"/>
            </w:tcMar>
            <w:tcW w:w="1245" w:type="dxa"/>
            <w:vAlign w:val="center"/>
            <w:textDirection w:val="lrTb"/>
            <w:noWrap w:val="false"/>
          </w:tcPr>
          <w:p>
            <w:pPr>
              <w:keepLines w:val="0"/>
              <w:keepNext w:val="0"/>
              <w:pageBreakBefore w:val="0"/>
              <w:spacing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承办国内创新创业活动经验</w:t>
            </w:r>
            <w:r/>
          </w:p>
        </w:tc>
        <w:tc>
          <w:tcPr>
            <w:shd w:val="clear" w:color="auto" w:fill="ffffff"/>
            <w:tcMar>
              <w:left w:w="108" w:type="dxa"/>
              <w:top w:w="0" w:type="dxa"/>
              <w:right w:w="108" w:type="dxa"/>
              <w:bottom w:w="0" w:type="dxa"/>
            </w:tcMar>
            <w:tcW w:w="894"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8分</w:t>
            </w:r>
            <w:r/>
          </w:p>
        </w:tc>
        <w:tc>
          <w:tcPr>
            <w:shd w:val="clear" w:color="auto" w:fill="ffffff"/>
            <w:tcMar>
              <w:left w:w="108" w:type="dxa"/>
              <w:top w:w="0" w:type="dxa"/>
              <w:right w:w="108" w:type="dxa"/>
              <w:bottom w:w="0" w:type="dxa"/>
            </w:tcMar>
            <w:tcW w:w="6385" w:type="dxa"/>
            <w:vAlign w:val="center"/>
            <w:textDirection w:val="lrTb"/>
            <w:noWrap w:val="false"/>
          </w:tcPr>
          <w:p>
            <w:pPr>
              <w:keepLines w:val="0"/>
              <w:keepNext w:val="0"/>
              <w:pageBreakBefore w:val="0"/>
              <w:spacing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供应商提供20</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eastAsia="zh-CN"/>
              </w:rPr>
              <w:t xml:space="preserve">年以来承办的</w:t>
            </w:r>
            <w:r>
              <w:rPr>
                <w:rFonts w:hint="eastAsia" w:ascii="宋体" w:hAnsi="宋体" w:eastAsia="宋体" w:cs="宋体"/>
                <w:color w:val="auto"/>
                <w:sz w:val="24"/>
                <w:szCs w:val="24"/>
                <w:highlight w:val="none"/>
                <w:lang w:val="en-US" w:eastAsia="zh-CN"/>
              </w:rPr>
              <w:t xml:space="preserve">与地方政府合作的创新创业活动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包括投资环境推介活动、</w:t>
            </w:r>
            <w:r>
              <w:rPr>
                <w:rFonts w:hint="eastAsia" w:ascii="宋体" w:hAnsi="宋体" w:eastAsia="宋体" w:cs="宋体"/>
                <w:color w:val="auto"/>
                <w:sz w:val="24"/>
                <w:szCs w:val="24"/>
                <w:highlight w:val="none"/>
                <w:lang w:eastAsia="zh-CN"/>
              </w:rPr>
              <w:t xml:space="preserve">创新创业大赛、</w:t>
            </w:r>
            <w:r>
              <w:rPr>
                <w:rFonts w:hint="eastAsia" w:ascii="宋体" w:hAnsi="宋体" w:eastAsia="宋体" w:cs="宋体"/>
                <w:color w:val="auto"/>
                <w:sz w:val="24"/>
                <w:szCs w:val="24"/>
                <w:highlight w:val="none"/>
                <w:lang w:val="en-US" w:eastAsia="zh-CN"/>
              </w:rPr>
              <w:t xml:space="preserve">人才活动、</w:t>
            </w:r>
            <w:r>
              <w:rPr>
                <w:rFonts w:hint="eastAsia" w:ascii="宋体" w:hAnsi="宋体" w:eastAsia="宋体" w:cs="宋体"/>
                <w:color w:val="auto"/>
                <w:sz w:val="24"/>
                <w:szCs w:val="24"/>
                <w:highlight w:val="none"/>
                <w:lang w:eastAsia="zh-CN"/>
              </w:rPr>
              <w:t xml:space="preserve">科创</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eastAsia="zh-CN"/>
              </w:rPr>
              <w:t xml:space="preserve">路演、政校企合作</w:t>
            </w:r>
            <w:r>
              <w:rPr>
                <w:rFonts w:hint="eastAsia" w:ascii="宋体" w:hAnsi="宋体" w:eastAsia="宋体" w:cs="宋体"/>
                <w:color w:val="auto"/>
                <w:sz w:val="24"/>
                <w:szCs w:val="24"/>
                <w:highlight w:val="none"/>
                <w:lang w:val="en-US" w:eastAsia="zh-CN"/>
              </w:rPr>
              <w:t xml:space="preserve">对接</w:t>
            </w:r>
            <w:r>
              <w:rPr>
                <w:rFonts w:hint="eastAsia" w:ascii="宋体" w:hAnsi="宋体" w:eastAsia="宋体" w:cs="宋体"/>
                <w:color w:val="auto"/>
                <w:sz w:val="24"/>
                <w:szCs w:val="24"/>
                <w:highlight w:val="none"/>
                <w:lang w:eastAsia="zh-CN"/>
              </w:rPr>
              <w:t xml:space="preserve">等），每有一项得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分，最多得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分。</w:t>
            </w:r>
            <w:r/>
          </w:p>
          <w:p>
            <w:pP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证明材料：</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lang w:val="en-US" w:eastAsia="zh-CN"/>
              </w:rPr>
              <w:t xml:space="preserve">合作汇总表（涵盖时间、合作对象、具体事项等信息）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附带证明材料，包括</w:t>
            </w:r>
            <w:r>
              <w:rPr>
                <w:rFonts w:hint="eastAsia" w:ascii="宋体" w:hAnsi="宋体" w:eastAsia="宋体" w:cs="宋体"/>
                <w:color w:val="auto"/>
                <w:sz w:val="24"/>
                <w:szCs w:val="24"/>
                <w:highlight w:val="none"/>
                <w:lang w:eastAsia="zh-CN"/>
              </w:rPr>
              <w:t xml:space="preserve">提供合同（须包括合同服务内容、签订日期、合同金额、合同签章页等</w:t>
            </w:r>
            <w:r>
              <w:rPr>
                <w:rFonts w:hint="eastAsia" w:ascii="宋体" w:hAnsi="宋体" w:eastAsia="宋体" w:cs="宋体"/>
                <w:color w:val="auto"/>
                <w:sz w:val="24"/>
                <w:szCs w:val="24"/>
                <w:highlight w:val="none"/>
                <w:lang w:val="en-US" w:eastAsia="zh-CN"/>
              </w:rPr>
              <w:t xml:space="preserve">必要佐证信息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合作双方</w:t>
            </w:r>
            <w:r>
              <w:rPr>
                <w:rFonts w:hint="eastAsia" w:ascii="宋体" w:hAnsi="宋体" w:eastAsia="宋体" w:cs="宋体"/>
                <w:color w:val="auto"/>
                <w:sz w:val="24"/>
                <w:szCs w:val="24"/>
                <w:highlight w:val="none"/>
                <w:lang w:eastAsia="zh-CN"/>
              </w:rPr>
              <w:t xml:space="preserve">结算单据，如出于商业保密目的，允许</w:t>
            </w:r>
            <w:r>
              <w:rPr>
                <w:rFonts w:hint="eastAsia" w:ascii="宋体" w:hAnsi="宋体" w:eastAsia="宋体" w:cs="宋体"/>
                <w:color w:val="auto"/>
                <w:sz w:val="24"/>
                <w:szCs w:val="24"/>
                <w:highlight w:val="none"/>
                <w:lang w:val="en-US" w:eastAsia="zh-CN"/>
              </w:rPr>
              <w:t xml:space="preserve">做脱密处理</w:t>
            </w:r>
            <w:r>
              <w:rPr>
                <w:rFonts w:hint="eastAsia" w:ascii="宋体" w:hAnsi="宋体" w:eastAsia="宋体" w:cs="宋体"/>
                <w:color w:val="auto"/>
                <w:sz w:val="24"/>
                <w:szCs w:val="24"/>
                <w:highlight w:val="none"/>
                <w:lang w:eastAsia="zh-CN"/>
              </w:rPr>
              <w:t xml:space="preserve">，但</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lang w:eastAsia="zh-CN"/>
              </w:rPr>
              <w:t xml:space="preserve">保留</w:t>
            </w:r>
            <w:r>
              <w:rPr>
                <w:rFonts w:hint="eastAsia" w:ascii="宋体" w:hAnsi="宋体" w:eastAsia="宋体" w:cs="宋体"/>
                <w:color w:val="auto"/>
                <w:sz w:val="24"/>
                <w:szCs w:val="24"/>
                <w:highlight w:val="none"/>
                <w:lang w:val="en-US" w:eastAsia="zh-CN"/>
              </w:rPr>
              <w:t xml:space="preserve">必要信息。</w:t>
            </w:r>
            <w:r/>
          </w:p>
        </w:tc>
      </w:tr>
      <w:tr>
        <w:trPr>
          <w:jc w:val="center"/>
          <w:trHeight w:val="1541"/>
        </w:trPr>
        <w:tc>
          <w:tcPr>
            <w:shd w:val="clear" w:color="auto" w:fill="ffffff"/>
            <w:tcMar>
              <w:left w:w="108" w:type="dxa"/>
              <w:top w:w="0" w:type="dxa"/>
              <w:right w:w="108" w:type="dxa"/>
              <w:bottom w:w="0" w:type="dxa"/>
            </w:tcMar>
            <w:tcW w:w="743" w:type="dxa"/>
            <w:vAlign w:val="center"/>
            <w:textDirection w:val="lrTb"/>
            <w:noWrap w:val="false"/>
          </w:tcPr>
          <w:p>
            <w:pPr>
              <w:ind w:firstLine="228"/>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ffffff"/>
            <w:tcMar>
              <w:left w:w="108" w:type="dxa"/>
              <w:top w:w="0" w:type="dxa"/>
              <w:right w:w="108" w:type="dxa"/>
              <w:bottom w:w="0" w:type="dxa"/>
            </w:tcMar>
            <w:tcW w:w="773" w:type="dxa"/>
            <w:vAlign w:val="center"/>
            <w:vMerge w:val="continue"/>
            <w:textDirection w:val="lrTb"/>
            <w:noWrap w:val="false"/>
          </w:tcPr>
          <w:p>
            <w:pPr>
              <w:ind w:firstLine="228"/>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Mar>
              <w:left w:w="108" w:type="dxa"/>
              <w:top w:w="0" w:type="dxa"/>
              <w:right w:w="108" w:type="dxa"/>
              <w:bottom w:w="0" w:type="dxa"/>
            </w:tcMar>
            <w:tcW w:w="1245" w:type="dxa"/>
            <w:vAlign w:val="center"/>
            <w:textDirection w:val="lrTb"/>
            <w:noWrap w:val="false"/>
          </w:tcPr>
          <w:p>
            <w:pPr>
              <w:keepLines w:val="0"/>
              <w:keepNext w:val="0"/>
              <w:pageBreakBefore w:val="0"/>
              <w:spacing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承办境外创新创业活动经验</w:t>
            </w:r>
            <w:r/>
          </w:p>
        </w:tc>
        <w:tc>
          <w:tcPr>
            <w:shd w:val="clear" w:color="auto" w:fill="ffffff"/>
            <w:tcMar>
              <w:left w:w="108" w:type="dxa"/>
              <w:top w:w="0" w:type="dxa"/>
              <w:right w:w="108" w:type="dxa"/>
              <w:bottom w:w="0" w:type="dxa"/>
            </w:tcMar>
            <w:tcW w:w="894"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w:t>
            </w:r>
            <w:r/>
          </w:p>
        </w:tc>
        <w:tc>
          <w:tcPr>
            <w:shd w:val="clear" w:color="auto" w:fill="ffffff"/>
            <w:tcMar>
              <w:left w:w="108" w:type="dxa"/>
              <w:top w:w="0" w:type="dxa"/>
              <w:right w:w="108" w:type="dxa"/>
              <w:bottom w:w="0" w:type="dxa"/>
            </w:tcMar>
            <w:tcW w:w="6385" w:type="dxa"/>
            <w:vAlign w:val="center"/>
            <w:textDirection w:val="lrTb"/>
            <w:noWrap w:val="false"/>
          </w:tcPr>
          <w:p>
            <w:pP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供应商2023年至今有与地方政府合作，承办境外创新创业活动相关经验，</w:t>
            </w:r>
            <w:r>
              <w:rPr>
                <w:rFonts w:hint="eastAsia" w:ascii="宋体" w:hAnsi="宋体" w:eastAsia="宋体" w:cs="宋体"/>
                <w:color w:val="auto"/>
                <w:sz w:val="24"/>
                <w:szCs w:val="24"/>
                <w:highlight w:val="none"/>
                <w:lang w:eastAsia="zh-CN"/>
              </w:rPr>
              <w:t xml:space="preserve">每有一项得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分，最多得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keepLines w:val="0"/>
              <w:keepNext w:val="0"/>
              <w:pageBreakBefore w:val="0"/>
              <w:spacing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证明材料：提供海外活动的合同、活动照片或其他证明材料。</w:t>
            </w:r>
            <w:r/>
          </w:p>
        </w:tc>
      </w:tr>
      <w:tr>
        <w:trPr>
          <w:jc w:val="center"/>
          <w:trHeight w:val="1261"/>
        </w:trPr>
        <w:tc>
          <w:tcPr>
            <w:shd w:val="clear" w:color="auto" w:fill="ffffff"/>
            <w:tcMar>
              <w:left w:w="108" w:type="dxa"/>
              <w:top w:w="0" w:type="dxa"/>
              <w:right w:w="108" w:type="dxa"/>
              <w:bottom w:w="0" w:type="dxa"/>
            </w:tcMar>
            <w:tcW w:w="743" w:type="dxa"/>
            <w:vAlign w:val="center"/>
            <w:textDirection w:val="lrTb"/>
            <w:noWrap w:val="false"/>
          </w:tcPr>
          <w:p>
            <w:pPr>
              <w:ind w:firstLine="228"/>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shd w:val="clear" w:color="auto" w:fill="ffffff"/>
            <w:tcMar>
              <w:left w:w="108" w:type="dxa"/>
              <w:top w:w="0" w:type="dxa"/>
              <w:right w:w="108" w:type="dxa"/>
              <w:bottom w:w="0" w:type="dxa"/>
            </w:tcMar>
            <w:tcW w:w="773" w:type="dxa"/>
            <w:vAlign w:val="center"/>
            <w:vMerge w:val="continue"/>
            <w:textDirection w:val="lrTb"/>
            <w:noWrap w:val="false"/>
          </w:tcPr>
          <w:p>
            <w:pPr>
              <w:ind w:firstLine="228"/>
              <w:keepLines w:val="0"/>
              <w:keepNext w:val="0"/>
              <w:pageBreakBefore w:val="0"/>
              <w:spacing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ffffff"/>
            <w:tcMar>
              <w:left w:w="108" w:type="dxa"/>
              <w:top w:w="0" w:type="dxa"/>
              <w:right w:w="108" w:type="dxa"/>
              <w:bottom w:w="0" w:type="dxa"/>
            </w:tcMar>
            <w:tcW w:w="1245" w:type="dxa"/>
            <w:vAlign w:val="center"/>
            <w:textDirection w:val="lrTb"/>
            <w:noWrap w:val="false"/>
          </w:tcPr>
          <w:p>
            <w:pP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荣誉</w:t>
            </w:r>
            <w:r/>
          </w:p>
        </w:tc>
        <w:tc>
          <w:tcPr>
            <w:shd w:val="clear" w:color="auto" w:fill="ffffff"/>
            <w:tcMar>
              <w:left w:w="108" w:type="dxa"/>
              <w:top w:w="0" w:type="dxa"/>
              <w:right w:w="108" w:type="dxa"/>
              <w:bottom w:w="0" w:type="dxa"/>
            </w:tcMar>
            <w:tcW w:w="894"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w:t>
            </w:r>
            <w:r/>
          </w:p>
        </w:tc>
        <w:tc>
          <w:tcPr>
            <w:shd w:val="clear" w:color="auto" w:fill="ffffff"/>
            <w:tcMar>
              <w:left w:w="108" w:type="dxa"/>
              <w:top w:w="0" w:type="dxa"/>
              <w:right w:w="108" w:type="dxa"/>
              <w:bottom w:w="0" w:type="dxa"/>
            </w:tcMar>
            <w:tcW w:w="6385" w:type="dxa"/>
            <w:vAlign w:val="center"/>
            <w:textDirection w:val="lrTb"/>
            <w:noWrap w:val="false"/>
          </w:tcPr>
          <w:p>
            <w:pPr>
              <w:keepLines w:val="0"/>
              <w:keepNext w:val="0"/>
              <w:pageBreakBefore w:val="0"/>
              <w:spacing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供应商具备承办大型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千人以上规模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活动经验并获得相关行业、政府等认可表彰，</w:t>
            </w:r>
            <w:r>
              <w:rPr>
                <w:rFonts w:hint="eastAsia" w:ascii="宋体" w:hAnsi="宋体" w:eastAsia="宋体" w:cs="宋体"/>
                <w:color w:val="auto"/>
                <w:sz w:val="24"/>
                <w:szCs w:val="24"/>
                <w:highlight w:val="none"/>
                <w:lang w:eastAsia="zh-CN"/>
              </w:rPr>
              <w:t xml:space="preserve">每1个得1分，满分</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证明材料：</w:t>
            </w:r>
            <w:r>
              <w:rPr>
                <w:rFonts w:hint="eastAsia" w:ascii="宋体" w:hAnsi="宋体" w:eastAsia="宋体" w:cs="宋体"/>
                <w:color w:val="auto"/>
                <w:sz w:val="24"/>
                <w:szCs w:val="24"/>
                <w:highlight w:val="none"/>
                <w:lang w:eastAsia="zh-CN"/>
              </w:rPr>
              <w:t xml:space="preserve">提供荣誉/表彰证明材料和</w:t>
            </w:r>
            <w:r>
              <w:rPr>
                <w:rFonts w:hint="eastAsia" w:ascii="宋体" w:hAnsi="宋体" w:eastAsia="宋体" w:cs="宋体"/>
                <w:color w:val="auto"/>
                <w:sz w:val="24"/>
                <w:szCs w:val="24"/>
                <w:highlight w:val="none"/>
                <w:lang w:val="en-US" w:eastAsia="zh-CN"/>
              </w:rPr>
              <w:t xml:space="preserve">与</w:t>
            </w:r>
            <w:r>
              <w:rPr>
                <w:rFonts w:hint="eastAsia" w:ascii="宋体" w:hAnsi="宋体" w:eastAsia="宋体" w:cs="宋体"/>
                <w:color w:val="auto"/>
                <w:sz w:val="24"/>
                <w:szCs w:val="24"/>
                <w:highlight w:val="none"/>
                <w:lang w:eastAsia="zh-CN"/>
              </w:rPr>
              <w:t xml:space="preserve">该活动</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lang w:eastAsia="zh-CN"/>
              </w:rPr>
              <w:t xml:space="preserve">的委托合同</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证明材料。</w:t>
            </w:r>
            <w:r/>
          </w:p>
        </w:tc>
      </w:tr>
      <w:tr>
        <w:trPr>
          <w:jc w:val="center"/>
          <w:trHeight w:val="4618"/>
        </w:trPr>
        <w:tc>
          <w:tcPr>
            <w:shd w:val="clear" w:color="auto" w:fill="ffffff"/>
            <w:tcMar>
              <w:left w:w="108" w:type="dxa"/>
              <w:top w:w="0" w:type="dxa"/>
              <w:right w:w="108" w:type="dxa"/>
              <w:bottom w:w="0" w:type="dxa"/>
            </w:tcMar>
            <w:tcW w:w="743" w:type="dxa"/>
            <w:vAlign w:val="center"/>
            <w:textDirection w:val="lrTb"/>
            <w:noWrap w:val="false"/>
          </w:tcPr>
          <w:p>
            <w:pPr>
              <w:ind w:firstLine="228"/>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shd w:val="clear" w:color="auto" w:fill="ffffff"/>
            <w:tcMar>
              <w:left w:w="108" w:type="dxa"/>
              <w:top w:w="0" w:type="dxa"/>
              <w:right w:w="108" w:type="dxa"/>
              <w:bottom w:w="0" w:type="dxa"/>
            </w:tcMar>
            <w:tcW w:w="773" w:type="dxa"/>
            <w:vAlign w:val="center"/>
            <w:vMerge w:val="restart"/>
            <w:textDirection w:val="lrTb"/>
            <w:noWrap w:val="false"/>
          </w:tcPr>
          <w:p>
            <w:pPr>
              <w:jc w:val="cente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w:t>
            </w:r>
            <w:r/>
          </w:p>
          <w:p>
            <w:pPr>
              <w:jc w:val="cente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术</w:t>
            </w:r>
            <w:r/>
          </w:p>
          <w:p>
            <w:pPr>
              <w:jc w:val="cente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部</w:t>
            </w:r>
            <w:r/>
          </w:p>
          <w:p>
            <w:pPr>
              <w:jc w:val="cente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分（56</w:t>
            </w:r>
            <w:r/>
          </w:p>
          <w:p>
            <w:pPr>
              <w:jc w:val="both"/>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w:t>
            </w:r>
            <w:r/>
          </w:p>
        </w:tc>
        <w:tc>
          <w:tcPr>
            <w:shd w:val="clear" w:color="auto" w:fill="ffffff"/>
            <w:tcMar>
              <w:left w:w="108" w:type="dxa"/>
              <w:top w:w="0" w:type="dxa"/>
              <w:right w:w="108" w:type="dxa"/>
              <w:bottom w:w="0" w:type="dxa"/>
            </w:tcMar>
            <w:tcW w:w="1245" w:type="dxa"/>
            <w:vAlign w:val="center"/>
            <w:textDirection w:val="lrTb"/>
            <w:noWrap w:val="false"/>
          </w:tcPr>
          <w:p>
            <w:pP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项目执行团队情况</w:t>
            </w:r>
            <w:r/>
          </w:p>
        </w:tc>
        <w:tc>
          <w:tcPr>
            <w:shd w:val="clear" w:color="auto" w:fill="ffffff"/>
            <w:tcMar>
              <w:left w:w="108" w:type="dxa"/>
              <w:top w:w="0" w:type="dxa"/>
              <w:right w:w="108" w:type="dxa"/>
              <w:bottom w:w="0" w:type="dxa"/>
            </w:tcMar>
            <w:tcW w:w="894"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5分</w:t>
            </w:r>
            <w:r/>
          </w:p>
        </w:tc>
        <w:tc>
          <w:tcPr>
            <w:shd w:val="clear" w:color="auto" w:fill="ffffff"/>
            <w:tcMar>
              <w:left w:w="108" w:type="dxa"/>
              <w:top w:w="0" w:type="dxa"/>
              <w:right w:w="108" w:type="dxa"/>
              <w:bottom w:w="0" w:type="dxa"/>
            </w:tcMar>
            <w:tcW w:w="6385" w:type="dxa"/>
            <w:vAlign w:val="center"/>
            <w:textDirection w:val="lrTb"/>
            <w:noWrap w:val="false"/>
          </w:tcPr>
          <w:p>
            <w:pPr>
              <w:numPr>
                <w:ilvl w:val="-1"/>
                <w:numId w:val="0"/>
              </w:numPr>
              <w:keepLines w:val="0"/>
              <w:keepNext w:val="0"/>
              <w:pageBreakBefore w:val="0"/>
              <w:spacing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供应商配备项目执行团队情况：</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配备1名活动项目负责人，项目负责人</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lang w:eastAsia="zh-CN"/>
              </w:rPr>
              <w:t xml:space="preserve">具备本科及以上学历，①具备10年或10年以上相关从业经验得2分；②具备5年以上10年以下相关从业经验得1分；③</w:t>
            </w:r>
            <w:r>
              <w:rPr>
                <w:rFonts w:hint="eastAsia" w:ascii="宋体" w:hAnsi="宋体" w:eastAsia="宋体" w:cs="宋体"/>
                <w:color w:val="auto"/>
                <w:sz w:val="24"/>
                <w:szCs w:val="24"/>
                <w:highlight w:val="none"/>
                <w:lang w:val="en-US" w:eastAsia="zh-CN"/>
              </w:rPr>
              <w:t xml:space="preserve">学历未达标、</w:t>
            </w:r>
            <w:r>
              <w:rPr>
                <w:rFonts w:hint="eastAsia" w:ascii="宋体" w:hAnsi="宋体" w:eastAsia="宋体" w:cs="宋体"/>
                <w:color w:val="auto"/>
                <w:sz w:val="24"/>
                <w:szCs w:val="24"/>
                <w:highlight w:val="none"/>
                <w:lang w:eastAsia="zh-CN"/>
              </w:rPr>
              <w:t xml:space="preserve">具备5年或5年以下相关从业经验</w:t>
            </w:r>
            <w:r>
              <w:rPr>
                <w:rFonts w:hint="eastAsia" w:ascii="宋体" w:hAnsi="宋体" w:eastAsia="宋体" w:cs="宋体"/>
                <w:color w:val="auto"/>
                <w:sz w:val="24"/>
                <w:szCs w:val="24"/>
                <w:highlight w:val="none"/>
                <w:lang w:val="en-US" w:eastAsia="zh-CN"/>
              </w:rPr>
              <w:t xml:space="preserve">均</w:t>
            </w:r>
            <w:r>
              <w:rPr>
                <w:rFonts w:hint="eastAsia" w:ascii="宋体" w:hAnsi="宋体" w:eastAsia="宋体" w:cs="宋体"/>
                <w:color w:val="auto"/>
                <w:sz w:val="24"/>
                <w:szCs w:val="24"/>
                <w:highlight w:val="none"/>
                <w:lang w:eastAsia="zh-CN"/>
              </w:rPr>
              <w:t xml:space="preserve">不得分；</w:t>
            </w:r>
            <w:r/>
          </w:p>
          <w:p>
            <w:pPr>
              <w:jc w:val="left"/>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）配备不少于</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人的服务团队（</w:t>
            </w:r>
            <w:r>
              <w:rPr>
                <w:rFonts w:hint="eastAsia" w:ascii="宋体" w:hAnsi="宋体" w:eastAsia="宋体" w:cs="宋体"/>
                <w:color w:val="auto"/>
                <w:sz w:val="24"/>
                <w:szCs w:val="24"/>
                <w:highlight w:val="none"/>
                <w:lang w:val="en-US" w:eastAsia="zh-CN"/>
              </w:rPr>
              <w:t xml:space="preserve">少于5人不得分）</w:t>
            </w:r>
            <w:r>
              <w:rPr>
                <w:rFonts w:hint="eastAsia" w:ascii="宋体" w:hAnsi="宋体" w:eastAsia="宋体" w:cs="宋体"/>
                <w:color w:val="auto"/>
                <w:sz w:val="24"/>
                <w:szCs w:val="24"/>
                <w:highlight w:val="none"/>
                <w:lang w:eastAsia="zh-CN"/>
              </w:rPr>
              <w:t xml:space="preserve">，在此基础上，每多配备1名专业骨干得1分（职务需为活动策划或活动项目执行），满分</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少于5人不得分）</w:t>
            </w:r>
            <w:r/>
          </w:p>
          <w:p>
            <w:pP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证明材料：</w:t>
            </w:r>
            <w:r>
              <w:rPr>
                <w:rFonts w:hint="eastAsia" w:ascii="宋体" w:hAnsi="宋体" w:eastAsia="宋体" w:cs="宋体"/>
                <w:b w:val="0"/>
                <w:bCs w:val="0"/>
                <w:color w:val="auto"/>
                <w:sz w:val="24"/>
                <w:szCs w:val="24"/>
                <w:highlight w:val="none"/>
                <w:lang w:eastAsia="zh-CN"/>
              </w:rPr>
              <w:t xml:space="preserve">须提供人员清单（明确岗位）、有效期内的身份证扫描件（正反面）、</w:t>
            </w:r>
            <w:r>
              <w:rPr>
                <w:rFonts w:hint="eastAsia" w:ascii="宋体" w:hAnsi="宋体" w:eastAsia="宋体" w:cs="宋体"/>
                <w:b w:val="0"/>
                <w:bCs w:val="0"/>
                <w:color w:val="auto"/>
                <w:sz w:val="24"/>
                <w:szCs w:val="24"/>
                <w:highlight w:val="none"/>
                <w:lang w:val="en-US" w:eastAsia="zh-CN"/>
              </w:rPr>
              <w:t xml:space="preserve">学历学位证书、</w:t>
            </w:r>
            <w:r>
              <w:rPr>
                <w:rFonts w:hint="eastAsia" w:ascii="宋体" w:hAnsi="宋体" w:eastAsia="宋体" w:cs="宋体"/>
                <w:b w:val="0"/>
                <w:bCs w:val="0"/>
                <w:color w:val="auto"/>
                <w:sz w:val="24"/>
                <w:szCs w:val="24"/>
                <w:highlight w:val="none"/>
                <w:lang w:eastAsia="zh-CN"/>
              </w:rPr>
              <w:t xml:space="preserve">有效期内的劳动合同、</w:t>
            </w:r>
            <w:r>
              <w:rPr>
                <w:rFonts w:hint="eastAsia" w:ascii="宋体" w:hAnsi="宋体" w:eastAsia="宋体" w:cs="宋体"/>
                <w:b w:val="0"/>
                <w:bCs w:val="0"/>
                <w:color w:val="auto"/>
                <w:sz w:val="24"/>
                <w:szCs w:val="24"/>
                <w:highlight w:val="none"/>
                <w:lang w:val="en-US" w:eastAsia="zh-CN"/>
              </w:rPr>
              <w:t xml:space="preserve">相关从业经验证明材料（如参与的相关项目合同等）、从业以来</w:t>
            </w:r>
            <w:r>
              <w:rPr>
                <w:rFonts w:hint="eastAsia" w:ascii="宋体" w:hAnsi="宋体" w:eastAsia="宋体" w:cs="宋体"/>
                <w:b w:val="0"/>
                <w:bCs w:val="0"/>
                <w:color w:val="auto"/>
                <w:sz w:val="24"/>
                <w:szCs w:val="24"/>
                <w:highlight w:val="none"/>
                <w:lang w:eastAsia="zh-CN"/>
              </w:rPr>
              <w:t xml:space="preserve">社保证明材料（若投标人委托第三方单位缴纳，还须提供投标人与第三方单位签订的社保代缴协议），</w:t>
            </w:r>
            <w:r>
              <w:rPr>
                <w:rFonts w:hint="eastAsia" w:ascii="宋体" w:hAnsi="宋体" w:eastAsia="宋体" w:cs="宋体"/>
                <w:b w:val="0"/>
                <w:bCs w:val="0"/>
                <w:color w:val="auto"/>
                <w:sz w:val="24"/>
                <w:szCs w:val="24"/>
                <w:highlight w:val="none"/>
                <w:lang w:val="en-US" w:eastAsia="zh-CN"/>
              </w:rPr>
              <w:t xml:space="preserve">材料科适当脱敏，</w:t>
            </w:r>
            <w:r>
              <w:rPr>
                <w:rFonts w:hint="eastAsia" w:ascii="宋体" w:hAnsi="宋体" w:eastAsia="宋体" w:cs="宋体"/>
                <w:b w:val="0"/>
                <w:bCs w:val="0"/>
                <w:color w:val="auto"/>
                <w:sz w:val="24"/>
                <w:szCs w:val="24"/>
                <w:highlight w:val="none"/>
                <w:lang w:eastAsia="zh-CN"/>
              </w:rPr>
              <w:t xml:space="preserve">证明材料不全或未提供均不得分。</w:t>
            </w:r>
            <w:r/>
          </w:p>
        </w:tc>
      </w:tr>
      <w:tr>
        <w:trPr>
          <w:jc w:val="center"/>
          <w:trHeight w:val="556"/>
        </w:trPr>
        <w:tc>
          <w:tcPr>
            <w:shd w:val="clear" w:color="auto" w:fill="ffffff"/>
            <w:tcMar>
              <w:left w:w="108" w:type="dxa"/>
              <w:top w:w="0" w:type="dxa"/>
              <w:right w:w="108" w:type="dxa"/>
              <w:bottom w:w="0" w:type="dxa"/>
            </w:tcMar>
            <w:tcW w:w="743" w:type="dxa"/>
            <w:vAlign w:val="center"/>
            <w:textDirection w:val="lrTb"/>
            <w:noWrap w:val="false"/>
          </w:tcPr>
          <w:p>
            <w:pPr>
              <w:ind w:firstLine="228"/>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shd w:val="clear" w:color="auto" w:fill="ffffff"/>
            <w:tcMar>
              <w:left w:w="108" w:type="dxa"/>
              <w:top w:w="0" w:type="dxa"/>
              <w:right w:w="108" w:type="dxa"/>
              <w:bottom w:w="0" w:type="dxa"/>
            </w:tcMar>
            <w:tcW w:w="773" w:type="dxa"/>
            <w:vAlign w:val="center"/>
            <w:vMerge w:val="continue"/>
            <w:textDirection w:val="lrTb"/>
            <w:noWrap w:val="false"/>
          </w:tcPr>
          <w:p>
            <w:pPr>
              <w:jc w:val="cente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Mar>
              <w:left w:w="108" w:type="dxa"/>
              <w:top w:w="0" w:type="dxa"/>
              <w:right w:w="108" w:type="dxa"/>
              <w:bottom w:w="0" w:type="dxa"/>
            </w:tcMar>
            <w:tcW w:w="1245" w:type="dxa"/>
            <w:vAlign w:val="center"/>
            <w:textDirection w:val="lrTb"/>
            <w:noWrap w:val="false"/>
          </w:tcPr>
          <w:p>
            <w:pPr>
              <w:keepLines w:val="0"/>
              <w:keepNext w:val="0"/>
              <w:pageBreakBefore w:val="0"/>
              <w:spacing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活动</w:t>
            </w:r>
            <w:r>
              <w:rPr>
                <w:rFonts w:hint="eastAsia" w:ascii="宋体" w:hAnsi="宋体" w:eastAsia="宋体" w:cs="宋体"/>
                <w:color w:val="auto"/>
                <w:sz w:val="24"/>
                <w:szCs w:val="24"/>
                <w:highlight w:val="none"/>
                <w:lang w:eastAsia="zh-CN"/>
              </w:rPr>
              <w:t xml:space="preserve">宣传方案</w:t>
            </w:r>
            <w:r/>
          </w:p>
        </w:tc>
        <w:tc>
          <w:tcPr>
            <w:shd w:val="clear" w:color="auto" w:fill="ffffff"/>
            <w:tcMar>
              <w:left w:w="108" w:type="dxa"/>
              <w:top w:w="0" w:type="dxa"/>
              <w:right w:w="108" w:type="dxa"/>
              <w:bottom w:w="0" w:type="dxa"/>
            </w:tcMar>
            <w:tcW w:w="894"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tc>
        <w:tc>
          <w:tcPr>
            <w:shd w:val="clear" w:color="auto" w:fill="ffffff"/>
            <w:tcMar>
              <w:left w:w="108" w:type="dxa"/>
              <w:top w:w="0" w:type="dxa"/>
              <w:right w:w="108" w:type="dxa"/>
              <w:bottom w:w="0" w:type="dxa"/>
            </w:tcMar>
            <w:tcW w:w="6385" w:type="dxa"/>
            <w:vAlign w:val="center"/>
            <w:textDirection w:val="lrTb"/>
            <w:noWrap w:val="false"/>
          </w:tcPr>
          <w:p>
            <w:pPr>
              <w:keepLines w:val="0"/>
              <w:keepNext w:val="0"/>
              <w:pageBreakBefore w:val="0"/>
              <w:spacing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本项目宣传</w:t>
            </w:r>
            <w:r>
              <w:rPr>
                <w:rFonts w:hint="eastAsia" w:ascii="宋体" w:hAnsi="宋体" w:eastAsia="宋体" w:cs="宋体"/>
                <w:color w:val="auto"/>
                <w:sz w:val="24"/>
                <w:szCs w:val="24"/>
                <w:highlight w:val="none"/>
                <w:lang w:val="en-US" w:eastAsia="zh-CN"/>
              </w:rPr>
              <w:t xml:space="preserve">征集</w:t>
            </w:r>
            <w:r>
              <w:rPr>
                <w:rFonts w:hint="eastAsia" w:ascii="宋体" w:hAnsi="宋体" w:eastAsia="宋体" w:cs="宋体"/>
                <w:color w:val="auto"/>
                <w:sz w:val="24"/>
                <w:szCs w:val="24"/>
                <w:highlight w:val="none"/>
                <w:lang w:eastAsia="zh-CN"/>
              </w:rPr>
              <w:t xml:space="preserve">方向：围绕南通创新区</w:t>
            </w:r>
            <w:r>
              <w:rPr>
                <w:rFonts w:hint="eastAsia" w:ascii="宋体" w:hAnsi="宋体" w:eastAsia="宋体" w:cs="宋体"/>
                <w:color w:val="auto"/>
                <w:sz w:val="24"/>
                <w:szCs w:val="24"/>
                <w:highlight w:val="none"/>
                <w:lang w:val="en-US" w:eastAsia="zh-CN"/>
              </w:rPr>
              <w:t xml:space="preserve">主导</w:t>
            </w:r>
            <w:r>
              <w:rPr>
                <w:rFonts w:hint="eastAsia" w:ascii="宋体" w:hAnsi="宋体" w:eastAsia="宋体" w:cs="宋体"/>
                <w:color w:val="auto"/>
                <w:sz w:val="24"/>
                <w:szCs w:val="24"/>
                <w:highlight w:val="none"/>
                <w:lang w:eastAsia="zh-CN"/>
              </w:rPr>
              <w:t xml:space="preserve">产业发展，全年度、分批次解读南通创新区</w:t>
            </w:r>
            <w:r>
              <w:rPr>
                <w:rFonts w:hint="eastAsia" w:ascii="宋体" w:hAnsi="宋体" w:eastAsia="宋体" w:cs="宋体"/>
                <w:color w:val="auto"/>
                <w:sz w:val="24"/>
                <w:szCs w:val="24"/>
                <w:highlight w:val="none"/>
                <w:lang w:val="en-US" w:eastAsia="zh-CN"/>
              </w:rPr>
              <w:t xml:space="preserve">投</w:t>
            </w:r>
            <w:r>
              <w:rPr>
                <w:rFonts w:hint="eastAsia" w:ascii="宋体" w:hAnsi="宋体" w:eastAsia="宋体" w:cs="宋体"/>
                <w:color w:val="auto"/>
                <w:sz w:val="24"/>
                <w:szCs w:val="24"/>
                <w:highlight w:val="none"/>
                <w:lang w:eastAsia="zh-CN"/>
              </w:rPr>
              <w:t xml:space="preserve">资环境、产业生态情况、产业招商政策、人才科技政策、科技金融政策等，精准征集项目信息。</w:t>
            </w:r>
            <w:r/>
          </w:p>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供应商结合本项目的特点，提供完善、科学合理的项目宣传方案，其中包含：①</w:t>
            </w:r>
            <w:r>
              <w:rPr>
                <w:rFonts w:hint="eastAsia" w:ascii="宋体" w:hAnsi="宋体" w:eastAsia="宋体" w:cs="宋体"/>
                <w:color w:val="auto"/>
                <w:sz w:val="24"/>
                <w:szCs w:val="24"/>
                <w:highlight w:val="none"/>
                <w:lang w:val="en-US" w:eastAsia="zh-CN"/>
              </w:rPr>
              <w:t xml:space="preserve">宣传主题设计，②宣传征集策划</w:t>
            </w:r>
            <w:r>
              <w:rPr>
                <w:rFonts w:hint="eastAsia" w:ascii="宋体" w:hAnsi="宋体" w:eastAsia="宋体" w:cs="宋体"/>
                <w:color w:val="auto"/>
                <w:sz w:val="24"/>
                <w:szCs w:val="24"/>
                <w:highlight w:val="none"/>
                <w:lang w:eastAsia="zh-CN"/>
              </w:rPr>
              <w:t xml:space="preserve">亮点，③宣传</w:t>
            </w:r>
            <w:r>
              <w:rPr>
                <w:rFonts w:hint="eastAsia" w:ascii="宋体" w:hAnsi="宋体" w:eastAsia="宋体" w:cs="宋体"/>
                <w:color w:val="auto"/>
                <w:sz w:val="24"/>
                <w:szCs w:val="24"/>
                <w:highlight w:val="none"/>
                <w:lang w:val="en-US" w:eastAsia="zh-CN"/>
              </w:rPr>
              <w:t xml:space="preserve">征集</w:t>
            </w:r>
            <w:r>
              <w:rPr>
                <w:rFonts w:hint="eastAsia" w:ascii="宋体" w:hAnsi="宋体" w:eastAsia="宋体" w:cs="宋体"/>
                <w:color w:val="auto"/>
                <w:sz w:val="24"/>
                <w:szCs w:val="24"/>
                <w:highlight w:val="none"/>
                <w:lang w:eastAsia="zh-CN"/>
              </w:rPr>
              <w:t xml:space="preserve">执行思路，④宣传</w:t>
            </w:r>
            <w:r>
              <w:rPr>
                <w:rFonts w:hint="eastAsia" w:ascii="宋体" w:hAnsi="宋体" w:eastAsia="宋体" w:cs="宋体"/>
                <w:color w:val="auto"/>
                <w:sz w:val="24"/>
                <w:szCs w:val="24"/>
                <w:highlight w:val="none"/>
                <w:lang w:val="en-US" w:eastAsia="zh-CN"/>
              </w:rPr>
              <w:t xml:space="preserve">征集</w:t>
            </w:r>
            <w:r>
              <w:rPr>
                <w:rFonts w:hint="eastAsia" w:ascii="宋体" w:hAnsi="宋体" w:eastAsia="宋体" w:cs="宋体"/>
                <w:color w:val="auto"/>
                <w:sz w:val="24"/>
                <w:szCs w:val="24"/>
                <w:highlight w:val="none"/>
                <w:lang w:eastAsia="zh-CN"/>
              </w:rPr>
              <w:t xml:space="preserve">预期效果，⑤宣传</w:t>
            </w:r>
            <w:r>
              <w:rPr>
                <w:rFonts w:hint="eastAsia" w:ascii="宋体" w:hAnsi="宋体" w:eastAsia="宋体" w:cs="宋体"/>
                <w:color w:val="auto"/>
                <w:sz w:val="24"/>
                <w:szCs w:val="24"/>
                <w:highlight w:val="none"/>
                <w:lang w:val="en-US" w:eastAsia="zh-CN"/>
              </w:rPr>
              <w:t xml:space="preserve">征集</w:t>
            </w:r>
            <w:r>
              <w:rPr>
                <w:rFonts w:hint="eastAsia" w:ascii="宋体" w:hAnsi="宋体" w:eastAsia="宋体" w:cs="宋体"/>
                <w:color w:val="auto"/>
                <w:sz w:val="24"/>
                <w:szCs w:val="24"/>
                <w:highlight w:val="none"/>
                <w:lang w:eastAsia="zh-CN"/>
              </w:rPr>
              <w:t xml:space="preserve">渠道。本项满分</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从内容完整度、科学性、创新性、可执行性、资源质量等方面评价：</w:t>
            </w:r>
            <w:r/>
          </w:p>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en-US" w:eastAsia="zh-CN"/>
              </w:rPr>
              <w:t xml:space="preserve">优秀</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en-US" w:eastAsia="zh-CN"/>
              </w:rPr>
              <w:t xml:space="preserve">较好</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p>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en-US" w:eastAsia="zh-CN"/>
              </w:rPr>
              <w:t xml:space="preserve">差</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分；</w:t>
            </w:r>
            <w:r/>
          </w:p>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如缺项漏项的不得分。</w:t>
            </w:r>
            <w:r/>
          </w:p>
        </w:tc>
      </w:tr>
      <w:tr>
        <w:trPr>
          <w:jc w:val="center"/>
          <w:trHeight w:val="717"/>
        </w:trPr>
        <w:tc>
          <w:tcPr>
            <w:shd w:val="clear" w:color="auto" w:fill="ffffff"/>
            <w:tcMar>
              <w:left w:w="108" w:type="dxa"/>
              <w:top w:w="0" w:type="dxa"/>
              <w:right w:w="108" w:type="dxa"/>
              <w:bottom w:w="0" w:type="dxa"/>
            </w:tcMar>
            <w:tcW w:w="743" w:type="dxa"/>
            <w:vAlign w:val="center"/>
            <w:textDirection w:val="lrTb"/>
            <w:noWrap w:val="false"/>
          </w:tcPr>
          <w:p>
            <w:pPr>
              <w:ind w:firstLine="228"/>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shd w:val="clear" w:color="auto" w:fill="ffffff"/>
            <w:tcMar>
              <w:left w:w="108" w:type="dxa"/>
              <w:top w:w="0" w:type="dxa"/>
              <w:right w:w="108" w:type="dxa"/>
              <w:bottom w:w="0" w:type="dxa"/>
            </w:tcMar>
            <w:tcW w:w="773" w:type="dxa"/>
            <w:vAlign w:val="center"/>
            <w:vMerge w:val="continue"/>
            <w:textDirection w:val="lrTb"/>
            <w:noWrap w:val="false"/>
          </w:tcPr>
          <w:p>
            <w:pPr>
              <w:ind w:firstLine="228"/>
              <w:keepLines w:val="0"/>
              <w:keepNext w:val="0"/>
              <w:pageBreakBefore w:val="0"/>
              <w:spacing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ffffff"/>
            <w:tcMar>
              <w:left w:w="108" w:type="dxa"/>
              <w:top w:w="0" w:type="dxa"/>
              <w:right w:w="108" w:type="dxa"/>
              <w:bottom w:w="0" w:type="dxa"/>
            </w:tcMar>
            <w:tcW w:w="1245" w:type="dxa"/>
            <w:vAlign w:val="center"/>
            <w:textDirection w:val="lrTb"/>
            <w:noWrap w:val="false"/>
          </w:tcPr>
          <w:p>
            <w:pPr>
              <w:keepLines w:val="0"/>
              <w:keepNext w:val="0"/>
              <w:pageBreakBefore w:val="0"/>
              <w:spacing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活动策划方案</w:t>
            </w:r>
            <w:r/>
          </w:p>
        </w:tc>
        <w:tc>
          <w:tcPr>
            <w:shd w:val="clear" w:color="auto" w:fill="ffffff"/>
            <w:tcMar>
              <w:left w:w="108" w:type="dxa"/>
              <w:top w:w="0" w:type="dxa"/>
              <w:right w:w="108" w:type="dxa"/>
              <w:bottom w:w="0" w:type="dxa"/>
            </w:tcMar>
            <w:tcW w:w="894"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p>
        </w:tc>
        <w:tc>
          <w:tcPr>
            <w:shd w:val="clear" w:color="auto" w:fill="ffffff"/>
            <w:tcMar>
              <w:left w:w="108" w:type="dxa"/>
              <w:top w:w="0" w:type="dxa"/>
              <w:right w:w="108" w:type="dxa"/>
              <w:bottom w:w="0" w:type="dxa"/>
            </w:tcMar>
            <w:tcW w:w="6385" w:type="dxa"/>
            <w:vAlign w:val="center"/>
            <w:textDirection w:val="lrTb"/>
            <w:noWrap w:val="false"/>
          </w:tcPr>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w:t>
            </w:r>
            <w:r>
              <w:rPr>
                <w:rFonts w:hint="eastAsia" w:ascii="宋体" w:hAnsi="宋体" w:eastAsia="宋体" w:cs="宋体"/>
                <w:color w:val="auto"/>
                <w:sz w:val="24"/>
                <w:szCs w:val="24"/>
                <w:highlight w:val="none"/>
                <w:lang w:val="en-US" w:eastAsia="zh-CN"/>
              </w:rPr>
              <w:t xml:space="preserve">项目需求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供应商提供活动</w:t>
            </w:r>
            <w:r>
              <w:rPr>
                <w:rFonts w:hint="eastAsia" w:ascii="宋体" w:hAnsi="宋体" w:eastAsia="宋体" w:cs="宋体"/>
                <w:color w:val="auto"/>
                <w:sz w:val="24"/>
                <w:szCs w:val="24"/>
                <w:highlight w:val="none"/>
                <w:lang w:eastAsia="zh-CN"/>
              </w:rPr>
              <w:t xml:space="preserve">总体工作方案，</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lang w:eastAsia="zh-CN"/>
              </w:rPr>
              <w:t xml:space="preserve">策划</w:t>
            </w:r>
            <w:r>
              <w:rPr>
                <w:rFonts w:hint="eastAsia" w:ascii="宋体" w:hAnsi="宋体" w:eastAsia="宋体" w:cs="宋体"/>
                <w:color w:val="auto"/>
                <w:sz w:val="24"/>
                <w:szCs w:val="24"/>
                <w:highlight w:val="none"/>
                <w:lang w:val="en-US" w:eastAsia="zh-CN"/>
              </w:rPr>
              <w:t xml:space="preserve">活动</w:t>
            </w:r>
            <w:r>
              <w:rPr>
                <w:rFonts w:hint="eastAsia" w:ascii="宋体" w:hAnsi="宋体" w:eastAsia="宋体" w:cs="宋体"/>
                <w:color w:val="auto"/>
                <w:sz w:val="24"/>
                <w:szCs w:val="24"/>
                <w:highlight w:val="none"/>
                <w:lang w:eastAsia="zh-CN"/>
              </w:rPr>
              <w:t xml:space="preserve">亮点、</w:t>
            </w:r>
            <w:r>
              <w:rPr>
                <w:rFonts w:hint="eastAsia" w:ascii="宋体" w:hAnsi="宋体" w:eastAsia="宋体" w:cs="宋体"/>
                <w:color w:val="auto"/>
                <w:sz w:val="24"/>
                <w:szCs w:val="24"/>
                <w:highlight w:val="none"/>
                <w:lang w:val="en-US" w:eastAsia="zh-CN"/>
              </w:rPr>
              <w:t xml:space="preserve">梳理</w:t>
            </w:r>
            <w:r>
              <w:rPr>
                <w:rFonts w:hint="eastAsia" w:ascii="宋体" w:hAnsi="宋体" w:eastAsia="宋体" w:cs="宋体"/>
                <w:color w:val="auto"/>
                <w:sz w:val="24"/>
                <w:szCs w:val="24"/>
                <w:highlight w:val="none"/>
                <w:lang w:eastAsia="zh-CN"/>
              </w:rPr>
              <w:t xml:space="preserve">资源渠道、</w:t>
            </w:r>
            <w:r>
              <w:rPr>
                <w:rFonts w:hint="eastAsia" w:ascii="宋体" w:hAnsi="宋体" w:eastAsia="宋体" w:cs="宋体"/>
                <w:color w:val="auto"/>
                <w:sz w:val="24"/>
                <w:szCs w:val="24"/>
                <w:highlight w:val="none"/>
                <w:lang w:val="en-US" w:eastAsia="zh-CN"/>
              </w:rPr>
              <w:t xml:space="preserve">明确</w:t>
            </w:r>
            <w:r>
              <w:rPr>
                <w:rFonts w:hint="eastAsia" w:ascii="宋体" w:hAnsi="宋体" w:eastAsia="宋体" w:cs="宋体"/>
                <w:color w:val="auto"/>
                <w:sz w:val="24"/>
                <w:szCs w:val="24"/>
                <w:highlight w:val="none"/>
                <w:lang w:eastAsia="zh-CN"/>
              </w:rPr>
              <w:t xml:space="preserve">合作方向、</w:t>
            </w:r>
            <w:r>
              <w:rPr>
                <w:rFonts w:hint="eastAsia" w:ascii="宋体" w:hAnsi="宋体" w:eastAsia="宋体" w:cs="宋体"/>
                <w:color w:val="auto"/>
                <w:sz w:val="24"/>
                <w:szCs w:val="24"/>
                <w:highlight w:val="none"/>
                <w:lang w:val="en-US" w:eastAsia="zh-CN"/>
              </w:rPr>
              <w:t xml:space="preserve">制定</w:t>
            </w:r>
            <w:r>
              <w:rPr>
                <w:rFonts w:hint="eastAsia" w:ascii="宋体" w:hAnsi="宋体" w:eastAsia="宋体" w:cs="宋体"/>
                <w:color w:val="auto"/>
                <w:sz w:val="24"/>
                <w:szCs w:val="24"/>
                <w:highlight w:val="none"/>
                <w:lang w:eastAsia="zh-CN"/>
              </w:rPr>
              <w:t xml:space="preserve">推广计划、执行思路和预期成果，其中包含：</w:t>
            </w:r>
            <w:r>
              <w:rPr>
                <w:rFonts w:hint="eastAsia" w:ascii="宋体" w:hAnsi="宋体" w:eastAsia="宋体" w:cs="宋体"/>
                <w:color w:val="auto"/>
                <w:sz w:val="24"/>
                <w:szCs w:val="24"/>
                <w:highlight w:val="none"/>
                <w:lang w:val="en-US" w:eastAsia="zh-CN"/>
              </w:rPr>
              <w:t xml:space="preserve">①项目背景理解及品牌亮点设计，②储备的高校院所、行业协会、园区平台等创新资源，③参加活动的</w:t>
            </w:r>
            <w:r>
              <w:rPr>
                <w:rFonts w:hint="eastAsia" w:ascii="宋体" w:hAnsi="宋体" w:eastAsia="宋体" w:cs="宋体"/>
                <w:color w:val="auto"/>
                <w:sz w:val="24"/>
                <w:szCs w:val="24"/>
                <w:highlight w:val="none"/>
                <w:lang w:eastAsia="zh-CN"/>
              </w:rPr>
              <w:t xml:space="preserve">项目资源</w:t>
            </w:r>
            <w:r>
              <w:rPr>
                <w:rFonts w:hint="eastAsia" w:ascii="宋体" w:hAnsi="宋体" w:eastAsia="宋体" w:cs="宋体"/>
                <w:color w:val="auto"/>
                <w:sz w:val="24"/>
                <w:szCs w:val="24"/>
                <w:highlight w:val="none"/>
                <w:lang w:val="en-US" w:eastAsia="zh-CN"/>
              </w:rPr>
              <w:t xml:space="preserve">质量</w:t>
            </w:r>
            <w:r>
              <w:rPr>
                <w:rFonts w:hint="eastAsia" w:ascii="宋体" w:hAnsi="宋体" w:eastAsia="宋体" w:cs="宋体"/>
                <w:color w:val="auto"/>
                <w:sz w:val="24"/>
                <w:szCs w:val="24"/>
                <w:highlight w:val="none"/>
                <w:lang w:eastAsia="zh-CN"/>
              </w:rPr>
              <w:t xml:space="preserve">，④活动推广招募计划</w:t>
            </w:r>
            <w:r>
              <w:rPr>
                <w:rFonts w:hint="eastAsia" w:ascii="宋体" w:hAnsi="宋体" w:eastAsia="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lang w:eastAsia="zh-CN"/>
              </w:rPr>
              <w:t xml:space="preserve">活动执行思路，</w:t>
            </w:r>
            <w:r>
              <w:rPr>
                <w:rFonts w:hint="eastAsia" w:ascii="宋体" w:hAnsi="宋体" w:eastAsia="宋体" w:cs="宋体"/>
                <w:color w:val="auto"/>
                <w:sz w:val="24"/>
                <w:szCs w:val="24"/>
                <w:highlight w:val="none"/>
                <w:lang w:val="en-US" w:eastAsia="zh-CN"/>
              </w:rPr>
              <w:t xml:space="preserve">包括议程设置、项目或平台走访计划、项目资源收集、项目筛选及报名组织、项目评审等,⑥</w:t>
            </w:r>
            <w:r>
              <w:rPr>
                <w:rFonts w:hint="eastAsia" w:ascii="宋体" w:hAnsi="宋体" w:eastAsia="宋体" w:cs="宋体"/>
                <w:color w:val="auto"/>
                <w:sz w:val="24"/>
                <w:szCs w:val="24"/>
                <w:highlight w:val="none"/>
                <w:lang w:eastAsia="zh-CN"/>
              </w:rPr>
              <w:t xml:space="preserve">活动预期成果。本项满分</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从内容完整度、科学性、创新性、可执行性、资源质量等方面评价：</w:t>
            </w:r>
            <w:r/>
          </w:p>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en-US" w:eastAsia="zh-CN"/>
              </w:rPr>
              <w:t xml:space="preserve">优秀</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p>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en-US" w:eastAsia="zh-CN"/>
              </w:rPr>
              <w:t xml:space="preserve">较好</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en-US" w:eastAsia="zh-CN"/>
              </w:rPr>
              <w:t xml:space="preserve">差</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p>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如缺项漏项的不得分。</w:t>
            </w:r>
            <w:r/>
          </w:p>
        </w:tc>
      </w:tr>
      <w:tr>
        <w:trPr>
          <w:jc w:val="center"/>
          <w:trHeight w:val="1408"/>
        </w:trPr>
        <w:tc>
          <w:tcPr>
            <w:shd w:val="clear" w:color="auto" w:fill="ffffff"/>
            <w:tcMar>
              <w:left w:w="108" w:type="dxa"/>
              <w:top w:w="0" w:type="dxa"/>
              <w:right w:w="108" w:type="dxa"/>
              <w:bottom w:w="0" w:type="dxa"/>
            </w:tcMar>
            <w:tcW w:w="743" w:type="dxa"/>
            <w:vAlign w:val="center"/>
            <w:textDirection w:val="lrTb"/>
            <w:noWrap w:val="false"/>
          </w:tcPr>
          <w:p>
            <w:pPr>
              <w:ind w:firstLine="228"/>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shd w:val="clear" w:color="auto" w:fill="ffffff"/>
            <w:tcMar>
              <w:left w:w="108" w:type="dxa"/>
              <w:top w:w="0" w:type="dxa"/>
              <w:right w:w="108" w:type="dxa"/>
              <w:bottom w:w="0" w:type="dxa"/>
            </w:tcMar>
            <w:tcW w:w="773" w:type="dxa"/>
            <w:vAlign w:val="center"/>
            <w:vMerge w:val="continue"/>
            <w:textDirection w:val="lrTb"/>
            <w:noWrap w:val="false"/>
          </w:tcPr>
          <w:p>
            <w:pPr>
              <w:ind w:firstLine="228"/>
              <w:keepLines w:val="0"/>
              <w:keepNext w:val="0"/>
              <w:pageBreakBefore w:val="0"/>
              <w:spacing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ffffff"/>
            <w:tcMar>
              <w:left w:w="108" w:type="dxa"/>
              <w:top w:w="0" w:type="dxa"/>
              <w:right w:w="108" w:type="dxa"/>
              <w:bottom w:w="0" w:type="dxa"/>
            </w:tcMar>
            <w:tcW w:w="1245" w:type="dxa"/>
            <w:vAlign w:val="center"/>
            <w:textDirection w:val="lrTb"/>
            <w:noWrap w:val="false"/>
          </w:tcPr>
          <w:p>
            <w:pPr>
              <w:keepLines w:val="0"/>
              <w:keepNext w:val="0"/>
              <w:pageBreakBefore w:val="0"/>
              <w:spacing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活动布展设计方案</w:t>
            </w:r>
            <w:r/>
          </w:p>
          <w:p>
            <w:pPr>
              <w:ind w:firstLine="480"/>
              <w:jc w:val="center"/>
              <w:keepLines w:val="0"/>
              <w:keepNext w:val="0"/>
              <w:pageBreakBefore w:val="0"/>
              <w:spacing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ffffff"/>
            <w:tcMar>
              <w:left w:w="108" w:type="dxa"/>
              <w:top w:w="0" w:type="dxa"/>
              <w:right w:w="108" w:type="dxa"/>
              <w:bottom w:w="0" w:type="dxa"/>
            </w:tcMar>
            <w:tcW w:w="894"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tc>
        <w:tc>
          <w:tcPr>
            <w:shd w:val="clear" w:color="auto" w:fill="ffffff"/>
            <w:tcMar>
              <w:left w:w="108" w:type="dxa"/>
              <w:top w:w="0" w:type="dxa"/>
              <w:right w:w="108" w:type="dxa"/>
              <w:bottom w:w="0" w:type="dxa"/>
            </w:tcMar>
            <w:tcW w:w="6385" w:type="dxa"/>
            <w:vAlign w:val="center"/>
            <w:textDirection w:val="lrTb"/>
            <w:noWrap w:val="false"/>
          </w:tcPr>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供应商根据本项目特点，提供会场布展设计方案及总体服务方案，其中包含：</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eastAsia="zh-CN"/>
              </w:rPr>
              <w:t xml:space="preserve">搭建策划，</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eastAsia="zh-CN"/>
              </w:rPr>
              <w:t xml:space="preserve">搭建设计中与本项目的契合点，③氛围营造措施，④</w:t>
            </w:r>
            <w:r>
              <w:rPr>
                <w:rFonts w:hint="eastAsia" w:ascii="宋体" w:hAnsi="宋体" w:eastAsia="宋体" w:cs="宋体"/>
                <w:color w:val="auto"/>
                <w:sz w:val="24"/>
                <w:szCs w:val="24"/>
                <w:highlight w:val="none"/>
                <w:lang w:val="en-US" w:eastAsia="zh-CN"/>
              </w:rPr>
              <w:t xml:space="preserve">活动主题画面设计。</w:t>
            </w:r>
            <w:r>
              <w:rPr>
                <w:rFonts w:hint="eastAsia" w:ascii="宋体" w:hAnsi="宋体" w:eastAsia="宋体" w:cs="宋体"/>
                <w:color w:val="auto"/>
                <w:sz w:val="24"/>
                <w:szCs w:val="24"/>
                <w:highlight w:val="none"/>
                <w:lang w:eastAsia="zh-CN"/>
              </w:rPr>
              <w:t xml:space="preserve">本项满分</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从内容完整度、科学性、创新性、可执行性、资源质量等方面评价：</w:t>
            </w:r>
            <w:r/>
          </w:p>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en-US" w:eastAsia="zh-CN"/>
              </w:rPr>
              <w:t xml:space="preserve">优秀</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en-US" w:eastAsia="zh-CN"/>
              </w:rPr>
              <w:t xml:space="preserve">较好</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p>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en-US" w:eastAsia="zh-CN"/>
              </w:rPr>
              <w:t xml:space="preserve">差</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分；</w:t>
            </w:r>
            <w:r/>
          </w:p>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如缺项漏项的不得分。</w:t>
            </w:r>
            <w:r/>
          </w:p>
        </w:tc>
      </w:tr>
      <w:tr>
        <w:trPr>
          <w:jc w:val="center"/>
          <w:trHeight w:val="1408"/>
        </w:trPr>
        <w:tc>
          <w:tcPr>
            <w:shd w:val="clear" w:color="auto" w:fill="ffffff"/>
            <w:tcMar>
              <w:left w:w="108" w:type="dxa"/>
              <w:top w:w="0" w:type="dxa"/>
              <w:right w:w="108" w:type="dxa"/>
              <w:bottom w:w="0" w:type="dxa"/>
            </w:tcMar>
            <w:tcW w:w="743" w:type="dxa"/>
            <w:vAlign w:val="center"/>
            <w:textDirection w:val="lrTb"/>
            <w:noWrap w:val="false"/>
          </w:tcPr>
          <w:p>
            <w:pPr>
              <w:ind w:firstLine="228"/>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shd w:val="clear" w:color="auto" w:fill="ffffff"/>
            <w:tcMar>
              <w:left w:w="108" w:type="dxa"/>
              <w:top w:w="0" w:type="dxa"/>
              <w:right w:w="108" w:type="dxa"/>
              <w:bottom w:w="0" w:type="dxa"/>
            </w:tcMar>
            <w:tcW w:w="773" w:type="dxa"/>
            <w:vAlign w:val="center"/>
            <w:vMerge w:val="continue"/>
            <w:textDirection w:val="lrTb"/>
            <w:noWrap w:val="false"/>
          </w:tcPr>
          <w:p>
            <w:pPr>
              <w:ind w:firstLine="228"/>
              <w:keepLines w:val="0"/>
              <w:keepNext w:val="0"/>
              <w:pageBreakBefore w:val="0"/>
              <w:spacing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ffffff"/>
            <w:tcMar>
              <w:left w:w="108" w:type="dxa"/>
              <w:top w:w="0" w:type="dxa"/>
              <w:right w:w="108" w:type="dxa"/>
              <w:bottom w:w="0" w:type="dxa"/>
            </w:tcMar>
            <w:tcW w:w="1245" w:type="dxa"/>
            <w:vAlign w:val="center"/>
            <w:textDirection w:val="lrTb"/>
            <w:noWrap w:val="false"/>
          </w:tcPr>
          <w:p>
            <w:pPr>
              <w:keepLines w:val="0"/>
              <w:keepNext w:val="0"/>
              <w:pageBreakBefore w:val="0"/>
              <w:spacing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活动</w:t>
            </w:r>
            <w:r>
              <w:rPr>
                <w:rFonts w:hint="eastAsia" w:ascii="宋体" w:hAnsi="宋体" w:eastAsia="宋体" w:cs="宋体"/>
                <w:color w:val="auto"/>
                <w:sz w:val="24"/>
                <w:szCs w:val="24"/>
                <w:highlight w:val="none"/>
                <w:lang w:eastAsia="zh-CN"/>
              </w:rPr>
              <w:t xml:space="preserve">保障能力</w:t>
            </w:r>
            <w:r/>
          </w:p>
        </w:tc>
        <w:tc>
          <w:tcPr>
            <w:shd w:val="clear" w:color="auto" w:fill="ffffff"/>
            <w:tcMar>
              <w:left w:w="108" w:type="dxa"/>
              <w:top w:w="0" w:type="dxa"/>
              <w:right w:w="108" w:type="dxa"/>
              <w:bottom w:w="0" w:type="dxa"/>
            </w:tcMar>
            <w:tcW w:w="894"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tc>
        <w:tc>
          <w:tcPr>
            <w:shd w:val="clear" w:color="auto" w:fill="ffffff"/>
            <w:tcMar>
              <w:left w:w="108" w:type="dxa"/>
              <w:top w:w="0" w:type="dxa"/>
              <w:right w:w="108" w:type="dxa"/>
              <w:bottom w:w="0" w:type="dxa"/>
            </w:tcMar>
            <w:tcW w:w="6385" w:type="dxa"/>
            <w:vAlign w:val="center"/>
            <w:textDirection w:val="lrTb"/>
            <w:noWrap w:val="false"/>
          </w:tcPr>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供应商结合本项目的特点，提供完善、科学合理的服务保障方案，包含：</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eastAsia="zh-CN"/>
              </w:rPr>
              <w:t xml:space="preserve">人员交通、就餐、住宿的保障措施，</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eastAsia="zh-CN"/>
              </w:rPr>
              <w:t xml:space="preserve">会场设备配备方案，③保障团队的配备和响应速度；</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lang w:eastAsia="zh-CN"/>
              </w:rPr>
              <w:t xml:space="preserve">应急保障措施；⑤现场管理措施；⑥安全保障措施。本项满分</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从内容完整度、科学性、合规合理性、可执行性等方面评价：</w:t>
            </w:r>
            <w:r/>
          </w:p>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en-US" w:eastAsia="zh-CN"/>
              </w:rPr>
              <w:t xml:space="preserve">优秀</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en-US" w:eastAsia="zh-CN"/>
              </w:rPr>
              <w:t xml:space="preserve">较好</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en-US" w:eastAsia="zh-CN"/>
              </w:rPr>
              <w:t xml:space="preserve">差</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p>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如缺项漏项的不得分。</w:t>
            </w:r>
            <w:r/>
          </w:p>
        </w:tc>
      </w:tr>
      <w:tr>
        <w:trPr>
          <w:jc w:val="center"/>
          <w:trHeight w:val="1408"/>
        </w:trPr>
        <w:tc>
          <w:tcPr>
            <w:shd w:val="clear" w:color="auto" w:fill="ffffff"/>
            <w:tcMar>
              <w:left w:w="108" w:type="dxa"/>
              <w:top w:w="0" w:type="dxa"/>
              <w:right w:w="108" w:type="dxa"/>
              <w:bottom w:w="0" w:type="dxa"/>
            </w:tcMar>
            <w:tcW w:w="743" w:type="dxa"/>
            <w:vAlign w:val="center"/>
            <w:textDirection w:val="lrTb"/>
            <w:noWrap w:val="false"/>
          </w:tcPr>
          <w:p>
            <w:pPr>
              <w:ind w:firstLine="228"/>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shd w:val="clear" w:color="auto" w:fill="ffffff"/>
            <w:tcMar>
              <w:left w:w="108" w:type="dxa"/>
              <w:top w:w="0" w:type="dxa"/>
              <w:right w:w="108" w:type="dxa"/>
              <w:bottom w:w="0" w:type="dxa"/>
            </w:tcMar>
            <w:tcW w:w="773" w:type="dxa"/>
            <w:vAlign w:val="center"/>
            <w:vMerge w:val="continue"/>
            <w:textDirection w:val="lrTb"/>
            <w:noWrap w:val="false"/>
          </w:tcPr>
          <w:p>
            <w:pPr>
              <w:ind w:firstLine="228"/>
              <w:keepLines w:val="0"/>
              <w:keepNext w:val="0"/>
              <w:pageBreakBefore w:val="0"/>
              <w:spacing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ffffff"/>
            <w:tcMar>
              <w:left w:w="108" w:type="dxa"/>
              <w:top w:w="0" w:type="dxa"/>
              <w:right w:w="108" w:type="dxa"/>
              <w:bottom w:w="0" w:type="dxa"/>
            </w:tcMar>
            <w:tcW w:w="1245" w:type="dxa"/>
            <w:vAlign w:val="center"/>
            <w:textDirection w:val="lrTb"/>
            <w:noWrap w:val="false"/>
          </w:tcPr>
          <w:p>
            <w:pP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项目招引达成</w:t>
            </w:r>
            <w:r>
              <w:rPr>
                <w:rFonts w:hint="eastAsia" w:ascii="宋体" w:hAnsi="宋体" w:eastAsia="宋体" w:cs="宋体"/>
                <w:color w:val="auto"/>
                <w:sz w:val="24"/>
                <w:szCs w:val="24"/>
                <w:highlight w:val="none"/>
                <w:lang w:eastAsia="zh-CN"/>
              </w:rPr>
              <w:t xml:space="preserve">措施</w:t>
            </w:r>
            <w:r/>
          </w:p>
        </w:tc>
        <w:tc>
          <w:tcPr>
            <w:shd w:val="clear" w:color="auto" w:fill="ffffff"/>
            <w:tcMar>
              <w:left w:w="108" w:type="dxa"/>
              <w:top w:w="0" w:type="dxa"/>
              <w:right w:w="108" w:type="dxa"/>
              <w:bottom w:w="0" w:type="dxa"/>
            </w:tcMar>
            <w:tcW w:w="894"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p>
        </w:tc>
        <w:tc>
          <w:tcPr>
            <w:shd w:val="clear" w:color="auto" w:fill="ffffff"/>
            <w:tcMar>
              <w:left w:w="108" w:type="dxa"/>
              <w:top w:w="0" w:type="dxa"/>
              <w:right w:w="108" w:type="dxa"/>
              <w:bottom w:w="0" w:type="dxa"/>
            </w:tcMar>
            <w:tcW w:w="6385" w:type="dxa"/>
            <w:vAlign w:val="center"/>
            <w:textDirection w:val="lrTb"/>
            <w:noWrap w:val="false"/>
          </w:tcPr>
          <w:p>
            <w:pPr>
              <w:pStyle w:val="862"/>
              <w:numPr>
                <w:ilvl w:val="0"/>
                <w:numId w:val="0"/>
              </w:numP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供应商提出</w:t>
            </w:r>
            <w:r>
              <w:rPr>
                <w:rFonts w:hint="eastAsia" w:ascii="宋体" w:hAnsi="宋体" w:eastAsia="宋体" w:cs="宋体"/>
                <w:color w:val="auto"/>
                <w:sz w:val="24"/>
                <w:szCs w:val="24"/>
                <w:highlight w:val="none"/>
                <w:lang w:val="en-US" w:eastAsia="zh-CN"/>
              </w:rPr>
              <w:t xml:space="preserve">协助招引</w:t>
            </w:r>
            <w:r>
              <w:rPr>
                <w:rFonts w:hint="eastAsia" w:ascii="宋体" w:hAnsi="宋体" w:eastAsia="宋体" w:cs="宋体"/>
                <w:color w:val="auto"/>
                <w:sz w:val="24"/>
                <w:szCs w:val="24"/>
                <w:highlight w:val="none"/>
                <w:lang w:eastAsia="zh-CN"/>
              </w:rPr>
              <w:t xml:space="preserve">项目落地具体工作方案，其中包含：</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eastAsia="zh-CN"/>
              </w:rPr>
              <w:t xml:space="preserve">项目落地措施，</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eastAsia="zh-CN"/>
              </w:rPr>
              <w:t xml:space="preserve">措施可行性分析，③</w:t>
            </w:r>
            <w:r>
              <w:rPr>
                <w:rFonts w:hint="eastAsia" w:ascii="宋体" w:hAnsi="宋体" w:eastAsia="宋体" w:cs="宋体"/>
                <w:color w:val="auto"/>
                <w:sz w:val="24"/>
                <w:szCs w:val="24"/>
                <w:highlight w:val="none"/>
                <w:lang w:val="en-US" w:eastAsia="zh-CN"/>
              </w:rPr>
              <w:t xml:space="preserve">对标要求的</w:t>
            </w:r>
            <w:r>
              <w:rPr>
                <w:rFonts w:hint="eastAsia" w:ascii="宋体" w:hAnsi="宋体" w:eastAsia="宋体" w:cs="宋体"/>
                <w:color w:val="auto"/>
                <w:sz w:val="24"/>
                <w:szCs w:val="24"/>
                <w:highlight w:val="none"/>
                <w:lang w:eastAsia="zh-CN"/>
              </w:rPr>
              <w:t xml:space="preserve">工作目标。本项满分</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从内容完整度、科学性、创新性、可执行性、资源质量、目标自我加压等方面评价：</w:t>
            </w:r>
            <w:r/>
          </w:p>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en-US" w:eastAsia="zh-CN"/>
              </w:rPr>
              <w:t xml:space="preserve">优秀</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p>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en-US" w:eastAsia="zh-CN"/>
              </w:rPr>
              <w:t xml:space="preserve">较好</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pStyle w:val="862"/>
              <w:numPr>
                <w:ilvl w:val="0"/>
                <w:numId w:val="0"/>
              </w:numPr>
              <w:keepLines w:val="0"/>
              <w:keepNext w:val="0"/>
              <w:pageBreakBefore w:val="0"/>
              <w:spacing w:before="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en-US" w:eastAsia="zh-CN"/>
              </w:rPr>
              <w:t xml:space="preserve">差</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p>
            <w:pPr>
              <w:pStyle w:val="862"/>
              <w:numPr>
                <w:ilvl w:val="0"/>
                <w:numId w:val="0"/>
              </w:numPr>
              <w:ind w:left="0" w:firstLine="0"/>
              <w:keepLines w:val="0"/>
              <w:keepNext w:val="0"/>
              <w:pageBreakBefore w:val="0"/>
              <w:spacing w:before="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如缺项漏项的不得分。</w:t>
            </w:r>
            <w:r/>
          </w:p>
        </w:tc>
      </w:tr>
      <w:tr>
        <w:trPr>
          <w:jc w:val="center"/>
          <w:trHeight w:val="2738"/>
        </w:trPr>
        <w:tc>
          <w:tcPr>
            <w:shd w:val="clear" w:color="auto" w:fill="ffffff"/>
            <w:tcMar>
              <w:left w:w="108" w:type="dxa"/>
              <w:top w:w="0" w:type="dxa"/>
              <w:right w:w="108" w:type="dxa"/>
              <w:bottom w:w="0" w:type="dxa"/>
            </w:tcMar>
            <w:tcW w:w="743" w:type="dxa"/>
            <w:vAlign w:val="center"/>
            <w:textDirection w:val="lrTb"/>
            <w:noWrap w:val="false"/>
          </w:tcPr>
          <w:p>
            <w:pPr>
              <w:ind w:firstLine="228"/>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ffffff"/>
            <w:tcMar>
              <w:left w:w="108" w:type="dxa"/>
              <w:top w:w="0" w:type="dxa"/>
              <w:right w:w="108" w:type="dxa"/>
              <w:bottom w:w="0" w:type="dxa"/>
            </w:tcMar>
            <w:tcW w:w="773" w:type="dxa"/>
            <w:vAlign w:val="center"/>
            <w:textDirection w:val="lrTb"/>
            <w:noWrap w:val="false"/>
          </w:tcPr>
          <w:p>
            <w:pPr>
              <w:ind w:firstLine="228"/>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Mar>
              <w:left w:w="108" w:type="dxa"/>
              <w:top w:w="0" w:type="dxa"/>
              <w:right w:w="108" w:type="dxa"/>
              <w:bottom w:w="0" w:type="dxa"/>
            </w:tcMar>
            <w:tcW w:w="1245" w:type="dxa"/>
            <w:vAlign w:val="center"/>
            <w:textDirection w:val="lrTb"/>
            <w:noWrap w:val="false"/>
          </w:tcPr>
          <w:p>
            <w:pP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供应商服务落地成效</w:t>
            </w:r>
            <w:r/>
          </w:p>
        </w:tc>
        <w:tc>
          <w:tcPr>
            <w:shd w:val="clear" w:color="auto" w:fill="ffffff"/>
            <w:tcMar>
              <w:left w:w="108" w:type="dxa"/>
              <w:top w:w="0" w:type="dxa"/>
              <w:right w:w="108" w:type="dxa"/>
              <w:bottom w:w="0" w:type="dxa"/>
            </w:tcMar>
            <w:tcW w:w="894"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15分</w:t>
            </w:r>
            <w:r/>
          </w:p>
        </w:tc>
        <w:tc>
          <w:tcPr>
            <w:shd w:val="clear" w:color="auto" w:fill="ffffff"/>
            <w:tcMar>
              <w:left w:w="108" w:type="dxa"/>
              <w:top w:w="0" w:type="dxa"/>
              <w:right w:w="108" w:type="dxa"/>
              <w:bottom w:w="0" w:type="dxa"/>
            </w:tcMar>
            <w:tcW w:w="6385" w:type="dxa"/>
            <w:vAlign w:val="center"/>
            <w:textDirection w:val="lrTb"/>
            <w:noWrap w:val="false"/>
          </w:tcPr>
          <w:p>
            <w:pP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主要评审供应商的落地服务能力，供应商需提供2023年至今服务地方政府落户项目情况。本项目满分15分。</w:t>
            </w:r>
            <w:r/>
          </w:p>
          <w:p>
            <w:pP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12个及以上符合创新区主导产业方向的，得15分；</w:t>
            </w:r>
            <w:r/>
          </w:p>
          <w:p>
            <w:pP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8~11个符合创新区主导产业方向的，得10分；</w:t>
            </w:r>
            <w:r/>
          </w:p>
          <w:p>
            <w:pP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4~7个符合创新区主导产业方向的，得6分；</w:t>
            </w:r>
            <w:r/>
          </w:p>
          <w:p>
            <w:pP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3个及以下符合创新区主导产业方向的，得2分；</w:t>
            </w:r>
            <w:r/>
          </w:p>
          <w:p>
            <w:pP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证明材料：落地项目数量、项目名称、协助洽谈相关佐证、项目所属产业领域、项目主营业务（可做适当脱密处理）。</w:t>
            </w:r>
            <w:r/>
          </w:p>
        </w:tc>
      </w:tr>
      <w:tr>
        <w:trPr>
          <w:jc w:val="center"/>
          <w:trHeight w:val="4059"/>
        </w:trPr>
        <w:tc>
          <w:tcPr>
            <w:shd w:val="clear" w:color="auto" w:fill="ffffff"/>
            <w:tcMar>
              <w:left w:w="108" w:type="dxa"/>
              <w:top w:w="0" w:type="dxa"/>
              <w:right w:w="108" w:type="dxa"/>
              <w:bottom w:w="0" w:type="dxa"/>
            </w:tcMar>
            <w:tcW w:w="743" w:type="dxa"/>
            <w:vAlign w:val="center"/>
            <w:textDirection w:val="lrTb"/>
            <w:noWrap w:val="false"/>
          </w:tcPr>
          <w:p>
            <w:pPr>
              <w:ind w:firstLine="228"/>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shd w:val="clear" w:color="auto" w:fill="ffffff"/>
            <w:tcMar>
              <w:left w:w="108" w:type="dxa"/>
              <w:top w:w="0" w:type="dxa"/>
              <w:right w:w="108" w:type="dxa"/>
              <w:bottom w:w="0" w:type="dxa"/>
            </w:tcMar>
            <w:tcW w:w="773" w:type="dxa"/>
            <w:vAlign w:val="center"/>
            <w:textDirection w:val="lrTb"/>
            <w:noWrap w:val="false"/>
          </w:tcPr>
          <w:p>
            <w:pPr>
              <w:ind w:firstLine="228"/>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Mar>
              <w:left w:w="108" w:type="dxa"/>
              <w:top w:w="0" w:type="dxa"/>
              <w:right w:w="108" w:type="dxa"/>
              <w:bottom w:w="0" w:type="dxa"/>
            </w:tcMar>
            <w:tcW w:w="1245" w:type="dxa"/>
            <w:vAlign w:val="center"/>
            <w:textDirection w:val="lrTb"/>
            <w:noWrap w:val="false"/>
          </w:tcPr>
          <w:p>
            <w:pP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供应商服务落地质量</w:t>
            </w:r>
            <w:r/>
          </w:p>
        </w:tc>
        <w:tc>
          <w:tcPr>
            <w:shd w:val="clear" w:color="auto" w:fill="ffffff"/>
            <w:tcMar>
              <w:left w:w="108" w:type="dxa"/>
              <w:top w:w="0" w:type="dxa"/>
              <w:right w:w="108" w:type="dxa"/>
              <w:bottom w:w="0" w:type="dxa"/>
            </w:tcMar>
            <w:tcW w:w="894"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15分</w:t>
            </w:r>
            <w:r/>
          </w:p>
        </w:tc>
        <w:tc>
          <w:tcPr>
            <w:shd w:val="clear" w:color="auto" w:fill="ffffff"/>
            <w:tcMar>
              <w:left w:w="108" w:type="dxa"/>
              <w:top w:w="0" w:type="dxa"/>
              <w:right w:w="108" w:type="dxa"/>
              <w:bottom w:w="0" w:type="dxa"/>
            </w:tcMar>
            <w:tcW w:w="6385" w:type="dxa"/>
            <w:vAlign w:val="center"/>
            <w:textDirection w:val="lrTb"/>
            <w:noWrap w:val="false"/>
          </w:tcPr>
          <w:p>
            <w:pP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要评审供应商保障落地项目质量，供应商需提供2023年至今服务地方政府落地项目质量。本项目满分15分，根据落地项目获评各级人才计划的情况打分，提供证明材料包括所获奖项清单、项目名称、协助洽谈相关佐证、项目获评相关证书等（可做适当脱密处理）。</w:t>
            </w:r>
            <w:r/>
          </w:p>
          <w:p>
            <w:pP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有1个及以上省级人才计划，10个及以上市、区级人才计划项目落地并正常经营，得15分；</w:t>
            </w:r>
            <w:r/>
          </w:p>
          <w:p>
            <w:pP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有1个及以上省级人才计划，5（含）~9个市、区级人才计划项目落地并正常经营，得10分；</w:t>
            </w:r>
            <w:r/>
          </w:p>
          <w:p>
            <w:pP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无省级人才计划项目落地经历，10个及以上市、区级人才计划项目落地并正常经营，得5分；</w:t>
            </w:r>
            <w:r/>
          </w:p>
          <w:p>
            <w:pPr>
              <w:keepLines w:val="0"/>
              <w:keepNext w:val="0"/>
              <w:pageBreakBefore w:val="0"/>
              <w:spacing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无省级人才计划项目落地经历，5（含）~9个市、区级人才计划项目落地并正常经营，得1分。</w:t>
            </w:r>
            <w:r/>
          </w:p>
        </w:tc>
      </w:tr>
    </w:tbl>
    <w:p>
      <w:pPr>
        <w:pStyle w:val="849"/>
        <w:rPr>
          <w:rFonts w:hint="eastAsia"/>
          <w:highlight w:val="none"/>
        </w:rPr>
      </w:pPr>
      <w:r>
        <w:rPr>
          <w:rFonts w:hint="eastAsia"/>
          <w:highlight w:val="none"/>
        </w:rPr>
      </w:r>
      <w:r/>
    </w:p>
    <w:p>
      <w:pPr>
        <w:contextualSpacing/>
        <w:ind w:firstLine="361"/>
        <w:jc w:val="left"/>
        <w:spacing w:line="300" w:lineRule="auto"/>
        <w:rPr>
          <w:rFonts w:hint="eastAsia" w:ascii="仿宋_GB2312" w:hAnsi="宋体" w:eastAsia="仿宋_GB2312"/>
          <w:color w:val="auto"/>
          <w:sz w:val="28"/>
          <w:szCs w:val="28"/>
          <w:highlight w:val="none"/>
        </w:rPr>
      </w:pPr>
      <w:r>
        <w:rPr>
          <w:rFonts w:hint="eastAsia" w:ascii="仿宋" w:hAnsi="仿宋" w:eastAsia="仿宋" w:cs="仿宋"/>
          <w:b/>
          <w:color w:val="auto"/>
          <w:sz w:val="24"/>
          <w:szCs w:val="24"/>
          <w:highlight w:val="none"/>
        </w:rPr>
        <w:t xml:space="preserve">备注：成交供应商须在结果公告后三个工作日内，将以上评审点对应的证明材料原件，提供给采购人核查。如未能按时提供与响应文件一致的原件，或者提供原件不全者，或者提供虚假材料者，视同以不正当手段谋取成交资格，采购人有权拒绝与其签订合同，并将向有关部门移交处理，相应法律责任由供应商承担。</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rPr>
      </w:pPr>
      <w:r>
        <w:rPr>
          <w:rFonts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二</w:t>
      </w:r>
      <w:r>
        <w:rPr>
          <w:rFonts w:ascii="仿宋" w:hAnsi="仿宋" w:eastAsia="仿宋" w:cs="仿宋"/>
          <w:bCs/>
          <w:color w:val="auto"/>
          <w:sz w:val="24"/>
          <w:szCs w:val="24"/>
          <w:highlight w:val="none"/>
        </w:rPr>
        <w:t xml:space="preserve">）价格分：</w:t>
      </w:r>
      <w:r>
        <w:rPr>
          <w:rFonts w:hint="eastAsia" w:ascii="仿宋" w:hAnsi="仿宋" w:eastAsia="仿宋" w:cs="仿宋"/>
          <w:bCs/>
          <w:color w:val="auto"/>
          <w:sz w:val="24"/>
          <w:szCs w:val="24"/>
          <w:highlight w:val="none"/>
          <w:lang w:val="en-US" w:eastAsia="zh-CN"/>
        </w:rPr>
        <w:t xml:space="preserve">3</w:t>
      </w:r>
      <w:r>
        <w:rPr>
          <w:rFonts w:ascii="仿宋" w:hAnsi="仿宋" w:eastAsia="仿宋" w:cs="仿宋"/>
          <w:bCs/>
          <w:color w:val="auto"/>
          <w:sz w:val="24"/>
          <w:szCs w:val="24"/>
          <w:highlight w:val="none"/>
        </w:rPr>
        <w:t xml:space="preserve">0分</w:t>
      </w:r>
      <w:r>
        <w:rPr>
          <w:rFonts w:hint="eastAsia" w:ascii="仿宋" w:hAnsi="仿宋" w:eastAsia="仿宋" w:cs="仿宋"/>
          <w:bCs/>
          <w:color w:val="auto"/>
          <w:sz w:val="24"/>
          <w:szCs w:val="24"/>
          <w:highlight w:val="none"/>
          <w:lang w:val="en-US" w:eastAsia="zh-CN"/>
        </w:rPr>
        <w:t xml:space="preserve"> </w:t>
      </w:r>
      <w:r/>
    </w:p>
    <w:p>
      <w:pPr>
        <w:ind w:firstLine="480"/>
        <w:jc w:val="left"/>
        <w:spacing w:line="360" w:lineRule="auto"/>
        <w:shd w:val="clear" w:color="auto" w:fill="ffffff"/>
        <w:widowControl/>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1.</w:t>
      </w:r>
      <w:r>
        <w:rPr>
          <w:rFonts w:ascii="仿宋" w:hAnsi="仿宋" w:eastAsia="仿宋" w:cs="仿宋"/>
          <w:bCs/>
          <w:color w:val="auto"/>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磋商报价得分</w:t>
      </w:r>
      <w:r>
        <w:rPr>
          <w:rFonts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rPr>
        <w:t xml:space="preserve">（磋商基准价</w:t>
      </w:r>
      <w:r>
        <w:rPr>
          <w:rFonts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rPr>
        <w:t xml:space="preserve">最后磋商报价）×价格权值×</w:t>
      </w:r>
      <w:r>
        <w:rPr>
          <w:rFonts w:ascii="仿宋" w:hAnsi="仿宋" w:eastAsia="仿宋" w:cs="仿宋"/>
          <w:bCs/>
          <w:color w:val="auto"/>
          <w:sz w:val="24"/>
          <w:szCs w:val="24"/>
          <w:highlight w:val="none"/>
        </w:rPr>
        <w:t xml:space="preserve">100</w:t>
      </w:r>
      <w:r>
        <w:rPr>
          <w:rFonts w:hint="eastAsia" w:ascii="仿宋" w:hAnsi="仿宋" w:eastAsia="仿宋" w:cs="仿宋"/>
          <w:bCs/>
          <w:color w:val="auto"/>
          <w:sz w:val="24"/>
          <w:szCs w:val="24"/>
          <w:highlight w:val="none"/>
        </w:rPr>
        <w:t xml:space="preserve">。项目评审过程中，不得去掉最后报价中的最高报价和最低报价</w:t>
      </w:r>
      <w:r>
        <w:rPr>
          <w:rFonts w:hint="eastAsia" w:ascii="仿宋" w:hAnsi="仿宋" w:eastAsia="仿宋" w:cs="仿宋"/>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.评审过程中出现下列情形之一的，</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应当启动</w:t>
      </w:r>
      <w:r>
        <w:rPr>
          <w:rFonts w:hint="eastAsia" w:ascii="宋体" w:hAnsi="宋体" w:eastAsia="宋体" w:cs="宋体"/>
          <w:color w:val="auto"/>
          <w:sz w:val="24"/>
          <w:szCs w:val="24"/>
          <w:highlight w:val="none"/>
          <w:lang w:val="en-US" w:eastAsia="zh-CN"/>
        </w:rPr>
        <w:t xml:space="preserve">异常低价审查</w:t>
      </w:r>
      <w:r>
        <w:rPr>
          <w:rFonts w:hint="eastAsia" w:ascii="宋体" w:hAnsi="宋体" w:eastAsia="宋体" w:cs="宋体"/>
          <w:color w:val="auto"/>
          <w:sz w:val="24"/>
          <w:szCs w:val="24"/>
          <w:highlight w:val="none"/>
        </w:rPr>
        <w:t xml:space="preserve">程序：</w:t>
      </w:r>
      <w:r/>
    </w:p>
    <w:p>
      <w:pPr>
        <w:ind w:firstLine="480"/>
        <w:keepLines w:val="0"/>
        <w:keepNext w:val="0"/>
        <w:pageBreakBefore w:val="0"/>
        <w:spacing w:line="360" w:lineRule="auto"/>
        <w:widowControl w:val="off"/>
        <w:rPr>
          <w:rFonts w:hint="eastAsia" w:ascii="Times New Roman" w:hAnsi="宋体" w:eastAsia="宋体" w:cs="宋体"/>
          <w:color w:val="auto"/>
          <w:sz w:val="24"/>
          <w:szCs w:val="24"/>
          <w:highlight w:val="none"/>
          <w:lang w:val="en-US" w:eastAsia="zh-CN"/>
        </w:rPr>
        <w:outlineLvl w:val="9"/>
      </w:pPr>
      <w:r>
        <w:rPr>
          <w:rFonts w:hint="eastAsia" w:ascii="Times New Roman" w:hAnsi="宋体" w:eastAsia="宋体" w:cs="宋体"/>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Times New Roman" w:hAnsi="宋体" w:eastAsia="宋体" w:cs="宋体"/>
          <w:color w:val="auto"/>
          <w:sz w:val="24"/>
          <w:szCs w:val="24"/>
          <w:highlight w:val="none"/>
          <w:lang w:val="en-US" w:eastAsia="zh-CN"/>
        </w:rPr>
        <w:outlineLvl w:val="9"/>
      </w:pPr>
      <w:r>
        <w:rPr>
          <w:rFonts w:hint="eastAsia" w:ascii="Times New Roman" w:hAnsi="宋体" w:eastAsia="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Times New Roman" w:hAnsi="宋体" w:eastAsia="宋体" w:cs="宋体"/>
          <w:color w:val="auto"/>
          <w:sz w:val="24"/>
          <w:szCs w:val="24"/>
          <w:highlight w:val="none"/>
          <w:lang w:val="en-US" w:eastAsia="zh-CN"/>
        </w:rPr>
        <w:outlineLvl w:val="9"/>
      </w:pPr>
      <w:r>
        <w:rPr>
          <w:rFonts w:hint="eastAsia" w:ascii="Times New Roman" w:hAnsi="宋体" w:eastAsia="宋体" w:cs="宋体"/>
          <w:color w:val="auto"/>
          <w:sz w:val="24"/>
          <w:szCs w:val="24"/>
          <w:highlight w:val="none"/>
          <w:lang w:val="en-US" w:eastAsia="zh-CN"/>
        </w:rPr>
        <w:t xml:space="preserve">（3）投标（响应）报价低于采购项目最高限价45%的，即投标（响应）报价&lt;采购项目最高限价×45%；</w:t>
      </w:r>
      <w:r/>
    </w:p>
    <w:p>
      <w:pPr>
        <w:ind w:firstLine="480"/>
        <w:spacing w:line="360" w:lineRule="auto"/>
        <w:rPr>
          <w:rFonts w:hint="eastAsia" w:ascii="Times New Roman" w:hAnsi="宋体" w:eastAsia="宋体" w:cs="宋体"/>
          <w:color w:val="auto"/>
          <w:sz w:val="24"/>
          <w:szCs w:val="24"/>
          <w:highlight w:val="none"/>
          <w:lang w:val="en-US" w:eastAsia="zh-CN"/>
        </w:rPr>
      </w:pPr>
      <w:r>
        <w:rPr>
          <w:rFonts w:hint="eastAsia" w:ascii="Times New Roman"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rPr>
        <w:t xml:space="preserve">启动异常低价响应审查后，属于前述第（1）项至第（4）项情形的，应当要求相关供应商在</w:t>
      </w:r>
      <w:r>
        <w:rPr>
          <w:rFonts w:hint="eastAsia" w:ascii="宋体" w:hAnsi="宋体" w:eastAsia="宋体" w:cs="宋体"/>
          <w:b/>
          <w:bCs/>
          <w:color w:val="auto"/>
          <w:sz w:val="24"/>
          <w:szCs w:val="24"/>
          <w:highlight w:val="none"/>
          <w:lang w:val="en-US" w:eastAsia="zh-CN"/>
        </w:rPr>
        <w:t xml:space="preserve">30分钟内</w:t>
      </w:r>
      <w:r>
        <w:rPr>
          <w:rFonts w:hint="eastAsia" w:ascii="宋体" w:hAnsi="宋体" w:eastAsia="宋体" w:cs="宋体"/>
          <w:color w:val="auto"/>
          <w:sz w:val="24"/>
          <w:szCs w:val="24"/>
          <w:highlight w:val="none"/>
          <w:lang w:val="en-US" w:eastAsia="zh-CN"/>
        </w:rPr>
        <w:t xml:space="preserve">对投标价格作出解释，提供项目具体成本测算等与报价合理性相关的书面说明及必要的证明材料，包括但不限于原材料成本、人工成本、制造费用等。其中，属于第（3）项情形，供应商已随</w:t>
      </w:r>
      <w:r>
        <w:rPr>
          <w:rFonts w:hint="eastAsia" w:ascii="宋体" w:hAnsi="宋体" w:cs="宋体"/>
          <w:color w:val="auto"/>
          <w:sz w:val="24"/>
          <w:szCs w:val="24"/>
          <w:highlight w:val="none"/>
          <w:lang w:val="en-US" w:eastAsia="zh-CN"/>
        </w:rPr>
        <w:t xml:space="preserve">磋商响应文件</w:t>
      </w:r>
      <w:r>
        <w:rPr>
          <w:rFonts w:hint="eastAsia" w:ascii="宋体" w:hAnsi="宋体" w:eastAsia="宋体" w:cs="宋体"/>
          <w:color w:val="auto"/>
          <w:sz w:val="24"/>
          <w:szCs w:val="24"/>
          <w:highlight w:val="none"/>
          <w:lang w:val="en-US" w:eastAsia="zh-CN"/>
        </w:rPr>
        <w:t xml:space="preserve">一并提交相关书面说明及必要的证明材料的，在评审现场可不再重复提交。</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rPr>
        <w:t xml:space="preserve">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不能提供书面说明、证明材料，或者提供的书面说明、证明材料不能证明其报价合理性的，</w:t>
      </w:r>
      <w:r>
        <w:rPr>
          <w:rFonts w:hint="eastAsia" w:ascii="宋体" w:hAnsi="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rPr>
        <w:t xml:space="preserve">应当将其作为</w:t>
      </w:r>
      <w:r>
        <w:rPr>
          <w:rFonts w:hint="eastAsia" w:ascii="宋体" w:hAnsi="宋体" w:cs="宋体"/>
          <w:color w:val="auto"/>
          <w:sz w:val="24"/>
          <w:szCs w:val="24"/>
          <w:highlight w:val="none"/>
          <w:lang w:val="en-US" w:eastAsia="zh-CN"/>
        </w:rPr>
        <w:t xml:space="preserve">无效响应</w:t>
      </w:r>
      <w:r>
        <w:rPr>
          <w:rFonts w:hint="eastAsia" w:ascii="宋体" w:hAnsi="宋体" w:eastAsia="宋体" w:cs="宋体"/>
          <w:color w:val="auto"/>
          <w:sz w:val="24"/>
          <w:szCs w:val="24"/>
          <w:highlight w:val="none"/>
          <w:lang w:val="en-US" w:eastAsia="zh-CN"/>
        </w:rPr>
        <w:t xml:space="preserve">处理。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w:t>
      </w:r>
      <w:r>
        <w:rPr>
          <w:rFonts w:hint="eastAsia" w:ascii="宋体" w:hAnsi="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rPr>
        <w:t xml:space="preserve">借助互联网等渠道查询相关信息的，应当严格遵守评审工作纪律，不得实施影响评审公正的行为。</w:t>
      </w:r>
      <w:r/>
    </w:p>
    <w:p>
      <w:pPr>
        <w:ind w:firstLine="480"/>
        <w:spacing w:line="360" w:lineRule="auto"/>
        <w:rPr>
          <w:rFonts w:hint="eastAsia"/>
          <w:highlight w:val="none"/>
          <w:lang w:eastAsia="zh-CN"/>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w:t>
      </w:r>
      <w:r>
        <w:rPr>
          <w:rFonts w:hint="eastAsia" w:ascii="宋体" w:hAnsi="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rPr>
        <w:t xml:space="preserve">有关互联网浏览、查询历史一并归档</w:t>
      </w:r>
      <w:r>
        <w:rPr>
          <w:rFonts w:hint="eastAsia" w:ascii="宋体" w:hAnsi="宋体" w:eastAsia="宋体" w:cs="宋体"/>
          <w:color w:val="auto"/>
          <w:sz w:val="24"/>
          <w:szCs w:val="24"/>
          <w:highlight w:val="none"/>
        </w:rPr>
        <w:t xml:space="preserve">。</w:t>
      </w:r>
      <w:r/>
    </w:p>
    <w:p>
      <w:pPr>
        <w:ind w:firstLine="480"/>
        <w:jc w:val="left"/>
        <w:spacing w:line="360" w:lineRule="auto"/>
        <w:shd w:val="clear" w:color="auto" w:fill="ffffff"/>
        <w:widowControl/>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七、</w:t>
      </w:r>
      <w:r>
        <w:rPr>
          <w:rFonts w:ascii="仿宋" w:hAnsi="仿宋" w:eastAsia="仿宋" w:cs="仿宋"/>
          <w:bCs/>
          <w:color w:val="auto"/>
          <w:sz w:val="24"/>
          <w:szCs w:val="24"/>
          <w:highlight w:val="none"/>
        </w:rPr>
        <w:t xml:space="preserve">政府采购政策功能落实</w:t>
      </w:r>
      <w:r/>
    </w:p>
    <w:p>
      <w:pPr>
        <w:ind w:firstLine="480"/>
        <w:jc w:val="left"/>
        <w:spacing w:line="360" w:lineRule="auto"/>
        <w:shd w:val="clear" w:color="auto" w:fill="ffffff"/>
        <w:widowControl/>
        <w:rPr>
          <w:rFonts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本项目为</w:t>
      </w:r>
      <w:r>
        <w:rPr>
          <w:rFonts w:hint="eastAsia" w:ascii="仿宋" w:hAnsi="仿宋" w:eastAsia="仿宋" w:cs="仿宋"/>
          <w:b/>
          <w:bCs w:val="0"/>
          <w:color w:val="auto"/>
          <w:sz w:val="24"/>
          <w:szCs w:val="24"/>
          <w:highlight w:val="none"/>
        </w:rPr>
        <w:t xml:space="preserve">专门面向中小企业采购的项目，不再执行价格评审优惠的扶持政策。</w:t>
      </w:r>
      <w:r/>
    </w:p>
    <w:p>
      <w:pPr>
        <w:ind w:firstLine="480"/>
        <w:jc w:val="left"/>
        <w:spacing w:line="360" w:lineRule="auto"/>
        <w:shd w:val="clear" w:color="auto" w:fill="ffffff"/>
        <w:widowControl/>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八、</w:t>
      </w:r>
      <w:r>
        <w:rPr>
          <w:rFonts w:ascii="仿宋" w:hAnsi="仿宋" w:eastAsia="仿宋" w:cs="仿宋"/>
          <w:bCs/>
          <w:color w:val="auto"/>
          <w:sz w:val="24"/>
          <w:szCs w:val="24"/>
          <w:highlight w:val="none"/>
        </w:rPr>
        <w:t xml:space="preserve">成交供应商的确定</w:t>
      </w:r>
      <w:r/>
    </w:p>
    <w:p>
      <w:pPr>
        <w:ind w:firstLine="480"/>
        <w:jc w:val="left"/>
        <w:spacing w:line="360" w:lineRule="auto"/>
        <w:shd w:val="clear" w:color="auto" w:fill="ffffff"/>
        <w:widowControl/>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磋商小组汇总各评委评分后，按照得分从高到低的顺序推荐三名成交候选人，并编写评审报告。得分相同的，按响应报价由低到高顺序排列。得分且响应报价相同的</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由采购人在评审现场抽签确定</w:t>
      </w:r>
      <w:r>
        <w:rPr>
          <w:rFonts w:ascii="仿宋" w:hAnsi="仿宋" w:eastAsia="仿宋" w:cs="仿宋"/>
          <w:bCs/>
          <w:color w:val="auto"/>
          <w:sz w:val="24"/>
          <w:szCs w:val="24"/>
          <w:highlight w:val="none"/>
        </w:rPr>
        <w:t xml:space="preserve">。</w:t>
      </w:r>
      <w:r/>
    </w:p>
    <w:p>
      <w:pPr>
        <w:ind w:firstLine="480"/>
        <w:jc w:val="left"/>
        <w:spacing w:line="360" w:lineRule="auto"/>
        <w:shd w:val="clear" w:color="auto" w:fill="ffffff"/>
        <w:widowControl/>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采购人委托磋商小组直接确定排名第一的成交候选人为成交供应商。</w:t>
      </w:r>
      <w:r/>
    </w:p>
    <w:p>
      <w:pPr>
        <w:ind w:firstLine="480"/>
        <w:jc w:val="left"/>
        <w:spacing w:line="360" w:lineRule="auto"/>
        <w:shd w:val="clear" w:color="auto" w:fill="ffffff"/>
        <w:widowControl/>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九、</w:t>
      </w:r>
      <w:r>
        <w:rPr>
          <w:rFonts w:ascii="仿宋" w:hAnsi="仿宋" w:eastAsia="仿宋" w:cs="仿宋"/>
          <w:bCs/>
          <w:color w:val="auto"/>
          <w:sz w:val="24"/>
          <w:szCs w:val="24"/>
          <w:highlight w:val="none"/>
        </w:rPr>
        <w:t xml:space="preserve">采购人代表宣布评审结果。</w:t>
      </w:r>
      <w:r/>
    </w:p>
    <w:p>
      <w:pPr>
        <w:ind w:firstLine="480"/>
        <w:jc w:val="left"/>
        <w:spacing w:line="360" w:lineRule="auto"/>
        <w:shd w:val="clear" w:color="auto" w:fill="ffffff"/>
        <w:widowControl/>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十、</w:t>
      </w:r>
      <w:r>
        <w:rPr>
          <w:rFonts w:ascii="仿宋" w:hAnsi="仿宋" w:eastAsia="仿宋" w:cs="仿宋"/>
          <w:bCs/>
          <w:color w:val="auto"/>
          <w:sz w:val="24"/>
          <w:szCs w:val="24"/>
          <w:highlight w:val="none"/>
        </w:rPr>
        <w:t xml:space="preserve">公告成交结果</w:t>
      </w:r>
      <w:r/>
    </w:p>
    <w:p>
      <w:pPr>
        <w:ind w:firstLine="480"/>
        <w:jc w:val="left"/>
        <w:spacing w:line="360" w:lineRule="auto"/>
        <w:shd w:val="clear" w:color="auto" w:fill="ffffff"/>
        <w:widowControl/>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自确定成交供应商之日起2个工作日内，在</w:t>
      </w:r>
      <w:r>
        <w:rPr>
          <w:rFonts w:hint="eastAsia" w:ascii="仿宋" w:hAnsi="仿宋" w:eastAsia="仿宋" w:cs="仿宋"/>
          <w:bCs/>
          <w:color w:val="auto"/>
          <w:sz w:val="24"/>
          <w:szCs w:val="24"/>
          <w:highlight w:val="none"/>
        </w:rPr>
        <w:t xml:space="preserve">指定媒体上</w:t>
      </w:r>
      <w:r>
        <w:rPr>
          <w:rFonts w:ascii="仿宋" w:hAnsi="仿宋" w:eastAsia="仿宋" w:cs="仿宋"/>
          <w:bCs/>
          <w:color w:val="auto"/>
          <w:sz w:val="24"/>
          <w:szCs w:val="24"/>
          <w:highlight w:val="none"/>
        </w:rPr>
        <w:t xml:space="preserve">公告成交结果，公告期限为1个工作日。</w:t>
      </w:r>
      <w:r/>
    </w:p>
    <w:p>
      <w:pPr>
        <w:ind w:firstLine="480"/>
        <w:jc w:val="left"/>
        <w:spacing w:line="360" w:lineRule="auto"/>
        <w:shd w:val="clear" w:color="auto" w:fill="ffffff"/>
        <w:widowControl/>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十一、</w:t>
      </w:r>
      <w:r>
        <w:rPr>
          <w:rFonts w:ascii="仿宋" w:hAnsi="仿宋" w:eastAsia="仿宋" w:cs="仿宋"/>
          <w:bCs/>
          <w:color w:val="auto"/>
          <w:sz w:val="24"/>
          <w:szCs w:val="24"/>
          <w:highlight w:val="none"/>
        </w:rPr>
        <w:t xml:space="preserve">发放成交通知书</w:t>
      </w:r>
      <w:r/>
    </w:p>
    <w:p>
      <w:pPr>
        <w:ind w:firstLine="480"/>
        <w:jc w:val="left"/>
        <w:spacing w:line="360" w:lineRule="auto"/>
        <w:shd w:val="clear" w:color="auto" w:fill="ffffff"/>
        <w:widowControl/>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公告成交结果的同时，采购</w:t>
      </w:r>
      <w:r>
        <w:rPr>
          <w:rFonts w:hint="eastAsia" w:ascii="仿宋" w:hAnsi="仿宋" w:eastAsia="仿宋" w:cs="仿宋"/>
          <w:bCs/>
          <w:color w:val="auto"/>
          <w:sz w:val="24"/>
          <w:szCs w:val="24"/>
          <w:highlight w:val="none"/>
        </w:rPr>
        <w:t xml:space="preserve">代理机构</w:t>
      </w:r>
      <w:r>
        <w:rPr>
          <w:rFonts w:ascii="仿宋" w:hAnsi="仿宋" w:eastAsia="仿宋" w:cs="仿宋"/>
          <w:bCs/>
          <w:color w:val="auto"/>
          <w:sz w:val="24"/>
          <w:szCs w:val="24"/>
          <w:highlight w:val="none"/>
        </w:rPr>
        <w:t xml:space="preserve">向成交供应商发放成交通知书。</w:t>
      </w:r>
      <w:r/>
    </w:p>
    <w:p>
      <w:pPr>
        <w:ind w:firstLine="480"/>
        <w:jc w:val="left"/>
        <w:spacing w:line="360" w:lineRule="auto"/>
        <w:shd w:val="clear" w:color="auto" w:fill="ffffff"/>
        <w:widowControl/>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成交通知书发出后，采购人不得违法改变成交结果，成交供应商无正当理由不得放弃成交。</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特别说明：采用不见面远程方式开标的，成交供应商成交后在领取成交通知书前需提供</w:t>
      </w:r>
      <w:r>
        <w:rPr>
          <w:rFonts w:hint="eastAsia" w:ascii="仿宋" w:hAnsi="仿宋" w:eastAsia="仿宋" w:cs="仿宋"/>
          <w:b/>
          <w:color w:val="auto"/>
          <w:sz w:val="24"/>
          <w:szCs w:val="24"/>
          <w:highlight w:val="none"/>
          <w:u w:val="single"/>
        </w:rPr>
        <w:t xml:space="preserve"> 叁 </w:t>
      </w:r>
      <w:r>
        <w:rPr>
          <w:rFonts w:hint="eastAsia" w:ascii="仿宋" w:hAnsi="仿宋" w:eastAsia="仿宋" w:cs="仿宋"/>
          <w:b/>
          <w:color w:val="auto"/>
          <w:sz w:val="24"/>
          <w:szCs w:val="24"/>
          <w:highlight w:val="none"/>
        </w:rPr>
        <w:t xml:space="preserve">份加盖公章的系统内打印的纸质响应文件和</w:t>
      </w:r>
      <w:r>
        <w:rPr>
          <w:rFonts w:hint="eastAsia" w:ascii="仿宋" w:hAnsi="仿宋" w:eastAsia="仿宋" w:cs="仿宋"/>
          <w:b/>
          <w:color w:val="auto"/>
          <w:sz w:val="24"/>
          <w:szCs w:val="24"/>
          <w:highlight w:val="none"/>
          <w:u w:val="single"/>
        </w:rPr>
        <w:t xml:space="preserve"> 壹 </w:t>
      </w:r>
      <w:r>
        <w:rPr>
          <w:rFonts w:hint="eastAsia" w:ascii="仿宋" w:hAnsi="仿宋" w:eastAsia="仿宋" w:cs="仿宋"/>
          <w:b/>
          <w:color w:val="auto"/>
          <w:sz w:val="24"/>
          <w:szCs w:val="24"/>
          <w:highlight w:val="none"/>
        </w:rPr>
        <w:t xml:space="preserve">份电子档文件给采购代理机构。未提供纸质响应文件的不得领取成交通知书。</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jc w:val="left"/>
        <w:spacing w:line="360" w:lineRule="auto"/>
        <w:shd w:val="clear" w:color="auto" w:fill="ffffff"/>
        <w:widowControl/>
        <w:rPr>
          <w:rFonts w:hint="eastAsia" w:ascii="宋体" w:hAnsi="宋体" w:cs="仿宋"/>
          <w:b/>
          <w:bCs/>
          <w:color w:val="auto"/>
          <w:sz w:val="24"/>
          <w:szCs w:val="24"/>
          <w:highlight w:val="none"/>
        </w:rPr>
      </w:pPr>
      <w:r>
        <w:rPr>
          <w:rFonts w:hint="eastAsia" w:ascii="宋体" w:hAnsi="宋体" w:cs="仿宋"/>
          <w:b/>
          <w:bCs/>
          <w:color w:val="auto"/>
          <w:sz w:val="24"/>
          <w:szCs w:val="24"/>
          <w:highlight w:val="none"/>
        </w:rPr>
      </w:r>
      <w:r/>
    </w:p>
    <w:p>
      <w:pPr>
        <w:pStyle w:val="855"/>
        <w:rPr>
          <w:rFonts w:hint="eastAsia"/>
          <w:highlight w:val="none"/>
        </w:rPr>
      </w:pPr>
      <w:r>
        <w:rPr>
          <w:rFonts w:hint="eastAsia"/>
          <w:highlight w:val="none"/>
        </w:rPr>
      </w:r>
      <w:r/>
    </w:p>
    <w:p>
      <w:pPr>
        <w:ind w:firstLine="482"/>
        <w:jc w:val="center"/>
        <w:spacing w:line="360" w:lineRule="auto"/>
        <w:shd w:val="clear" w:color="auto" w:fill="ffffff"/>
        <w:widowControl/>
        <w:rPr>
          <w:rFonts w:hint="eastAsia" w:ascii="仿宋" w:hAnsi="仿宋" w:eastAsia="仿宋" w:cstheme="minorBidi"/>
          <w:b/>
          <w:bCs/>
          <w:color w:val="auto"/>
          <w:sz w:val="32"/>
          <w:szCs w:val="32"/>
          <w:highlight w:val="none"/>
        </w:rPr>
      </w:pPr>
      <w:r>
        <w:rPr>
          <w:rFonts w:hint="eastAsia" w:ascii="仿宋" w:hAnsi="仿宋" w:eastAsia="仿宋" w:cstheme="minorBidi"/>
          <w:b/>
          <w:bCs/>
          <w:color w:val="auto"/>
          <w:sz w:val="32"/>
          <w:szCs w:val="32"/>
          <w:highlight w:val="none"/>
        </w:rPr>
      </w:r>
      <w:r/>
    </w:p>
    <w:p>
      <w:pPr>
        <w:ind w:firstLine="482"/>
        <w:jc w:val="center"/>
        <w:spacing w:line="360" w:lineRule="auto"/>
        <w:shd w:val="clear" w:color="auto" w:fill="ffffff"/>
        <w:widowControl/>
        <w:rPr>
          <w:rFonts w:hint="eastAsia" w:ascii="仿宋" w:hAnsi="仿宋" w:eastAsia="仿宋" w:cstheme="minorBidi"/>
          <w:b/>
          <w:bCs/>
          <w:color w:val="auto"/>
          <w:sz w:val="32"/>
          <w:szCs w:val="32"/>
          <w:highlight w:val="none"/>
        </w:rPr>
      </w:pPr>
      <w:r>
        <w:rPr>
          <w:rFonts w:hint="eastAsia" w:ascii="仿宋" w:hAnsi="仿宋" w:eastAsia="仿宋" w:cstheme="minorBidi"/>
          <w:b/>
          <w:bCs/>
          <w:color w:val="auto"/>
          <w:sz w:val="32"/>
          <w:szCs w:val="32"/>
          <w:highlight w:val="none"/>
        </w:rPr>
      </w:r>
      <w:r/>
    </w:p>
    <w:p>
      <w:pPr>
        <w:ind w:firstLine="482"/>
        <w:jc w:val="center"/>
        <w:spacing w:line="360" w:lineRule="auto"/>
        <w:shd w:val="clear" w:color="auto" w:fill="ffffff"/>
        <w:widowControl/>
        <w:rPr>
          <w:rFonts w:hint="eastAsia" w:ascii="仿宋" w:hAnsi="仿宋" w:eastAsia="仿宋" w:cstheme="minorBidi"/>
          <w:b/>
          <w:bCs/>
          <w:color w:val="auto"/>
          <w:sz w:val="32"/>
          <w:szCs w:val="32"/>
          <w:highlight w:val="none"/>
        </w:rPr>
      </w:pPr>
      <w:r>
        <w:rPr>
          <w:rFonts w:hint="eastAsia" w:ascii="仿宋" w:hAnsi="仿宋" w:eastAsia="仿宋" w:cstheme="minorBidi"/>
          <w:b/>
          <w:bCs/>
          <w:color w:val="auto"/>
          <w:sz w:val="32"/>
          <w:szCs w:val="32"/>
          <w:highlight w:val="none"/>
        </w:rPr>
      </w:r>
      <w:r/>
    </w:p>
    <w:p>
      <w:pPr>
        <w:ind w:firstLine="482"/>
        <w:jc w:val="center"/>
        <w:spacing w:line="360" w:lineRule="auto"/>
        <w:shd w:val="clear" w:color="auto" w:fill="ffffff"/>
        <w:widowControl/>
        <w:rPr>
          <w:rFonts w:hint="eastAsia" w:ascii="仿宋" w:hAnsi="仿宋" w:eastAsia="仿宋" w:cstheme="minorBidi"/>
          <w:b/>
          <w:bCs/>
          <w:color w:val="auto"/>
          <w:sz w:val="32"/>
          <w:szCs w:val="32"/>
          <w:highlight w:val="none"/>
        </w:rPr>
      </w:pPr>
      <w:r>
        <w:rPr>
          <w:rFonts w:hint="eastAsia" w:ascii="仿宋" w:hAnsi="仿宋" w:eastAsia="仿宋" w:cstheme="minorBidi"/>
          <w:b/>
          <w:bCs/>
          <w:color w:val="auto"/>
          <w:sz w:val="32"/>
          <w:szCs w:val="32"/>
          <w:highlight w:val="none"/>
        </w:rPr>
      </w:r>
      <w:r/>
    </w:p>
    <w:p>
      <w:pPr>
        <w:ind w:firstLine="0"/>
        <w:jc w:val="both"/>
        <w:spacing w:line="240" w:lineRule="auto"/>
        <w:shd w:val="clear" w:color="auto"/>
        <w:widowControl w:val="off"/>
        <w:rPr>
          <w:rFonts w:hint="eastAsia" w:ascii="仿宋" w:hAnsi="仿宋" w:eastAsia="仿宋" w:cstheme="minorBidi"/>
          <w:b/>
          <w:bCs/>
          <w:color w:val="auto"/>
          <w:sz w:val="32"/>
          <w:szCs w:val="32"/>
          <w:highlight w:val="none"/>
        </w:rPr>
      </w:pPr>
      <w:r>
        <w:rPr>
          <w:rFonts w:hint="eastAsia" w:ascii="仿宋" w:hAnsi="仿宋" w:eastAsia="仿宋" w:cstheme="minorBidi"/>
          <w:b/>
          <w:bCs/>
          <w:color w:val="auto"/>
          <w:sz w:val="32"/>
          <w:szCs w:val="32"/>
          <w:highlight w:val="none"/>
        </w:rPr>
        <w:br w:type="page" w:clear="all"/>
      </w:r>
      <w:r/>
    </w:p>
    <w:p>
      <w:pPr>
        <w:ind w:firstLine="482"/>
        <w:jc w:val="center"/>
        <w:spacing w:line="360" w:lineRule="auto"/>
        <w:shd w:val="clear" w:color="auto" w:fill="ffffff"/>
        <w:widowControl/>
        <w:rPr>
          <w:rFonts w:hint="eastAsia" w:ascii="仿宋" w:hAnsi="仿宋" w:eastAsia="仿宋" w:cstheme="minorBidi"/>
          <w:b/>
          <w:bCs/>
          <w:color w:val="auto"/>
          <w:sz w:val="32"/>
          <w:szCs w:val="32"/>
          <w:highlight w:val="none"/>
        </w:rPr>
      </w:pPr>
      <w:r>
        <w:rPr>
          <w:rFonts w:hint="eastAsia" w:ascii="仿宋" w:hAnsi="仿宋" w:eastAsia="仿宋" w:cstheme="minorBidi"/>
          <w:b/>
          <w:bCs/>
          <w:color w:val="auto"/>
          <w:sz w:val="32"/>
          <w:szCs w:val="32"/>
          <w:highlight w:val="none"/>
        </w:rPr>
        <w:t xml:space="preserve">第五部分 合同条款及格式</w:t>
      </w:r>
      <w:r/>
    </w:p>
    <w:p>
      <w:pPr>
        <w:jc w:val="center"/>
        <w:spacing w:line="520" w:lineRule="exact"/>
        <w:rPr>
          <w:rFonts w:hint="eastAsia" w:ascii="宋体" w:hAnsi="宋体" w:cs="宋体" w:eastAsiaTheme="minorEastAsia"/>
          <w:b/>
          <w:color w:val="auto"/>
          <w:sz w:val="24"/>
          <w:szCs w:val="24"/>
          <w:highlight w:val="none"/>
          <w:lang w:eastAsia="zh-CN"/>
        </w:rPr>
      </w:pPr>
      <w:r>
        <w:rPr>
          <w:rFonts w:hint="eastAsia" w:ascii="宋体" w:hAnsi="宋体" w:cs="宋体"/>
          <w:b/>
          <w:color w:val="auto"/>
          <w:sz w:val="24"/>
          <w:szCs w:val="24"/>
          <w:highlight w:val="none"/>
          <w:lang w:eastAsia="zh-CN"/>
        </w:rPr>
        <w:t xml:space="preserve">南通创新区2026年度紫琅湖未来产业创新创业大赛活动组织采购项目</w:t>
      </w:r>
      <w:r/>
    </w:p>
    <w:p>
      <w:pPr>
        <w:ind w:left="440" w:right="220"/>
        <w:jc w:val="center"/>
        <w:spacing w:line="360" w:lineRule="auto"/>
        <w:rPr>
          <w:b/>
          <w:bCs/>
          <w:color w:val="000000" w:themeColor="text1"/>
          <w:sz w:val="32"/>
          <w:szCs w:val="32"/>
          <w:highlight w:val="none"/>
          <w:lang w:eastAsia="zh-CN"/>
          <w14:textFill>
            <w14:solidFill>
              <w14:schemeClr w14:val="tx1"/>
            </w14:solidFill>
          </w14:textFill>
        </w:rPr>
      </w:pPr>
      <w:r>
        <w:rPr>
          <w:rFonts w:hint="eastAsia"/>
          <w:b/>
          <w:bCs/>
          <w:color w:val="000000" w:themeColor="text1"/>
          <w:sz w:val="32"/>
          <w:szCs w:val="32"/>
          <w:highlight w:val="none"/>
          <w:lang w:eastAsia="zh-CN"/>
          <w14:textFill>
            <w14:solidFill>
              <w14:schemeClr w14:val="tx1"/>
            </w14:solidFill>
          </w14:textFill>
        </w:rPr>
        <w:t xml:space="preserve">采购合同（草案）</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订立合同甲方：</w:t>
      </w:r>
      <w:r>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 </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订立合同乙方：</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根据《中华人民共和国政府采购法》规定，</w:t>
      </w:r>
      <w:r>
        <w:rPr>
          <w:rFonts w:hint="eastAsia" w:cs="宋体" w:asciiTheme="minorEastAsia" w:hAnsiTheme="minorEastAsia"/>
          <w:color w:val="000000" w:themeColor="text1"/>
          <w:sz w:val="24"/>
          <w:szCs w:val="24"/>
          <w:highlight w:val="none"/>
          <w:u w:val="single"/>
          <w:lang w:eastAsia="zh-CN"/>
          <w14:textFill>
            <w14:solidFill>
              <w14:schemeClr w14:val="tx1"/>
            </w14:solidFill>
          </w14:textFill>
        </w:rPr>
        <w:t xml:space="preserve">南通创新区2026年度紫琅湖未来产业创新创业大赛活动组织采购项目</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实行竞争性磋商方式采购。本着公开、公平、公正和择优的原则，经专家评委严格评审并推荐、招标领导小组研究决定乙方为中标人。现签订正式合同，有关条款如下：</w:t>
      </w:r>
      <w:r/>
    </w:p>
    <w:p>
      <w:pPr>
        <w:ind w:left="440" w:right="220" w:firstLine="422"/>
        <w:spacing w:line="360" w:lineRule="auto"/>
        <w:rPr>
          <w:rFonts w:cs="宋体"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第一条</w:t>
      </w:r>
      <w:r>
        <w:rPr>
          <w:rFonts w:hint="eastAsia" w:cs="宋体"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 合同标的  </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乙方根据甲方需求提供下列服务：</w:t>
      </w:r>
      <w:r>
        <w:rPr>
          <w:rFonts w:hint="eastAsia" w:cs="宋体" w:asciiTheme="minorEastAsia" w:hAnsiTheme="minorEastAsia" w:eastAsiaTheme="minorEastAsia"/>
          <w:color w:val="000000" w:themeColor="text1"/>
          <w:sz w:val="24"/>
          <w:szCs w:val="24"/>
          <w:highlight w:val="none"/>
          <w:u w:val="single"/>
          <w:lang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，详见乙方响应文件。</w:t>
      </w:r>
      <w:r/>
    </w:p>
    <w:p>
      <w:pPr>
        <w:ind w:left="440" w:right="220" w:firstLine="487"/>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第二条 合同价款</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  </w:t>
      </w:r>
      <w:r/>
    </w:p>
    <w:p>
      <w:pPr>
        <w:ind w:left="440" w:right="220" w:firstLine="480"/>
        <w:jc w:val="both"/>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合同总价为人民币</w:t>
      </w:r>
      <w:r>
        <w:rPr>
          <w:rFonts w:cs="宋体" w:asciiTheme="minorEastAsia" w:hAnsiTheme="minorEastAsia" w:eastAsiaTheme="minorEastAsia"/>
          <w:color w:val="000000" w:themeColor="text1"/>
          <w:sz w:val="24"/>
          <w:szCs w:val="24"/>
          <w:highlight w:val="none"/>
          <w:u w:val="single"/>
          <w:lang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元；其中：</w:t>
      </w:r>
      <w:r/>
    </w:p>
    <w:p>
      <w:pPr>
        <w:ind w:left="440" w:right="220" w:firstLine="480"/>
        <w:jc w:val="both"/>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上海、深圳、成都</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分赛区第五届江海英才创新创业大赛创新区子项暨第四届紫琅湖未来产业创新创业大赛3场境内城市分站创业周活动服务费用为人民币</w:t>
      </w:r>
      <w:r>
        <w:rPr>
          <w:rFonts w:cs="宋体" w:asciiTheme="minorEastAsia" w:hAnsiTheme="minorEastAsia" w:eastAsiaTheme="minorEastAsia"/>
          <w:color w:val="000000" w:themeColor="text1"/>
          <w:sz w:val="24"/>
          <w:szCs w:val="24"/>
          <w:highlight w:val="none"/>
          <w:u w:val="single"/>
          <w:lang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元，</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香港（或其他境外城市）</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分赛区第五届江海英才创新创业大赛创新区子项暨第四届紫琅湖未来产业创新创业大赛1场境外城市分站活动服务费用为人民币</w:t>
      </w:r>
      <w:r>
        <w:rPr>
          <w:rFonts w:cs="宋体" w:asciiTheme="minorEastAsia" w:hAnsiTheme="minorEastAsia" w:eastAsiaTheme="minorEastAsia"/>
          <w:color w:val="000000" w:themeColor="text1"/>
          <w:sz w:val="24"/>
          <w:szCs w:val="24"/>
          <w:highlight w:val="none"/>
          <w:u w:val="single"/>
          <w:lang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元</w:t>
      </w:r>
      <w:r>
        <w:rPr>
          <w:rFonts w:hint="eastAsia" w:cs="宋体" w:asciiTheme="minorEastAsia" w:hAnsiTheme="minorEastAsia"/>
          <w:color w:val="000000" w:themeColor="text1"/>
          <w:sz w:val="24"/>
          <w:szCs w:val="24"/>
          <w:highlight w:val="none"/>
          <w:lang w:eastAsia="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共</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4</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场</w:t>
      </w:r>
      <w:r>
        <w:rPr>
          <w:rFonts w:hint="eastAsia" w:cs="宋体" w:asciiTheme="minorEastAsia" w:hAnsiTheme="minorEastAsia"/>
          <w:color w:val="000000" w:themeColor="text1"/>
          <w:sz w:val="24"/>
          <w:szCs w:val="24"/>
          <w:highlight w:val="none"/>
          <w:lang w:eastAsia="zh-CN"/>
          <w14:textFill>
            <w14:solidFill>
              <w14:schemeClr w14:val="tx1"/>
            </w14:solidFill>
          </w14:textFill>
        </w:rPr>
        <w:t xml:space="preserve">（</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具体根据招标结果约定每场活动报价</w:t>
      </w:r>
      <w:r>
        <w:rPr>
          <w:rFonts w:hint="eastAsia" w:cs="宋体" w:asciiTheme="minorEastAsia" w:hAnsiTheme="minorEastAsia"/>
          <w:color w:val="000000" w:themeColor="text1"/>
          <w:sz w:val="24"/>
          <w:szCs w:val="24"/>
          <w:highlight w:val="none"/>
          <w:lang w:eastAsia="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w:t>
      </w:r>
      <w:r/>
    </w:p>
    <w:p>
      <w:pPr>
        <w:ind w:left="440" w:right="220" w:firstLine="480"/>
        <w:jc w:val="both"/>
        <w:spacing w:line="360" w:lineRule="auto"/>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南通决赛活动组织服务费用为人民币</w:t>
      </w:r>
      <w:r>
        <w:rPr>
          <w:rFonts w:cs="宋体" w:asciiTheme="minorEastAsia" w:hAnsiTheme="minorEastAsia" w:eastAsiaTheme="minorEastAsia"/>
          <w:color w:val="000000" w:themeColor="text1"/>
          <w:sz w:val="24"/>
          <w:szCs w:val="24"/>
          <w:highlight w:val="none"/>
          <w:u w:val="single"/>
          <w:lang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元；</w:t>
      </w:r>
      <w:r/>
    </w:p>
    <w:p>
      <w:pPr>
        <w:numPr>
          <w:ilvl w:val="-1"/>
          <w:numId w:val="0"/>
        </w:numPr>
        <w:ind w:left="440" w:right="220" w:firstLine="480"/>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本合同价为完成本项目委托服务范围内全部服务内容所需费用，包括（但不限于）具体包含：</w:t>
      </w:r>
      <w:r>
        <w:rPr>
          <w:rFonts w:hint="eastAsia" w:cs="宋体" w:asciiTheme="minorEastAsia" w:hAnsiTheme="minorEastAsia"/>
          <w:color w:val="000000" w:themeColor="text1"/>
          <w:sz w:val="24"/>
          <w:szCs w:val="24"/>
          <w:highlight w:val="none"/>
          <w:lang w:eastAsia="zh-CN"/>
          <w14:textFill>
            <w14:solidFill>
              <w14:schemeClr w14:val="tx1"/>
            </w14:solidFill>
          </w14:textFill>
        </w:rPr>
        <w:t xml:space="preserve">（</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根据供应商中标方案约定具体指标进一步完善</w:t>
      </w:r>
      <w:r>
        <w:rPr>
          <w:rFonts w:hint="eastAsia" w:cs="宋体" w:asciiTheme="minorEastAsia" w:hAnsiTheme="minorEastAsia"/>
          <w:color w:val="000000" w:themeColor="text1"/>
          <w:sz w:val="24"/>
          <w:szCs w:val="24"/>
          <w:highlight w:val="none"/>
          <w:lang w:eastAsia="zh-CN"/>
          <w14:textFill>
            <w14:solidFill>
              <w14:schemeClr w14:val="tx1"/>
            </w14:solidFill>
          </w14:textFill>
        </w:rPr>
        <w:t xml:space="preserve">）</w:t>
      </w:r>
      <w:r/>
    </w:p>
    <w:p>
      <w:pPr>
        <w:numPr>
          <w:ilvl w:val="0"/>
          <w:numId w:val="0"/>
        </w:numPr>
        <w:ind w:left="0" w:right="220"/>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即合同总价已经包括供应商履行合同义务所应获得的全部对价，除此以外，采购人不再支付其他费用。</w:t>
      </w:r>
      <w:r/>
    </w:p>
    <w:p>
      <w:pPr>
        <w:ind w:left="440" w:right="220" w:firstLine="487"/>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第三条 组成本合同的有关文件</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  下列关于本项目招标文件、供应商响应文件，或与本次采购活动方式相适应的文件，以及有关附件是本合同不可分割的组成部分，与本合同具有同等法律效力，这些文件包括但不限于：</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（1）成交后双方签订的采购合同；（包括服务方案、项目验收标准和验收方法等）</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（2）买方针对本项目的磋商文件；</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（3）卖方提交的磋商响应文件及磋商过程中相关承诺；</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（4）成交通知书；</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（5）甲乙双方商定的其他文件等。</w:t>
      </w:r>
      <w:r/>
    </w:p>
    <w:p>
      <w:pPr>
        <w:ind w:left="440" w:right="220" w:firstLine="487"/>
        <w:spacing w:line="360" w:lineRule="auto"/>
        <w:rPr>
          <w:rFonts w:cs="宋体"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第四条 权利保证</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乙方应保证甲方在使用该服务或其任何一部分时不受第三方提出侵犯其专利权、版权、商标权或其他权利、权益的起诉、仲裁等索赔。如有，则由乙方承担全部责任。如甲方因此对外承担赔付等责任的，可向乙方追偿，包括但不限于赔款、应诉类及维权类产生的律师费调查费诉讼费等相关损失。</w:t>
      </w:r>
      <w:r/>
    </w:p>
    <w:p>
      <w:pPr>
        <w:ind w:left="440" w:right="220" w:firstLine="487"/>
        <w:spacing w:line="360" w:lineRule="auto"/>
        <w:rPr>
          <w:rFonts w:cs="宋体"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第五条 质量保证</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乙方所提供的服务应与采购文件规定的服务内容及要求；若技术要求无特殊说明，则按国家有关部门或行业最新颁布的标准及规范为准。</w:t>
      </w:r>
      <w:r/>
    </w:p>
    <w:p>
      <w:pPr>
        <w:ind w:left="440" w:right="220" w:firstLine="487"/>
        <w:spacing w:line="360" w:lineRule="auto"/>
        <w:rPr>
          <w:rFonts w:cs="宋体"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第六条 交付和验收</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1、服务期限：2026年3-12月（具体时间以采购人通知为准）。</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2、验收标准：按行业通行标准和乙方响应文件的承诺（详见合同附件载明的标准，并不低于国家相关标准）。甲方作出验收前，需要乙方修改、补充、完善的，乙方按时按要求完成，否则视为乙方逾期交付论处。</w:t>
      </w:r>
      <w:r/>
    </w:p>
    <w:p>
      <w:pPr>
        <w:ind w:left="440" w:right="220" w:firstLine="487"/>
        <w:spacing w:line="360" w:lineRule="auto"/>
        <w:rPr>
          <w:rFonts w:cs="宋体"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第七条 履约保证金</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不收取</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w:t>
      </w:r>
      <w:r/>
    </w:p>
    <w:p>
      <w:pPr>
        <w:ind w:left="440" w:right="220" w:firstLine="487"/>
        <w:spacing w:line="360" w:lineRule="auto"/>
        <w:rPr>
          <w:rFonts w:cs="宋体"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第八条 合同款支付</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1、本合同项下所有款项均以人民币支付。</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2、本合同项下的采购资金由甲方自行支付，乙方向甲方开具发票。</w:t>
      </w:r>
      <w:r/>
    </w:p>
    <w:p>
      <w:pPr>
        <w:ind w:left="440" w:right="220" w:firstLine="480"/>
        <w:jc w:val="both"/>
        <w:spacing w:line="360" w:lineRule="auto"/>
        <w:rPr>
          <w:rFonts w:hint="eastAsia" w:cs="Times New Roman" w:asciiTheme="minorEastAsia" w:hAnsiTheme="minorEastAsia"/>
          <w:bCs/>
          <w:color w:val="000000" w:themeColor="text1"/>
          <w:sz w:val="24"/>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3、付款条件</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及</w:t>
      </w:r>
      <w:r>
        <w:rPr>
          <w:rFonts w:cs="Times New Roman" w:asciiTheme="minorEastAsia" w:hAnsiTheme="minorEastAsia" w:eastAsiaTheme="minorEastAsia"/>
          <w:bCs/>
          <w:color w:val="000000" w:themeColor="text1"/>
          <w:sz w:val="24"/>
          <w:szCs w:val="24"/>
          <w:highlight w:val="none"/>
          <w:lang w:eastAsia="zh-CN"/>
          <w14:textFill>
            <w14:solidFill>
              <w14:schemeClr w14:val="tx1"/>
            </w14:solidFill>
          </w14:textFill>
        </w:rPr>
        <w:t xml:space="preserve">付款方式：</w:t>
      </w:r>
      <w:r>
        <w:rPr>
          <w:rFonts w:hint="eastAsia" w:cs="Times New Roman" w:asciiTheme="minorEastAsia" w:hAnsiTheme="minorEastAsia"/>
          <w:bCs/>
          <w:color w:val="000000" w:themeColor="text1"/>
          <w:sz w:val="24"/>
          <w:szCs w:val="24"/>
          <w:highlight w:val="none"/>
          <w:lang w:val="en-US" w:eastAsia="zh-CN"/>
          <w14:textFill>
            <w14:solidFill>
              <w14:schemeClr w14:val="tx1"/>
            </w14:solidFill>
          </w14:textFill>
        </w:rPr>
        <w:t xml:space="preserve">合同款分为预付费用（25%）、活动组织费用（60%）和项目落户费用（15%）三部分：</w:t>
      </w:r>
      <w:r/>
    </w:p>
    <w:p>
      <w:pPr>
        <w:ind w:left="440" w:right="220" w:firstLine="480"/>
        <w:jc w:val="both"/>
        <w:spacing w:line="360" w:lineRule="auto"/>
        <w:rPr>
          <w:rFonts w:hint="eastAsia" w:cs="Times New Roman" w:asciiTheme="minorEastAsia" w:hAnsiTheme="minorEastAsia"/>
          <w:bCs/>
          <w:color w:val="000000" w:themeColor="text1"/>
          <w:sz w:val="24"/>
          <w:szCs w:val="24"/>
          <w:highlight w:val="none"/>
          <w:lang w:val="en-US" w:eastAsia="zh-CN"/>
          <w14:textFill>
            <w14:solidFill>
              <w14:schemeClr w14:val="tx1"/>
            </w14:solidFill>
          </w14:textFill>
        </w:rPr>
      </w:pPr>
      <w:r>
        <w:rPr>
          <w:rFonts w:hint="eastAsia" w:cs="Times New Roman" w:asciiTheme="minorEastAsia" w:hAnsiTheme="minorEastAsia"/>
          <w:bCs/>
          <w:color w:val="000000" w:themeColor="text1"/>
          <w:sz w:val="24"/>
          <w:szCs w:val="24"/>
          <w:highlight w:val="none"/>
          <w:lang w:val="en-US" w:eastAsia="zh-CN"/>
          <w14:textFill>
            <w14:solidFill>
              <w14:schemeClr w14:val="tx1"/>
            </w14:solidFill>
          </w14:textFill>
        </w:rPr>
        <w:t xml:space="preserve">（1）预付费用</w:t>
      </w:r>
      <w:r/>
    </w:p>
    <w:p>
      <w:pPr>
        <w:ind w:left="440" w:right="220" w:firstLine="480"/>
        <w:jc w:val="both"/>
        <w:spacing w:line="360" w:lineRule="auto"/>
        <w:rPr>
          <w:rFonts w:hint="eastAsia" w:cs="Times New Roman" w:asciiTheme="minorEastAsia" w:hAnsiTheme="minorEastAsia"/>
          <w:bCs/>
          <w:color w:val="000000" w:themeColor="text1"/>
          <w:sz w:val="24"/>
          <w:szCs w:val="24"/>
          <w:highlight w:val="none"/>
          <w:lang w:val="en-US" w:eastAsia="zh-CN"/>
          <w14:textFill>
            <w14:solidFill>
              <w14:schemeClr w14:val="tx1"/>
            </w14:solidFill>
          </w14:textFill>
        </w:rPr>
      </w:pPr>
      <w:r>
        <w:rPr>
          <w:rFonts w:hint="eastAsia" w:cs="Times New Roman" w:asciiTheme="minorEastAsia" w:hAnsiTheme="minorEastAsia"/>
          <w:bCs/>
          <w:color w:val="000000" w:themeColor="text1"/>
          <w:sz w:val="24"/>
          <w:szCs w:val="24"/>
          <w:highlight w:val="none"/>
          <w:lang w:val="en-US" w:eastAsia="zh-CN"/>
          <w14:textFill>
            <w14:solidFill>
              <w14:schemeClr w14:val="tx1"/>
            </w14:solidFill>
          </w14:textFill>
        </w:rPr>
        <w:t xml:space="preserve">合同签订后，乙方在每场活动举办前提供该场活动方案、预算和每场活动25%价款的银行预付款保函，经甲方确认后支付该笔预付款；</w:t>
      </w:r>
      <w:r/>
    </w:p>
    <w:p>
      <w:pPr>
        <w:ind w:left="440" w:right="220" w:firstLine="480"/>
        <w:jc w:val="both"/>
        <w:spacing w:line="360" w:lineRule="auto"/>
        <w:rPr>
          <w:rFonts w:hint="eastAsia" w:cs="Times New Roman" w:asciiTheme="minorEastAsia" w:hAnsiTheme="minorEastAsia"/>
          <w:bCs/>
          <w:color w:val="000000" w:themeColor="text1"/>
          <w:sz w:val="24"/>
          <w:szCs w:val="24"/>
          <w:highlight w:val="none"/>
          <w:lang w:val="en-US" w:eastAsia="zh-CN"/>
          <w14:textFill>
            <w14:solidFill>
              <w14:schemeClr w14:val="tx1"/>
            </w14:solidFill>
          </w14:textFill>
        </w:rPr>
      </w:pPr>
      <w:r>
        <w:rPr>
          <w:rFonts w:hint="eastAsia" w:cs="Times New Roman" w:asciiTheme="minorEastAsia" w:hAnsiTheme="minorEastAsia"/>
          <w:bCs/>
          <w:color w:val="000000" w:themeColor="text1"/>
          <w:sz w:val="24"/>
          <w:szCs w:val="24"/>
          <w:highlight w:val="none"/>
          <w:lang w:val="en-US" w:eastAsia="zh-CN"/>
          <w14:textFill>
            <w14:solidFill>
              <w14:schemeClr w14:val="tx1"/>
            </w14:solidFill>
          </w14:textFill>
        </w:rPr>
        <w:t xml:space="preserve">（2）活动组织费用</w:t>
      </w:r>
      <w:r/>
    </w:p>
    <w:p>
      <w:pPr>
        <w:ind w:left="440" w:right="220" w:firstLine="480"/>
        <w:jc w:val="both"/>
        <w:spacing w:line="360" w:lineRule="auto"/>
        <w:rPr>
          <w:rFonts w:hint="eastAsia" w:cs="Times New Roman" w:asciiTheme="minorEastAsia" w:hAnsiTheme="minorEastAsia"/>
          <w:bCs/>
          <w:color w:val="000000" w:themeColor="text1"/>
          <w:sz w:val="24"/>
          <w:szCs w:val="24"/>
          <w:highlight w:val="none"/>
          <w:lang w:val="en-US" w:eastAsia="zh-CN"/>
          <w14:textFill>
            <w14:solidFill>
              <w14:schemeClr w14:val="tx1"/>
            </w14:solidFill>
          </w14:textFill>
        </w:rPr>
      </w:pPr>
      <w:r>
        <w:rPr>
          <w:rFonts w:hint="eastAsia" w:cs="Times New Roman" w:asciiTheme="minorEastAsia" w:hAnsiTheme="minorEastAsia"/>
          <w:bCs/>
          <w:color w:val="000000" w:themeColor="text1"/>
          <w:sz w:val="24"/>
          <w:szCs w:val="24"/>
          <w:highlight w:val="none"/>
          <w:lang w:val="en-US" w:eastAsia="zh-CN"/>
          <w14:textFill>
            <w14:solidFill>
              <w14:schemeClr w14:val="tx1"/>
            </w14:solidFill>
          </w14:textFill>
        </w:rPr>
        <w:t xml:space="preserve">单场活动开展后，经甲方确认后支付单场活动费用的50%，如有未完成的合同约定内容，按实际情况扣减一定比例的活动经费，总决赛结束后甲方按活动实际举办场次进行结算并确认，支付每场剩余10%费用。</w:t>
      </w:r>
      <w:r/>
    </w:p>
    <w:p>
      <w:pPr>
        <w:ind w:left="440" w:right="220" w:firstLine="480"/>
        <w:jc w:val="both"/>
        <w:spacing w:line="360" w:lineRule="auto"/>
        <w:rPr>
          <w:rFonts w:hint="eastAsia" w:cs="Times New Roman" w:asciiTheme="minorEastAsia" w:hAnsiTheme="minorEastAsia"/>
          <w:bCs/>
          <w:color w:val="000000" w:themeColor="text1"/>
          <w:sz w:val="24"/>
          <w:szCs w:val="24"/>
          <w:highlight w:val="none"/>
          <w:lang w:val="en-US" w:eastAsia="zh-CN"/>
          <w14:textFill>
            <w14:solidFill>
              <w14:schemeClr w14:val="tx1"/>
            </w14:solidFill>
          </w14:textFill>
        </w:rPr>
      </w:pPr>
      <w:r>
        <w:rPr>
          <w:rFonts w:hint="eastAsia" w:cs="Times New Roman" w:asciiTheme="minorEastAsia" w:hAnsiTheme="minorEastAsia"/>
          <w:bCs/>
          <w:color w:val="000000" w:themeColor="text1"/>
          <w:sz w:val="24"/>
          <w:szCs w:val="24"/>
          <w:highlight w:val="none"/>
          <w:lang w:val="en-US" w:eastAsia="zh-CN"/>
          <w14:textFill>
            <w14:solidFill>
              <w14:schemeClr w14:val="tx1"/>
            </w14:solidFill>
          </w14:textFill>
        </w:rPr>
        <w:t xml:space="preserve">（3）项目落户费用</w:t>
      </w:r>
      <w:r/>
    </w:p>
    <w:p>
      <w:pPr>
        <w:ind w:left="440" w:right="220" w:firstLine="480"/>
        <w:jc w:val="both"/>
        <w:spacing w:line="360" w:lineRule="auto"/>
        <w:rPr>
          <w:rFonts w:hint="eastAsia" w:cs="Times New Roman" w:asciiTheme="minorEastAsia" w:hAnsiTheme="minorEastAsia"/>
          <w:bCs/>
          <w:color w:val="000000" w:themeColor="text1"/>
          <w:sz w:val="24"/>
          <w:szCs w:val="24"/>
          <w:highlight w:val="none"/>
          <w:lang w:val="en-US" w:eastAsia="zh-CN"/>
          <w14:textFill>
            <w14:solidFill>
              <w14:schemeClr w14:val="tx1"/>
            </w14:solidFill>
          </w14:textFill>
        </w:rPr>
      </w:pPr>
      <w:r>
        <w:rPr>
          <w:rFonts w:hint="eastAsia" w:cs="Times New Roman" w:asciiTheme="minorEastAsia" w:hAnsiTheme="minorEastAsia"/>
          <w:bCs/>
          <w:color w:val="000000" w:themeColor="text1"/>
          <w:sz w:val="24"/>
          <w:szCs w:val="24"/>
          <w:highlight w:val="none"/>
          <w:lang w:val="en-US" w:eastAsia="zh-CN"/>
          <w14:textFill>
            <w14:solidFill>
              <w14:schemeClr w14:val="tx1"/>
            </w14:solidFill>
          </w14:textFill>
        </w:rPr>
        <w:t xml:space="preserve">根据项目实际落地数量按比例支付总合同15%费用，其中达成意向签约按比例支付8%，项目在创新区完成注册支付剩余7%（其中落户项目数小于6个，不予兑付；项目数在6（含）-10个之间，兑付50%；项目数在10个及以上，全额兑付），若落户项目达成市级高成长科创项目认定，可折合1.5个项目数量计，重大项目落户可一事一议。</w:t>
      </w:r>
      <w:r/>
    </w:p>
    <w:p>
      <w:pPr>
        <w:numPr>
          <w:ilvl w:val="-1"/>
          <w:numId w:val="0"/>
        </w:numPr>
        <w:ind w:left="0" w:right="220" w:firstLine="960"/>
        <w:jc w:val="both"/>
        <w:spacing w:line="360" w:lineRule="auto"/>
        <w:rPr>
          <w:rFonts w:hint="default" w:cs="Times New Roman" w:asciiTheme="minorEastAsia" w:hAnsiTheme="minorEastAsia" w:eastAsiaTheme="minorEastAsia"/>
          <w:bCs/>
          <w:color w:val="ff0000"/>
          <w:sz w:val="24"/>
          <w:szCs w:val="24"/>
          <w:highlight w:val="none"/>
          <w:lang w:val="en-US" w:eastAsia="zh-CN"/>
        </w:rPr>
      </w:pPr>
      <w:r>
        <w:rPr>
          <w:rFonts w:hint="eastAsia" w:cs="Times New Roman" w:asciiTheme="minorEastAsia" w:hAnsiTheme="minorEastAsia"/>
          <w:bCs/>
          <w:color w:val="000000" w:themeColor="text1"/>
          <w:sz w:val="24"/>
          <w:szCs w:val="24"/>
          <w:highlight w:val="none"/>
          <w:lang w:val="en-US" w:eastAsia="zh-CN"/>
          <w14:textFill>
            <w14:solidFill>
              <w14:schemeClr w14:val="tx1"/>
            </w14:solidFill>
          </w14:textFill>
        </w:rPr>
        <w:t xml:space="preserve">每次支付前，乙方须提供符合甲方要求的赛前服务、组织服务及赛后服务落实情况佐证，并开具相应金额发票。   </w:t>
      </w:r>
      <w:r/>
    </w:p>
    <w:p>
      <w:pPr>
        <w:ind w:left="440" w:right="220" w:firstLine="487"/>
        <w:spacing w:line="360" w:lineRule="auto"/>
        <w:rPr>
          <w:rFonts w:cs="宋体"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第九条、不可抗力</w:t>
      </w:r>
      <w:r>
        <w:rPr>
          <w:rFonts w:hint="eastAsia" w:cs="宋体" w:asciiTheme="minorEastAsia" w:hAnsiTheme="minorEastAsia"/>
          <w:b/>
          <w:bCs/>
          <w:color w:val="000000" w:themeColor="text1"/>
          <w:sz w:val="24"/>
          <w:szCs w:val="24"/>
          <w:highlight w:val="none"/>
          <w:lang w:val="en-US" w:eastAsia="zh-CN"/>
          <w14:textFill>
            <w14:solidFill>
              <w14:schemeClr w14:val="tx1"/>
            </w14:solidFill>
          </w14:textFill>
        </w:rPr>
        <w:t xml:space="preserve">及相关</w:t>
      </w:r>
      <w:r>
        <w:rPr>
          <w:rFonts w:hint="eastAsia" w:cs="宋体"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事件处理</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1、在合同有效期内，任何一方因不可抗力事件</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或甲方工作原因</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导致不能</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如期</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履行合同，则</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双方可通过协商</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延长合同履行期。</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2、事件发生后，应立即通知对方，并寄送</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相关</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证明。</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3、事件延续120天以上，双方应通过友好协商，确定是否继续履行合同。</w:t>
      </w:r>
      <w:r/>
    </w:p>
    <w:p>
      <w:pPr>
        <w:ind w:left="440" w:right="220" w:firstLine="487"/>
        <w:spacing w:line="360" w:lineRule="auto"/>
        <w:rPr>
          <w:rFonts w:cs="宋体"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第十条 违约责任</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1、如乙方不能交付服务的，乙方应向甲方支付</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对应场次活动的费用的2</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0%的违约金。</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2、乙方逾期交付的，每逾期1天，乙方向甲方偿付合同总额的5‰的滞纳金。如乙方逾期交付达10天或以上的，视作乙方不能交付服务论处，同时，甲方有权解除合同，解除合同的通知自到达乙方时生效。</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3、乙方所交付的服务不符合合同规定的，甲方有权拒收。甲方拒收的，乙方应向甲方支付</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对应场次活动费用的2</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0%的违约金。甲方未拒收的，除另有约定外，采购代理发现后将向有关部门反映，并责成乙方按照采购结果提供服务。</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4、乙方未按本合同的规定和招标文件中项目需求提供服务的，应按合同总价款的30%向甲方支付违约金。</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5、乙方在承担上述2-4款一项或多项违约责任后，仍应继续履行合同规定的义务（甲方解除合同的除外）。甲方未能及时追究乙方的任何一项违约责任并不表明甲方放弃追究乙方该项或其他违约责任。</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6、乙方响应属虚假承诺，或经甲方或甲方所在地市场监督机关委托的有资质第三方判定提供的服务不能满足招标文件要求，或是由于乙方的过错造成合同无法继续履行的，应向甲方支付不少于</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对应场次活动费用的2</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0%赔偿金。</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7、乙方投标或履行本合同中发生侵犯第三方知识产权或其他权益的，应向第三方承担民事责任，同时，按</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对应场次活动费用的2</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0%向甲方支付违约金。</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8.上述违约金，包括因维权而产生的律师费等相关损失，可在合同价款中直接予以扣除。</w:t>
      </w:r>
      <w:r/>
    </w:p>
    <w:p>
      <w:pPr>
        <w:ind w:left="440" w:right="220" w:firstLine="487"/>
        <w:spacing w:line="360" w:lineRule="auto"/>
        <w:rPr>
          <w:rFonts w:cs="宋体"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第十一条 合同的变更和终止</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1</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、除《政府采购法》第50条第二款规定的情形外，本合同一经签订，甲乙双方不得擅自变更、中止或终止合同。</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、除发生法律规定的不能预见、不能避免并不能克服的客观情况外，甲乙双方不得放弃或拒绝履行合同。乙方放弃或拒绝履行合同，应向甲方支付不少于合同总价30%</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的赔偿</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金。</w:t>
      </w:r>
      <w:r/>
    </w:p>
    <w:p>
      <w:pPr>
        <w:ind w:left="440" w:right="220" w:firstLine="487"/>
        <w:spacing w:line="360" w:lineRule="auto"/>
        <w:rPr>
          <w:rFonts w:cs="宋体"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第十二条 合同的转让</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乙方不得擅自部分或全部转让其应履行的合同义务。</w:t>
      </w:r>
      <w:r/>
    </w:p>
    <w:p>
      <w:pPr>
        <w:ind w:left="440" w:right="220" w:firstLine="487"/>
        <w:spacing w:line="360" w:lineRule="auto"/>
        <w:rPr>
          <w:rFonts w:cs="宋体"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第十三条 争议的解决</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因履行本合同引起的或与本合同有关的争议，甲、乙双方应首先通过友好协商解决，如果协商不能解决争议，则采取以下第（1 ）种方式解决争议：</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（1）向</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甲乙双方各自</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所在地有管辖权的人民法院提起诉讼；</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（2）向</w:t>
      </w:r>
      <w:r>
        <w:rPr>
          <w:rFonts w:hint="eastAsia" w:cs="宋体" w:asciiTheme="minorEastAsia" w:hAnsiTheme="minorEastAsia" w:eastAsiaTheme="minorEastAsia"/>
          <w:color w:val="000000" w:themeColor="text1"/>
          <w:sz w:val="24"/>
          <w:szCs w:val="24"/>
          <w:highlight w:val="none"/>
          <w:u w:val="single"/>
          <w:lang w:eastAsia="zh-CN"/>
          <w14:textFill>
            <w14:solidFill>
              <w14:schemeClr w14:val="tx1"/>
            </w14:solidFill>
          </w14:textFill>
        </w:rPr>
        <w:t xml:space="preserve">  甲乙双方各自所在地 </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 仲裁委员会按其仲裁规则申请仲裁。</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如没有约定，默认采取第2种方式解决争议。</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3、在仲裁或诉讼期间，本合同应继续履行。</w:t>
      </w:r>
      <w:r/>
    </w:p>
    <w:p>
      <w:pPr>
        <w:ind w:left="440" w:right="220" w:firstLine="487"/>
        <w:spacing w:line="360" w:lineRule="auto"/>
        <w:rPr>
          <w:rFonts w:cs="宋体"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第十四条 诚实信用 </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乙方应诚实信用，严格按照招标文件要求和响应承诺履行合同，不向甲方进行商业贿赂或者提供不正当利益。</w:t>
      </w:r>
      <w:r/>
    </w:p>
    <w:p>
      <w:pPr>
        <w:ind w:left="440" w:right="220" w:firstLine="487"/>
        <w:spacing w:line="360" w:lineRule="auto"/>
        <w:rPr>
          <w:rFonts w:cs="宋体"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第十五条 合同生效及其他</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1、本合同自签订之日起生效。</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2、本合同一式四份，甲乙双方各执二份。</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3、本合同应按照中华人民共和国的现行法律进行解释。</w:t>
      </w:r>
      <w:r/>
    </w:p>
    <w:p>
      <w:pPr>
        <w:ind w:firstLine="484"/>
        <w:spacing w:line="520" w:lineRule="exact"/>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甲方（采购人）：（盖章）</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ab/>
      </w:r>
      <w:r>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乙方（供应商）：（盖章）</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代表人：</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ab/>
      </w:r>
      <w:r>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代表人：</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电    话：</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ab/>
      </w:r>
      <w:r>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电    话：</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开户银行：</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ab/>
      </w:r>
      <w:r>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开户银行：</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帐    号：</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ab/>
      </w:r>
      <w:r>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帐    号：</w:t>
      </w:r>
      <w:r/>
    </w:p>
    <w:p>
      <w:pPr>
        <w:ind w:left="440" w:right="220" w:firstLine="484"/>
        <w:spacing w:line="360" w:lineRule="auto"/>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日      期：     年    月    日</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ab/>
      </w:r>
      <w:r/>
    </w:p>
    <w:p>
      <w:pPr>
        <w:rPr>
          <w:highlight w:val="none"/>
        </w:rPr>
      </w:pPr>
      <w:r>
        <w:rPr>
          <w:highlight w:val="none"/>
        </w:rPr>
      </w:r>
      <w:r/>
    </w:p>
    <w:p>
      <w:pPr>
        <w:ind w:firstLine="0"/>
        <w:jc w:val="left"/>
        <w:spacing w:line="240" w:lineRule="auto"/>
        <w:shd w:val="clear" w:color="auto" w:fill="auto"/>
        <w:widowControl/>
        <w:rPr>
          <w:rFonts w:ascii="仿宋" w:hAnsi="仿宋" w:eastAsia="仿宋"/>
          <w:b/>
          <w:bCs/>
          <w:color w:val="auto"/>
          <w:sz w:val="44"/>
          <w:szCs w:val="44"/>
          <w:highlight w:val="none"/>
        </w:rPr>
      </w:pPr>
      <w:r>
        <w:rPr>
          <w:rFonts w:ascii="仿宋" w:hAnsi="仿宋" w:eastAsia="仿宋"/>
          <w:b/>
          <w:bCs/>
          <w:color w:val="auto"/>
          <w:sz w:val="44"/>
          <w:szCs w:val="44"/>
          <w:highlight w:val="none"/>
        </w:rPr>
        <w:br w:type="page" w:clear="all"/>
      </w:r>
      <w:r/>
    </w:p>
    <w:p>
      <w:pPr>
        <w:pStyle w:val="843"/>
        <w:jc w:val="center"/>
        <w:spacing w:before="638" w:after="319"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第</w:t>
      </w:r>
      <w:r>
        <w:rPr>
          <w:rFonts w:hint="eastAsia" w:ascii="仿宋" w:hAnsi="仿宋" w:eastAsia="仿宋"/>
          <w:color w:val="auto"/>
          <w:sz w:val="32"/>
          <w:szCs w:val="32"/>
          <w:highlight w:val="none"/>
          <w:lang w:val="en-US" w:eastAsia="zh-CN"/>
        </w:rPr>
        <w:t xml:space="preserve">六</w:t>
      </w:r>
      <w:r>
        <w:rPr>
          <w:rFonts w:hint="eastAsia" w:ascii="仿宋" w:hAnsi="仿宋" w:eastAsia="仿宋"/>
          <w:color w:val="auto"/>
          <w:sz w:val="32"/>
          <w:szCs w:val="32"/>
          <w:highlight w:val="none"/>
        </w:rPr>
        <w:t xml:space="preserve">部分 响应文件组成</w:t>
      </w:r>
      <w:r/>
    </w:p>
    <w:p>
      <w:pPr>
        <w:ind w:firstLine="482"/>
        <w:jc w:val="left"/>
        <w:spacing w:line="360" w:lineRule="auto"/>
        <w:shd w:val="clear" w:color="auto" w:fill="ffffff"/>
        <w:widowControl/>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响应文件由资格审查证明材料、价格文件、商务技术文件三部分组成。</w:t>
      </w:r>
      <w:r/>
    </w:p>
    <w:p>
      <w:pPr>
        <w:jc w:val="left"/>
        <w:spacing w:line="360" w:lineRule="auto"/>
        <w:shd w:val="clear" w:color="auto" w:fill="ffffff"/>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一、资格审查证明材料</w:t>
      </w:r>
      <w:r/>
    </w:p>
    <w:p>
      <w:pPr>
        <w:ind w:firstLine="480"/>
        <w:jc w:val="left"/>
        <w:spacing w:line="360" w:lineRule="auto"/>
        <w:shd w:val="clear" w:color="auto" w:fill="ffffff"/>
        <w:widowControl/>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关于资格文件的声明函</w:t>
      </w:r>
      <w:r>
        <w:rPr>
          <w:rFonts w:ascii="仿宋" w:hAnsi="仿宋" w:eastAsia="仿宋" w:cs="仿宋"/>
          <w:bCs/>
          <w:color w:val="auto"/>
          <w:sz w:val="24"/>
          <w:szCs w:val="24"/>
          <w:highlight w:val="none"/>
        </w:rPr>
        <w:t xml:space="preserve">；（格式见附件）</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2、法定代表人身份证明书（提供原件并加盖公章）；法定代表人签名或盖章的授权委托书（如有，提供原件并加盖公章）；</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3、磋商供应商有效的企业营业执照（副本，原件备查）；</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4、具有良好的商业信誉和健全的财务会计制度（提供上一年度的财务状况报告，成立不满一年不需提供）；</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5、具有履行合同所必需的设备和专业技术能力（提供承诺函，按后附格式）；</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6、有依法缴纳税收和社会保障资金的良好记录（提供最近的依法缴纳税收和社会保障资金的相关材料）</w:t>
      </w:r>
      <w:r>
        <w:rPr>
          <w:rFonts w:hint="eastAsia" w:ascii="仿宋" w:hAnsi="仿宋" w:eastAsia="仿宋" w:cs="仿宋"/>
          <w:bCs/>
          <w:color w:val="auto"/>
          <w:sz w:val="24"/>
          <w:szCs w:val="24"/>
          <w:highlight w:val="none"/>
          <w:lang w:eastAsia="zh-CN"/>
        </w:rPr>
        <w:t xml:space="preserve">；</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7、提供参加本项目政府采购活动前3年内在经营活动中没有重大违法记录的书面声明（按后附格式）；</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响应供应商未列入失信被执行人或重大税收违法案件当事人名单或政府采购严重失信行为记录名单的证明材料：投标供应商需提供企业信用查询结果（企业信用可以从“国家企业信用信息公示系统http://www.gsxt.gov.cn/index.html”或“信用中国（https://www.creditchina.gov.cn/”进入查询自行打印)，查询结果有效期须在自本项目公告发布之日起至本项目投标截止日内有效。提供以上网页的</w:t>
      </w:r>
      <w:r>
        <w:rPr>
          <w:rFonts w:hint="eastAsia" w:ascii="仿宋" w:hAnsi="仿宋" w:eastAsia="仿宋" w:cs="仿宋"/>
          <w:bCs/>
          <w:color w:val="auto"/>
          <w:sz w:val="24"/>
          <w:szCs w:val="24"/>
          <w:highlight w:val="none"/>
          <w:lang w:val="en-US" w:eastAsia="zh-CN"/>
        </w:rPr>
        <w:t xml:space="preserve">磋商</w:t>
      </w:r>
      <w:r>
        <w:rPr>
          <w:rFonts w:hint="eastAsia" w:ascii="仿宋" w:hAnsi="仿宋" w:eastAsia="仿宋" w:cs="仿宋"/>
          <w:bCs/>
          <w:color w:val="auto"/>
          <w:sz w:val="24"/>
          <w:szCs w:val="24"/>
          <w:highlight w:val="none"/>
        </w:rPr>
        <w:t xml:space="preserve">供应商单位企业信用的截图，未提供截图或失信的供应商资格审查均不予通过；</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远程参与开标会议诚信承诺书（按后附格式）；</w:t>
      </w:r>
      <w:r/>
    </w:p>
    <w:p>
      <w:pPr>
        <w:ind w:firstLine="480"/>
        <w:jc w:val="left"/>
        <w:spacing w:line="360" w:lineRule="auto"/>
        <w:shd w:val="clear" w:color="auto" w:fill="ffffff"/>
        <w:widowControl/>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z w:val="24"/>
          <w:szCs w:val="24"/>
          <w:highlight w:val="none"/>
        </w:rPr>
        <w:t xml:space="preserve">、磋商供应商认为其他必要的材料。</w:t>
      </w:r>
      <w:r/>
    </w:p>
    <w:p>
      <w:pPr>
        <w:ind w:firstLine="482"/>
        <w:spacing w:line="360" w:lineRule="auto"/>
        <w:rPr>
          <w:highlight w:val="none"/>
        </w:rPr>
      </w:pPr>
      <w:r>
        <w:rPr>
          <w:rFonts w:hint="eastAsia"/>
          <w:b/>
          <w:sz w:val="24"/>
          <w:szCs w:val="24"/>
          <w:highlight w:val="none"/>
          <w:lang w:val="zh-CN"/>
        </w:rPr>
        <w:t xml:space="preserve">（</w:t>
      </w:r>
      <w:r>
        <w:rPr>
          <w:rFonts w:hint="eastAsia"/>
          <w:b/>
          <w:sz w:val="24"/>
          <w:szCs w:val="24"/>
          <w:highlight w:val="none"/>
        </w:rPr>
        <w:t xml:space="preserve">如采购</w:t>
      </w:r>
      <w:r>
        <w:rPr>
          <w:rFonts w:hint="eastAsia"/>
          <w:b/>
          <w:sz w:val="24"/>
          <w:szCs w:val="24"/>
          <w:highlight w:val="none"/>
          <w:lang w:val="zh-CN"/>
        </w:rPr>
        <w:t xml:space="preserve">文件要求提供的资格审查证明材料中没有对应的接口上传的资料，可以在本部分的其他材料的接口中上传）</w:t>
      </w:r>
      <w:r/>
    </w:p>
    <w:p>
      <w:pPr>
        <w:jc w:val="left"/>
        <w:spacing w:line="360" w:lineRule="auto"/>
        <w:shd w:val="clear" w:color="auto" w:fill="ffffff"/>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二、商务技术文件</w:t>
      </w:r>
      <w:r/>
    </w:p>
    <w:p>
      <w:pPr>
        <w:ind w:firstLine="480"/>
        <w:jc w:val="left"/>
        <w:spacing w:line="360" w:lineRule="auto"/>
        <w:shd w:val="clear" w:color="auto" w:fill="ffffff"/>
        <w:widowControl/>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w:t>
      </w:r>
      <w:r>
        <w:rPr>
          <w:rFonts w:ascii="仿宋" w:hAnsi="仿宋" w:eastAsia="仿宋" w:cs="仿宋"/>
          <w:bCs/>
          <w:color w:val="auto"/>
          <w:sz w:val="24"/>
          <w:szCs w:val="24"/>
          <w:highlight w:val="none"/>
        </w:rPr>
        <w:t xml:space="preserve">供应商情况一览表；（格式见附件）</w:t>
      </w:r>
      <w:r/>
    </w:p>
    <w:p>
      <w:pPr>
        <w:ind w:firstLine="480"/>
        <w:jc w:val="left"/>
        <w:spacing w:line="360" w:lineRule="auto"/>
        <w:shd w:val="clear" w:color="auto" w:fill="ffffff"/>
        <w:widowControl/>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eastAsia="zh-CN"/>
        </w:rPr>
        <w:t xml:space="preserve">、</w:t>
      </w:r>
      <w:r>
        <w:rPr>
          <w:rFonts w:ascii="仿宋" w:hAnsi="仿宋" w:eastAsia="仿宋" w:cs="仿宋"/>
          <w:bCs/>
          <w:color w:val="auto"/>
          <w:sz w:val="24"/>
          <w:szCs w:val="24"/>
          <w:highlight w:val="none"/>
        </w:rPr>
        <w:t xml:space="preserve">商务部分正负偏离表；（格式见附件）</w:t>
      </w:r>
      <w:r/>
    </w:p>
    <w:p>
      <w:pPr>
        <w:ind w:firstLine="480"/>
        <w:jc w:val="left"/>
        <w:spacing w:line="360" w:lineRule="auto"/>
        <w:shd w:val="clear" w:color="auto" w:fill="ffffff"/>
        <w:widowControl/>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eastAsia="zh-CN"/>
        </w:rPr>
        <w:t xml:space="preserve">、</w:t>
      </w:r>
      <w:r>
        <w:rPr>
          <w:rFonts w:ascii="仿宋" w:hAnsi="仿宋" w:eastAsia="仿宋" w:cs="仿宋"/>
          <w:bCs/>
          <w:color w:val="auto"/>
          <w:sz w:val="24"/>
          <w:szCs w:val="24"/>
          <w:highlight w:val="none"/>
        </w:rPr>
        <w:t xml:space="preserve">技术部分正负偏离表；（格式见附件）</w:t>
      </w:r>
      <w:r/>
    </w:p>
    <w:p>
      <w:pPr>
        <w:ind w:firstLine="480"/>
        <w:jc w:val="left"/>
        <w:spacing w:line="360" w:lineRule="auto"/>
        <w:shd w:val="clear" w:color="auto" w:fill="ffffff"/>
        <w:widowControl/>
        <w:rPr>
          <w:rFonts w:hint="default"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lang w:eastAsia="zh-CN"/>
        </w:rPr>
        <w:t xml:space="preserve">、响应</w:t>
      </w:r>
      <w:r>
        <w:rPr>
          <w:rFonts w:hint="eastAsia" w:ascii="仿宋" w:hAnsi="仿宋" w:eastAsia="仿宋" w:cs="仿宋"/>
          <w:bCs/>
          <w:color w:val="auto"/>
          <w:sz w:val="24"/>
          <w:szCs w:val="24"/>
          <w:highlight w:val="none"/>
        </w:rPr>
        <w:t xml:space="preserve">方案</w:t>
      </w:r>
      <w:r/>
    </w:p>
    <w:p>
      <w:pPr>
        <w:ind w:firstLine="480"/>
        <w:jc w:val="left"/>
        <w:spacing w:line="360" w:lineRule="auto"/>
        <w:shd w:val="clear" w:color="auto" w:fill="ffffff"/>
        <w:widowControl/>
        <w:rPr>
          <w:rFonts w:hint="default"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lang w:eastAsia="zh-CN"/>
        </w:rPr>
        <w:t xml:space="preserve">、</w:t>
      </w:r>
      <w:r>
        <w:rPr>
          <w:rFonts w:hint="default" w:ascii="仿宋" w:hAnsi="仿宋" w:eastAsia="仿宋" w:cs="仿宋"/>
          <w:bCs/>
          <w:color w:val="auto"/>
          <w:sz w:val="24"/>
          <w:szCs w:val="24"/>
          <w:highlight w:val="none"/>
        </w:rPr>
        <w:t xml:space="preserve">商务技术评分标准中须提供的相关得分佐证材料；</w:t>
      </w:r>
      <w:r/>
    </w:p>
    <w:p>
      <w:pPr>
        <w:ind w:firstLine="480"/>
        <w:jc w:val="left"/>
        <w:spacing w:line="360" w:lineRule="auto"/>
        <w:shd w:val="clear" w:color="auto" w:fill="ffffff"/>
        <w:widowControl/>
        <w:rPr>
          <w:rFonts w:hint="default"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lang w:eastAsia="zh-CN"/>
        </w:rPr>
        <w:t xml:space="preserve">、</w:t>
      </w:r>
      <w:r>
        <w:rPr>
          <w:rFonts w:hint="default" w:ascii="仿宋" w:hAnsi="仿宋" w:eastAsia="仿宋" w:cs="仿宋"/>
          <w:bCs/>
          <w:color w:val="auto"/>
          <w:sz w:val="24"/>
          <w:szCs w:val="24"/>
          <w:highlight w:val="none"/>
        </w:rPr>
        <w:t xml:space="preserve">供应商认为需要提交的其他商务技术材料。</w:t>
      </w:r>
      <w:r/>
    </w:p>
    <w:p>
      <w:pPr>
        <w:jc w:val="left"/>
        <w:spacing w:line="360" w:lineRule="auto"/>
        <w:shd w:val="clear" w:color="auto" w:fill="ffffff"/>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三、价格文件</w:t>
      </w:r>
      <w:r/>
    </w:p>
    <w:p>
      <w:pPr>
        <w:ind w:firstLine="480"/>
        <w:jc w:val="left"/>
        <w:spacing w:line="360" w:lineRule="auto"/>
        <w:shd w:val="clear" w:color="auto" w:fill="ffffff"/>
        <w:widowControl/>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w:t>
      </w:r>
      <w:r>
        <w:rPr>
          <w:rFonts w:ascii="仿宋" w:hAnsi="仿宋" w:eastAsia="仿宋" w:cs="仿宋"/>
          <w:bCs/>
          <w:color w:val="auto"/>
          <w:sz w:val="24"/>
          <w:szCs w:val="24"/>
          <w:highlight w:val="none"/>
        </w:rPr>
        <w:t xml:space="preserve">报价总表；（格式见附件）</w:t>
      </w:r>
      <w:r/>
    </w:p>
    <w:p>
      <w:pPr>
        <w:ind w:firstLine="480"/>
        <w:jc w:val="left"/>
        <w:spacing w:line="360" w:lineRule="auto"/>
        <w:shd w:val="clear" w:color="auto" w:fill="ffffff"/>
        <w:widowControl/>
        <w:rPr>
          <w:rFonts w:ascii="仿宋" w:hAnsi="仿宋" w:eastAsia="仿宋" w:cs="Times New Roman"/>
          <w:color w:val="auto"/>
          <w:sz w:val="28"/>
          <w:szCs w:val="28"/>
          <w:highlight w:val="none"/>
          <w:lang w:val="zh-CN"/>
        </w:rPr>
      </w:pPr>
      <w:r>
        <w:rPr>
          <w:rFonts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eastAsia="zh-CN"/>
        </w:rPr>
        <w:t xml:space="preserve">、</w:t>
      </w:r>
      <w:r>
        <w:rPr>
          <w:rFonts w:ascii="仿宋" w:hAnsi="仿宋" w:eastAsia="仿宋" w:cs="仿宋"/>
          <w:bCs/>
          <w:color w:val="auto"/>
          <w:sz w:val="24"/>
          <w:szCs w:val="24"/>
          <w:highlight w:val="none"/>
        </w:rPr>
        <w:t xml:space="preserve">分项报价明细表</w:t>
      </w:r>
      <w:r>
        <w:rPr>
          <w:rFonts w:hint="eastAsia" w:ascii="仿宋" w:hAnsi="仿宋" w:eastAsia="仿宋" w:cs="仿宋"/>
          <w:bCs/>
          <w:color w:val="auto"/>
          <w:sz w:val="24"/>
          <w:szCs w:val="24"/>
          <w:highlight w:val="none"/>
        </w:rPr>
        <w:t xml:space="preserve">；</w:t>
      </w:r>
      <w:r>
        <w:rPr>
          <w:rFonts w:ascii="仿宋" w:hAnsi="仿宋" w:eastAsia="仿宋" w:cs="仿宋"/>
          <w:bCs/>
          <w:color w:val="auto"/>
          <w:sz w:val="24"/>
          <w:szCs w:val="24"/>
          <w:highlight w:val="none"/>
        </w:rPr>
        <w:t xml:space="preserve">（格式见附件）</w:t>
      </w:r>
      <w:r>
        <w:rPr>
          <w:rFonts w:ascii="仿宋" w:hAnsi="仿宋" w:eastAsia="仿宋" w:cs="Times New Roman"/>
          <w:color w:val="auto"/>
          <w:sz w:val="28"/>
          <w:szCs w:val="28"/>
          <w:highlight w:val="none"/>
          <w:lang w:val="zh-CN"/>
        </w:rPr>
        <w:br w:type="page" w:clear="all"/>
      </w:r>
      <w:r/>
    </w:p>
    <w:p>
      <w:pPr>
        <w:contextualSpacing/>
        <w:spacing w:line="360" w:lineRule="auto"/>
        <w:rPr>
          <w:rFonts w:ascii="仿宋" w:hAnsi="仿宋" w:eastAsia="仿宋" w:cs="Times New Roman"/>
          <w:color w:val="auto"/>
          <w:sz w:val="24"/>
          <w:szCs w:val="24"/>
          <w:highlight w:val="none"/>
          <w:lang w:val="zh-CN"/>
        </w:rPr>
      </w:pPr>
      <w:r>
        <w:rPr>
          <w:rFonts w:ascii="仿宋" w:hAnsi="仿宋" w:eastAsia="仿宋" w:cs="Times New Roman"/>
          <w:color w:val="auto"/>
          <w:sz w:val="24"/>
          <w:szCs w:val="24"/>
          <w:highlight w:val="none"/>
          <w:lang w:val="zh-CN"/>
        </w:rPr>
        <w:t xml:space="preserve">附件1</w:t>
      </w:r>
      <w:r/>
    </w:p>
    <w:p>
      <w:pPr>
        <w:ind w:left="440" w:right="220"/>
        <w:jc w:val="center"/>
        <w:spacing w:line="360" w:lineRule="auto"/>
        <w:rPr>
          <w:rFonts w:ascii="宋体" w:hAnsi="宋体" w:eastAsia="宋体" w:cs="宋体"/>
          <w:b/>
          <w:bCs/>
          <w:color w:val="000000" w:themeColor="text1"/>
          <w:sz w:val="24"/>
          <w:szCs w:val="24"/>
          <w:highlight w:val="none"/>
          <w:lang w:eastAsia="zh-CN"/>
          <w14:textFill>
            <w14:solidFill>
              <w14:schemeClr w14:val="tx1"/>
            </w14:solidFill>
          </w14:textFill>
        </w:rPr>
        <w:outlineLvl w:val="4"/>
      </w:pPr>
      <w:r/>
      <w:bookmarkStart w:id="93" w:name="_Hlk134994031"/>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关于资格文件的声明函</w:t>
      </w:r>
      <w:bookmarkEnd w:id="93"/>
      <w:r/>
      <w:r/>
    </w:p>
    <w:p>
      <w:pPr>
        <w:ind w:left="440" w:right="220"/>
        <w:spacing w:line="360" w:lineRule="auto"/>
        <w:rPr>
          <w:rFonts w:ascii="宋体" w:hAnsi="宋体" w:eastAsia="宋体" w:cs="宋体"/>
          <w:color w:val="000000" w:themeColor="text1"/>
          <w:sz w:val="24"/>
          <w:szCs w:val="24"/>
          <w:highlight w:val="none"/>
          <w:u w:val="single"/>
          <w:lang w:eastAsia="zh-CN"/>
          <w14:textFill>
            <w14:solidFill>
              <w14:schemeClr w14:val="tx1"/>
            </w14:solidFill>
          </w14:textFill>
        </w:rPr>
      </w:pPr>
      <w:r>
        <w:rPr>
          <w:rFonts w:ascii="宋体" w:hAnsi="宋体" w:eastAsia="宋体" w:cs="宋体"/>
          <w:color w:val="000000" w:themeColor="text1"/>
          <w:sz w:val="24"/>
          <w:szCs w:val="24"/>
          <w:highlight w:val="none"/>
          <w:u w:val="single"/>
          <w:lang w:eastAsia="zh-CN"/>
          <w14:textFill>
            <w14:solidFill>
              <w14:schemeClr w14:val="tx1"/>
            </w14:solidFill>
          </w14:textFill>
        </w:rPr>
      </w:r>
      <w:r/>
    </w:p>
    <w:p>
      <w:pPr>
        <w:ind w:left="440" w:right="220"/>
        <w:spacing w:line="360" w:lineRule="auto"/>
        <w:rPr>
          <w:rFonts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（采购人）      ： </w:t>
      </w:r>
      <w:r/>
    </w:p>
    <w:p>
      <w:pPr>
        <w:ind w:left="440" w:right="220" w:firstLine="480"/>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本公司愿就由贵单位组织实施的</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（磋商项目名称</w:t>
      </w:r>
      <w:r>
        <w:rPr>
          <w:rFonts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的活动参与磋商。本公司所提交的磋商文件中所有关于资格的文件、证明和陈述均是真实的、准确的。若与真实情况不符，本公司愿意承担由此而产生的一切后果。</w:t>
      </w:r>
      <w:r/>
    </w:p>
    <w:p>
      <w:pPr>
        <w:ind w:left="440" w:right="220" w:firstLine="420"/>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ascii="宋体" w:hAnsi="宋体" w:eastAsia="宋体" w:cs="宋体"/>
          <w:color w:val="000000" w:themeColor="text1"/>
          <w:sz w:val="24"/>
          <w:szCs w:val="24"/>
          <w:highlight w:val="none"/>
          <w:lang w:eastAsia="zh-CN"/>
          <w14:textFill>
            <w14:solidFill>
              <w14:schemeClr w14:val="tx1"/>
            </w14:solidFill>
          </w14:textFill>
        </w:rPr>
      </w:r>
      <w:r/>
    </w:p>
    <w:p>
      <w:pPr>
        <w:ind w:left="440" w:right="220" w:firstLine="420"/>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ascii="宋体" w:hAnsi="宋体" w:eastAsia="宋体" w:cs="宋体"/>
          <w:color w:val="000000" w:themeColor="text1"/>
          <w:sz w:val="24"/>
          <w:szCs w:val="24"/>
          <w:highlight w:val="none"/>
          <w:lang w:eastAsia="zh-CN"/>
          <w14:textFill>
            <w14:solidFill>
              <w14:schemeClr w14:val="tx1"/>
            </w14:solidFill>
          </w14:textFill>
        </w:rPr>
      </w:r>
      <w:r/>
    </w:p>
    <w:p>
      <w:pPr>
        <w:ind w:left="440" w:right="220" w:firstLine="480"/>
        <w:jc w:val="right"/>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响应供应商：</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（加盖公章）</w:t>
      </w:r>
      <w:r/>
    </w:p>
    <w:p>
      <w:pPr>
        <w:ind w:left="440" w:right="220" w:firstLine="480"/>
        <w:jc w:val="right"/>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法定代表人或被授权人：</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（签字或盖章）</w:t>
      </w:r>
      <w:r/>
    </w:p>
    <w:p>
      <w:pPr>
        <w:ind w:left="440" w:right="220" w:firstLine="1320"/>
        <w:jc w:val="right"/>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年      月     日</w:t>
      </w:r>
      <w:r/>
    </w:p>
    <w:p>
      <w:pPr>
        <w:jc w:val="left"/>
        <w:spacing w:line="360" w:lineRule="auto"/>
        <w:widowControl/>
        <w:rPr>
          <w:rFonts w:ascii="仿宋" w:hAnsi="仿宋" w:eastAsia="仿宋" w:cs="Times New Roman"/>
          <w:color w:val="auto"/>
          <w:sz w:val="24"/>
          <w:szCs w:val="24"/>
          <w:highlight w:val="none"/>
          <w:lang w:val="zh-CN"/>
        </w:rPr>
      </w:pPr>
      <w:r>
        <w:rPr>
          <w:rFonts w:ascii="仿宋" w:hAnsi="仿宋" w:eastAsia="仿宋" w:cs="Times New Roman"/>
          <w:color w:val="auto"/>
          <w:sz w:val="24"/>
          <w:szCs w:val="24"/>
          <w:highlight w:val="none"/>
          <w:lang w:val="zh-CN"/>
        </w:rPr>
        <w:br w:type="page" w:clear="all"/>
      </w:r>
      <w:r/>
    </w:p>
    <w:p>
      <w:pPr>
        <w:contextualSpacing/>
        <w:spacing w:line="360" w:lineRule="auto"/>
        <w:rPr>
          <w:rFonts w:ascii="仿宋" w:hAnsi="仿宋" w:eastAsia="仿宋" w:cs="Times New Roman"/>
          <w:color w:val="auto"/>
          <w:sz w:val="24"/>
          <w:szCs w:val="24"/>
          <w:highlight w:val="none"/>
          <w:lang w:val="zh-CN"/>
        </w:rPr>
      </w:pPr>
      <w:r>
        <w:rPr>
          <w:rFonts w:ascii="仿宋" w:hAnsi="仿宋" w:eastAsia="仿宋" w:cs="Times New Roman"/>
          <w:color w:val="auto"/>
          <w:sz w:val="24"/>
          <w:szCs w:val="24"/>
          <w:highlight w:val="none"/>
          <w:lang w:val="zh-CN"/>
        </w:rPr>
        <w:t xml:space="preserve">附件2</w:t>
      </w:r>
      <w:r/>
    </w:p>
    <w:p>
      <w:pPr>
        <w:jc w:val="center"/>
        <w:spacing w:line="360" w:lineRule="auto"/>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法定代表人身份证明</w:t>
      </w:r>
      <w:r/>
    </w:p>
    <w:p>
      <w:pPr>
        <w:jc w:val="center"/>
        <w:spacing w:line="360" w:lineRule="auto"/>
        <w:rPr>
          <w:rFonts w:hint="eastAsia" w:cs="宋体"/>
          <w:sz w:val="24"/>
          <w:szCs w:val="24"/>
          <w:highlight w:val="none"/>
        </w:rPr>
      </w:pPr>
      <w:r>
        <w:rPr>
          <w:rFonts w:hint="eastAsia" w:cs="宋体"/>
          <w:sz w:val="24"/>
          <w:szCs w:val="24"/>
          <w:highlight w:val="none"/>
        </w:rPr>
        <w:t xml:space="preserve">（法定代表人参加磋商，须出示此证明）</w:t>
      </w:r>
      <w:r/>
    </w:p>
    <w:p>
      <w:pPr>
        <w:pStyle w:val="855"/>
        <w:rPr>
          <w:highlight w:val="none"/>
        </w:rPr>
      </w:pPr>
      <w:r>
        <w:rPr>
          <w:highlight w:val="none"/>
        </w:rPr>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lang w:eastAsia="zh-CN"/>
        </w:rPr>
        <w:t xml:space="preserve">南通创新区管理办公室</w:t>
      </w:r>
      <w:r>
        <w:rPr>
          <w:rFonts w:hint="eastAsia" w:ascii="仿宋" w:hAnsi="仿宋" w:eastAsia="仿宋" w:cs="仿宋"/>
          <w:sz w:val="24"/>
          <w:szCs w:val="24"/>
          <w:highlight w:val="none"/>
        </w:rPr>
        <w:t xml:space="preserve">：</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我公司法定代表人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参加贵单位组织的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（竞争性磋商项目名称)项目的磋商活动，全权代表我公司处理该磋商活动的有关事宜。</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附：法定代表人情况：</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姓名：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性别：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年龄：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w:t>
      </w:r>
      <w:r>
        <w:rPr>
          <w:rFonts w:hint="eastAsia" w:ascii="仿宋" w:hAnsi="仿宋" w:eastAsia="仿宋" w:cs="仿宋"/>
          <w:sz w:val="24"/>
          <w:szCs w:val="24"/>
          <w:highlight w:val="none"/>
          <w:u w:val="single"/>
        </w:rPr>
        <w:t xml:space="preserve">          </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身份证号码：</w:t>
      </w:r>
      <w:r>
        <w:rPr>
          <w:rFonts w:hint="eastAsia" w:ascii="仿宋" w:hAnsi="仿宋" w:eastAsia="仿宋" w:cs="仿宋"/>
          <w:sz w:val="24"/>
          <w:szCs w:val="24"/>
          <w:highlight w:val="none"/>
          <w:u w:val="single"/>
        </w:rPr>
        <w:t xml:space="preserve">                                         </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手机：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传真：</w:t>
      </w:r>
      <w:r>
        <w:rPr>
          <w:rFonts w:hint="eastAsia" w:ascii="仿宋" w:hAnsi="仿宋" w:eastAsia="仿宋" w:cs="仿宋"/>
          <w:sz w:val="24"/>
          <w:szCs w:val="24"/>
          <w:highlight w:val="none"/>
          <w:u w:val="single"/>
        </w:rPr>
        <w:t xml:space="preserve">                       </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单位名称（公章）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法定代表人（签字或盖章）</w:t>
      </w:r>
      <w:r/>
    </w:p>
    <w:p>
      <w:pPr>
        <w:ind w:firstLine="120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年   月   日                 年   月    日  </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法定代表人身份证复印件</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22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（粘贴此处）</w:t>
      </w:r>
      <w:r/>
    </w:p>
    <w:p>
      <w:pPr>
        <w:contextualSpacing/>
        <w:spacing w:line="360" w:lineRule="auto"/>
        <w:rPr>
          <w:rFonts w:ascii="仿宋" w:hAnsi="仿宋" w:eastAsia="仿宋" w:cs="宋体"/>
          <w:b/>
          <w:color w:val="auto"/>
          <w:sz w:val="24"/>
          <w:szCs w:val="24"/>
          <w:highlight w:val="none"/>
          <w:lang w:val="zh-CN"/>
        </w:rPr>
      </w:pPr>
      <w:r>
        <w:rPr>
          <w:rFonts w:ascii="仿宋" w:hAnsi="仿宋" w:eastAsia="仿宋" w:cs="宋体"/>
          <w:b/>
          <w:color w:val="auto"/>
          <w:sz w:val="24"/>
          <w:szCs w:val="24"/>
          <w:highlight w:val="none"/>
          <w:lang w:val="zh-CN"/>
        </w:rPr>
      </w:r>
      <w:r/>
    </w:p>
    <w:p>
      <w:pPr>
        <w:contextualSpacing/>
        <w:spacing w:line="360" w:lineRule="auto"/>
        <w:rPr>
          <w:rFonts w:ascii="仿宋" w:hAnsi="仿宋" w:eastAsia="仿宋" w:cs="宋体"/>
          <w:b/>
          <w:color w:val="auto"/>
          <w:sz w:val="24"/>
          <w:szCs w:val="24"/>
          <w:highlight w:val="none"/>
          <w:lang w:val="zh-CN"/>
        </w:rPr>
      </w:pPr>
      <w:r>
        <w:rPr>
          <w:rFonts w:ascii="仿宋" w:hAnsi="仿宋" w:eastAsia="仿宋" w:cs="宋体"/>
          <w:b/>
          <w:color w:val="auto"/>
          <w:sz w:val="24"/>
          <w:szCs w:val="24"/>
          <w:highlight w:val="none"/>
          <w:lang w:val="zh-CN"/>
        </w:rPr>
      </w:r>
      <w:r/>
    </w:p>
    <w:p>
      <w:pPr>
        <w:contextualSpacing/>
        <w:spacing w:line="360" w:lineRule="auto"/>
        <w:rPr>
          <w:rFonts w:ascii="仿宋" w:hAnsi="仿宋" w:eastAsia="仿宋" w:cs="宋体"/>
          <w:b/>
          <w:color w:val="auto"/>
          <w:sz w:val="24"/>
          <w:szCs w:val="24"/>
          <w:highlight w:val="none"/>
          <w:lang w:val="zh-CN"/>
        </w:rPr>
      </w:pPr>
      <w:r>
        <w:rPr>
          <w:rFonts w:ascii="仿宋" w:hAnsi="仿宋" w:eastAsia="仿宋" w:cs="宋体"/>
          <w:b/>
          <w:color w:val="auto"/>
          <w:sz w:val="24"/>
          <w:szCs w:val="24"/>
          <w:highlight w:val="none"/>
          <w:lang w:val="zh-CN"/>
        </w:rPr>
      </w:r>
      <w:r/>
    </w:p>
    <w:p>
      <w:pPr>
        <w:contextualSpacing/>
        <w:spacing w:line="360" w:lineRule="auto"/>
        <w:rPr>
          <w:rFonts w:ascii="仿宋" w:hAnsi="仿宋" w:eastAsia="仿宋" w:cs="Times New Roman"/>
          <w:color w:val="auto"/>
          <w:sz w:val="24"/>
          <w:szCs w:val="24"/>
          <w:highlight w:val="none"/>
          <w:lang w:val="zh-CN"/>
        </w:rPr>
      </w:pPr>
      <w:r>
        <w:rPr>
          <w:rFonts w:ascii="仿宋" w:hAnsi="仿宋" w:eastAsia="仿宋" w:cs="Times New Roman"/>
          <w:color w:val="auto"/>
          <w:sz w:val="24"/>
          <w:szCs w:val="24"/>
          <w:highlight w:val="none"/>
          <w:lang w:val="zh-CN"/>
        </w:rPr>
      </w:r>
      <w:r/>
    </w:p>
    <w:p>
      <w:pPr>
        <w:contextualSpacing/>
        <w:spacing w:line="360" w:lineRule="auto"/>
        <w:rPr>
          <w:rFonts w:ascii="仿宋" w:hAnsi="仿宋" w:eastAsia="仿宋" w:cs="Times New Roman"/>
          <w:color w:val="auto"/>
          <w:sz w:val="24"/>
          <w:szCs w:val="24"/>
          <w:highlight w:val="none"/>
          <w:lang w:val="zh-CN"/>
        </w:rPr>
      </w:pPr>
      <w:r>
        <w:rPr>
          <w:rFonts w:ascii="仿宋" w:hAnsi="仿宋" w:eastAsia="仿宋" w:cs="Times New Roman"/>
          <w:color w:val="auto"/>
          <w:sz w:val="24"/>
          <w:szCs w:val="24"/>
          <w:highlight w:val="none"/>
          <w:lang w:val="zh-CN"/>
        </w:rPr>
      </w:r>
      <w:r/>
    </w:p>
    <w:p>
      <w:pPr>
        <w:contextualSpacing/>
        <w:spacing w:line="360" w:lineRule="auto"/>
        <w:rPr>
          <w:rFonts w:ascii="仿宋" w:hAnsi="仿宋" w:eastAsia="仿宋" w:cs="Times New Roman"/>
          <w:color w:val="auto"/>
          <w:sz w:val="24"/>
          <w:szCs w:val="24"/>
          <w:highlight w:val="none"/>
          <w:lang w:val="zh-CN"/>
        </w:rPr>
      </w:pPr>
      <w:r>
        <w:rPr>
          <w:rFonts w:ascii="仿宋" w:hAnsi="仿宋" w:eastAsia="仿宋" w:cs="Times New Roman"/>
          <w:color w:val="auto"/>
          <w:sz w:val="24"/>
          <w:szCs w:val="24"/>
          <w:highlight w:val="none"/>
          <w:lang w:val="zh-CN"/>
        </w:rPr>
      </w:r>
      <w:r/>
    </w:p>
    <w:p>
      <w:pPr>
        <w:contextualSpacing/>
        <w:spacing w:line="360" w:lineRule="auto"/>
        <w:rPr>
          <w:rFonts w:ascii="仿宋" w:hAnsi="仿宋" w:eastAsia="仿宋" w:cs="Times New Roman"/>
          <w:color w:val="auto"/>
          <w:sz w:val="24"/>
          <w:szCs w:val="24"/>
          <w:highlight w:val="none"/>
          <w:lang w:val="zh-CN"/>
        </w:rPr>
      </w:pPr>
      <w:r>
        <w:rPr>
          <w:rFonts w:ascii="仿宋" w:hAnsi="仿宋" w:eastAsia="仿宋" w:cs="Times New Roman"/>
          <w:color w:val="auto"/>
          <w:sz w:val="24"/>
          <w:szCs w:val="24"/>
          <w:highlight w:val="none"/>
          <w:lang w:val="zh-CN"/>
        </w:rPr>
      </w:r>
      <w:r/>
    </w:p>
    <w:p>
      <w:pPr>
        <w:contextualSpacing/>
        <w:spacing w:line="360" w:lineRule="auto"/>
        <w:rPr>
          <w:rFonts w:ascii="仿宋" w:hAnsi="仿宋" w:eastAsia="仿宋" w:cs="Times New Roman"/>
          <w:color w:val="auto"/>
          <w:sz w:val="24"/>
          <w:szCs w:val="24"/>
          <w:highlight w:val="none"/>
          <w:lang w:val="zh-CN"/>
        </w:rPr>
      </w:pPr>
      <w:r>
        <w:rPr>
          <w:rFonts w:ascii="仿宋" w:hAnsi="仿宋" w:eastAsia="仿宋" w:cs="Times New Roman"/>
          <w:color w:val="auto"/>
          <w:sz w:val="24"/>
          <w:szCs w:val="24"/>
          <w:highlight w:val="none"/>
          <w:lang w:val="zh-CN"/>
        </w:rPr>
      </w:r>
      <w:r/>
    </w:p>
    <w:p>
      <w:pPr>
        <w:contextualSpacing/>
        <w:spacing w:line="360" w:lineRule="auto"/>
        <w:rPr>
          <w:rFonts w:ascii="仿宋" w:hAnsi="仿宋" w:eastAsia="仿宋" w:cs="Times New Roman"/>
          <w:color w:val="auto"/>
          <w:sz w:val="24"/>
          <w:szCs w:val="24"/>
          <w:highlight w:val="none"/>
          <w:lang w:val="zh-CN"/>
        </w:rPr>
      </w:pPr>
      <w:r>
        <w:rPr>
          <w:rFonts w:ascii="仿宋" w:hAnsi="仿宋" w:eastAsia="仿宋" w:cs="Times New Roman"/>
          <w:color w:val="auto"/>
          <w:sz w:val="24"/>
          <w:szCs w:val="24"/>
          <w:highlight w:val="none"/>
          <w:lang w:val="zh-CN"/>
        </w:rPr>
      </w:r>
      <w:r/>
    </w:p>
    <w:p>
      <w:pPr>
        <w:contextualSpacing/>
        <w:spacing w:line="360" w:lineRule="auto"/>
        <w:rPr>
          <w:rFonts w:ascii="仿宋" w:hAnsi="仿宋" w:eastAsia="仿宋" w:cs="Times New Roman"/>
          <w:color w:val="auto"/>
          <w:sz w:val="24"/>
          <w:szCs w:val="24"/>
          <w:highlight w:val="none"/>
          <w:lang w:val="zh-CN"/>
        </w:rPr>
      </w:pPr>
      <w:r>
        <w:rPr>
          <w:rFonts w:ascii="仿宋" w:hAnsi="仿宋" w:eastAsia="仿宋" w:cs="Times New Roman"/>
          <w:color w:val="auto"/>
          <w:sz w:val="24"/>
          <w:szCs w:val="24"/>
          <w:highlight w:val="none"/>
          <w:lang w:val="zh-CN"/>
        </w:rPr>
      </w:r>
      <w:r/>
    </w:p>
    <w:p>
      <w:pPr>
        <w:contextualSpacing/>
        <w:spacing w:line="360" w:lineRule="auto"/>
        <w:rPr>
          <w:rFonts w:ascii="仿宋" w:hAnsi="仿宋" w:eastAsia="仿宋" w:cs="Times New Roman"/>
          <w:color w:val="auto"/>
          <w:sz w:val="24"/>
          <w:szCs w:val="24"/>
          <w:highlight w:val="none"/>
          <w:lang w:val="zh-CN"/>
        </w:rPr>
      </w:pPr>
      <w:r>
        <w:rPr>
          <w:rFonts w:ascii="仿宋" w:hAnsi="仿宋" w:eastAsia="仿宋" w:cs="Times New Roman"/>
          <w:color w:val="auto"/>
          <w:sz w:val="24"/>
          <w:szCs w:val="24"/>
          <w:highlight w:val="none"/>
          <w:lang w:val="zh-CN"/>
        </w:rPr>
        <w:t xml:space="preserve">附件3</w:t>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法定代表人授权委托书</w:t>
      </w:r>
      <w:r/>
    </w:p>
    <w:p>
      <w:pPr>
        <w:pStyle w:val="855"/>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（委托代理人参加磋商，须出示此证明）</w:t>
      </w:r>
      <w:r/>
    </w:p>
    <w:p>
      <w:pPr>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u w:val="single"/>
          <w:lang w:eastAsia="zh-CN"/>
        </w:rPr>
        <w:t xml:space="preserve">南通创新区管理办公室</w:t>
      </w:r>
      <w:r>
        <w:rPr>
          <w:rFonts w:hint="eastAsia" w:ascii="仿宋" w:hAnsi="仿宋" w:eastAsia="仿宋" w:cs="仿宋"/>
          <w:sz w:val="24"/>
          <w:szCs w:val="24"/>
          <w:highlight w:val="none"/>
        </w:rPr>
        <w:t xml:space="preserve">：</w:t>
      </w:r>
      <w:r/>
    </w:p>
    <w:p>
      <w:pPr>
        <w:ind w:left="1"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兹授权</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被授权人的姓名）代表我公司参加</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（竞争性磋商项目名称）项目的磋商活动，全权处理一切与该项目磋商有关的事务。其在办理上述事宜过程中所签署的所有文件我公司均予以承认。</w:t>
      </w:r>
      <w:r/>
    </w:p>
    <w:p>
      <w:pPr>
        <w:ind w:left="1"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被授权人无转委托权。特此委托。</w:t>
      </w:r>
      <w:r/>
    </w:p>
    <w:p>
      <w:pPr>
        <w:ind w:left="1"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附：被授权人情况：</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姓名：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性别：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年龄：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w:t>
      </w:r>
      <w:r>
        <w:rPr>
          <w:rFonts w:hint="eastAsia" w:ascii="仿宋" w:hAnsi="仿宋" w:eastAsia="仿宋" w:cs="仿宋"/>
          <w:sz w:val="24"/>
          <w:szCs w:val="24"/>
          <w:highlight w:val="none"/>
          <w:u w:val="single"/>
        </w:rPr>
        <w:t xml:space="preserve">          </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身份证号码：</w:t>
      </w:r>
      <w:r>
        <w:rPr>
          <w:rFonts w:hint="eastAsia" w:ascii="仿宋" w:hAnsi="仿宋" w:eastAsia="仿宋" w:cs="仿宋"/>
          <w:sz w:val="24"/>
          <w:szCs w:val="24"/>
          <w:highlight w:val="none"/>
          <w:u w:val="single"/>
        </w:rPr>
        <w:t xml:space="preserve">                                         </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手机：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传真：</w:t>
      </w:r>
      <w:r>
        <w:rPr>
          <w:rFonts w:hint="eastAsia" w:ascii="仿宋" w:hAnsi="仿宋" w:eastAsia="仿宋" w:cs="仿宋"/>
          <w:sz w:val="24"/>
          <w:szCs w:val="24"/>
          <w:highlight w:val="none"/>
          <w:u w:val="single"/>
        </w:rPr>
        <w:t xml:space="preserve">                        </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单位名称（公章）             法定代表人（签字或盖章）</w:t>
      </w:r>
      <w:r/>
    </w:p>
    <w:p>
      <w:pPr>
        <w:ind w:firstLine="120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年   月   日                 年   月    日  </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法定代表人身份证复印件</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39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（粘贴此处）</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被授权人身份证复印件</w:t>
      </w:r>
      <w:r/>
    </w:p>
    <w:p>
      <w:pPr>
        <w:spacing w:line="360" w:lineRule="auto"/>
        <w:rPr>
          <w:rFonts w:hint="eastAsia" w:cs="宋体"/>
          <w:sz w:val="24"/>
          <w:szCs w:val="24"/>
          <w:highlight w:val="none"/>
        </w:rPr>
      </w:pPr>
      <w:r>
        <w:rPr>
          <w:rFonts w:hint="eastAsia" w:cs="宋体"/>
          <w:sz w:val="24"/>
          <w:szCs w:val="24"/>
          <w:highlight w:val="none"/>
        </w:rPr>
      </w:r>
      <w:r/>
    </w:p>
    <w:p>
      <w:pPr>
        <w:jc w:val="center"/>
        <w:spacing w:line="360" w:lineRule="auto"/>
        <w:rPr>
          <w:rFonts w:hint="eastAsia" w:cs="宋体"/>
          <w:sz w:val="24"/>
          <w:szCs w:val="24"/>
          <w:highlight w:val="none"/>
        </w:rPr>
      </w:pPr>
      <w:r>
        <w:rPr>
          <w:rFonts w:hint="eastAsia" w:cs="宋体"/>
          <w:sz w:val="24"/>
          <w:szCs w:val="24"/>
          <w:highlight w:val="none"/>
        </w:rPr>
      </w:r>
      <w:r/>
    </w:p>
    <w:p>
      <w:pPr>
        <w:jc w:val="center"/>
        <w:spacing w:line="360" w:lineRule="auto"/>
        <w:rPr>
          <w:rFonts w:hint="eastAsia" w:cs="宋体"/>
          <w:b/>
          <w:bCs/>
          <w:sz w:val="24"/>
          <w:szCs w:val="24"/>
          <w:highlight w:val="none"/>
        </w:rPr>
      </w:pPr>
      <w:r>
        <w:rPr>
          <w:rFonts w:hint="eastAsia" w:cs="宋体"/>
          <w:sz w:val="24"/>
          <w:szCs w:val="24"/>
          <w:highlight w:val="none"/>
        </w:rPr>
        <w:t xml:space="preserve">（粘贴此处）</w:t>
      </w:r>
      <w:r/>
    </w:p>
    <w:p>
      <w:pPr>
        <w:jc w:val="righ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p>
      <w:pPr>
        <w:jc w:val="left"/>
        <w:spacing w:line="360" w:lineRule="auto"/>
        <w:widowControl/>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br w:type="page" w:clear="all"/>
      </w:r>
      <w:r/>
    </w:p>
    <w:p>
      <w:pPr>
        <w:contextualSpacing/>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附件4</w:t>
      </w:r>
      <w:r/>
    </w:p>
    <w:p>
      <w:pPr>
        <w:ind w:left="440" w:right="220"/>
        <w:jc w:val="center"/>
        <w:spacing w:line="360" w:lineRule="auto"/>
        <w:rPr>
          <w:rFonts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履行合同所必需的设备和专业技术能力承诺函</w:t>
      </w:r>
      <w:r/>
    </w:p>
    <w:p>
      <w:pPr>
        <w:ind w:left="440" w:right="220"/>
        <w:jc w:val="center"/>
        <w:spacing w:line="360" w:lineRule="auto"/>
        <w:rPr>
          <w:rFonts w:ascii="宋体" w:hAnsi="宋体" w:eastAsia="宋体" w:cs="宋体"/>
          <w:b/>
          <w:bCs/>
          <w:color w:val="000000" w:themeColor="text1"/>
          <w:sz w:val="24"/>
          <w:szCs w:val="24"/>
          <w:highlight w:val="none"/>
          <w:lang w:eastAsia="zh-CN"/>
          <w14:textFill>
            <w14:solidFill>
              <w14:schemeClr w14:val="tx1"/>
            </w14:solidFill>
          </w14:textFill>
        </w:rPr>
      </w:pPr>
      <w:r>
        <w:rPr>
          <w:rFonts w:ascii="宋体" w:hAnsi="宋体" w:eastAsia="宋体" w:cs="宋体"/>
          <w:b/>
          <w:bCs/>
          <w:color w:val="000000" w:themeColor="text1"/>
          <w:sz w:val="24"/>
          <w:szCs w:val="24"/>
          <w:highlight w:val="none"/>
          <w:lang w:eastAsia="zh-CN"/>
          <w14:textFill>
            <w14:solidFill>
              <w14:schemeClr w14:val="tx1"/>
            </w14:solidFill>
          </w14:textFill>
        </w:rPr>
      </w:r>
      <w:r/>
    </w:p>
    <w:p>
      <w:pPr>
        <w:ind w:left="440" w:right="220"/>
        <w:spacing w:line="360" w:lineRule="auto"/>
        <w:rPr>
          <w:rFonts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（采购人）    ： </w:t>
      </w:r>
      <w:r/>
    </w:p>
    <w:p>
      <w:pPr>
        <w:ind w:left="440" w:right="220" w:firstLine="560"/>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（供应商名称）郑重承诺：</w:t>
      </w:r>
      <w:r/>
    </w:p>
    <w:p>
      <w:pPr>
        <w:ind w:left="440" w:right="220" w:firstLine="560"/>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贵方组织的</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(竞争性磋商项目名称），我单位</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(在下划线上如实填写：有或没有）履行合同所必需的设备和专业技术能力。</w:t>
      </w:r>
      <w:r/>
    </w:p>
    <w:p>
      <w:pPr>
        <w:ind w:left="440" w:right="220" w:firstLine="560"/>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ascii="宋体" w:hAnsi="宋体" w:eastAsia="宋体" w:cs="宋体"/>
          <w:color w:val="000000" w:themeColor="text1"/>
          <w:sz w:val="24"/>
          <w:szCs w:val="24"/>
          <w:highlight w:val="none"/>
          <w:lang w:eastAsia="zh-CN"/>
          <w14:textFill>
            <w14:solidFill>
              <w14:schemeClr w14:val="tx1"/>
            </w14:solidFill>
          </w14:textFill>
        </w:rPr>
      </w:r>
      <w:r/>
    </w:p>
    <w:p>
      <w:pPr>
        <w:ind w:left="440" w:right="220" w:firstLine="560"/>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ascii="宋体" w:hAnsi="宋体" w:eastAsia="宋体" w:cs="宋体"/>
          <w:color w:val="000000" w:themeColor="text1"/>
          <w:sz w:val="24"/>
          <w:szCs w:val="24"/>
          <w:highlight w:val="none"/>
          <w:lang w:eastAsia="zh-CN"/>
          <w14:textFill>
            <w14:solidFill>
              <w14:schemeClr w14:val="tx1"/>
            </w14:solidFill>
          </w14:textFill>
        </w:rPr>
      </w:r>
      <w:r/>
    </w:p>
    <w:p>
      <w:pPr>
        <w:ind w:left="440" w:right="220"/>
        <w:jc w:val="right"/>
        <w:spacing w:line="360" w:lineRule="auto"/>
        <w:rPr>
          <w:rFonts w:ascii="宋体" w:hAnsi="宋体" w:eastAsia="宋体" w:cs="Times New Roman"/>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法定代表人或被授权人（签字或盖章）：</w:t>
      </w:r>
      <w:r/>
    </w:p>
    <w:p>
      <w:pPr>
        <w:ind w:left="440" w:right="220"/>
        <w:jc w:val="right"/>
        <w:spacing w:line="360" w:lineRule="auto"/>
        <w:rPr>
          <w:rFonts w:ascii="宋体" w:hAnsi="宋体" w:eastAsia="宋体" w:cs="Times New Roman"/>
          <w:bCs/>
          <w:color w:val="000000" w:themeColor="text1"/>
          <w:sz w:val="24"/>
          <w:szCs w:val="24"/>
          <w:highlight w:val="none"/>
          <w:lang w:eastAsia="zh-CN"/>
          <w14:textFill>
            <w14:solidFill>
              <w14:schemeClr w14:val="tx1"/>
            </w14:solidFill>
          </w14:textFill>
        </w:rPr>
      </w:pPr>
      <w:r>
        <w:rPr>
          <w:rFonts w:ascii="宋体" w:hAnsi="宋体" w:eastAsia="宋体" w:cs="Times New Roman"/>
          <w:bCs/>
          <w:color w:val="000000" w:themeColor="text1"/>
          <w:sz w:val="24"/>
          <w:szCs w:val="24"/>
          <w:highlight w:val="none"/>
          <w:lang w:eastAsia="zh-CN"/>
          <w14:textFill>
            <w14:solidFill>
              <w14:schemeClr w14:val="tx1"/>
            </w14:solidFill>
          </w14:textFill>
        </w:rPr>
      </w:r>
      <w:r/>
    </w:p>
    <w:p>
      <w:pPr>
        <w:ind w:left="440" w:right="220"/>
        <w:jc w:val="right"/>
        <w:spacing w:line="360" w:lineRule="auto"/>
        <w:rPr>
          <w:rFonts w:ascii="宋体" w:hAnsi="宋体" w:eastAsia="宋体" w:cs="Times New Roman"/>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        </w:t>
      </w:r>
      <w:r>
        <w:rPr>
          <w:rFonts w:ascii="宋体" w:hAnsi="宋体" w:eastAsia="宋体" w:cs="Times New Roman"/>
          <w:bCs/>
          <w:color w:val="000000" w:themeColor="text1"/>
          <w:sz w:val="24"/>
          <w:szCs w:val="24"/>
          <w:highlight w:val="none"/>
          <w:lang w:eastAsia="zh-CN"/>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（供应商）公章：</w:t>
      </w:r>
      <w:r/>
    </w:p>
    <w:p>
      <w:pPr>
        <w:ind w:left="440" w:right="220"/>
        <w:jc w:val="right"/>
        <w:spacing w:line="360" w:lineRule="auto"/>
        <w:rPr>
          <w:rFonts w:ascii="宋体" w:hAnsi="宋体" w:eastAsia="宋体" w:cs="Times New Roman"/>
          <w:bCs/>
          <w:color w:val="000000" w:themeColor="text1"/>
          <w:sz w:val="24"/>
          <w:szCs w:val="24"/>
          <w:highlight w:val="none"/>
          <w:lang w:eastAsia="zh-CN"/>
          <w14:textFill>
            <w14:solidFill>
              <w14:schemeClr w14:val="tx1"/>
            </w14:solidFill>
          </w14:textFill>
        </w:rPr>
      </w:pPr>
      <w:r>
        <w:rPr>
          <w:rFonts w:ascii="宋体" w:hAnsi="宋体" w:eastAsia="宋体" w:cs="Times New Roman"/>
          <w:bCs/>
          <w:color w:val="000000" w:themeColor="text1"/>
          <w:sz w:val="24"/>
          <w:szCs w:val="24"/>
          <w:highlight w:val="none"/>
          <w:lang w:eastAsia="zh-CN"/>
          <w14:textFill>
            <w14:solidFill>
              <w14:schemeClr w14:val="tx1"/>
            </w14:solidFill>
          </w14:textFill>
        </w:rPr>
      </w:r>
      <w:r/>
    </w:p>
    <w:p>
      <w:pPr>
        <w:ind w:left="440" w:right="220"/>
        <w:jc w:val="right"/>
        <w:spacing w:line="360" w:lineRule="auto"/>
        <w:rPr>
          <w:rFonts w:ascii="宋体" w:hAnsi="宋体" w:eastAsia="宋体" w:cs="Times New Roman"/>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年</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ab/>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   月 </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ab/>
      </w:r>
      <w:r>
        <w:rPr>
          <w:rFonts w:ascii="宋体" w:hAnsi="宋体" w:eastAsia="宋体" w:cs="Times New Roman"/>
          <w:bCs/>
          <w:color w:val="000000" w:themeColor="text1"/>
          <w:sz w:val="24"/>
          <w:szCs w:val="24"/>
          <w:highlight w:val="none"/>
          <w:lang w:eastAsia="zh-CN"/>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日</w:t>
      </w:r>
      <w:r/>
    </w:p>
    <w:p>
      <w:pPr>
        <w:contextualSpacing w:val="0"/>
        <w:spacing w:line="24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br w:type="page" w:clear="all"/>
      </w:r>
      <w:r/>
    </w:p>
    <w:p>
      <w:pPr>
        <w:contextualSpacing/>
        <w:ind w:left="0" w:right="0"/>
        <w:jc w:val="both"/>
        <w:spacing w:line="360" w:lineRule="auto"/>
        <w:rPr>
          <w:rFonts w:hint="default" w:ascii="仿宋" w:hAnsi="仿宋" w:eastAsia="仿宋" w:cs="Times New Roman"/>
          <w:b w:val="0"/>
          <w:bCs w:val="0"/>
          <w:color w:val="auto"/>
          <w:sz w:val="24"/>
          <w:szCs w:val="24"/>
          <w:highlight w:val="none"/>
          <w:lang w:val="en-US" w:eastAsia="zh-CN"/>
        </w:rPr>
        <w:outlineLvl w:val="9"/>
      </w:pPr>
      <w:r>
        <w:rPr>
          <w:rFonts w:hint="default" w:ascii="仿宋" w:hAnsi="仿宋" w:eastAsia="仿宋" w:cs="Times New Roman"/>
          <w:b w:val="0"/>
          <w:bCs w:val="0"/>
          <w:color w:val="auto"/>
          <w:sz w:val="24"/>
          <w:szCs w:val="24"/>
          <w:highlight w:val="none"/>
          <w:lang w:val="en-US" w:eastAsia="zh-CN"/>
        </w:rPr>
        <w:t xml:space="preserve">附件5</w:t>
      </w:r>
      <w:r/>
    </w:p>
    <w:p>
      <w:pPr>
        <w:ind w:left="440" w:right="220"/>
        <w:jc w:val="center"/>
        <w:spacing w:line="360" w:lineRule="auto"/>
        <w:rPr>
          <w:rFonts w:ascii="宋体" w:hAnsi="宋体" w:eastAsia="宋体" w:cs="宋体"/>
          <w:b/>
          <w:bCs/>
          <w:color w:val="000000" w:themeColor="text1"/>
          <w:sz w:val="24"/>
          <w:szCs w:val="24"/>
          <w:highlight w:val="none"/>
          <w:lang w:eastAsia="zh-CN"/>
          <w14:textFill>
            <w14:solidFill>
              <w14:schemeClr w14:val="tx1"/>
            </w14:solidFill>
          </w14:textFill>
        </w:rPr>
        <w:outlineLvl w:val="4"/>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 参加政府采购活动前 3 年内在经营活动中没有重大违法记录和失信记录的书面声明</w:t>
      </w:r>
      <w:r/>
    </w:p>
    <w:p>
      <w:pPr>
        <w:ind w:left="440" w:right="220"/>
        <w:jc w:val="both"/>
        <w:spacing w:line="360" w:lineRule="auto"/>
        <w:rPr>
          <w:rFonts w:ascii="宋体" w:hAnsi="宋体" w:eastAsia="宋体" w:cs="Times New Roman"/>
          <w:b/>
          <w:bCs/>
          <w:color w:val="000000" w:themeColor="text1"/>
          <w:sz w:val="44"/>
          <w:szCs w:val="44"/>
          <w:highlight w:val="none"/>
          <w:lang w:eastAsia="zh-CN"/>
          <w14:textFill>
            <w14:solidFill>
              <w14:schemeClr w14:val="tx1"/>
            </w14:solidFill>
          </w14:textFill>
        </w:rPr>
      </w:pPr>
      <w:r>
        <w:rPr>
          <w:rFonts w:hint="eastAsia" w:ascii="宋体" w:hAnsi="宋体" w:eastAsia="宋体" w:cs="Times New Roman"/>
          <w:b/>
          <w:bCs/>
          <w:color w:val="000000" w:themeColor="text1"/>
          <w:sz w:val="24"/>
          <w:szCs w:val="21"/>
          <w:highlight w:val="none"/>
          <w:lang w:eastAsia="zh-CN"/>
          <w14:textFill>
            <w14:solidFill>
              <w14:schemeClr w14:val="tx1"/>
            </w14:solidFill>
          </w14:textFill>
        </w:rPr>
        <w:t xml:space="preserve">                       </w:t>
      </w:r>
      <w:r>
        <w:rPr>
          <w:rFonts w:hint="eastAsia" w:ascii="宋体" w:hAnsi="宋体" w:eastAsia="宋体" w:cs="Times New Roman"/>
          <w:b/>
          <w:bCs/>
          <w:color w:val="000000" w:themeColor="text1"/>
          <w:sz w:val="44"/>
          <w:szCs w:val="44"/>
          <w:highlight w:val="none"/>
          <w:lang w:eastAsia="zh-CN"/>
          <w14:textFill>
            <w14:solidFill>
              <w14:schemeClr w14:val="tx1"/>
            </w14:solidFill>
          </w14:textFill>
        </w:rPr>
        <w:t xml:space="preserve">  </w:t>
      </w:r>
      <w:r/>
    </w:p>
    <w:p>
      <w:pPr>
        <w:ind w:left="440" w:right="220" w:firstLine="482"/>
        <w:jc w:val="both"/>
        <w:spacing w:line="360" w:lineRule="auto"/>
        <w:rPr>
          <w:rFonts w:ascii="Times New Roman" w:hAnsi="Times New Roman" w:eastAsia="宋体" w:cs="Times New Roman"/>
          <w:bCs/>
          <w:color w:val="000000" w:themeColor="text1"/>
          <w:sz w:val="24"/>
          <w:szCs w:val="21"/>
          <w:highlight w:val="none"/>
          <w:lang w:eastAsia="zh-CN"/>
          <w14:textFill>
            <w14:solidFill>
              <w14:schemeClr w14:val="tx1"/>
            </w14:solidFill>
          </w14:textFill>
        </w:rPr>
      </w:pPr>
      <w:r>
        <w:rPr>
          <w:rFonts w:ascii="Times New Roman" w:hAnsi="Times New Roman" w:eastAsia="宋体" w:cs="Times New Roman"/>
          <w:bCs/>
          <w:color w:val="000000" w:themeColor="text1"/>
          <w:sz w:val="24"/>
          <w:szCs w:val="21"/>
          <w:highlight w:val="none"/>
          <w:lang w:eastAsia="zh-CN"/>
          <w14:textFill>
            <w14:solidFill>
              <w14:schemeClr w14:val="tx1"/>
            </w14:solidFill>
          </w14:textFill>
        </w:rPr>
        <w:t xml:space="preserve">我公司郑重声明：参加本次政府采购活动前 3 年内，我公司在经营活动中</w:t>
      </w:r>
      <w:r/>
    </w:p>
    <w:p>
      <w:pPr>
        <w:ind w:left="440" w:right="220"/>
        <w:spacing w:line="360" w:lineRule="auto"/>
        <w:rPr>
          <w:rFonts w:ascii="Times New Roman" w:hAnsi="Times New Roman" w:eastAsia="宋体" w:cs="Times New Roman"/>
          <w:bCs/>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(在下划线上如实填写：有或没有）</w:t>
      </w:r>
      <w:r>
        <w:rPr>
          <w:rFonts w:ascii="Times New Roman" w:hAnsi="Times New Roman" w:eastAsia="宋体" w:cs="Times New Roman"/>
          <w:bCs/>
          <w:color w:val="000000" w:themeColor="text1"/>
          <w:sz w:val="24"/>
          <w:szCs w:val="21"/>
          <w:highlight w:val="none"/>
          <w:lang w:eastAsia="zh-CN"/>
          <w14:textFill>
            <w14:solidFill>
              <w14:schemeClr w14:val="tx1"/>
            </w14:solidFill>
          </w14:textFill>
        </w:rPr>
        <w:t xml:space="preserve">因违法经营受到刑事处罚或者责令停产停业、吊销许可证或者执照、较大数额罚款等行政处罚。</w:t>
      </w:r>
      <w:r/>
    </w:p>
    <w:p>
      <w:pPr>
        <w:ind w:left="440" w:right="220" w:firstLine="482"/>
        <w:jc w:val="both"/>
        <w:spacing w:line="360" w:lineRule="auto"/>
        <w:rPr>
          <w:rFonts w:ascii="宋体" w:hAnsi="宋体" w:eastAsia="宋体" w:cs="Times New Roman"/>
          <w:bCs/>
          <w:color w:val="000000" w:themeColor="text1"/>
          <w:sz w:val="24"/>
          <w:szCs w:val="21"/>
          <w:highlight w:val="none"/>
          <w:lang w:eastAsia="zh-CN"/>
          <w14:textFill>
            <w14:solidFill>
              <w14:schemeClr w14:val="tx1"/>
            </w14:solidFill>
          </w14:textFill>
        </w:rPr>
      </w:pPr>
      <w:r>
        <w:rPr>
          <w:rFonts w:hint="eastAsia" w:ascii="宋体" w:hAnsi="宋体" w:eastAsia="宋体" w:cs="Times New Roman"/>
          <w:bCs/>
          <w:color w:val="000000" w:themeColor="text1"/>
          <w:sz w:val="24"/>
          <w:szCs w:val="21"/>
          <w:highlight w:val="none"/>
          <w:lang w:eastAsia="zh-CN"/>
          <w14:textFill>
            <w14:solidFill>
              <w14:schemeClr w14:val="tx1"/>
            </w14:solidFill>
          </w14:textFill>
        </w:rPr>
        <w:t xml:space="preserve">在</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响应截止时间节点，</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(在下划线上如实填写：有或没有）</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被“信用中国”</w:t>
      </w:r>
      <w:r>
        <w:rPr>
          <w:rFonts w:ascii="Times New Roman" w:hAnsi="Times New Roman" w:eastAsia="宋体" w:cs="Times New Roman"/>
          <w:color w:val="000000" w:themeColor="text1"/>
          <w:sz w:val="24"/>
          <w:szCs w:val="24"/>
          <w:highlight w:val="none"/>
          <w:lang w:eastAsia="zh-CN"/>
          <w14:textFill>
            <w14:solidFill>
              <w14:schemeClr w14:val="tx1"/>
            </w14:solidFill>
          </w14:textFill>
        </w:rPr>
        <w:t xml:space="preserve">（www.creditchina.gov.cn）</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、“中国政府采购网”</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eastAsia="宋体" w:cs="Times New Roman"/>
          <w:color w:val="000000" w:themeColor="text1"/>
          <w:sz w:val="24"/>
          <w:szCs w:val="24"/>
          <w:highlight w:val="none"/>
          <w:lang w:eastAsia="zh-CN"/>
          <w14:textFill>
            <w14:solidFill>
              <w14:schemeClr w14:val="tx1"/>
            </w14:solidFill>
          </w14:textFill>
        </w:rPr>
        <w:t xml:space="preserve">www.ccgp.gov.cn</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、“信用江苏”</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eastAsia="宋体" w:cs="Times New Roman"/>
          <w:color w:val="000000" w:themeColor="text1"/>
          <w:sz w:val="24"/>
          <w:szCs w:val="24"/>
          <w:highlight w:val="none"/>
          <w:lang w:eastAsia="zh-CN"/>
          <w14:textFill>
            <w14:solidFill>
              <w14:schemeClr w14:val="tx1"/>
            </w14:solidFill>
          </w14:textFill>
        </w:rPr>
        <w:t xml:space="preserve">www.jscredit.cn/index.htm</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网站列入失信被执行人、重大税收违法案件当事人名单、政府采购严重违法失信行为记录名单。</w:t>
      </w:r>
      <w:r/>
    </w:p>
    <w:p>
      <w:pPr>
        <w:ind w:left="440" w:right="220"/>
        <w:jc w:val="both"/>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ascii="宋体" w:hAnsi="宋体" w:eastAsia="宋体" w:cs="宋体"/>
          <w:color w:val="000000" w:themeColor="text1"/>
          <w:sz w:val="24"/>
          <w:szCs w:val="24"/>
          <w:highlight w:val="none"/>
          <w:lang w:eastAsia="zh-CN"/>
          <w14:textFill>
            <w14:solidFill>
              <w14:schemeClr w14:val="tx1"/>
            </w14:solidFill>
          </w14:textFill>
        </w:rPr>
      </w:r>
      <w:r/>
    </w:p>
    <w:p>
      <w:pPr>
        <w:ind w:left="440" w:right="220" w:firstLine="480"/>
        <w:jc w:val="right"/>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ind w:left="440" w:right="220" w:firstLine="480"/>
        <w:jc w:val="right"/>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ascii="宋体" w:hAnsi="宋体" w:eastAsia="宋体" w:cs="宋体"/>
          <w:color w:val="000000" w:themeColor="text1"/>
          <w:sz w:val="24"/>
          <w:szCs w:val="24"/>
          <w:highlight w:val="none"/>
          <w:lang w:eastAsia="zh-CN"/>
          <w14:textFill>
            <w14:solidFill>
              <w14:schemeClr w14:val="tx1"/>
            </w14:solidFill>
          </w14:textFill>
        </w:rPr>
      </w:r>
      <w:r/>
    </w:p>
    <w:p>
      <w:pPr>
        <w:ind w:left="440" w:right="220" w:firstLine="480"/>
        <w:jc w:val="right"/>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供应商：</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（加盖公章）</w:t>
      </w:r>
      <w:r/>
    </w:p>
    <w:p>
      <w:pPr>
        <w:ind w:left="440" w:right="220" w:firstLine="480"/>
        <w:jc w:val="right"/>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法定代表人或被授权人：</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（签字或盖章）</w:t>
      </w:r>
      <w:r/>
    </w:p>
    <w:p>
      <w:pPr>
        <w:ind w:left="440" w:right="220" w:firstLine="1320"/>
        <w:jc w:val="right"/>
        <w:spacing w:line="360" w:lineRule="auto"/>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年      月     日</w:t>
      </w:r>
      <w:r/>
    </w:p>
    <w:p>
      <w:pPr>
        <w:contextualSpacing/>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p>
      <w:pPr>
        <w:jc w:val="left"/>
        <w:spacing w:line="360" w:lineRule="auto"/>
        <w:widowControl/>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br w:type="page" w:clear="all"/>
      </w:r>
      <w:r/>
    </w:p>
    <w:p>
      <w:pPr>
        <w:contextualSpacing/>
        <w:spacing w:line="360" w:lineRule="auto"/>
        <w:rPr>
          <w:rFonts w:hint="eastAsia" w:ascii="仿宋" w:hAnsi="仿宋" w:eastAsia="仿宋" w:cs="Times New Roman"/>
          <w:color w:val="auto"/>
          <w:sz w:val="24"/>
          <w:szCs w:val="24"/>
          <w:highlight w:val="none"/>
          <w:lang w:eastAsia="zh-CN"/>
        </w:rPr>
      </w:pPr>
      <w:r>
        <w:rPr>
          <w:rFonts w:ascii="仿宋" w:hAnsi="仿宋" w:eastAsia="仿宋" w:cs="Times New Roman"/>
          <w:color w:val="auto"/>
          <w:sz w:val="24"/>
          <w:szCs w:val="24"/>
          <w:highlight w:val="none"/>
        </w:rPr>
        <w:t xml:space="preserve">附件</w:t>
      </w:r>
      <w:r>
        <w:rPr>
          <w:rFonts w:hint="eastAsia" w:ascii="仿宋" w:hAnsi="仿宋" w:eastAsia="仿宋" w:cs="Times New Roman"/>
          <w:color w:val="auto"/>
          <w:sz w:val="24"/>
          <w:szCs w:val="24"/>
          <w:highlight w:val="none"/>
          <w:lang w:val="en-US" w:eastAsia="zh-CN"/>
        </w:rPr>
        <w:t xml:space="preserve">6</w:t>
      </w:r>
      <w:r/>
    </w:p>
    <w:p>
      <w:pPr>
        <w:contextualSpacing/>
        <w:jc w:val="center"/>
        <w:spacing w:line="360" w:lineRule="auto"/>
        <w:rPr>
          <w:rFonts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t xml:space="preserve">商务部分正负偏离表</w:t>
      </w:r>
      <w:r/>
    </w:p>
    <w:p>
      <w:pPr>
        <w:ind w:firstLine="480"/>
        <w:jc w:val="center"/>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（由供应商据实填写，表格不够自行添加）</w:t>
      </w:r>
      <w:r/>
    </w:p>
    <w:tbl>
      <w:tblPr>
        <w:tblStyle w:val="847"/>
        <w:tblW w:w="87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2201"/>
        <w:gridCol w:w="1922"/>
        <w:gridCol w:w="2480"/>
        <w:gridCol w:w="1366"/>
      </w:tblGrid>
      <w:tr>
        <w:trPr>
          <w:trHeight w:val="994"/>
        </w:trPr>
        <w:tc>
          <w:tcPr>
            <w:tcW w:w="808" w:type="dxa"/>
            <w:vAlign w:val="center"/>
            <w:textDirection w:val="lrTb"/>
            <w:noWrap w:val="false"/>
          </w:tcPr>
          <w:p>
            <w:pPr>
              <w:jc w:val="center"/>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序号</w:t>
            </w:r>
            <w:r/>
          </w:p>
        </w:tc>
        <w:tc>
          <w:tcPr>
            <w:tcW w:w="2201" w:type="dxa"/>
            <w:vAlign w:val="center"/>
            <w:textDirection w:val="lrTb"/>
            <w:noWrap w:val="false"/>
          </w:tcPr>
          <w:p>
            <w:pPr>
              <w:jc w:val="center"/>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货物或服务名称</w:t>
            </w:r>
            <w:r/>
          </w:p>
        </w:tc>
        <w:tc>
          <w:tcPr>
            <w:tcW w:w="1922" w:type="dxa"/>
            <w:vAlign w:val="center"/>
            <w:textDirection w:val="lrTb"/>
            <w:noWrap w:val="false"/>
          </w:tcPr>
          <w:p>
            <w:pPr>
              <w:jc w:val="center"/>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磋商文件要求的商务条款</w:t>
            </w:r>
            <w:r/>
          </w:p>
        </w:tc>
        <w:tc>
          <w:tcPr>
            <w:tcW w:w="2480" w:type="dxa"/>
            <w:vAlign w:val="center"/>
            <w:textDirection w:val="lrTb"/>
            <w:noWrap w:val="false"/>
          </w:tcPr>
          <w:p>
            <w:pPr>
              <w:jc w:val="center"/>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响应文件响应情况</w:t>
            </w:r>
            <w:r/>
          </w:p>
        </w:tc>
        <w:tc>
          <w:tcPr>
            <w:tcW w:w="1366" w:type="dxa"/>
            <w:textDirection w:val="lrTb"/>
            <w:noWrap w:val="false"/>
          </w:tcPr>
          <w:p>
            <w:pPr>
              <w:jc w:val="center"/>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p>
            <w:pPr>
              <w:jc w:val="center"/>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偏离说明</w:t>
            </w:r>
            <w:r/>
          </w:p>
        </w:tc>
      </w:tr>
      <w:tr>
        <w:trPr>
          <w:trHeight w:val="531"/>
        </w:trPr>
        <w:tc>
          <w:tcPr>
            <w:tcW w:w="808" w:type="dxa"/>
            <w:textDirection w:val="lrTb"/>
            <w:noWrap w:val="false"/>
          </w:tcPr>
          <w:p>
            <w:pPr>
              <w:jc w:val="center"/>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w:t>
            </w:r>
            <w:r/>
          </w:p>
        </w:tc>
        <w:tc>
          <w:tcPr>
            <w:tcW w:w="2201" w:type="dxa"/>
            <w:vAlign w:val="center"/>
            <w:textDirection w:val="lrTb"/>
            <w:noWrap w:val="false"/>
          </w:tcPr>
          <w:p>
            <w:pPr>
              <w:jc w:val="left"/>
              <w:spacing w:line="360" w:lineRule="auto"/>
              <w:rPr>
                <w:rFonts w:hint="default" w:ascii="仿宋" w:hAnsi="仿宋" w:eastAsia="仿宋" w:cs="Times New Roman"/>
                <w:color w:val="auto"/>
                <w:sz w:val="24"/>
                <w:szCs w:val="24"/>
                <w:highlight w:val="none"/>
                <w:lang w:val="en-US" w:eastAsia="zh-CN"/>
              </w:rPr>
            </w:pPr>
            <w:r>
              <w:rPr>
                <w:rFonts w:hint="default" w:ascii="仿宋" w:hAnsi="仿宋" w:eastAsia="仿宋" w:cs="Times New Roman"/>
                <w:color w:val="auto"/>
                <w:sz w:val="24"/>
                <w:szCs w:val="24"/>
                <w:highlight w:val="none"/>
                <w:lang w:val="en-US" w:eastAsia="zh-CN"/>
              </w:rPr>
            </w:r>
            <w:r/>
          </w:p>
        </w:tc>
        <w:tc>
          <w:tcPr>
            <w:tcW w:w="1922" w:type="dxa"/>
            <w:vAlign w:val="center"/>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c>
          <w:tcPr>
            <w:tcW w:w="2480" w:type="dxa"/>
            <w:vAlign w:val="center"/>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c>
          <w:tcPr>
            <w:tcW w:w="1366" w:type="dxa"/>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r>
      <w:tr>
        <w:trPr>
          <w:trHeight w:val="548"/>
        </w:trPr>
        <w:tc>
          <w:tcPr>
            <w:tcW w:w="808" w:type="dxa"/>
            <w:textDirection w:val="lrTb"/>
            <w:noWrap w:val="false"/>
          </w:tcPr>
          <w:p>
            <w:pPr>
              <w:jc w:val="center"/>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p>
        </w:tc>
        <w:tc>
          <w:tcPr>
            <w:tcW w:w="2201" w:type="dxa"/>
            <w:vAlign w:val="center"/>
            <w:textDirection w:val="lrTb"/>
            <w:noWrap w:val="false"/>
          </w:tcPr>
          <w:p>
            <w:pPr>
              <w:jc w:val="left"/>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r>
            <w:r/>
          </w:p>
        </w:tc>
        <w:tc>
          <w:tcPr>
            <w:tcW w:w="1922" w:type="dxa"/>
            <w:vAlign w:val="center"/>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c>
          <w:tcPr>
            <w:tcW w:w="2480" w:type="dxa"/>
            <w:vAlign w:val="center"/>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c>
          <w:tcPr>
            <w:tcW w:w="1366" w:type="dxa"/>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r>
      <w:tr>
        <w:trPr>
          <w:trHeight w:val="400"/>
        </w:trPr>
        <w:tc>
          <w:tcPr>
            <w:tcW w:w="808" w:type="dxa"/>
            <w:textDirection w:val="lrTb"/>
            <w:noWrap w:val="false"/>
          </w:tcPr>
          <w:p>
            <w:pPr>
              <w:jc w:val="center"/>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3</w:t>
            </w:r>
            <w:r/>
          </w:p>
        </w:tc>
        <w:tc>
          <w:tcPr>
            <w:tcW w:w="2201" w:type="dxa"/>
            <w:vAlign w:val="center"/>
            <w:textDirection w:val="lrTb"/>
            <w:noWrap w:val="false"/>
          </w:tcPr>
          <w:p>
            <w:pPr>
              <w:jc w:val="left"/>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r>
            <w:r/>
          </w:p>
        </w:tc>
        <w:tc>
          <w:tcPr>
            <w:tcW w:w="1922" w:type="dxa"/>
            <w:vAlign w:val="center"/>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c>
          <w:tcPr>
            <w:tcW w:w="2480" w:type="dxa"/>
            <w:vAlign w:val="center"/>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c>
          <w:tcPr>
            <w:tcW w:w="1366" w:type="dxa"/>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r>
      <w:tr>
        <w:trPr>
          <w:trHeight w:val="419"/>
        </w:trPr>
        <w:tc>
          <w:tcPr>
            <w:tcW w:w="808" w:type="dxa"/>
            <w:textDirection w:val="lrTb"/>
            <w:noWrap w:val="false"/>
          </w:tcPr>
          <w:p>
            <w:pPr>
              <w:jc w:val="center"/>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w:t>
            </w:r>
            <w:r/>
          </w:p>
        </w:tc>
        <w:tc>
          <w:tcPr>
            <w:tcW w:w="2201" w:type="dxa"/>
            <w:vAlign w:val="center"/>
            <w:textDirection w:val="lrTb"/>
            <w:noWrap w:val="false"/>
          </w:tcPr>
          <w:p>
            <w:pPr>
              <w:jc w:val="left"/>
              <w:spacing w:line="360" w:lineRule="auto"/>
              <w:rPr>
                <w:rFonts w:hint="default" w:ascii="仿宋" w:hAnsi="仿宋" w:eastAsia="仿宋" w:cs="Times New Roman"/>
                <w:color w:val="auto"/>
                <w:sz w:val="24"/>
                <w:szCs w:val="24"/>
                <w:highlight w:val="none"/>
                <w:lang w:val="en-US" w:eastAsia="zh-CN"/>
              </w:rPr>
            </w:pPr>
            <w:r>
              <w:rPr>
                <w:rFonts w:hint="default" w:ascii="仿宋" w:hAnsi="仿宋" w:eastAsia="仿宋" w:cs="Times New Roman"/>
                <w:color w:val="auto"/>
                <w:sz w:val="24"/>
                <w:szCs w:val="24"/>
                <w:highlight w:val="none"/>
                <w:lang w:val="en-US" w:eastAsia="zh-CN"/>
              </w:rPr>
            </w:r>
            <w:r/>
          </w:p>
        </w:tc>
        <w:tc>
          <w:tcPr>
            <w:tcW w:w="1922" w:type="dxa"/>
            <w:vAlign w:val="center"/>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c>
          <w:tcPr>
            <w:tcW w:w="2480" w:type="dxa"/>
            <w:vAlign w:val="center"/>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c>
          <w:tcPr>
            <w:tcW w:w="1366" w:type="dxa"/>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r>
      <w:tr>
        <w:trPr>
          <w:trHeight w:val="419"/>
        </w:trPr>
        <w:tc>
          <w:tcPr>
            <w:tcW w:w="808" w:type="dxa"/>
            <w:textDirection w:val="lrTb"/>
            <w:noWrap w:val="false"/>
          </w:tcPr>
          <w:p>
            <w:pPr>
              <w:jc w:val="center"/>
              <w:spacing w:line="360"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2201" w:type="dxa"/>
            <w:vAlign w:val="center"/>
            <w:textDirection w:val="lrTb"/>
            <w:noWrap w:val="false"/>
          </w:tcPr>
          <w:p>
            <w:pPr>
              <w:jc w:val="left"/>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r>
            <w:r/>
          </w:p>
        </w:tc>
        <w:tc>
          <w:tcPr>
            <w:tcW w:w="1922" w:type="dxa"/>
            <w:vAlign w:val="center"/>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c>
          <w:tcPr>
            <w:tcW w:w="2480" w:type="dxa"/>
            <w:vAlign w:val="center"/>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c>
          <w:tcPr>
            <w:tcW w:w="1366" w:type="dxa"/>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r>
    </w:tbl>
    <w:p>
      <w:pPr>
        <w:contextualSpacing/>
        <w:spacing w:line="360" w:lineRule="auto"/>
        <w:rPr>
          <w:rFonts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t xml:space="preserve">注：</w:t>
      </w:r>
      <w:r/>
    </w:p>
    <w:p>
      <w:pPr>
        <w:contextualSpacing/>
        <w:ind w:firstLine="480"/>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供应商提交的响应文件中与磋商文件第三部分“项目需求”中的商务部分的要求，应逐条填列在偏离表中。</w:t>
      </w:r>
      <w:r/>
    </w:p>
    <w:p>
      <w:pPr>
        <w:contextualSpacing/>
        <w:ind w:firstLine="480"/>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 “偏离说明”一栏选择“正偏离”、“无偏离”、“负偏离”进行填写。正偏离、无偏离的确认和负偏离的是否响应招标文件，由评委认定。</w:t>
      </w:r>
      <w:r/>
    </w:p>
    <w:p>
      <w:pPr>
        <w:contextualSpacing/>
        <w:ind w:firstLine="480"/>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3</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供应商如果虚假响应，将被暂停参加采购人或招标代理机构组织采购活动。</w:t>
      </w:r>
      <w:r/>
    </w:p>
    <w:p>
      <w:pPr>
        <w:contextualSpacing/>
        <w:ind w:firstLine="480"/>
        <w:spacing w:line="360" w:lineRule="auto"/>
        <w:rPr>
          <w:rFonts w:ascii="仿宋" w:hAnsi="仿宋" w:eastAsia="仿宋" w:cs="Times New Roman"/>
          <w:bCs/>
          <w:color w:val="auto"/>
          <w:sz w:val="24"/>
          <w:szCs w:val="24"/>
          <w:highlight w:val="none"/>
        </w:rPr>
      </w:pPr>
      <w:r>
        <w:rPr>
          <w:rFonts w:hint="eastAsia" w:ascii="仿宋" w:hAnsi="仿宋" w:eastAsia="仿宋" w:cs="Times New Roman"/>
          <w:bCs/>
          <w:color w:val="auto"/>
          <w:sz w:val="24"/>
          <w:szCs w:val="24"/>
          <w:highlight w:val="none"/>
        </w:rPr>
        <w:t xml:space="preserve">4</w:t>
      </w:r>
      <w:r>
        <w:rPr>
          <w:rFonts w:hint="eastAsia" w:ascii="仿宋" w:hAnsi="仿宋" w:eastAsia="仿宋" w:cs="Times New Roman"/>
          <w:bCs/>
          <w:color w:val="auto"/>
          <w:sz w:val="24"/>
          <w:szCs w:val="24"/>
          <w:highlight w:val="none"/>
          <w:lang w:eastAsia="zh-CN"/>
        </w:rPr>
        <w:t xml:space="preserve">、</w:t>
      </w:r>
      <w:r>
        <w:rPr>
          <w:rFonts w:hint="eastAsia" w:ascii="仿宋" w:hAnsi="仿宋" w:eastAsia="仿宋" w:cs="Times New Roman"/>
          <w:bCs/>
          <w:color w:val="auto"/>
          <w:sz w:val="24"/>
          <w:szCs w:val="24"/>
          <w:highlight w:val="none"/>
        </w:rPr>
        <w:t xml:space="preserve">供应商若提供其他增值服务，可以在表中自行据实填写。</w:t>
      </w:r>
      <w:r/>
    </w:p>
    <w:p>
      <w:pPr>
        <w:jc w:val="left"/>
        <w:spacing w:line="360" w:lineRule="auto"/>
        <w:widowControl/>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br w:type="page" w:clear="all"/>
      </w:r>
      <w:r/>
    </w:p>
    <w:p>
      <w:pPr>
        <w:contextualSpacing/>
        <w:spacing w:line="360" w:lineRule="auto"/>
        <w:rPr>
          <w:rFonts w:hint="eastAsia" w:ascii="仿宋" w:hAnsi="仿宋" w:eastAsia="仿宋" w:cs="Times New Roman"/>
          <w:color w:val="auto"/>
          <w:sz w:val="24"/>
          <w:szCs w:val="24"/>
          <w:highlight w:val="none"/>
          <w:lang w:eastAsia="zh-CN"/>
        </w:rPr>
      </w:pPr>
      <w:r>
        <w:rPr>
          <w:rFonts w:ascii="仿宋" w:hAnsi="仿宋" w:eastAsia="仿宋" w:cs="Times New Roman"/>
          <w:color w:val="auto"/>
          <w:sz w:val="24"/>
          <w:szCs w:val="24"/>
          <w:highlight w:val="none"/>
        </w:rPr>
        <w:t xml:space="preserve">附件</w:t>
      </w:r>
      <w:r>
        <w:rPr>
          <w:rFonts w:hint="eastAsia" w:ascii="仿宋" w:hAnsi="仿宋" w:eastAsia="仿宋" w:cs="Times New Roman"/>
          <w:color w:val="auto"/>
          <w:sz w:val="24"/>
          <w:szCs w:val="24"/>
          <w:highlight w:val="none"/>
          <w:lang w:val="en-US" w:eastAsia="zh-CN"/>
        </w:rPr>
        <w:t xml:space="preserve">7</w:t>
      </w:r>
      <w:r/>
    </w:p>
    <w:p>
      <w:pPr>
        <w:contextualSpacing/>
        <w:jc w:val="center"/>
        <w:spacing w:line="360" w:lineRule="auto"/>
        <w:rPr>
          <w:rFonts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t xml:space="preserve">技术部分正负偏离表</w:t>
      </w:r>
      <w:r/>
    </w:p>
    <w:p>
      <w:pPr>
        <w:ind w:firstLine="480"/>
        <w:jc w:val="center"/>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（由供应商据实填写，表格不够自行添加）</w:t>
      </w:r>
      <w:r/>
    </w:p>
    <w:tbl>
      <w:tblPr>
        <w:tblStyle w:val="847"/>
        <w:tblW w:w="87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2201"/>
        <w:gridCol w:w="1922"/>
        <w:gridCol w:w="2480"/>
        <w:gridCol w:w="1366"/>
      </w:tblGrid>
      <w:tr>
        <w:trPr>
          <w:trHeight w:val="994"/>
        </w:trPr>
        <w:tc>
          <w:tcPr>
            <w:tcW w:w="808" w:type="dxa"/>
            <w:vAlign w:val="center"/>
            <w:textDirection w:val="lrTb"/>
            <w:noWrap w:val="false"/>
          </w:tcPr>
          <w:p>
            <w:pPr>
              <w:jc w:val="center"/>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序号</w:t>
            </w:r>
            <w:r/>
          </w:p>
        </w:tc>
        <w:tc>
          <w:tcPr>
            <w:tcW w:w="2201" w:type="dxa"/>
            <w:vAlign w:val="center"/>
            <w:textDirection w:val="lrTb"/>
            <w:noWrap w:val="false"/>
          </w:tcPr>
          <w:p>
            <w:pPr>
              <w:jc w:val="center"/>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货物或服务名称</w:t>
            </w:r>
            <w:r/>
          </w:p>
        </w:tc>
        <w:tc>
          <w:tcPr>
            <w:tcW w:w="1922" w:type="dxa"/>
            <w:vAlign w:val="center"/>
            <w:textDirection w:val="lrTb"/>
            <w:noWrap w:val="false"/>
          </w:tcPr>
          <w:p>
            <w:pPr>
              <w:jc w:val="center"/>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磋商文件要求的技术要求</w:t>
            </w:r>
            <w:r/>
          </w:p>
        </w:tc>
        <w:tc>
          <w:tcPr>
            <w:tcW w:w="2480" w:type="dxa"/>
            <w:vAlign w:val="center"/>
            <w:textDirection w:val="lrTb"/>
            <w:noWrap w:val="false"/>
          </w:tcPr>
          <w:p>
            <w:pPr>
              <w:jc w:val="center"/>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响应文件响应情况</w:t>
            </w:r>
            <w:r/>
          </w:p>
        </w:tc>
        <w:tc>
          <w:tcPr>
            <w:tcW w:w="1366" w:type="dxa"/>
            <w:textDirection w:val="lrTb"/>
            <w:noWrap w:val="false"/>
          </w:tcPr>
          <w:p>
            <w:pPr>
              <w:jc w:val="center"/>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p>
            <w:pPr>
              <w:jc w:val="center"/>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偏离说明</w:t>
            </w:r>
            <w:r/>
          </w:p>
        </w:tc>
      </w:tr>
      <w:tr>
        <w:trPr>
          <w:trHeight w:val="414"/>
        </w:trPr>
        <w:tc>
          <w:tcPr>
            <w:tcW w:w="808" w:type="dxa"/>
            <w:textDirection w:val="lrTb"/>
            <w:noWrap w:val="false"/>
          </w:tcPr>
          <w:p>
            <w:pPr>
              <w:jc w:val="center"/>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w:t>
            </w:r>
            <w:r/>
          </w:p>
        </w:tc>
        <w:tc>
          <w:tcPr>
            <w:tcW w:w="2201" w:type="dxa"/>
            <w:vAlign w:val="center"/>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c>
          <w:tcPr>
            <w:tcW w:w="1922" w:type="dxa"/>
            <w:vAlign w:val="center"/>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c>
          <w:tcPr>
            <w:tcW w:w="2480" w:type="dxa"/>
            <w:vAlign w:val="center"/>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c>
          <w:tcPr>
            <w:tcW w:w="1366" w:type="dxa"/>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r>
      <w:tr>
        <w:trPr>
          <w:trHeight w:val="548"/>
        </w:trPr>
        <w:tc>
          <w:tcPr>
            <w:tcW w:w="808" w:type="dxa"/>
            <w:textDirection w:val="lrTb"/>
            <w:noWrap w:val="false"/>
          </w:tcPr>
          <w:p>
            <w:pPr>
              <w:jc w:val="center"/>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p>
        </w:tc>
        <w:tc>
          <w:tcPr>
            <w:tcW w:w="2201" w:type="dxa"/>
            <w:vAlign w:val="center"/>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c>
          <w:tcPr>
            <w:tcW w:w="1922" w:type="dxa"/>
            <w:vAlign w:val="center"/>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c>
          <w:tcPr>
            <w:tcW w:w="2480" w:type="dxa"/>
            <w:vAlign w:val="center"/>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c>
          <w:tcPr>
            <w:tcW w:w="1366" w:type="dxa"/>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r>
      <w:tr>
        <w:trPr>
          <w:trHeight w:val="400"/>
        </w:trPr>
        <w:tc>
          <w:tcPr>
            <w:tcW w:w="808" w:type="dxa"/>
            <w:textDirection w:val="lrTb"/>
            <w:noWrap w:val="false"/>
          </w:tcPr>
          <w:p>
            <w:pPr>
              <w:jc w:val="center"/>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3</w:t>
            </w:r>
            <w:r/>
          </w:p>
        </w:tc>
        <w:tc>
          <w:tcPr>
            <w:tcW w:w="2201" w:type="dxa"/>
            <w:vAlign w:val="center"/>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c>
          <w:tcPr>
            <w:tcW w:w="1922" w:type="dxa"/>
            <w:vAlign w:val="center"/>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c>
          <w:tcPr>
            <w:tcW w:w="2480" w:type="dxa"/>
            <w:vAlign w:val="center"/>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c>
          <w:tcPr>
            <w:tcW w:w="1366" w:type="dxa"/>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r>
      <w:tr>
        <w:trPr>
          <w:trHeight w:val="419"/>
        </w:trPr>
        <w:tc>
          <w:tcPr>
            <w:tcW w:w="808" w:type="dxa"/>
            <w:textDirection w:val="lrTb"/>
            <w:noWrap w:val="false"/>
          </w:tcPr>
          <w:p>
            <w:pPr>
              <w:jc w:val="center"/>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4</w:t>
            </w:r>
            <w:r/>
          </w:p>
        </w:tc>
        <w:tc>
          <w:tcPr>
            <w:tcW w:w="2201" w:type="dxa"/>
            <w:vAlign w:val="center"/>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c>
          <w:tcPr>
            <w:tcW w:w="1922" w:type="dxa"/>
            <w:vAlign w:val="center"/>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c>
          <w:tcPr>
            <w:tcW w:w="2480" w:type="dxa"/>
            <w:vAlign w:val="center"/>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c>
          <w:tcPr>
            <w:tcW w:w="1366" w:type="dxa"/>
            <w:textDirection w:val="lrTb"/>
            <w:noWrap w:val="false"/>
          </w:tcPr>
          <w:p>
            <w:pPr>
              <w:jc w:val="left"/>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tc>
      </w:tr>
    </w:tbl>
    <w:p>
      <w:pPr>
        <w:contextualSpacing/>
        <w:spacing w:line="360" w:lineRule="auto"/>
        <w:rPr>
          <w:rFonts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t xml:space="preserve">注：</w:t>
      </w:r>
      <w:r/>
    </w:p>
    <w:p>
      <w:pPr>
        <w:contextualSpacing/>
        <w:ind w:firstLine="480"/>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供应商提交的响应文件中与磋商文件第三部分“项目需求”中的技术部分的要求，应逐条填列在偏离表中。</w:t>
      </w:r>
      <w:r/>
    </w:p>
    <w:p>
      <w:pPr>
        <w:contextualSpacing/>
        <w:ind w:firstLine="480"/>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“偏离说明”一栏选择“正偏离”、“无偏离”、“负偏离”进行填写。正偏离、无偏离的确认和负偏离的是否响应招标文件，由评委认定。</w:t>
      </w:r>
      <w:r/>
    </w:p>
    <w:p>
      <w:pPr>
        <w:contextualSpacing/>
        <w:ind w:firstLine="480"/>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3</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供应商如果虚假响应，将被暂停参加采购人或招标代理机构组织采购活动。</w:t>
      </w:r>
      <w:r/>
    </w:p>
    <w:p>
      <w:pPr>
        <w:contextualSpacing/>
        <w:ind w:firstLine="480"/>
        <w:spacing w:line="360" w:lineRule="auto"/>
        <w:rPr>
          <w:rFonts w:ascii="仿宋" w:hAnsi="仿宋" w:eastAsia="仿宋" w:cs="Times New Roman"/>
          <w:bCs/>
          <w:color w:val="auto"/>
          <w:sz w:val="24"/>
          <w:szCs w:val="24"/>
          <w:highlight w:val="none"/>
        </w:rPr>
      </w:pPr>
      <w:r>
        <w:rPr>
          <w:rFonts w:hint="eastAsia" w:ascii="仿宋" w:hAnsi="仿宋" w:eastAsia="仿宋" w:cs="Times New Roman"/>
          <w:bCs/>
          <w:color w:val="auto"/>
          <w:sz w:val="24"/>
          <w:szCs w:val="24"/>
          <w:highlight w:val="none"/>
        </w:rPr>
        <w:t xml:space="preserve">4</w:t>
      </w:r>
      <w:r>
        <w:rPr>
          <w:rFonts w:hint="eastAsia" w:ascii="仿宋" w:hAnsi="仿宋" w:eastAsia="仿宋" w:cs="Times New Roman"/>
          <w:bCs/>
          <w:color w:val="auto"/>
          <w:sz w:val="24"/>
          <w:szCs w:val="24"/>
          <w:highlight w:val="none"/>
          <w:lang w:eastAsia="zh-CN"/>
        </w:rPr>
        <w:t xml:space="preserve">、</w:t>
      </w:r>
      <w:r>
        <w:rPr>
          <w:rFonts w:hint="eastAsia" w:ascii="仿宋" w:hAnsi="仿宋" w:eastAsia="仿宋" w:cs="Times New Roman"/>
          <w:bCs/>
          <w:color w:val="auto"/>
          <w:sz w:val="24"/>
          <w:szCs w:val="24"/>
          <w:highlight w:val="none"/>
        </w:rPr>
        <w:t xml:space="preserve">供应商若提供其他增值服务，可以在表中自行据实填写。</w:t>
      </w:r>
      <w:r/>
    </w:p>
    <w:p>
      <w:pPr>
        <w:jc w:val="left"/>
        <w:spacing w:line="360" w:lineRule="auto"/>
        <w:widowControl/>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br w:type="page" w:clear="all"/>
      </w:r>
      <w:r/>
    </w:p>
    <w:p>
      <w:pPr>
        <w:contextualSpacing/>
        <w:spacing w:line="360" w:lineRule="auto"/>
        <w:rPr>
          <w:rFonts w:hint="eastAsia" w:ascii="仿宋" w:hAnsi="仿宋" w:eastAsia="仿宋" w:cs="Times New Roman"/>
          <w:color w:val="auto"/>
          <w:sz w:val="24"/>
          <w:szCs w:val="24"/>
          <w:highlight w:val="none"/>
          <w:lang w:eastAsia="zh-CN"/>
        </w:rPr>
      </w:pPr>
      <w:r>
        <w:rPr>
          <w:rFonts w:ascii="仿宋" w:hAnsi="仿宋" w:eastAsia="仿宋" w:cs="Times New Roman"/>
          <w:color w:val="auto"/>
          <w:sz w:val="24"/>
          <w:szCs w:val="24"/>
          <w:highlight w:val="none"/>
        </w:rPr>
        <w:t xml:space="preserve">附件</w:t>
      </w:r>
      <w:r>
        <w:rPr>
          <w:rFonts w:hint="eastAsia" w:ascii="仿宋" w:hAnsi="仿宋" w:eastAsia="仿宋" w:cs="Times New Roman"/>
          <w:color w:val="auto"/>
          <w:sz w:val="24"/>
          <w:szCs w:val="24"/>
          <w:highlight w:val="none"/>
          <w:lang w:val="en-US" w:eastAsia="zh-CN"/>
        </w:rPr>
        <w:t xml:space="preserve">8</w:t>
      </w:r>
      <w:r/>
    </w:p>
    <w:p>
      <w:pPr>
        <w:jc w:val="center"/>
        <w:spacing w:line="360" w:lineRule="auto"/>
        <w:widowControl/>
        <w:rPr>
          <w:rFonts w:ascii="仿宋" w:hAnsi="仿宋" w:eastAsia="仿宋" w:cs="宋体"/>
          <w:color w:val="auto"/>
          <w:sz w:val="24"/>
          <w:szCs w:val="24"/>
          <w:highlight w:val="none"/>
        </w:rPr>
      </w:pPr>
      <w:r>
        <w:rPr>
          <w:rFonts w:hint="eastAsia" w:ascii="仿宋" w:hAnsi="仿宋" w:eastAsia="仿宋" w:cs="宋体"/>
          <w:b/>
          <w:bCs/>
          <w:color w:val="auto"/>
          <w:sz w:val="24"/>
          <w:szCs w:val="24"/>
          <w:highlight w:val="none"/>
        </w:rPr>
        <w:t xml:space="preserve">报价总表</w:t>
      </w:r>
      <w:r/>
    </w:p>
    <w:p>
      <w:pPr>
        <w:spacing w:line="360" w:lineRule="auto"/>
        <w:rPr>
          <w:rFonts w:ascii="仿宋" w:hAnsi="仿宋" w:eastAsia="仿宋" w:cs="宋体"/>
          <w:color w:val="auto"/>
          <w:sz w:val="24"/>
          <w:szCs w:val="24"/>
          <w:highlight w:val="none"/>
          <w:u w:val="single"/>
        </w:rPr>
      </w:pPr>
      <w:r>
        <w:rPr>
          <w:rFonts w:ascii="仿宋" w:hAnsi="仿宋" w:eastAsia="仿宋" w:cs="宋体"/>
          <w:color w:val="auto"/>
          <w:sz w:val="24"/>
          <w:szCs w:val="24"/>
          <w:highlight w:val="none"/>
        </w:rPr>
        <w:t xml:space="preserve">供应商全称（加盖公章）：</w:t>
      </w:r>
      <w:r/>
    </w:p>
    <w:p>
      <w:pPr>
        <w:spacing w:line="360" w:lineRule="auto"/>
        <w:rPr>
          <w:rFonts w:ascii="仿宋" w:hAnsi="仿宋" w:eastAsia="仿宋" w:cs="宋体"/>
          <w:color w:val="auto"/>
          <w:sz w:val="24"/>
          <w:szCs w:val="24"/>
          <w:highlight w:val="none"/>
          <w:u w:val="single"/>
        </w:rPr>
      </w:pPr>
      <w:r>
        <w:rPr>
          <w:rFonts w:ascii="仿宋" w:hAnsi="仿宋" w:eastAsia="仿宋" w:cs="宋体"/>
          <w:color w:val="auto"/>
          <w:sz w:val="24"/>
          <w:szCs w:val="24"/>
          <w:highlight w:val="none"/>
        </w:rPr>
        <w:t xml:space="preserve">项目名称：</w:t>
      </w:r>
      <w:r/>
    </w:p>
    <w:p>
      <w:pPr>
        <w:spacing w:line="360" w:lineRule="auto"/>
        <w:rPr>
          <w:rFonts w:ascii="仿宋" w:hAnsi="仿宋" w:eastAsia="仿宋" w:cs="宋体"/>
          <w:color w:val="auto"/>
          <w:sz w:val="24"/>
          <w:szCs w:val="24"/>
          <w:highlight w:val="none"/>
        </w:rPr>
      </w:pPr>
      <w:r>
        <w:rPr>
          <w:rFonts w:ascii="仿宋" w:hAnsi="仿宋" w:eastAsia="仿宋" w:cs="宋体"/>
          <w:color w:val="auto"/>
          <w:sz w:val="24"/>
          <w:szCs w:val="24"/>
          <w:highlight w:val="none"/>
        </w:rPr>
        <w:t xml:space="preserve">项目编号：</w:t>
      </w:r>
      <w:r/>
    </w:p>
    <w:p>
      <w:pPr>
        <w:pStyle w:val="860"/>
        <w:rPr>
          <w:rFonts w:ascii="仿宋" w:hAnsi="仿宋" w:eastAsia="仿宋" w:cs="宋体"/>
          <w:color w:val="auto"/>
          <w:sz w:val="24"/>
          <w:szCs w:val="24"/>
          <w:highlight w:val="none"/>
        </w:rPr>
      </w:pPr>
      <w:r>
        <w:rPr>
          <w:rFonts w:ascii="仿宋" w:hAnsi="仿宋" w:eastAsia="仿宋" w:cs="宋体"/>
          <w:color w:val="auto"/>
          <w:sz w:val="24"/>
          <w:szCs w:val="24"/>
          <w:highlight w:val="none"/>
        </w:rPr>
      </w:r>
      <w:r/>
    </w:p>
    <w:tbl>
      <w:tblPr>
        <w:tblStyle w:val="847"/>
        <w:tblW w:w="875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56"/>
        <w:gridCol w:w="5997"/>
      </w:tblGrid>
      <w:tr>
        <w:trPr>
          <w:jc w:val="center"/>
          <w:trHeight w:val="684"/>
        </w:trPr>
        <w:tc>
          <w:tcPr>
            <w:tcW w:w="2756" w:type="dxa"/>
            <w:vAlign w:val="center"/>
            <w:textDirection w:val="lrTb"/>
            <w:noWrap w:val="false"/>
          </w:tcPr>
          <w:p>
            <w:pPr>
              <w:jc w:val="center"/>
              <w:spacing w:line="520" w:lineRule="exact"/>
              <w:rPr>
                <w:rFonts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项目名称</w:t>
            </w:r>
            <w:r/>
          </w:p>
        </w:tc>
        <w:tc>
          <w:tcPr>
            <w:tcW w:w="5997" w:type="dxa"/>
            <w:vAlign w:val="center"/>
            <w:textDirection w:val="lrTb"/>
            <w:noWrap w:val="false"/>
          </w:tcPr>
          <w:p>
            <w:pPr>
              <w:jc w:val="both"/>
              <w:spacing w:line="520" w:lineRule="exact"/>
              <w:rPr>
                <w:rFonts w:ascii="宋体" w:hAnsi="宋体" w:eastAsia="宋体" w:cs="Times New Roman"/>
                <w:strike/>
                <w:color w:val="000000" w:themeColor="text1"/>
                <w:sz w:val="24"/>
                <w:szCs w:val="24"/>
                <w:highlight w:val="none"/>
                <w:lang w:eastAsia="zh-CN"/>
                <w14:textFill>
                  <w14:solidFill>
                    <w14:schemeClr w14:val="tx1"/>
                  </w14:solidFill>
                </w14:textFill>
              </w:rPr>
            </w:pPr>
            <w:r>
              <w:rPr>
                <w:rFonts w:ascii="宋体" w:hAnsi="宋体" w:eastAsia="宋体" w:cs="Times New Roman"/>
                <w:strike/>
                <w:color w:val="000000" w:themeColor="text1"/>
                <w:sz w:val="24"/>
                <w:szCs w:val="24"/>
                <w:highlight w:val="none"/>
                <w:lang w:eastAsia="zh-CN"/>
                <w14:textFill>
                  <w14:solidFill>
                    <w14:schemeClr w14:val="tx1"/>
                  </w14:solidFill>
                </w14:textFill>
              </w:rPr>
            </w:r>
            <w:r/>
          </w:p>
        </w:tc>
      </w:tr>
      <w:tr>
        <w:trPr>
          <w:jc w:val="center"/>
          <w:trHeight w:val="1100"/>
        </w:trPr>
        <w:tc>
          <w:tcPr>
            <w:tcW w:w="2756" w:type="dxa"/>
            <w:vAlign w:val="center"/>
            <w:textDirection w:val="lrTb"/>
            <w:noWrap w:val="false"/>
          </w:tcPr>
          <w:p>
            <w:pPr>
              <w:jc w:val="center"/>
              <w:spacing w:line="520" w:lineRule="exact"/>
              <w:rPr>
                <w:rFonts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磋商报价总计</w:t>
            </w:r>
            <w:r/>
          </w:p>
        </w:tc>
        <w:tc>
          <w:tcPr>
            <w:tcW w:w="5997" w:type="dxa"/>
            <w:vAlign w:val="center"/>
            <w:textDirection w:val="lrTb"/>
            <w:noWrap w:val="false"/>
          </w:tcPr>
          <w:p>
            <w:pPr>
              <w:jc w:val="both"/>
              <w:spacing w:line="52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元，人民币大写：</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bl>
    <w:p>
      <w:pPr>
        <w:pStyle w:val="859"/>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rPr>
          <w:color w:val="auto"/>
          <w:highlight w:val="none"/>
        </w:rPr>
      </w:pPr>
      <w:r>
        <w:rPr>
          <w:color w:val="auto"/>
          <w:highlight w:val="none"/>
        </w:rPr>
      </w:r>
      <w:r/>
    </w:p>
    <w:p>
      <w:pPr>
        <w:spacing w:line="360" w:lineRule="auto"/>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spacing w:line="360" w:lineRule="auto"/>
        <w:rPr>
          <w:rFonts w:ascii="仿宋" w:hAnsi="仿宋" w:eastAsia="仿宋" w:cs="宋体"/>
          <w:color w:val="auto"/>
          <w:sz w:val="24"/>
          <w:szCs w:val="24"/>
          <w:highlight w:val="none"/>
        </w:rPr>
      </w:pPr>
      <w:r>
        <w:rPr>
          <w:rFonts w:ascii="仿宋" w:hAnsi="仿宋" w:eastAsia="仿宋" w:cs="宋体"/>
          <w:color w:val="auto"/>
          <w:sz w:val="24"/>
          <w:szCs w:val="24"/>
          <w:highlight w:val="none"/>
        </w:rPr>
        <w:t xml:space="preserve">日期：</w:t>
      </w:r>
      <w:r/>
    </w:p>
    <w:p>
      <w:pPr>
        <w:spacing w:line="360" w:lineRule="auto"/>
        <w:rPr>
          <w:rFonts w:ascii="仿宋" w:hAnsi="仿宋" w:eastAsia="仿宋" w:cs="宋体"/>
          <w:color w:val="auto"/>
          <w:sz w:val="24"/>
          <w:szCs w:val="24"/>
          <w:highlight w:val="none"/>
        </w:rPr>
      </w:pPr>
      <w:r>
        <w:rPr>
          <w:rFonts w:ascii="仿宋" w:hAnsi="仿宋" w:eastAsia="仿宋" w:cs="宋体"/>
          <w:color w:val="auto"/>
          <w:sz w:val="24"/>
          <w:szCs w:val="24"/>
          <w:highlight w:val="none"/>
        </w:rPr>
        <w:t xml:space="preserve">填写说明：</w:t>
      </w:r>
      <w:r/>
    </w:p>
    <w:p>
      <w:pPr>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w:t>
      </w:r>
      <w:r>
        <w:rPr>
          <w:rFonts w:ascii="仿宋" w:hAnsi="仿宋" w:eastAsia="仿宋" w:cs="宋体"/>
          <w:color w:val="auto"/>
          <w:sz w:val="24"/>
          <w:szCs w:val="24"/>
          <w:highlight w:val="none"/>
        </w:rPr>
        <w:t xml:space="preserve">、</w:t>
      </w:r>
      <w:r>
        <w:rPr>
          <w:rFonts w:hint="eastAsia" w:ascii="仿宋" w:hAnsi="仿宋" w:eastAsia="仿宋" w:cs="宋体"/>
          <w:color w:val="auto"/>
          <w:sz w:val="24"/>
          <w:szCs w:val="24"/>
          <w:highlight w:val="none"/>
        </w:rPr>
        <w:t xml:space="preserve">报价总表</w:t>
      </w:r>
      <w:r>
        <w:rPr>
          <w:rFonts w:ascii="仿宋" w:hAnsi="仿宋" w:eastAsia="仿宋" w:cs="宋体"/>
          <w:color w:val="auto"/>
          <w:sz w:val="24"/>
          <w:szCs w:val="24"/>
          <w:highlight w:val="none"/>
        </w:rPr>
        <w:t xml:space="preserve">必须加盖</w:t>
      </w:r>
      <w:r>
        <w:rPr>
          <w:rFonts w:hint="eastAsia" w:ascii="仿宋" w:hAnsi="仿宋" w:eastAsia="仿宋" w:cs="宋体"/>
          <w:color w:val="auto"/>
          <w:sz w:val="24"/>
          <w:szCs w:val="24"/>
          <w:highlight w:val="none"/>
        </w:rPr>
        <w:t xml:space="preserve">供应商</w:t>
      </w:r>
      <w:r>
        <w:rPr>
          <w:rFonts w:ascii="仿宋" w:hAnsi="仿宋" w:eastAsia="仿宋" w:cs="宋体"/>
          <w:color w:val="auto"/>
          <w:sz w:val="24"/>
          <w:szCs w:val="24"/>
          <w:highlight w:val="none"/>
        </w:rPr>
        <w:t xml:space="preserve">公章。</w:t>
      </w:r>
      <w:r/>
    </w:p>
    <w:p>
      <w:pPr>
        <w:contextualSpacing/>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p>
      <w:pPr>
        <w:contextualSpacing/>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p>
      <w:pPr>
        <w:contextualSpacing/>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p>
      <w:pPr>
        <w:contextualSpacing/>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p>
      <w:pPr>
        <w:contextualSpacing/>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p>
      <w:pPr>
        <w:contextualSpacing/>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p>
      <w:pPr>
        <w:contextualSpacing/>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p>
      <w:pPr>
        <w:contextualSpacing/>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p>
      <w:pPr>
        <w:contextualSpacing/>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p>
      <w:pPr>
        <w:contextualSpacing/>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p>
      <w:pPr>
        <w:contextualSpacing w:val="0"/>
        <w:spacing w:line="24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br w:type="page" w:clear="all"/>
      </w:r>
      <w:r/>
    </w:p>
    <w:p>
      <w:pPr>
        <w:contextualSpacing/>
        <w:spacing w:line="360" w:lineRule="auto"/>
        <w:rPr>
          <w:rFonts w:hint="eastAsia" w:ascii="仿宋" w:hAnsi="仿宋" w:eastAsia="仿宋" w:cs="Times New Roman"/>
          <w:color w:val="auto"/>
          <w:sz w:val="24"/>
          <w:szCs w:val="24"/>
          <w:highlight w:val="none"/>
          <w:lang w:eastAsia="zh-CN"/>
        </w:rPr>
      </w:pPr>
      <w:r>
        <w:rPr>
          <w:rFonts w:ascii="仿宋" w:hAnsi="仿宋" w:eastAsia="仿宋" w:cs="Times New Roman"/>
          <w:color w:val="auto"/>
          <w:sz w:val="24"/>
          <w:szCs w:val="24"/>
          <w:highlight w:val="none"/>
        </w:rPr>
        <w:t xml:space="preserve">附件</w:t>
      </w:r>
      <w:r>
        <w:rPr>
          <w:rFonts w:hint="eastAsia" w:ascii="仿宋" w:hAnsi="仿宋" w:eastAsia="仿宋" w:cs="Times New Roman"/>
          <w:color w:val="auto"/>
          <w:sz w:val="24"/>
          <w:szCs w:val="24"/>
          <w:highlight w:val="none"/>
          <w:lang w:val="en-US" w:eastAsia="zh-CN"/>
        </w:rPr>
        <w:t xml:space="preserve">9</w:t>
      </w:r>
      <w:r/>
    </w:p>
    <w:p>
      <w:pPr>
        <w:jc w:val="center"/>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 xml:space="preserve">分项报价明细表</w:t>
      </w:r>
      <w:r/>
    </w:p>
    <w:p>
      <w:pPr>
        <w:jc w:val="center"/>
        <w:rPr>
          <w:rFonts w:hint="eastAsia" w:ascii="仿宋" w:hAnsi="仿宋" w:eastAsia="仿宋" w:cs="仿宋"/>
          <w:b/>
          <w:bCs/>
          <w:color w:val="auto"/>
          <w:sz w:val="24"/>
          <w:szCs w:val="24"/>
          <w:highlight w:val="none"/>
        </w:rPr>
      </w:pPr>
      <w:r/>
      <w:bookmarkStart w:id="95" w:name="_GoBack"/>
      <w:r/>
      <w:bookmarkEnd w:id="95"/>
      <w:r/>
      <w:r/>
    </w:p>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bl>
      <w:tblPr>
        <w:tblStyle w:val="847"/>
        <w:tblW w:w="900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403"/>
        <w:gridCol w:w="1955"/>
        <w:gridCol w:w="1954"/>
        <w:gridCol w:w="1955"/>
        <w:gridCol w:w="1"/>
      </w:tblGrid>
      <w:tr>
        <w:trPr>
          <w:jc w:val="center"/>
          <w:trHeight w:val="900"/>
        </w:trPr>
        <w:tc>
          <w:tcPr>
            <w:tcW w:w="735" w:type="dxa"/>
            <w:vAlign w:val="center"/>
            <w:textDirection w:val="lrTb"/>
            <w:noWrap w:val="false"/>
          </w:tcPr>
          <w:p>
            <w:pPr>
              <w:jc w:val="center"/>
              <w:spacing w:line="480" w:lineRule="exact"/>
              <w:rPr>
                <w:rFonts w:asciiTheme="minorEastAsia" w:hAnsiTheme="minorEastAsia" w:eastAsiaTheme="minorEastAsia"/>
                <w:bCs/>
                <w:color w:val="000000" w:themeColor="text1"/>
                <w:sz w:val="24"/>
                <w:szCs w:val="24"/>
                <w:highlight w:val="none"/>
                <w:lang w:eastAsia="zh-CN"/>
                <w14:textFill>
                  <w14:solidFill>
                    <w14:schemeClr w14:val="tx1"/>
                  </w14:solidFill>
                </w14:textFill>
              </w:rPr>
            </w:pPr>
            <w:r>
              <w:rPr>
                <w:rFonts w:cs="Times New Roman" w:asciiTheme="minorEastAsia" w:hAnsiTheme="minorEastAsia" w:eastAsiaTheme="minorEastAsia"/>
                <w:b/>
                <w:color w:val="000000" w:themeColor="text1"/>
                <w:sz w:val="24"/>
                <w:szCs w:val="24"/>
                <w:highlight w:val="none"/>
                <w:lang w:eastAsia="zh-CN"/>
                <w14:textFill>
                  <w14:solidFill>
                    <w14:schemeClr w14:val="tx1"/>
                  </w14:solidFill>
                </w14:textFill>
              </w:rPr>
              <w:br w:type="page" w:clear="all"/>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序号</w:t>
            </w:r>
            <w:r/>
          </w:p>
        </w:tc>
        <w:tc>
          <w:tcPr>
            <w:tcW w:w="2403" w:type="dxa"/>
            <w:vAlign w:val="center"/>
            <w:textDirection w:val="lrTb"/>
            <w:noWrap w:val="false"/>
          </w:tcPr>
          <w:p>
            <w:pPr>
              <w:jc w:val="center"/>
              <w:spacing w:line="480" w:lineRule="exact"/>
              <w:rPr>
                <w:rFonts w:asciiTheme="minorEastAsia" w:hAnsiTheme="minorEastAsia" w:eastAsiaTheme="minorEastAsia"/>
                <w:bCs/>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名 称</w:t>
            </w:r>
            <w:r/>
          </w:p>
        </w:tc>
        <w:tc>
          <w:tcPr>
            <w:tcW w:w="1955" w:type="dxa"/>
            <w:vAlign w:val="center"/>
            <w:textDirection w:val="lrTb"/>
            <w:noWrap w:val="false"/>
          </w:tcPr>
          <w:p>
            <w:pPr>
              <w:jc w:val="center"/>
              <w:spacing w:line="480" w:lineRule="exact"/>
              <w:rPr>
                <w:rFonts w:hint="default" w:asciiTheme="minorEastAsia" w:hAnsiTheme="minorEastAsia" w:eastAsia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举办城市</w:t>
            </w:r>
            <w:r/>
          </w:p>
        </w:tc>
        <w:tc>
          <w:tcPr>
            <w:tcW w:w="1954" w:type="dxa"/>
            <w:vAlign w:val="center"/>
            <w:textDirection w:val="lrTb"/>
            <w:noWrap w:val="false"/>
          </w:tcPr>
          <w:p>
            <w:pPr>
              <w:jc w:val="center"/>
              <w:spacing w:line="48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投标报价（万元）</w:t>
            </w:r>
            <w:r/>
          </w:p>
        </w:tc>
        <w:tc>
          <w:tcPr>
            <w:gridSpan w:val="2"/>
            <w:tcW w:w="1956" w:type="dxa"/>
            <w:vAlign w:val="center"/>
            <w:textDirection w:val="lrTb"/>
            <w:noWrap w:val="false"/>
          </w:tcPr>
          <w:p>
            <w:pPr>
              <w:jc w:val="center"/>
              <w:spacing w:line="48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备注</w:t>
            </w:r>
            <w:r/>
          </w:p>
        </w:tc>
      </w:tr>
      <w:tr>
        <w:trPr>
          <w:jc w:val="center"/>
          <w:trHeight w:val="1293"/>
        </w:trPr>
        <w:tc>
          <w:tcPr>
            <w:tcW w:w="735" w:type="dxa"/>
            <w:vAlign w:val="center"/>
            <w:textDirection w:val="lrTb"/>
            <w:noWrap w:val="false"/>
          </w:tcPr>
          <w:p>
            <w:pPr>
              <w:jc w:val="center"/>
              <w:spacing w:line="48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1</w:t>
            </w:r>
            <w:r/>
          </w:p>
        </w:tc>
        <w:tc>
          <w:tcPr>
            <w:tcW w:w="2403" w:type="dxa"/>
            <w:vAlign w:val="center"/>
            <w:textDirection w:val="lrTb"/>
            <w:noWrap w:val="false"/>
          </w:tcPr>
          <w:p>
            <w:pPr>
              <w:spacing w:line="360" w:lineRule="auto"/>
              <w:widowControl/>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auto"/>
                <w:sz w:val="24"/>
                <w:szCs w:val="24"/>
                <w:highlight w:val="none"/>
                <w:lang w:eastAsia="zh-CN"/>
              </w:rPr>
              <w:t xml:space="preserve">第五届江海英才创新创业大赛创新区子项暨第四届紫琅湖未来产业创新创业大赛</w:t>
            </w:r>
            <w:r>
              <w:rPr>
                <w:rFonts w:hint="eastAsia" w:ascii="宋体" w:hAnsi="宋体" w:eastAsia="宋体" w:cs="宋体"/>
                <w:b w:val="0"/>
                <w:bCs/>
                <w:color w:val="auto"/>
                <w:sz w:val="24"/>
                <w:szCs w:val="24"/>
                <w:highlight w:val="none"/>
                <w:lang w:val="en-US" w:eastAsia="zh-CN"/>
              </w:rPr>
              <w:t xml:space="preserve">3场境内城市分站创业周活动</w:t>
            </w:r>
            <w:r/>
          </w:p>
        </w:tc>
        <w:tc>
          <w:tcPr>
            <w:tcW w:w="1955" w:type="dxa"/>
            <w:vAlign w:val="center"/>
            <w:textDirection w:val="lrTb"/>
            <w:noWrap w:val="false"/>
          </w:tcPr>
          <w:p>
            <w:pPr>
              <w:jc w:val="center"/>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auto"/>
                <w:sz w:val="24"/>
                <w:szCs w:val="24"/>
                <w:highlight w:val="none"/>
                <w:lang w:eastAsia="zh-CN"/>
              </w:rPr>
              <w:t xml:space="preserve">上海、深圳、</w:t>
            </w:r>
            <w:r>
              <w:rPr>
                <w:rFonts w:hint="eastAsia" w:ascii="宋体" w:hAnsi="宋体" w:eastAsia="宋体" w:cs="宋体"/>
                <w:b w:val="0"/>
                <w:bCs/>
                <w:color w:val="auto"/>
                <w:sz w:val="24"/>
                <w:szCs w:val="24"/>
                <w:highlight w:val="none"/>
                <w:lang w:val="en-US" w:eastAsia="zh-CN"/>
              </w:rPr>
              <w:t xml:space="preserve">成都</w:t>
            </w:r>
            <w:r/>
          </w:p>
        </w:tc>
        <w:tc>
          <w:tcPr>
            <w:tcW w:w="1954" w:type="dxa"/>
            <w:vAlign w:val="center"/>
            <w:textDirection w:val="lrTb"/>
            <w:noWrap w:val="false"/>
          </w:tcPr>
          <w:p>
            <w:pPr>
              <w:jc w:val="center"/>
              <w:spacing w:line="48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asciiTheme="minorEastAsia" w:hAnsiTheme="minorEastAsia" w:eastAsiaTheme="minorEastAsia"/>
                <w:color w:val="000000" w:themeColor="text1"/>
                <w:sz w:val="24"/>
                <w:szCs w:val="24"/>
                <w:highlight w:val="none"/>
                <w:lang w:eastAsia="zh-CN"/>
                <w14:textFill>
                  <w14:solidFill>
                    <w14:schemeClr w14:val="tx1"/>
                  </w14:solidFill>
                </w14:textFill>
              </w:rPr>
            </w:r>
            <w:r/>
          </w:p>
        </w:tc>
        <w:tc>
          <w:tcPr>
            <w:gridSpan w:val="2"/>
            <w:tcW w:w="1956" w:type="dxa"/>
            <w:vAlign w:val="center"/>
            <w:vMerge w:val="restart"/>
            <w:textDirection w:val="lrTb"/>
            <w:noWrap w:val="false"/>
          </w:tcPr>
          <w:p>
            <w:pPr>
              <w:jc w:val="center"/>
              <w:spacing w:line="48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各分项报价均不可超过各分项最高限价，若超过，作无效标处理。</w:t>
            </w:r>
            <w:r/>
          </w:p>
        </w:tc>
      </w:tr>
      <w:tr>
        <w:trPr>
          <w:jc w:val="center"/>
          <w:trHeight w:val="1293"/>
        </w:trPr>
        <w:tc>
          <w:tcPr>
            <w:tcW w:w="735" w:type="dxa"/>
            <w:vAlign w:val="center"/>
            <w:textDirection w:val="lrTb"/>
            <w:noWrap w:val="false"/>
          </w:tcPr>
          <w:p>
            <w:pPr>
              <w:jc w:val="center"/>
              <w:spacing w:line="48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2</w:t>
            </w:r>
            <w:r/>
          </w:p>
        </w:tc>
        <w:tc>
          <w:tcPr>
            <w:tcW w:w="2403" w:type="dxa"/>
            <w:vAlign w:val="center"/>
            <w:textDirection w:val="lrTb"/>
            <w:noWrap w:val="false"/>
          </w:tcPr>
          <w:p>
            <w:pPr>
              <w:spacing w:line="360" w:lineRule="auto"/>
              <w:widowControl/>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auto"/>
                <w:sz w:val="24"/>
                <w:szCs w:val="24"/>
                <w:highlight w:val="none"/>
                <w:lang w:eastAsia="zh-CN"/>
              </w:rPr>
              <w:t xml:space="preserve">第五届江海英才创新创业大赛创新区子项暨第四届紫琅湖未来产业创新创业大赛</w:t>
            </w:r>
            <w:r>
              <w:rPr>
                <w:rFonts w:hint="eastAsia" w:ascii="宋体" w:hAnsi="宋体" w:eastAsia="宋体" w:cs="宋体"/>
                <w:b w:val="0"/>
                <w:bCs/>
                <w:color w:val="auto"/>
                <w:sz w:val="24"/>
                <w:szCs w:val="24"/>
                <w:highlight w:val="none"/>
                <w:lang w:val="en-US" w:eastAsia="zh-CN"/>
              </w:rPr>
              <w:t xml:space="preserve">1场境外城市分站活动</w:t>
            </w:r>
            <w:r/>
          </w:p>
        </w:tc>
        <w:tc>
          <w:tcPr>
            <w:tcW w:w="1955" w:type="dxa"/>
            <w:vAlign w:val="center"/>
            <w:textDirection w:val="lrTb"/>
            <w:noWrap w:val="false"/>
          </w:tcPr>
          <w:p>
            <w:pPr>
              <w:jc w:val="center"/>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auto"/>
                <w:sz w:val="24"/>
                <w:szCs w:val="24"/>
                <w:highlight w:val="none"/>
                <w:lang w:val="en-US" w:eastAsia="zh-CN"/>
              </w:rPr>
              <w:t xml:space="preserve">香港（或其他境外城市）</w:t>
            </w:r>
            <w:r/>
          </w:p>
        </w:tc>
        <w:tc>
          <w:tcPr>
            <w:tcW w:w="1954" w:type="dxa"/>
            <w:vAlign w:val="center"/>
            <w:textDirection w:val="lrTb"/>
            <w:noWrap w:val="false"/>
          </w:tcPr>
          <w:p>
            <w:pPr>
              <w:jc w:val="center"/>
              <w:spacing w:line="48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asciiTheme="minorEastAsia" w:hAnsiTheme="minorEastAsia" w:eastAsiaTheme="minorEastAsia"/>
                <w:color w:val="000000" w:themeColor="text1"/>
                <w:sz w:val="24"/>
                <w:szCs w:val="24"/>
                <w:highlight w:val="none"/>
                <w:lang w:eastAsia="zh-CN"/>
                <w14:textFill>
                  <w14:solidFill>
                    <w14:schemeClr w14:val="tx1"/>
                  </w14:solidFill>
                </w14:textFill>
              </w:rPr>
            </w:r>
            <w:r/>
          </w:p>
        </w:tc>
        <w:tc>
          <w:tcPr>
            <w:gridSpan w:val="2"/>
            <w:tcW w:w="1956" w:type="dxa"/>
            <w:vMerge w:val="continue"/>
            <w:textDirection w:val="lrTb"/>
            <w:noWrap w:val="false"/>
          </w:tcPr>
          <w:p>
            <w:pPr>
              <w:jc w:val="center"/>
              <w:spacing w:line="48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asciiTheme="minorEastAsia" w:hAnsiTheme="minorEastAsia" w:eastAsiaTheme="minorEastAsia"/>
                <w:color w:val="000000" w:themeColor="text1"/>
                <w:sz w:val="24"/>
                <w:szCs w:val="24"/>
                <w:highlight w:val="none"/>
                <w:lang w:eastAsia="zh-CN"/>
                <w14:textFill>
                  <w14:solidFill>
                    <w14:schemeClr w14:val="tx1"/>
                  </w14:solidFill>
                </w14:textFill>
              </w:rPr>
            </w:r>
            <w:r/>
          </w:p>
        </w:tc>
      </w:tr>
      <w:tr>
        <w:trPr>
          <w:jc w:val="center"/>
          <w:trHeight w:val="1293"/>
        </w:trPr>
        <w:tc>
          <w:tcPr>
            <w:tcW w:w="735" w:type="dxa"/>
            <w:vAlign w:val="center"/>
            <w:textDirection w:val="lrTb"/>
            <w:noWrap w:val="false"/>
          </w:tcPr>
          <w:p>
            <w:pPr>
              <w:jc w:val="center"/>
              <w:spacing w:line="48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3</w:t>
            </w:r>
            <w:r/>
          </w:p>
        </w:tc>
        <w:tc>
          <w:tcPr>
            <w:tcW w:w="2403" w:type="dxa"/>
            <w:vAlign w:val="center"/>
            <w:textDirection w:val="lrTb"/>
            <w:noWrap w:val="false"/>
          </w:tcPr>
          <w:p>
            <w:pPr>
              <w:spacing w:line="360" w:lineRule="auto"/>
              <w:widowControl/>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auto"/>
                <w:sz w:val="24"/>
                <w:szCs w:val="24"/>
                <w:highlight w:val="none"/>
                <w:lang w:eastAsia="zh-CN"/>
              </w:rPr>
              <w:t xml:space="preserve">决赛活动组织服务</w:t>
            </w:r>
            <w:r/>
          </w:p>
        </w:tc>
        <w:tc>
          <w:tcPr>
            <w:tcW w:w="1955" w:type="dxa"/>
            <w:vAlign w:val="center"/>
            <w:textDirection w:val="lrTb"/>
            <w:noWrap w:val="false"/>
          </w:tcPr>
          <w:p>
            <w:pPr>
              <w:jc w:val="center"/>
              <w:spacing w:line="480" w:lineRule="exact"/>
              <w:rPr>
                <w:rFonts w:hint="eastAsia" w:ascii="宋体" w:hAnsi="宋体" w:eastAsia="宋体" w:cs="宋体"/>
                <w:color w:val="000000" w:themeColor="text1"/>
                <w:sz w:val="24"/>
                <w:szCs w:val="24"/>
                <w:highlight w:val="none"/>
                <w:lang w:eastAsia="zh-Hans"/>
                <w14:textFill>
                  <w14:solidFill>
                    <w14:schemeClr w14:val="tx1"/>
                  </w14:solidFill>
                </w14:textFill>
              </w:rPr>
            </w:pPr>
            <w:r>
              <w:rPr>
                <w:rFonts w:hint="eastAsia" w:ascii="宋体" w:hAnsi="宋体" w:eastAsia="宋体" w:cs="宋体"/>
                <w:b w:val="0"/>
                <w:bCs/>
                <w:color w:val="auto"/>
                <w:sz w:val="24"/>
                <w:szCs w:val="24"/>
                <w:highlight w:val="none"/>
                <w:lang w:val="en-US" w:eastAsia="zh-CN"/>
              </w:rPr>
              <w:t xml:space="preserve">南通</w:t>
            </w:r>
            <w:r/>
          </w:p>
        </w:tc>
        <w:tc>
          <w:tcPr>
            <w:tcW w:w="1954" w:type="dxa"/>
            <w:vAlign w:val="center"/>
            <w:textDirection w:val="lrTb"/>
            <w:noWrap w:val="false"/>
          </w:tcPr>
          <w:p>
            <w:pPr>
              <w:jc w:val="center"/>
              <w:spacing w:line="480" w:lineRule="exact"/>
              <w:rPr>
                <w:rFonts w:asciiTheme="minorEastAsia" w:hAnsiTheme="minorEastAsia" w:eastAsiaTheme="minorEastAsia"/>
                <w:color w:val="000000" w:themeColor="text1"/>
                <w:sz w:val="24"/>
                <w:szCs w:val="24"/>
                <w:highlight w:val="none"/>
                <w:lang w:eastAsia="zh-Hans"/>
                <w14:textFill>
                  <w14:solidFill>
                    <w14:schemeClr w14:val="tx1"/>
                  </w14:solidFill>
                </w14:textFill>
              </w:rPr>
            </w:pPr>
            <w:r>
              <w:rPr>
                <w:rFonts w:asciiTheme="minorEastAsia" w:hAnsiTheme="minorEastAsia" w:eastAsiaTheme="minorEastAsia"/>
                <w:color w:val="000000" w:themeColor="text1"/>
                <w:sz w:val="24"/>
                <w:szCs w:val="24"/>
                <w:highlight w:val="none"/>
                <w:lang w:eastAsia="zh-Hans"/>
                <w14:textFill>
                  <w14:solidFill>
                    <w14:schemeClr w14:val="tx1"/>
                  </w14:solidFill>
                </w14:textFill>
              </w:rPr>
            </w:r>
            <w:r/>
          </w:p>
        </w:tc>
        <w:tc>
          <w:tcPr>
            <w:gridSpan w:val="2"/>
            <w:tcW w:w="1956" w:type="dxa"/>
            <w:vMerge w:val="continue"/>
            <w:textDirection w:val="lrTb"/>
            <w:noWrap w:val="false"/>
          </w:tcPr>
          <w:p>
            <w:pPr>
              <w:jc w:val="center"/>
              <w:spacing w:line="48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asciiTheme="minorEastAsia" w:hAnsiTheme="minorEastAsia" w:eastAsiaTheme="minorEastAsia"/>
                <w:color w:val="000000" w:themeColor="text1"/>
                <w:sz w:val="24"/>
                <w:szCs w:val="24"/>
                <w:highlight w:val="none"/>
                <w:lang w:eastAsia="zh-CN"/>
                <w14:textFill>
                  <w14:solidFill>
                    <w14:schemeClr w14:val="tx1"/>
                  </w14:solidFill>
                </w14:textFill>
              </w:rPr>
            </w:r>
            <w:r/>
          </w:p>
        </w:tc>
      </w:tr>
      <w:tr>
        <w:trPr>
          <w:gridAfter w:val="1"/>
          <w:jc w:val="center"/>
          <w:trHeight w:val="1293"/>
        </w:trPr>
        <w:tc>
          <w:tcPr>
            <w:gridSpan w:val="5"/>
            <w:tcW w:w="9002" w:type="dxa"/>
            <w:vAlign w:val="center"/>
            <w:textDirection w:val="lrTb"/>
            <w:noWrap w:val="false"/>
          </w:tcPr>
          <w:p>
            <w:pPr>
              <w:ind w:firstLine="1440"/>
              <w:jc w:val="both"/>
              <w:spacing w:line="48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合计：</w:t>
            </w:r>
            <w:r>
              <w:rPr>
                <w:rFonts w:hint="eastAsia" w:asciiTheme="minorEastAsia" w:hAnsiTheme="minorEastAsia" w:eastAsiaTheme="minorEastAsia"/>
                <w:color w:val="000000" w:themeColor="text1"/>
                <w:sz w:val="24"/>
                <w:szCs w:val="24"/>
                <w:highlight w:val="none"/>
                <w:u w:val="single"/>
                <w:lang w:eastAsia="zh-CN"/>
                <w14:textFill>
                  <w14:solidFill>
                    <w14:schemeClr w14:val="tx1"/>
                  </w14:solidFill>
                </w14:textFill>
              </w:rPr>
              <w:t xml:space="preserve"> </w:t>
            </w:r>
            <w:r>
              <w:rPr>
                <w:rFonts w:asciiTheme="minorEastAsia" w:hAnsiTheme="minorEastAsia" w:eastAsiaTheme="minorEastAsia"/>
                <w:color w:val="000000" w:themeColor="text1"/>
                <w:sz w:val="24"/>
                <w:szCs w:val="24"/>
                <w:highlight w:val="none"/>
                <w:u w:val="single"/>
                <w:lang w:eastAsia="zh-CN"/>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（万元） </w:t>
            </w:r>
            <w:r>
              <w:rPr>
                <w:rFonts w:asciiTheme="minorEastAsia" w:hAnsiTheme="minorEastAsia" w:eastAsiaTheme="minorEastAsia"/>
                <w:color w:val="000000" w:themeColor="text1"/>
                <w:sz w:val="24"/>
                <w:szCs w:val="24"/>
                <w:highlight w:val="none"/>
                <w:lang w:eastAsia="zh-CN"/>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大写：</w:t>
            </w:r>
            <w:r>
              <w:rPr>
                <w:rFonts w:hint="eastAsia" w:asciiTheme="minorEastAsia" w:hAnsiTheme="minorEastAsia" w:eastAsiaTheme="minorEastAsia"/>
                <w:color w:val="000000" w:themeColor="text1"/>
                <w:sz w:val="24"/>
                <w:szCs w:val="24"/>
                <w:highlight w:val="none"/>
                <w:u w:val="single"/>
                <w:lang w:eastAsia="zh-CN"/>
                <w14:textFill>
                  <w14:solidFill>
                    <w14:schemeClr w14:val="tx1"/>
                  </w14:solidFill>
                </w14:textFill>
              </w:rPr>
              <w:t xml:space="preserve"> </w:t>
            </w:r>
            <w:r>
              <w:rPr>
                <w:rFonts w:asciiTheme="minorEastAsia" w:hAnsiTheme="minorEastAsia" w:eastAsiaTheme="minorEastAsia"/>
                <w:color w:val="000000" w:themeColor="text1"/>
                <w:sz w:val="24"/>
                <w:szCs w:val="24"/>
                <w:highlight w:val="none"/>
                <w:u w:val="single"/>
                <w:lang w:eastAsia="zh-CN"/>
                <w14:textFill>
                  <w14:solidFill>
                    <w14:schemeClr w14:val="tx1"/>
                  </w14:solidFill>
                </w14:textFill>
              </w:rPr>
              <w:t xml:space="preserve">          </w:t>
            </w:r>
            <w:r/>
          </w:p>
        </w:tc>
      </w:tr>
    </w:tbl>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left="440" w:right="220"/>
        <w:jc w:val="both"/>
        <w:spacing w:line="360" w:lineRule="auto"/>
        <w:rPr>
          <w:rFonts w:asciiTheme="minorEastAsia" w:hAnsiTheme="minorEastAsia" w:eastAsiaTheme="minorEastAsia"/>
          <w:b/>
          <w:color w:val="000000" w:themeColor="text1"/>
          <w:sz w:val="24"/>
          <w:highlight w:val="none"/>
          <w:lang w:eastAsia="zh-CN"/>
          <w14:textFill>
            <w14:solidFill>
              <w14:schemeClr w14:val="tx1"/>
            </w14:solidFill>
          </w14:textFill>
        </w:rPr>
      </w:pPr>
      <w:r>
        <w:rPr>
          <w:rFonts w:hint="eastAsia" w:asciiTheme="minorEastAsia" w:hAnsiTheme="minorEastAsia" w:eastAsiaTheme="minorEastAsia"/>
          <w:b/>
          <w:color w:val="000000" w:themeColor="text1"/>
          <w:sz w:val="24"/>
          <w:highlight w:val="none"/>
          <w:lang w:eastAsia="zh-CN"/>
          <w14:textFill>
            <w14:solidFill>
              <w14:schemeClr w14:val="tx1"/>
            </w14:solidFill>
          </w14:textFill>
        </w:rPr>
        <w:t xml:space="preserve">价格构成或报价要求：</w:t>
      </w:r>
      <w:r/>
    </w:p>
    <w:p>
      <w:pPr>
        <w:ind w:left="440" w:right="220"/>
        <w:jc w:val="both"/>
        <w:spacing w:line="360" w:lineRule="auto"/>
        <w:rPr>
          <w:rFonts w:asciiTheme="minorEastAsia" w:hAnsiTheme="minorEastAsia" w:eastAsia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highlight w:val="none"/>
          <w:lang w:eastAsia="zh-CN"/>
          <w14:textFill>
            <w14:solidFill>
              <w14:schemeClr w14:val="tx1"/>
            </w14:solidFill>
          </w14:textFill>
        </w:rPr>
        <w:t xml:space="preserve">1、本表为格式表，不得自行改动，必须提供。</w:t>
      </w:r>
      <w:r/>
    </w:p>
    <w:p>
      <w:pPr>
        <w:ind w:left="440" w:right="220"/>
        <w:jc w:val="both"/>
        <w:spacing w:line="360" w:lineRule="auto"/>
        <w:rPr>
          <w:rFonts w:asciiTheme="minorEastAsia" w:hAnsiTheme="minorEastAsia" w:eastAsiaTheme="minorEastAsia"/>
          <w:color w:val="000000" w:themeColor="text1"/>
          <w:sz w:val="24"/>
          <w:highlight w:val="none"/>
          <w:lang w:eastAsia="zh-CN"/>
          <w14:textFill>
            <w14:solidFill>
              <w14:schemeClr w14:val="tx1"/>
            </w14:solidFill>
          </w14:textFill>
        </w:rPr>
      </w:pPr>
      <w:r>
        <w:rPr>
          <w:rFonts w:asciiTheme="minorEastAsia" w:hAnsiTheme="minorEastAsia" w:eastAsiaTheme="minorEastAsia"/>
          <w:color w:val="000000" w:themeColor="text1"/>
          <w:sz w:val="24"/>
          <w:highlight w:val="none"/>
          <w:lang w:eastAsia="zh-CN"/>
          <w14:textFill>
            <w14:solidFill>
              <w14:schemeClr w14:val="tx1"/>
            </w14:solidFill>
          </w14:textFill>
        </w:rPr>
        <w:t xml:space="preserve">2</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 xml:space="preserve">、响应单位的报价（人民币）按单项报价，报价（以人民币计价）应包括完成该项工作所需的服务管理内容、合同价格包括人员费（含周末及节假日加班费）、交通费、办公设备费、专家评审、食宿费、风险费、保险费、税金、利润等政策性文件规定及合同包含的所有风险、责任等各项应有费用，即招标服务周期结束前的所有费用且包含响应磋商文件采购要求的所有费用。</w:t>
      </w:r>
      <w:r/>
    </w:p>
    <w:p>
      <w:pPr>
        <w:spacing w:line="240" w:lineRule="auto"/>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spacing w:line="360" w:lineRule="auto"/>
        <w:rPr>
          <w:rFonts w:hint="default" w:ascii="仿宋" w:hAnsi="仿宋" w:eastAsia="仿宋" w:cs="宋体"/>
          <w:color w:val="auto"/>
          <w:sz w:val="24"/>
          <w:szCs w:val="24"/>
          <w:highlight w:val="none"/>
          <w:lang w:val="en-US" w:eastAsia="zh-CN"/>
        </w:rPr>
      </w:pPr>
      <w:r>
        <w:rPr>
          <w:rFonts w:ascii="仿宋" w:hAnsi="仿宋" w:eastAsia="仿宋" w:cs="宋体"/>
          <w:color w:val="auto"/>
          <w:sz w:val="24"/>
          <w:szCs w:val="24"/>
          <w:highlight w:val="none"/>
        </w:rPr>
        <w:t xml:space="preserve">附件</w:t>
      </w:r>
      <w:r>
        <w:rPr>
          <w:rFonts w:hint="eastAsia" w:ascii="仿宋" w:hAnsi="仿宋" w:eastAsia="仿宋" w:cs="宋体"/>
          <w:color w:val="auto"/>
          <w:sz w:val="24"/>
          <w:szCs w:val="24"/>
          <w:highlight w:val="none"/>
          <w:lang w:val="en-US" w:eastAsia="zh-CN"/>
        </w:rPr>
        <w:t xml:space="preserve">10</w:t>
      </w:r>
      <w:r/>
    </w:p>
    <w:p>
      <w:pPr>
        <w:jc w:val="center"/>
        <w:spacing w:line="360" w:lineRule="auto"/>
        <w:rPr>
          <w:rFonts w:ascii="仿宋" w:hAnsi="仿宋" w:eastAsia="仿宋" w:cs="Times New Roman"/>
          <w:b/>
          <w:bCs/>
          <w:color w:val="auto"/>
          <w:sz w:val="24"/>
          <w:szCs w:val="24"/>
          <w:highlight w:val="none"/>
          <w:lang w:bidi="zh-CN"/>
        </w:rPr>
      </w:pPr>
      <w:r>
        <w:rPr>
          <w:rFonts w:ascii="仿宋" w:hAnsi="仿宋" w:eastAsia="仿宋" w:cs="Times New Roman"/>
          <w:b/>
          <w:bCs/>
          <w:color w:val="auto"/>
          <w:sz w:val="24"/>
          <w:szCs w:val="24"/>
          <w:highlight w:val="none"/>
          <w:lang w:bidi="zh-CN"/>
        </w:rPr>
        <w:t xml:space="preserve">中小企业声明函（货物）</w:t>
      </w:r>
      <w:r/>
    </w:p>
    <w:p>
      <w:pPr>
        <w:ind w:firstLine="480"/>
        <w:jc w:val="left"/>
        <w:spacing w:line="360" w:lineRule="auto"/>
        <w:rPr>
          <w:rFonts w:ascii="仿宋" w:hAnsi="仿宋" w:eastAsia="仿宋" w:cs="Times New Roman"/>
          <w:color w:val="auto"/>
          <w:sz w:val="24"/>
          <w:szCs w:val="24"/>
          <w:highlight w:val="none"/>
          <w:lang w:bidi="zh-CN"/>
        </w:rPr>
      </w:pPr>
      <w:r>
        <w:rPr>
          <w:rFonts w:ascii="仿宋" w:hAnsi="仿宋" w:eastAsia="仿宋" w:cs="Times New Roman"/>
          <w:color w:val="auto"/>
          <w:sz w:val="24"/>
          <w:szCs w:val="24"/>
          <w:highlight w:val="none"/>
          <w:lang w:bidi="zh-CN"/>
        </w:rPr>
        <w:t xml:space="preserve">本公司（联合体）郑重声明，根据《政府采购促进中小企业发展管理办法》（财库</w:t>
      </w:r>
      <w:r>
        <w:rPr>
          <w:rFonts w:hint="eastAsia" w:ascii="仿宋" w:hAnsi="仿宋" w:eastAsia="仿宋" w:cs="Times New Roman"/>
          <w:color w:val="auto"/>
          <w:sz w:val="24"/>
          <w:szCs w:val="24"/>
          <w:highlight w:val="none"/>
          <w:lang w:bidi="zh-CN"/>
        </w:rPr>
        <w:t xml:space="preserve">﹝</w:t>
      </w:r>
      <w:r>
        <w:rPr>
          <w:rFonts w:ascii="仿宋" w:hAnsi="仿宋" w:eastAsia="仿宋" w:cs="Times New Roman"/>
          <w:color w:val="auto"/>
          <w:sz w:val="24"/>
          <w:szCs w:val="24"/>
          <w:highlight w:val="none"/>
          <w:lang w:bidi="zh-CN"/>
        </w:rPr>
        <w:t xml:space="preserve">2020</w:t>
      </w:r>
      <w:r>
        <w:rPr>
          <w:rFonts w:hint="eastAsia" w:ascii="仿宋" w:hAnsi="仿宋" w:eastAsia="仿宋" w:cs="Times New Roman"/>
          <w:color w:val="auto"/>
          <w:sz w:val="24"/>
          <w:szCs w:val="24"/>
          <w:highlight w:val="none"/>
          <w:lang w:bidi="zh-CN"/>
        </w:rPr>
        <w:t xml:space="preserve">﹞</w:t>
      </w:r>
      <w:r>
        <w:rPr>
          <w:rFonts w:ascii="仿宋" w:hAnsi="仿宋" w:eastAsia="仿宋" w:cs="Times New Roman"/>
          <w:color w:val="auto"/>
          <w:sz w:val="24"/>
          <w:szCs w:val="24"/>
          <w:highlight w:val="none"/>
          <w:lang w:bidi="zh-CN"/>
        </w:rPr>
        <w:t xml:space="preserve">46 号）的规定，本公司（联合体）参加</w:t>
      </w:r>
      <w:r>
        <w:rPr>
          <w:rFonts w:ascii="仿宋" w:hAnsi="仿宋" w:eastAsia="仿宋" w:cs="Times New Roman"/>
          <w:color w:val="auto"/>
          <w:sz w:val="24"/>
          <w:szCs w:val="24"/>
          <w:highlight w:val="none"/>
          <w:u w:val="single"/>
          <w:lang w:bidi="zh-CN"/>
        </w:rPr>
        <w:t xml:space="preserve">（单位名称）</w:t>
      </w:r>
      <w:r>
        <w:rPr>
          <w:rFonts w:ascii="仿宋" w:hAnsi="仿宋" w:eastAsia="仿宋" w:cs="Times New Roman"/>
          <w:color w:val="auto"/>
          <w:sz w:val="24"/>
          <w:szCs w:val="24"/>
          <w:highlight w:val="none"/>
          <w:lang w:bidi="zh-CN"/>
        </w:rPr>
        <w:t xml:space="preserve">的</w:t>
      </w:r>
      <w:r>
        <w:rPr>
          <w:rFonts w:ascii="仿宋" w:hAnsi="仿宋" w:eastAsia="仿宋" w:cs="Times New Roman"/>
          <w:color w:val="auto"/>
          <w:sz w:val="24"/>
          <w:szCs w:val="24"/>
          <w:highlight w:val="none"/>
          <w:u w:val="single"/>
          <w:lang w:bidi="zh-CN"/>
        </w:rPr>
        <w:t xml:space="preserve">（项目名称）</w:t>
      </w:r>
      <w:r>
        <w:rPr>
          <w:rFonts w:ascii="仿宋" w:hAnsi="仿宋" w:eastAsia="仿宋" w:cs="Times New Roman"/>
          <w:color w:val="auto"/>
          <w:sz w:val="24"/>
          <w:szCs w:val="24"/>
          <w:highlight w:val="none"/>
          <w:lang w:bidi="zh-CN"/>
        </w:rPr>
        <w:t xml:space="preserve">采购活动，提供的货物全部由符合政策要求的中小企业制造。相关企业（含联合体中的中小企业、签订分包意向协议的中小企业） 的具体情况如下：</w:t>
      </w:r>
      <w:r/>
    </w:p>
    <w:p>
      <w:pPr>
        <w:ind w:firstLine="480"/>
        <w:jc w:val="left"/>
        <w:spacing w:line="360" w:lineRule="auto"/>
        <w:rPr>
          <w:rFonts w:ascii="仿宋" w:hAnsi="仿宋" w:eastAsia="仿宋" w:cs="Times New Roman"/>
          <w:color w:val="auto"/>
          <w:sz w:val="24"/>
          <w:szCs w:val="24"/>
          <w:highlight w:val="none"/>
          <w:lang w:bidi="zh-CN"/>
        </w:rPr>
      </w:pPr>
      <w:r>
        <w:rPr>
          <w:rFonts w:hint="eastAsia" w:ascii="仿宋" w:hAnsi="仿宋" w:eastAsia="仿宋" w:cs="Times New Roman"/>
          <w:color w:val="auto"/>
          <w:sz w:val="24"/>
          <w:szCs w:val="24"/>
          <w:highlight w:val="none"/>
          <w:lang w:bidi="zh-CN"/>
        </w:rPr>
        <w:t xml:space="preserve">1、</w:t>
      </w:r>
      <w:r>
        <w:rPr>
          <w:rFonts w:ascii="仿宋" w:hAnsi="仿宋" w:eastAsia="仿宋" w:cs="Times New Roman"/>
          <w:color w:val="auto"/>
          <w:sz w:val="24"/>
          <w:szCs w:val="24"/>
          <w:highlight w:val="none"/>
          <w:u w:val="single"/>
          <w:lang w:bidi="zh-CN"/>
        </w:rPr>
        <w:t xml:space="preserve"> （标的名称）</w:t>
      </w:r>
      <w:r>
        <w:rPr>
          <w:rFonts w:ascii="仿宋" w:hAnsi="仿宋" w:eastAsia="仿宋" w:cs="Times New Roman"/>
          <w:color w:val="auto"/>
          <w:sz w:val="24"/>
          <w:szCs w:val="24"/>
          <w:highlight w:val="none"/>
          <w:lang w:bidi="zh-CN"/>
        </w:rPr>
        <w:t xml:space="preserve"> ，属于</w:t>
      </w:r>
      <w:r>
        <w:rPr>
          <w:rFonts w:ascii="仿宋" w:hAnsi="仿宋" w:eastAsia="仿宋" w:cs="Times New Roman"/>
          <w:color w:val="auto"/>
          <w:sz w:val="24"/>
          <w:szCs w:val="24"/>
          <w:highlight w:val="none"/>
          <w:u w:val="single"/>
          <w:lang w:bidi="zh-CN"/>
        </w:rPr>
        <w:t xml:space="preserve">（采购文件中明确的所属行业）</w:t>
      </w:r>
      <w:r>
        <w:rPr>
          <w:rFonts w:ascii="仿宋" w:hAnsi="仿宋" w:eastAsia="仿宋" w:cs="Times New Roman"/>
          <w:color w:val="auto"/>
          <w:sz w:val="24"/>
          <w:szCs w:val="24"/>
          <w:highlight w:val="none"/>
          <w:lang w:bidi="zh-CN"/>
        </w:rPr>
        <w:t xml:space="preserve">行业；制造商为</w:t>
      </w:r>
      <w:r>
        <w:rPr>
          <w:rFonts w:ascii="仿宋" w:hAnsi="仿宋" w:eastAsia="仿宋" w:cs="Times New Roman"/>
          <w:color w:val="auto"/>
          <w:sz w:val="24"/>
          <w:szCs w:val="24"/>
          <w:highlight w:val="none"/>
          <w:u w:val="single"/>
          <w:lang w:bidi="zh-CN"/>
        </w:rPr>
        <w:t xml:space="preserve">（企业名称）</w:t>
      </w:r>
      <w:r>
        <w:rPr>
          <w:rFonts w:ascii="仿宋" w:hAnsi="仿宋" w:eastAsia="仿宋" w:cs="Times New Roman"/>
          <w:color w:val="auto"/>
          <w:sz w:val="24"/>
          <w:szCs w:val="24"/>
          <w:highlight w:val="none"/>
          <w:lang w:bidi="zh-CN"/>
        </w:rPr>
        <w:t xml:space="preserve">，从业人员</w:t>
      </w:r>
      <w:r>
        <w:rPr>
          <w:rFonts w:ascii="仿宋" w:hAnsi="仿宋" w:eastAsia="仿宋" w:cs="Times New Roman"/>
          <w:color w:val="auto"/>
          <w:sz w:val="24"/>
          <w:szCs w:val="24"/>
          <w:highlight w:val="none"/>
          <w:u w:val="single"/>
          <w:lang w:bidi="zh-CN"/>
        </w:rPr>
        <w:t xml:space="preserve"> </w:t>
      </w:r>
      <w:r>
        <w:rPr>
          <w:rFonts w:ascii="仿宋" w:hAnsi="仿宋" w:eastAsia="仿宋" w:cs="Times New Roman"/>
          <w:color w:val="auto"/>
          <w:sz w:val="24"/>
          <w:szCs w:val="24"/>
          <w:highlight w:val="none"/>
          <w:u w:val="single"/>
          <w:lang w:bidi="zh-CN"/>
        </w:rPr>
        <w:tab/>
      </w:r>
      <w:r>
        <w:rPr>
          <w:rFonts w:ascii="仿宋" w:hAnsi="仿宋" w:eastAsia="仿宋" w:cs="Times New Roman"/>
          <w:color w:val="auto"/>
          <w:sz w:val="24"/>
          <w:szCs w:val="24"/>
          <w:highlight w:val="none"/>
          <w:lang w:bidi="zh-CN"/>
        </w:rPr>
        <w:t xml:space="preserve">人，营业收入为</w:t>
      </w:r>
      <w:r>
        <w:rPr>
          <w:rFonts w:ascii="仿宋" w:hAnsi="仿宋" w:eastAsia="仿宋" w:cs="Times New Roman"/>
          <w:color w:val="auto"/>
          <w:sz w:val="24"/>
          <w:szCs w:val="24"/>
          <w:highlight w:val="none"/>
          <w:u w:val="single"/>
          <w:lang w:bidi="zh-CN"/>
        </w:rPr>
        <w:t xml:space="preserve"> </w:t>
      </w:r>
      <w:r>
        <w:rPr>
          <w:rFonts w:ascii="仿宋" w:hAnsi="仿宋" w:eastAsia="仿宋" w:cs="Times New Roman"/>
          <w:color w:val="auto"/>
          <w:sz w:val="24"/>
          <w:szCs w:val="24"/>
          <w:highlight w:val="none"/>
          <w:u w:val="single"/>
          <w:lang w:bidi="zh-CN"/>
        </w:rPr>
        <w:tab/>
      </w:r>
      <w:r>
        <w:rPr>
          <w:rFonts w:ascii="仿宋" w:hAnsi="仿宋" w:eastAsia="仿宋" w:cs="Times New Roman"/>
          <w:color w:val="auto"/>
          <w:sz w:val="24"/>
          <w:szCs w:val="24"/>
          <w:highlight w:val="none"/>
          <w:lang w:bidi="zh-CN"/>
        </w:rPr>
        <w:t xml:space="preserve">万元，资产总额为</w:t>
      </w:r>
      <w:r>
        <w:rPr>
          <w:rFonts w:ascii="仿宋" w:hAnsi="仿宋" w:eastAsia="仿宋" w:cs="Times New Roman"/>
          <w:color w:val="auto"/>
          <w:sz w:val="24"/>
          <w:szCs w:val="24"/>
          <w:highlight w:val="none"/>
          <w:u w:val="single"/>
          <w:lang w:bidi="zh-CN"/>
        </w:rPr>
        <w:t xml:space="preserve"> </w:t>
      </w:r>
      <w:r>
        <w:rPr>
          <w:rFonts w:ascii="仿宋" w:hAnsi="仿宋" w:eastAsia="仿宋" w:cs="Times New Roman"/>
          <w:color w:val="auto"/>
          <w:sz w:val="24"/>
          <w:szCs w:val="24"/>
          <w:highlight w:val="none"/>
          <w:u w:val="single"/>
          <w:lang w:bidi="zh-CN"/>
        </w:rPr>
        <w:tab/>
      </w:r>
      <w:r>
        <w:rPr>
          <w:rFonts w:ascii="仿宋" w:hAnsi="仿宋" w:eastAsia="仿宋" w:cs="Times New Roman"/>
          <w:color w:val="auto"/>
          <w:sz w:val="24"/>
          <w:szCs w:val="24"/>
          <w:highlight w:val="none"/>
          <w:lang w:bidi="zh-CN"/>
        </w:rPr>
        <w:t xml:space="preserve">万元，属于</w:t>
      </w:r>
      <w:r>
        <w:rPr>
          <w:rFonts w:ascii="仿宋" w:hAnsi="仿宋" w:eastAsia="仿宋" w:cs="Times New Roman"/>
          <w:color w:val="auto"/>
          <w:sz w:val="24"/>
          <w:szCs w:val="24"/>
          <w:highlight w:val="none"/>
          <w:u w:val="single"/>
          <w:lang w:bidi="zh-CN"/>
        </w:rPr>
        <w:t xml:space="preserve">（中型企业、小型企业、微型企业）</w:t>
      </w:r>
      <w:r>
        <w:rPr>
          <w:rFonts w:ascii="仿宋" w:hAnsi="仿宋" w:eastAsia="仿宋" w:cs="Times New Roman"/>
          <w:color w:val="auto"/>
          <w:sz w:val="24"/>
          <w:szCs w:val="24"/>
          <w:highlight w:val="none"/>
          <w:lang w:bidi="zh-CN"/>
        </w:rPr>
        <w:t xml:space="preserve">；</w:t>
      </w:r>
      <w:r/>
    </w:p>
    <w:p>
      <w:pPr>
        <w:ind w:firstLine="480"/>
        <w:jc w:val="left"/>
        <w:spacing w:line="360" w:lineRule="auto"/>
        <w:rPr>
          <w:rFonts w:ascii="仿宋" w:hAnsi="仿宋" w:eastAsia="仿宋" w:cs="Times New Roman"/>
          <w:color w:val="auto"/>
          <w:sz w:val="24"/>
          <w:szCs w:val="24"/>
          <w:highlight w:val="none"/>
          <w:lang w:bidi="zh-CN"/>
        </w:rPr>
      </w:pPr>
      <w:r>
        <w:rPr>
          <w:rFonts w:hint="eastAsia" w:ascii="仿宋" w:hAnsi="仿宋" w:eastAsia="仿宋" w:cs="Times New Roman"/>
          <w:color w:val="auto"/>
          <w:sz w:val="24"/>
          <w:szCs w:val="24"/>
          <w:highlight w:val="none"/>
          <w:lang w:bidi="zh-CN"/>
        </w:rPr>
        <w:t xml:space="preserve">2、</w:t>
      </w:r>
      <w:r>
        <w:rPr>
          <w:rFonts w:ascii="仿宋" w:hAnsi="仿宋" w:eastAsia="仿宋" w:cs="Times New Roman"/>
          <w:i/>
          <w:color w:val="auto"/>
          <w:sz w:val="24"/>
          <w:szCs w:val="24"/>
          <w:highlight w:val="none"/>
          <w:u w:val="single"/>
          <w:lang w:bidi="zh-CN"/>
        </w:rPr>
        <w:t xml:space="preserve"> </w:t>
      </w:r>
      <w:r>
        <w:rPr>
          <w:rFonts w:ascii="仿宋" w:hAnsi="仿宋" w:eastAsia="仿宋" w:cs="Times New Roman"/>
          <w:color w:val="auto"/>
          <w:sz w:val="24"/>
          <w:szCs w:val="24"/>
          <w:highlight w:val="none"/>
          <w:u w:val="single"/>
          <w:lang w:bidi="zh-CN"/>
        </w:rPr>
        <w:t xml:space="preserve">（标的名称） </w:t>
      </w:r>
      <w:r>
        <w:rPr>
          <w:rFonts w:ascii="仿宋" w:hAnsi="仿宋" w:eastAsia="仿宋" w:cs="Times New Roman"/>
          <w:color w:val="auto"/>
          <w:sz w:val="24"/>
          <w:szCs w:val="24"/>
          <w:highlight w:val="none"/>
          <w:lang w:bidi="zh-CN"/>
        </w:rPr>
        <w:t xml:space="preserve">，属于</w:t>
      </w:r>
      <w:r>
        <w:rPr>
          <w:rFonts w:ascii="仿宋" w:hAnsi="仿宋" w:eastAsia="仿宋" w:cs="Times New Roman"/>
          <w:color w:val="auto"/>
          <w:sz w:val="24"/>
          <w:szCs w:val="24"/>
          <w:highlight w:val="none"/>
          <w:u w:val="single"/>
          <w:lang w:bidi="zh-CN"/>
        </w:rPr>
        <w:t xml:space="preserve">（采购文件中明确的所属行业）</w:t>
      </w:r>
      <w:r>
        <w:rPr>
          <w:rFonts w:ascii="仿宋" w:hAnsi="仿宋" w:eastAsia="仿宋" w:cs="Times New Roman"/>
          <w:color w:val="auto"/>
          <w:sz w:val="24"/>
          <w:szCs w:val="24"/>
          <w:highlight w:val="none"/>
          <w:lang w:bidi="zh-CN"/>
        </w:rPr>
        <w:t xml:space="preserve">行业；制造商为</w:t>
      </w:r>
      <w:r>
        <w:rPr>
          <w:rFonts w:ascii="仿宋" w:hAnsi="仿宋" w:eastAsia="仿宋" w:cs="Times New Roman"/>
          <w:color w:val="auto"/>
          <w:sz w:val="24"/>
          <w:szCs w:val="24"/>
          <w:highlight w:val="none"/>
          <w:u w:val="single"/>
          <w:lang w:bidi="zh-CN"/>
        </w:rPr>
        <w:t xml:space="preserve">（企业名称）</w:t>
      </w:r>
      <w:r>
        <w:rPr>
          <w:rFonts w:ascii="仿宋" w:hAnsi="仿宋" w:eastAsia="仿宋" w:cs="Times New Roman"/>
          <w:color w:val="auto"/>
          <w:sz w:val="24"/>
          <w:szCs w:val="24"/>
          <w:highlight w:val="none"/>
          <w:lang w:bidi="zh-CN"/>
        </w:rPr>
        <w:t xml:space="preserve">，从业人员</w:t>
      </w:r>
      <w:r>
        <w:rPr>
          <w:rFonts w:ascii="仿宋" w:hAnsi="仿宋" w:eastAsia="仿宋" w:cs="Times New Roman"/>
          <w:color w:val="auto"/>
          <w:sz w:val="24"/>
          <w:szCs w:val="24"/>
          <w:highlight w:val="none"/>
          <w:u w:val="single"/>
          <w:lang w:bidi="zh-CN"/>
        </w:rPr>
        <w:t xml:space="preserve"> </w:t>
      </w:r>
      <w:r>
        <w:rPr>
          <w:rFonts w:ascii="仿宋" w:hAnsi="仿宋" w:eastAsia="仿宋" w:cs="Times New Roman"/>
          <w:color w:val="auto"/>
          <w:sz w:val="24"/>
          <w:szCs w:val="24"/>
          <w:highlight w:val="none"/>
          <w:u w:val="single"/>
          <w:lang w:bidi="zh-CN"/>
        </w:rPr>
        <w:tab/>
      </w:r>
      <w:r>
        <w:rPr>
          <w:rFonts w:ascii="仿宋" w:hAnsi="仿宋" w:eastAsia="仿宋" w:cs="Times New Roman"/>
          <w:color w:val="auto"/>
          <w:sz w:val="24"/>
          <w:szCs w:val="24"/>
          <w:highlight w:val="none"/>
          <w:lang w:bidi="zh-CN"/>
        </w:rPr>
        <w:t xml:space="preserve">人，营业收入为</w:t>
      </w:r>
      <w:r>
        <w:rPr>
          <w:rFonts w:ascii="仿宋" w:hAnsi="仿宋" w:eastAsia="仿宋" w:cs="Times New Roman"/>
          <w:color w:val="auto"/>
          <w:sz w:val="24"/>
          <w:szCs w:val="24"/>
          <w:highlight w:val="none"/>
          <w:u w:val="single"/>
          <w:lang w:bidi="zh-CN"/>
        </w:rPr>
        <w:t xml:space="preserve"> </w:t>
      </w:r>
      <w:r>
        <w:rPr>
          <w:rFonts w:ascii="仿宋" w:hAnsi="仿宋" w:eastAsia="仿宋" w:cs="Times New Roman"/>
          <w:color w:val="auto"/>
          <w:sz w:val="24"/>
          <w:szCs w:val="24"/>
          <w:highlight w:val="none"/>
          <w:u w:val="single"/>
          <w:lang w:bidi="zh-CN"/>
        </w:rPr>
        <w:tab/>
      </w:r>
      <w:r>
        <w:rPr>
          <w:rFonts w:ascii="仿宋" w:hAnsi="仿宋" w:eastAsia="仿宋" w:cs="Times New Roman"/>
          <w:color w:val="auto"/>
          <w:sz w:val="24"/>
          <w:szCs w:val="24"/>
          <w:highlight w:val="none"/>
          <w:lang w:bidi="zh-CN"/>
        </w:rPr>
        <w:t xml:space="preserve">万元，资产总额为</w:t>
      </w:r>
      <w:r>
        <w:rPr>
          <w:rFonts w:ascii="仿宋" w:hAnsi="仿宋" w:eastAsia="仿宋" w:cs="Times New Roman"/>
          <w:color w:val="auto"/>
          <w:sz w:val="24"/>
          <w:szCs w:val="24"/>
          <w:highlight w:val="none"/>
          <w:u w:val="single"/>
          <w:lang w:bidi="zh-CN"/>
        </w:rPr>
        <w:t xml:space="preserve"> </w:t>
      </w:r>
      <w:r>
        <w:rPr>
          <w:rFonts w:ascii="仿宋" w:hAnsi="仿宋" w:eastAsia="仿宋" w:cs="Times New Roman"/>
          <w:color w:val="auto"/>
          <w:sz w:val="24"/>
          <w:szCs w:val="24"/>
          <w:highlight w:val="none"/>
          <w:u w:val="single"/>
          <w:lang w:bidi="zh-CN"/>
        </w:rPr>
        <w:tab/>
      </w:r>
      <w:r>
        <w:rPr>
          <w:rFonts w:ascii="仿宋" w:hAnsi="仿宋" w:eastAsia="仿宋" w:cs="Times New Roman"/>
          <w:color w:val="auto"/>
          <w:sz w:val="24"/>
          <w:szCs w:val="24"/>
          <w:highlight w:val="none"/>
          <w:lang w:bidi="zh-CN"/>
        </w:rPr>
        <w:t xml:space="preserve">万元，属于</w:t>
      </w:r>
      <w:r>
        <w:rPr>
          <w:rFonts w:ascii="仿宋" w:hAnsi="仿宋" w:eastAsia="仿宋" w:cs="Times New Roman"/>
          <w:color w:val="auto"/>
          <w:sz w:val="24"/>
          <w:szCs w:val="24"/>
          <w:highlight w:val="none"/>
          <w:u w:val="single"/>
          <w:lang w:bidi="zh-CN"/>
        </w:rPr>
        <w:t xml:space="preserve">（中型企业、小型企业、微型企业）</w:t>
      </w:r>
      <w:r>
        <w:rPr>
          <w:rFonts w:ascii="仿宋" w:hAnsi="仿宋" w:eastAsia="仿宋" w:cs="Times New Roman"/>
          <w:color w:val="auto"/>
          <w:sz w:val="24"/>
          <w:szCs w:val="24"/>
          <w:highlight w:val="none"/>
          <w:lang w:bidi="zh-CN"/>
        </w:rPr>
        <w:t xml:space="preserve">；</w:t>
      </w:r>
      <w:r/>
    </w:p>
    <w:p>
      <w:pPr>
        <w:ind w:firstLine="480"/>
        <w:jc w:val="left"/>
        <w:spacing w:line="360" w:lineRule="auto"/>
        <w:rPr>
          <w:rFonts w:ascii="仿宋" w:hAnsi="仿宋" w:eastAsia="仿宋" w:cs="Times New Roman"/>
          <w:color w:val="auto"/>
          <w:sz w:val="24"/>
          <w:szCs w:val="24"/>
          <w:highlight w:val="none"/>
          <w:lang w:bidi="zh-CN"/>
        </w:rPr>
      </w:pPr>
      <w:r>
        <w:rPr>
          <w:rFonts w:ascii="仿宋" w:hAnsi="仿宋" w:eastAsia="仿宋" w:cs="Times New Roman"/>
          <w:color w:val="auto"/>
          <w:sz w:val="24"/>
          <w:szCs w:val="24"/>
          <w:highlight w:val="none"/>
          <w:lang w:bidi="zh-CN"/>
        </w:rPr>
        <w:t xml:space="preserve">……</w:t>
      </w:r>
      <w:r/>
    </w:p>
    <w:p>
      <w:pPr>
        <w:ind w:firstLine="480"/>
        <w:jc w:val="left"/>
        <w:spacing w:line="360" w:lineRule="auto"/>
        <w:rPr>
          <w:rFonts w:ascii="仿宋" w:hAnsi="仿宋" w:eastAsia="仿宋" w:cs="Times New Roman"/>
          <w:color w:val="auto"/>
          <w:sz w:val="24"/>
          <w:szCs w:val="24"/>
          <w:highlight w:val="none"/>
          <w:lang w:bidi="zh-CN"/>
        </w:rPr>
      </w:pPr>
      <w:r>
        <w:rPr>
          <w:rFonts w:ascii="仿宋" w:hAnsi="仿宋" w:eastAsia="仿宋" w:cs="Times New Roman"/>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ascii="仿宋" w:hAnsi="仿宋" w:eastAsia="仿宋" w:cs="Times New Roman"/>
          <w:color w:val="auto"/>
          <w:sz w:val="24"/>
          <w:szCs w:val="24"/>
          <w:highlight w:val="none"/>
          <w:lang w:bidi="zh-CN"/>
        </w:rPr>
      </w:pPr>
      <w:r>
        <w:rPr>
          <w:rFonts w:ascii="仿宋" w:hAnsi="仿宋" w:eastAsia="仿宋" w:cs="Times New Roman"/>
          <w:color w:val="auto"/>
          <w:sz w:val="24"/>
          <w:szCs w:val="24"/>
          <w:highlight w:val="none"/>
          <w:lang w:bidi="zh-CN"/>
        </w:rPr>
        <w:t xml:space="preserve">本企业对上述声明内容的真实性负责。如有虚假，将依法承担相应责任。</w:t>
      </w:r>
      <w:r/>
    </w:p>
    <w:p>
      <w:pPr>
        <w:jc w:val="left"/>
        <w:spacing w:line="360" w:lineRule="auto"/>
        <w:rPr>
          <w:rFonts w:ascii="仿宋" w:hAnsi="仿宋" w:eastAsia="仿宋" w:cs="Times New Roman"/>
          <w:color w:val="auto"/>
          <w:sz w:val="24"/>
          <w:szCs w:val="24"/>
          <w:highlight w:val="none"/>
          <w:lang w:bidi="zh-CN"/>
        </w:rPr>
      </w:pPr>
      <w:r>
        <w:rPr>
          <w:rFonts w:ascii="仿宋" w:hAnsi="仿宋" w:eastAsia="仿宋" w:cs="Times New Roman"/>
          <w:color w:val="auto"/>
          <w:sz w:val="24"/>
          <w:szCs w:val="24"/>
          <w:highlight w:val="none"/>
          <w:lang w:bidi="zh-CN"/>
        </w:rPr>
        <w:t xml:space="preserve">企业名称（盖章）：</w:t>
      </w:r>
      <w:r/>
    </w:p>
    <w:p>
      <w:pPr>
        <w:jc w:val="left"/>
        <w:spacing w:line="360" w:lineRule="auto"/>
        <w:rPr>
          <w:rFonts w:ascii="仿宋" w:hAnsi="仿宋" w:eastAsia="仿宋" w:cs="Times New Roman"/>
          <w:color w:val="auto"/>
          <w:sz w:val="24"/>
          <w:szCs w:val="24"/>
          <w:highlight w:val="none"/>
          <w:lang w:bidi="zh-CN"/>
        </w:rPr>
      </w:pPr>
      <w:r>
        <w:rPr>
          <w:rFonts w:ascii="仿宋" w:hAnsi="仿宋" w:eastAsia="仿宋" w:cs="Times New Roman"/>
          <w:color w:val="auto"/>
          <w:sz w:val="24"/>
          <w:szCs w:val="24"/>
          <w:highlight w:val="none"/>
          <w:lang w:bidi="zh-CN"/>
        </w:rPr>
        <w:t xml:space="preserve">日期：</w:t>
      </w:r>
      <w:r/>
    </w:p>
    <w:p>
      <w:pPr>
        <w:jc w:val="left"/>
        <w:spacing w:line="360" w:lineRule="auto"/>
        <w:widowControl/>
        <w:rPr>
          <w:rFonts w:ascii="仿宋" w:hAnsi="仿宋" w:eastAsia="仿宋" w:cs="Times New Roman"/>
          <w:color w:val="auto"/>
          <w:sz w:val="24"/>
          <w:szCs w:val="24"/>
          <w:highlight w:val="none"/>
          <w:lang w:bidi="zh-CN"/>
        </w:rPr>
      </w:pPr>
      <w:r>
        <w:rPr>
          <w:rFonts w:ascii="仿宋" w:hAnsi="仿宋" w:eastAsia="仿宋" w:cs="Times New Roman"/>
          <w:color w:val="auto"/>
          <w:sz w:val="24"/>
          <w:szCs w:val="24"/>
          <w:highlight w:val="none"/>
          <w:lang w:bidi="zh-CN"/>
        </w:rPr>
        <w:br w:type="page" w:clear="all"/>
      </w:r>
      <w:r/>
    </w:p>
    <w:p>
      <w:pPr>
        <w:jc w:val="center"/>
        <w:spacing w:line="360" w:lineRule="auto"/>
        <w:rPr>
          <w:rFonts w:ascii="仿宋" w:hAnsi="仿宋" w:eastAsia="仿宋" w:cs="Times New Roman"/>
          <w:b/>
          <w:bCs/>
          <w:color w:val="auto"/>
          <w:sz w:val="24"/>
          <w:szCs w:val="24"/>
          <w:highlight w:val="none"/>
          <w:lang w:bidi="zh-CN"/>
        </w:rPr>
      </w:pPr>
      <w:r>
        <w:rPr>
          <w:rFonts w:ascii="仿宋" w:hAnsi="仿宋" w:eastAsia="仿宋" w:cs="Times New Roman"/>
          <w:b/>
          <w:bCs/>
          <w:color w:val="auto"/>
          <w:sz w:val="24"/>
          <w:szCs w:val="24"/>
          <w:highlight w:val="none"/>
          <w:lang w:bidi="zh-CN"/>
        </w:rPr>
        <w:t xml:space="preserve">中小企业声明函（工程、服务）</w:t>
      </w:r>
      <w:r/>
    </w:p>
    <w:p>
      <w:pPr>
        <w:ind w:firstLine="480"/>
        <w:jc w:val="left"/>
        <w:spacing w:line="360" w:lineRule="auto"/>
        <w:rPr>
          <w:rFonts w:ascii="仿宋" w:hAnsi="仿宋" w:eastAsia="仿宋" w:cs="Times New Roman"/>
          <w:color w:val="auto"/>
          <w:sz w:val="24"/>
          <w:szCs w:val="24"/>
          <w:highlight w:val="none"/>
          <w:lang w:bidi="zh-CN"/>
        </w:rPr>
      </w:pPr>
      <w:r>
        <w:rPr>
          <w:rFonts w:ascii="仿宋" w:hAnsi="仿宋" w:eastAsia="仿宋" w:cs="Times New Roman"/>
          <w:color w:val="auto"/>
          <w:sz w:val="24"/>
          <w:szCs w:val="24"/>
          <w:highlight w:val="none"/>
          <w:lang w:bidi="zh-CN"/>
        </w:rPr>
        <w:t xml:space="preserve">本公司（联合体）郑重声明，根据《政府采购促进中小企业发展管理办法》（财库</w:t>
      </w:r>
      <w:r>
        <w:rPr>
          <w:rFonts w:hint="eastAsia" w:ascii="仿宋" w:hAnsi="仿宋" w:eastAsia="仿宋" w:cs="Times New Roman"/>
          <w:color w:val="auto"/>
          <w:sz w:val="24"/>
          <w:szCs w:val="24"/>
          <w:highlight w:val="none"/>
          <w:lang w:bidi="zh-CN"/>
        </w:rPr>
        <w:t xml:space="preserve">﹝</w:t>
      </w:r>
      <w:r>
        <w:rPr>
          <w:rFonts w:ascii="仿宋" w:hAnsi="仿宋" w:eastAsia="仿宋" w:cs="Times New Roman"/>
          <w:color w:val="auto"/>
          <w:sz w:val="24"/>
          <w:szCs w:val="24"/>
          <w:highlight w:val="none"/>
          <w:lang w:bidi="zh-CN"/>
        </w:rPr>
        <w:t xml:space="preserve">2020</w:t>
      </w:r>
      <w:r>
        <w:rPr>
          <w:rFonts w:hint="eastAsia" w:ascii="仿宋" w:hAnsi="仿宋" w:eastAsia="仿宋" w:cs="Times New Roman"/>
          <w:color w:val="auto"/>
          <w:sz w:val="24"/>
          <w:szCs w:val="24"/>
          <w:highlight w:val="none"/>
          <w:lang w:bidi="zh-CN"/>
        </w:rPr>
        <w:t xml:space="preserve">﹞</w:t>
      </w:r>
      <w:r>
        <w:rPr>
          <w:rFonts w:ascii="仿宋" w:hAnsi="仿宋" w:eastAsia="仿宋" w:cs="Times New Roman"/>
          <w:color w:val="auto"/>
          <w:sz w:val="24"/>
          <w:szCs w:val="24"/>
          <w:highlight w:val="none"/>
          <w:lang w:bidi="zh-CN"/>
        </w:rPr>
        <w:t xml:space="preserve">46 号）的规定，本公司（联合体）参加</w:t>
      </w:r>
      <w:r>
        <w:rPr>
          <w:rFonts w:ascii="仿宋" w:hAnsi="仿宋" w:eastAsia="仿宋" w:cs="Times New Roman"/>
          <w:color w:val="auto"/>
          <w:sz w:val="24"/>
          <w:szCs w:val="24"/>
          <w:highlight w:val="none"/>
          <w:u w:val="single"/>
          <w:lang w:bidi="zh-CN"/>
        </w:rPr>
        <w:t xml:space="preserve">（单位名称）</w:t>
      </w:r>
      <w:r>
        <w:rPr>
          <w:rFonts w:ascii="仿宋" w:hAnsi="仿宋" w:eastAsia="仿宋" w:cs="Times New Roman"/>
          <w:color w:val="auto"/>
          <w:sz w:val="24"/>
          <w:szCs w:val="24"/>
          <w:highlight w:val="none"/>
          <w:lang w:bidi="zh-CN"/>
        </w:rPr>
        <w:t xml:space="preserve">的</w:t>
      </w:r>
      <w:r>
        <w:rPr>
          <w:rFonts w:ascii="仿宋" w:hAnsi="仿宋" w:eastAsia="仿宋" w:cs="Times New Roman"/>
          <w:color w:val="auto"/>
          <w:sz w:val="24"/>
          <w:szCs w:val="24"/>
          <w:highlight w:val="none"/>
          <w:u w:val="single"/>
          <w:lang w:bidi="zh-CN"/>
        </w:rPr>
        <w:t xml:space="preserve">（项目名称）</w:t>
      </w:r>
      <w:r>
        <w:rPr>
          <w:rFonts w:ascii="仿宋" w:hAnsi="仿宋" w:eastAsia="仿宋" w:cs="Times New Roman"/>
          <w:color w:val="auto"/>
          <w:sz w:val="24"/>
          <w:szCs w:val="24"/>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80"/>
        <w:jc w:val="left"/>
        <w:spacing w:line="360" w:lineRule="auto"/>
        <w:rPr>
          <w:rFonts w:ascii="仿宋" w:hAnsi="仿宋" w:eastAsia="仿宋" w:cs="Times New Roman"/>
          <w:color w:val="auto"/>
          <w:sz w:val="24"/>
          <w:szCs w:val="24"/>
          <w:highlight w:val="none"/>
          <w:lang w:bidi="zh-CN"/>
        </w:rPr>
      </w:pPr>
      <w:r>
        <w:rPr>
          <w:rFonts w:hint="eastAsia" w:ascii="仿宋" w:hAnsi="仿宋" w:eastAsia="仿宋" w:cs="Times New Roman"/>
          <w:color w:val="auto"/>
          <w:sz w:val="24"/>
          <w:szCs w:val="24"/>
          <w:highlight w:val="none"/>
          <w:lang w:bidi="zh-CN"/>
        </w:rPr>
        <w:t xml:space="preserve">1、</w:t>
      </w:r>
      <w:r>
        <w:rPr>
          <w:rFonts w:ascii="仿宋" w:hAnsi="仿宋" w:eastAsia="仿宋" w:cs="Times New Roman"/>
          <w:color w:val="auto"/>
          <w:sz w:val="24"/>
          <w:szCs w:val="24"/>
          <w:highlight w:val="none"/>
          <w:u w:val="single"/>
          <w:lang w:bidi="zh-CN"/>
        </w:rPr>
        <w:t xml:space="preserve">（标的名称）</w:t>
      </w:r>
      <w:r>
        <w:rPr>
          <w:rFonts w:ascii="仿宋" w:hAnsi="仿宋" w:eastAsia="仿宋" w:cs="Times New Roman"/>
          <w:color w:val="auto"/>
          <w:sz w:val="24"/>
          <w:szCs w:val="24"/>
          <w:highlight w:val="none"/>
          <w:lang w:bidi="zh-CN"/>
        </w:rPr>
        <w:t xml:space="preserve">，属于（</w:t>
      </w:r>
      <w:r>
        <w:rPr>
          <w:rFonts w:ascii="仿宋" w:hAnsi="仿宋" w:eastAsia="仿宋" w:cs="Times New Roman"/>
          <w:color w:val="auto"/>
          <w:sz w:val="24"/>
          <w:szCs w:val="24"/>
          <w:highlight w:val="none"/>
          <w:u w:val="single"/>
          <w:lang w:bidi="zh-CN"/>
        </w:rPr>
        <w:t xml:space="preserve">采购文件中明确的所属行业）</w:t>
      </w:r>
      <w:r>
        <w:rPr>
          <w:rFonts w:ascii="仿宋" w:hAnsi="仿宋" w:eastAsia="仿宋" w:cs="Times New Roman"/>
          <w:color w:val="auto"/>
          <w:sz w:val="24"/>
          <w:szCs w:val="24"/>
          <w:highlight w:val="none"/>
          <w:lang w:bidi="zh-CN"/>
        </w:rPr>
        <w:t xml:space="preserve">；承建（承接）企业为</w:t>
      </w:r>
      <w:r>
        <w:rPr>
          <w:rFonts w:ascii="仿宋" w:hAnsi="仿宋" w:eastAsia="仿宋" w:cs="Times New Roman"/>
          <w:color w:val="auto"/>
          <w:sz w:val="24"/>
          <w:szCs w:val="24"/>
          <w:highlight w:val="none"/>
          <w:u w:val="single"/>
          <w:lang w:bidi="zh-CN"/>
        </w:rPr>
        <w:t xml:space="preserve">（企业名称）</w:t>
      </w:r>
      <w:r>
        <w:rPr>
          <w:rFonts w:ascii="仿宋" w:hAnsi="仿宋" w:eastAsia="仿宋" w:cs="Times New Roman"/>
          <w:color w:val="auto"/>
          <w:sz w:val="24"/>
          <w:szCs w:val="24"/>
          <w:highlight w:val="none"/>
          <w:lang w:bidi="zh-CN"/>
        </w:rPr>
        <w:t xml:space="preserve">，从业人员</w:t>
      </w:r>
      <w:r>
        <w:rPr>
          <w:rFonts w:ascii="仿宋" w:hAnsi="仿宋" w:eastAsia="仿宋" w:cs="Times New Roman"/>
          <w:color w:val="auto"/>
          <w:sz w:val="24"/>
          <w:szCs w:val="24"/>
          <w:highlight w:val="none"/>
          <w:u w:val="single"/>
          <w:lang w:bidi="zh-CN"/>
        </w:rPr>
        <w:t xml:space="preserve"> </w:t>
      </w:r>
      <w:r>
        <w:rPr>
          <w:rFonts w:ascii="仿宋" w:hAnsi="仿宋" w:eastAsia="仿宋" w:cs="Times New Roman"/>
          <w:color w:val="auto"/>
          <w:sz w:val="24"/>
          <w:szCs w:val="24"/>
          <w:highlight w:val="none"/>
          <w:u w:val="single"/>
          <w:lang w:bidi="zh-CN"/>
        </w:rPr>
        <w:tab/>
      </w:r>
      <w:r>
        <w:rPr>
          <w:rFonts w:ascii="仿宋" w:hAnsi="仿宋" w:eastAsia="仿宋" w:cs="Times New Roman"/>
          <w:color w:val="auto"/>
          <w:sz w:val="24"/>
          <w:szCs w:val="24"/>
          <w:highlight w:val="none"/>
          <w:lang w:bidi="zh-CN"/>
        </w:rPr>
        <w:t xml:space="preserve">人，营业收入为</w:t>
      </w:r>
      <w:r>
        <w:rPr>
          <w:rFonts w:ascii="仿宋" w:hAnsi="仿宋" w:eastAsia="仿宋" w:cs="Times New Roman"/>
          <w:color w:val="auto"/>
          <w:sz w:val="24"/>
          <w:szCs w:val="24"/>
          <w:highlight w:val="none"/>
          <w:u w:val="single"/>
          <w:lang w:bidi="zh-CN"/>
        </w:rPr>
        <w:t xml:space="preserve"> </w:t>
      </w:r>
      <w:r>
        <w:rPr>
          <w:rFonts w:ascii="仿宋" w:hAnsi="仿宋" w:eastAsia="仿宋" w:cs="Times New Roman"/>
          <w:color w:val="auto"/>
          <w:sz w:val="24"/>
          <w:szCs w:val="24"/>
          <w:highlight w:val="none"/>
          <w:u w:val="single"/>
          <w:lang w:bidi="zh-CN"/>
        </w:rPr>
        <w:tab/>
      </w:r>
      <w:r>
        <w:rPr>
          <w:rFonts w:ascii="仿宋" w:hAnsi="仿宋" w:eastAsia="仿宋" w:cs="Times New Roman"/>
          <w:color w:val="auto"/>
          <w:sz w:val="24"/>
          <w:szCs w:val="24"/>
          <w:highlight w:val="none"/>
          <w:lang w:bidi="zh-CN"/>
        </w:rPr>
        <w:t xml:space="preserve">万元，资产总额为</w:t>
      </w:r>
      <w:r>
        <w:rPr>
          <w:rFonts w:ascii="仿宋" w:hAnsi="仿宋" w:eastAsia="仿宋" w:cs="Times New Roman"/>
          <w:color w:val="auto"/>
          <w:sz w:val="24"/>
          <w:szCs w:val="24"/>
          <w:highlight w:val="none"/>
          <w:u w:val="single"/>
          <w:lang w:bidi="zh-CN"/>
        </w:rPr>
        <w:t xml:space="preserve"> </w:t>
      </w:r>
      <w:r>
        <w:rPr>
          <w:rFonts w:ascii="仿宋" w:hAnsi="仿宋" w:eastAsia="仿宋" w:cs="Times New Roman"/>
          <w:color w:val="auto"/>
          <w:sz w:val="24"/>
          <w:szCs w:val="24"/>
          <w:highlight w:val="none"/>
          <w:u w:val="single"/>
          <w:lang w:bidi="zh-CN"/>
        </w:rPr>
        <w:tab/>
      </w:r>
      <w:r>
        <w:rPr>
          <w:rFonts w:ascii="仿宋" w:hAnsi="仿宋" w:eastAsia="仿宋" w:cs="Times New Roman"/>
          <w:color w:val="auto"/>
          <w:sz w:val="24"/>
          <w:szCs w:val="24"/>
          <w:highlight w:val="none"/>
          <w:lang w:bidi="zh-CN"/>
        </w:rPr>
        <w:t xml:space="preserve">万元，属于</w:t>
      </w:r>
      <w:r>
        <w:rPr>
          <w:rFonts w:ascii="仿宋" w:hAnsi="仿宋" w:eastAsia="仿宋" w:cs="Times New Roman"/>
          <w:color w:val="auto"/>
          <w:sz w:val="24"/>
          <w:szCs w:val="24"/>
          <w:highlight w:val="none"/>
          <w:u w:val="single"/>
          <w:lang w:bidi="zh-CN"/>
        </w:rPr>
        <w:t xml:space="preserve">（中型企业、小型企业、微型企业）</w:t>
      </w:r>
      <w:r>
        <w:rPr>
          <w:rFonts w:ascii="仿宋" w:hAnsi="仿宋" w:eastAsia="仿宋" w:cs="Times New Roman"/>
          <w:color w:val="auto"/>
          <w:sz w:val="24"/>
          <w:szCs w:val="24"/>
          <w:highlight w:val="none"/>
          <w:lang w:bidi="zh-CN"/>
        </w:rPr>
        <w:t xml:space="preserve">；</w:t>
      </w:r>
      <w:r/>
    </w:p>
    <w:p>
      <w:pPr>
        <w:ind w:firstLine="480"/>
        <w:jc w:val="left"/>
        <w:spacing w:line="360" w:lineRule="auto"/>
        <w:rPr>
          <w:rFonts w:ascii="仿宋" w:hAnsi="仿宋" w:eastAsia="仿宋" w:cs="Times New Roman"/>
          <w:color w:val="auto"/>
          <w:sz w:val="24"/>
          <w:szCs w:val="24"/>
          <w:highlight w:val="none"/>
          <w:lang w:bidi="zh-CN"/>
        </w:rPr>
      </w:pPr>
      <w:r>
        <w:rPr>
          <w:rFonts w:hint="eastAsia" w:ascii="仿宋" w:hAnsi="仿宋" w:eastAsia="仿宋" w:cs="Times New Roman"/>
          <w:color w:val="auto"/>
          <w:sz w:val="24"/>
          <w:szCs w:val="24"/>
          <w:highlight w:val="none"/>
          <w:lang w:bidi="zh-CN"/>
        </w:rPr>
        <w:t xml:space="preserve">2、</w:t>
      </w:r>
      <w:r>
        <w:rPr>
          <w:rFonts w:ascii="仿宋" w:hAnsi="仿宋" w:eastAsia="仿宋" w:cs="Times New Roman"/>
          <w:color w:val="auto"/>
          <w:sz w:val="24"/>
          <w:szCs w:val="24"/>
          <w:highlight w:val="none"/>
          <w:u w:val="single"/>
          <w:lang w:bidi="zh-CN"/>
        </w:rPr>
        <w:t xml:space="preserve">（标的名称）</w:t>
      </w:r>
      <w:r>
        <w:rPr>
          <w:rFonts w:ascii="仿宋" w:hAnsi="仿宋" w:eastAsia="仿宋" w:cs="Times New Roman"/>
          <w:color w:val="auto"/>
          <w:sz w:val="24"/>
          <w:szCs w:val="24"/>
          <w:highlight w:val="none"/>
          <w:lang w:bidi="zh-CN"/>
        </w:rPr>
        <w:t xml:space="preserve">，属于（</w:t>
      </w:r>
      <w:r>
        <w:rPr>
          <w:rFonts w:ascii="仿宋" w:hAnsi="仿宋" w:eastAsia="仿宋" w:cs="Times New Roman"/>
          <w:color w:val="auto"/>
          <w:sz w:val="24"/>
          <w:szCs w:val="24"/>
          <w:highlight w:val="none"/>
          <w:u w:val="single"/>
          <w:lang w:bidi="zh-CN"/>
        </w:rPr>
        <w:t xml:space="preserve">采购文件中明确的所属行业）</w:t>
      </w:r>
      <w:r>
        <w:rPr>
          <w:rFonts w:ascii="仿宋" w:hAnsi="仿宋" w:eastAsia="仿宋" w:cs="Times New Roman"/>
          <w:color w:val="auto"/>
          <w:sz w:val="24"/>
          <w:szCs w:val="24"/>
          <w:highlight w:val="none"/>
          <w:lang w:bidi="zh-CN"/>
        </w:rPr>
        <w:t xml:space="preserve">；承建（承接）企业为</w:t>
      </w:r>
      <w:r>
        <w:rPr>
          <w:rFonts w:ascii="仿宋" w:hAnsi="仿宋" w:eastAsia="仿宋" w:cs="Times New Roman"/>
          <w:color w:val="auto"/>
          <w:sz w:val="24"/>
          <w:szCs w:val="24"/>
          <w:highlight w:val="none"/>
          <w:u w:val="single"/>
          <w:lang w:bidi="zh-CN"/>
        </w:rPr>
        <w:t xml:space="preserve">（企业名称）</w:t>
      </w:r>
      <w:r>
        <w:rPr>
          <w:rFonts w:ascii="仿宋" w:hAnsi="仿宋" w:eastAsia="仿宋" w:cs="Times New Roman"/>
          <w:color w:val="auto"/>
          <w:sz w:val="24"/>
          <w:szCs w:val="24"/>
          <w:highlight w:val="none"/>
          <w:lang w:bidi="zh-CN"/>
        </w:rPr>
        <w:t xml:space="preserve">，从业人员</w:t>
      </w:r>
      <w:r>
        <w:rPr>
          <w:rFonts w:ascii="仿宋" w:hAnsi="仿宋" w:eastAsia="仿宋" w:cs="Times New Roman"/>
          <w:color w:val="auto"/>
          <w:sz w:val="24"/>
          <w:szCs w:val="24"/>
          <w:highlight w:val="none"/>
          <w:u w:val="single"/>
          <w:lang w:bidi="zh-CN"/>
        </w:rPr>
        <w:t xml:space="preserve"> </w:t>
      </w:r>
      <w:r>
        <w:rPr>
          <w:rFonts w:ascii="仿宋" w:hAnsi="仿宋" w:eastAsia="仿宋" w:cs="Times New Roman"/>
          <w:color w:val="auto"/>
          <w:sz w:val="24"/>
          <w:szCs w:val="24"/>
          <w:highlight w:val="none"/>
          <w:u w:val="single"/>
          <w:lang w:bidi="zh-CN"/>
        </w:rPr>
        <w:tab/>
      </w:r>
      <w:r>
        <w:rPr>
          <w:rFonts w:ascii="仿宋" w:hAnsi="仿宋" w:eastAsia="仿宋" w:cs="Times New Roman"/>
          <w:color w:val="auto"/>
          <w:sz w:val="24"/>
          <w:szCs w:val="24"/>
          <w:highlight w:val="none"/>
          <w:lang w:bidi="zh-CN"/>
        </w:rPr>
        <w:t xml:space="preserve">人，营业收入为</w:t>
      </w:r>
      <w:r>
        <w:rPr>
          <w:rFonts w:ascii="仿宋" w:hAnsi="仿宋" w:eastAsia="仿宋" w:cs="Times New Roman"/>
          <w:color w:val="auto"/>
          <w:sz w:val="24"/>
          <w:szCs w:val="24"/>
          <w:highlight w:val="none"/>
          <w:u w:val="single"/>
          <w:lang w:bidi="zh-CN"/>
        </w:rPr>
        <w:t xml:space="preserve"> </w:t>
      </w:r>
      <w:r>
        <w:rPr>
          <w:rFonts w:ascii="仿宋" w:hAnsi="仿宋" w:eastAsia="仿宋" w:cs="Times New Roman"/>
          <w:color w:val="auto"/>
          <w:sz w:val="24"/>
          <w:szCs w:val="24"/>
          <w:highlight w:val="none"/>
          <w:u w:val="single"/>
          <w:lang w:bidi="zh-CN"/>
        </w:rPr>
        <w:tab/>
      </w:r>
      <w:r>
        <w:rPr>
          <w:rFonts w:ascii="仿宋" w:hAnsi="仿宋" w:eastAsia="仿宋" w:cs="Times New Roman"/>
          <w:color w:val="auto"/>
          <w:sz w:val="24"/>
          <w:szCs w:val="24"/>
          <w:highlight w:val="none"/>
          <w:lang w:bidi="zh-CN"/>
        </w:rPr>
        <w:t xml:space="preserve">万元，资产总额为</w:t>
      </w:r>
      <w:r>
        <w:rPr>
          <w:rFonts w:ascii="仿宋" w:hAnsi="仿宋" w:eastAsia="仿宋" w:cs="Times New Roman"/>
          <w:color w:val="auto"/>
          <w:sz w:val="24"/>
          <w:szCs w:val="24"/>
          <w:highlight w:val="none"/>
          <w:u w:val="single"/>
          <w:lang w:bidi="zh-CN"/>
        </w:rPr>
        <w:t xml:space="preserve"> </w:t>
      </w:r>
      <w:r>
        <w:rPr>
          <w:rFonts w:ascii="仿宋" w:hAnsi="仿宋" w:eastAsia="仿宋" w:cs="Times New Roman"/>
          <w:color w:val="auto"/>
          <w:sz w:val="24"/>
          <w:szCs w:val="24"/>
          <w:highlight w:val="none"/>
          <w:u w:val="single"/>
          <w:lang w:bidi="zh-CN"/>
        </w:rPr>
        <w:tab/>
      </w:r>
      <w:r>
        <w:rPr>
          <w:rFonts w:ascii="仿宋" w:hAnsi="仿宋" w:eastAsia="仿宋" w:cs="Times New Roman"/>
          <w:color w:val="auto"/>
          <w:sz w:val="24"/>
          <w:szCs w:val="24"/>
          <w:highlight w:val="none"/>
          <w:lang w:bidi="zh-CN"/>
        </w:rPr>
        <w:t xml:space="preserve">万元，属于</w:t>
      </w:r>
      <w:r>
        <w:rPr>
          <w:rFonts w:ascii="仿宋" w:hAnsi="仿宋" w:eastAsia="仿宋" w:cs="Times New Roman"/>
          <w:color w:val="auto"/>
          <w:sz w:val="24"/>
          <w:szCs w:val="24"/>
          <w:highlight w:val="none"/>
          <w:u w:val="single"/>
          <w:lang w:bidi="zh-CN"/>
        </w:rPr>
        <w:t xml:space="preserve">（中型企业、小型企业、微型企业）</w:t>
      </w:r>
      <w:r>
        <w:rPr>
          <w:rFonts w:ascii="仿宋" w:hAnsi="仿宋" w:eastAsia="仿宋" w:cs="Times New Roman"/>
          <w:color w:val="auto"/>
          <w:sz w:val="24"/>
          <w:szCs w:val="24"/>
          <w:highlight w:val="none"/>
          <w:lang w:bidi="zh-CN"/>
        </w:rPr>
        <w:t xml:space="preserve">；</w:t>
      </w:r>
      <w:r/>
    </w:p>
    <w:p>
      <w:pPr>
        <w:ind w:firstLine="480"/>
        <w:jc w:val="left"/>
        <w:spacing w:line="360" w:lineRule="auto"/>
        <w:rPr>
          <w:rFonts w:ascii="仿宋" w:hAnsi="仿宋" w:eastAsia="仿宋" w:cs="Times New Roman"/>
          <w:color w:val="auto"/>
          <w:sz w:val="24"/>
          <w:szCs w:val="24"/>
          <w:highlight w:val="none"/>
          <w:lang w:bidi="zh-CN"/>
        </w:rPr>
      </w:pPr>
      <w:r>
        <w:rPr>
          <w:rFonts w:ascii="仿宋" w:hAnsi="仿宋" w:eastAsia="仿宋" w:cs="Times New Roman"/>
          <w:color w:val="auto"/>
          <w:sz w:val="24"/>
          <w:szCs w:val="24"/>
          <w:highlight w:val="none"/>
          <w:lang w:bidi="zh-CN"/>
        </w:rPr>
        <w:t xml:space="preserve">……</w:t>
      </w:r>
      <w:r/>
    </w:p>
    <w:p>
      <w:pPr>
        <w:ind w:firstLine="480"/>
        <w:jc w:val="left"/>
        <w:spacing w:line="360" w:lineRule="auto"/>
        <w:rPr>
          <w:rFonts w:ascii="仿宋" w:hAnsi="仿宋" w:eastAsia="仿宋" w:cs="Times New Roman"/>
          <w:color w:val="auto"/>
          <w:sz w:val="24"/>
          <w:szCs w:val="24"/>
          <w:highlight w:val="none"/>
          <w:lang w:bidi="zh-CN"/>
        </w:rPr>
      </w:pPr>
      <w:r>
        <w:rPr>
          <w:rFonts w:ascii="仿宋" w:hAnsi="仿宋" w:eastAsia="仿宋" w:cs="Times New Roman"/>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ascii="仿宋" w:hAnsi="仿宋" w:eastAsia="仿宋" w:cs="Times New Roman"/>
          <w:color w:val="auto"/>
          <w:sz w:val="24"/>
          <w:szCs w:val="24"/>
          <w:highlight w:val="none"/>
          <w:lang w:bidi="zh-CN"/>
        </w:rPr>
      </w:pPr>
      <w:r>
        <w:rPr>
          <w:rFonts w:ascii="仿宋" w:hAnsi="仿宋" w:eastAsia="仿宋" w:cs="Times New Roman"/>
          <w:color w:val="auto"/>
          <w:sz w:val="24"/>
          <w:szCs w:val="24"/>
          <w:highlight w:val="none"/>
          <w:lang w:bidi="zh-CN"/>
        </w:rPr>
        <w:t xml:space="preserve">本企业对上述声明内容的真实性负责。如有虚假，将依法承担相应责任。</w:t>
      </w:r>
      <w:r/>
    </w:p>
    <w:p>
      <w:pPr>
        <w:jc w:val="left"/>
        <w:spacing w:line="360" w:lineRule="auto"/>
        <w:rPr>
          <w:rFonts w:ascii="仿宋" w:hAnsi="仿宋" w:eastAsia="仿宋" w:cs="Times New Roman"/>
          <w:color w:val="auto"/>
          <w:sz w:val="24"/>
          <w:szCs w:val="24"/>
          <w:highlight w:val="none"/>
          <w:lang w:bidi="zh-CN"/>
        </w:rPr>
      </w:pPr>
      <w:r>
        <w:rPr>
          <w:rFonts w:ascii="仿宋" w:hAnsi="仿宋" w:eastAsia="仿宋" w:cs="Times New Roman"/>
          <w:color w:val="auto"/>
          <w:sz w:val="24"/>
          <w:szCs w:val="24"/>
          <w:highlight w:val="none"/>
          <w:lang w:bidi="zh-CN"/>
        </w:rPr>
      </w:r>
      <w:r/>
    </w:p>
    <w:p>
      <w:pPr>
        <w:jc w:val="left"/>
        <w:spacing w:line="360" w:lineRule="auto"/>
        <w:rPr>
          <w:rFonts w:ascii="仿宋" w:hAnsi="仿宋" w:eastAsia="仿宋" w:cs="Times New Roman"/>
          <w:color w:val="auto"/>
          <w:sz w:val="24"/>
          <w:szCs w:val="24"/>
          <w:highlight w:val="none"/>
          <w:lang w:bidi="zh-CN"/>
        </w:rPr>
      </w:pPr>
      <w:r>
        <w:rPr>
          <w:rFonts w:ascii="仿宋" w:hAnsi="仿宋" w:eastAsia="仿宋" w:cs="Times New Roman"/>
          <w:color w:val="auto"/>
          <w:sz w:val="24"/>
          <w:szCs w:val="24"/>
          <w:highlight w:val="none"/>
          <w:lang w:bidi="zh-CN"/>
        </w:rPr>
        <w:t xml:space="preserve">企业名称（盖章）：</w:t>
      </w:r>
      <w:r/>
    </w:p>
    <w:p>
      <w:pPr>
        <w:jc w:val="left"/>
        <w:spacing w:line="360" w:lineRule="auto"/>
        <w:rPr>
          <w:rFonts w:ascii="仿宋" w:hAnsi="仿宋" w:eastAsia="仿宋" w:cs="Times New Roman"/>
          <w:color w:val="auto"/>
          <w:sz w:val="24"/>
          <w:szCs w:val="24"/>
          <w:highlight w:val="none"/>
          <w:lang w:bidi="zh-CN"/>
        </w:rPr>
      </w:pPr>
      <w:r>
        <w:rPr>
          <w:rFonts w:ascii="仿宋" w:hAnsi="仿宋" w:eastAsia="仿宋" w:cs="Times New Roman"/>
          <w:color w:val="auto"/>
          <w:sz w:val="24"/>
          <w:szCs w:val="24"/>
          <w:highlight w:val="none"/>
          <w:lang w:bidi="zh-CN"/>
        </w:rPr>
        <w:t xml:space="preserve">日期：</w:t>
      </w:r>
      <w:r/>
    </w:p>
    <w:p>
      <w:pPr>
        <w:jc w:val="left"/>
        <w:spacing w:line="360" w:lineRule="auto"/>
        <w:widowControl/>
        <w:rPr>
          <w:rFonts w:ascii="仿宋" w:hAnsi="仿宋" w:eastAsia="仿宋" w:cs="Times New Roman"/>
          <w:color w:val="auto"/>
          <w:sz w:val="24"/>
          <w:szCs w:val="24"/>
          <w:highlight w:val="none"/>
          <w:lang w:bidi="zh-CN"/>
        </w:rPr>
      </w:pPr>
      <w:r>
        <w:rPr>
          <w:rFonts w:ascii="仿宋" w:hAnsi="仿宋" w:eastAsia="仿宋" w:cs="Times New Roman"/>
          <w:color w:val="auto"/>
          <w:sz w:val="24"/>
          <w:szCs w:val="24"/>
          <w:highlight w:val="none"/>
          <w:lang w:bidi="zh-CN"/>
        </w:rPr>
        <w:br w:type="page" w:clear="all"/>
      </w:r>
      <w:r/>
    </w:p>
    <w:p>
      <w:pPr>
        <w:jc w:val="left"/>
        <w:spacing w:line="360" w:lineRule="auto"/>
        <w:rPr>
          <w:rFonts w:hint="eastAsia" w:ascii="仿宋" w:hAnsi="仿宋" w:eastAsia="仿宋" w:cs="Times New Roman"/>
          <w:color w:val="auto"/>
          <w:sz w:val="24"/>
          <w:szCs w:val="24"/>
          <w:highlight w:val="none"/>
          <w:lang w:eastAsia="zh-CN"/>
        </w:rPr>
      </w:pPr>
      <w:r>
        <w:rPr>
          <w:rFonts w:ascii="仿宋" w:hAnsi="仿宋" w:eastAsia="仿宋" w:cs="Times New Roman"/>
          <w:color w:val="auto"/>
          <w:sz w:val="24"/>
          <w:szCs w:val="24"/>
          <w:highlight w:val="none"/>
        </w:rPr>
        <w:t xml:space="preserve">附件1</w:t>
      </w:r>
      <w:r>
        <w:rPr>
          <w:rFonts w:hint="eastAsia" w:ascii="仿宋" w:hAnsi="仿宋" w:eastAsia="仿宋" w:cs="Times New Roman"/>
          <w:color w:val="auto"/>
          <w:sz w:val="24"/>
          <w:szCs w:val="24"/>
          <w:highlight w:val="none"/>
          <w:lang w:val="en-US" w:eastAsia="zh-CN"/>
        </w:rPr>
        <w:t xml:space="preserve">1</w:t>
      </w:r>
      <w:r/>
    </w:p>
    <w:p>
      <w:pPr>
        <w:jc w:val="center"/>
        <w:spacing w:line="360" w:lineRule="auto"/>
        <w:rPr>
          <w:rFonts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t xml:space="preserve">残疾人福利性单位声明函</w:t>
      </w:r>
      <w:r/>
    </w:p>
    <w:p>
      <w:pPr>
        <w:ind w:firstLine="480"/>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本单位对上述声明的真实性负责。如有虚假，将依法承担相应责任。</w:t>
      </w:r>
      <w:r/>
    </w:p>
    <w:p>
      <w:pPr>
        <w:ind w:firstLine="480"/>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（备注：1、供应商如不提供此声明函，价格将不做相应扣除。2、中标供应商为残疾人福利单位的，此声明函将随中标结果同时公告，接受社会监督）</w:t>
      </w:r>
      <w:r/>
    </w:p>
    <w:p>
      <w:pPr>
        <w:spacing w:line="360" w:lineRule="auto"/>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p>
      <w:pPr>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供应商全称（盖章）：</w:t>
      </w:r>
      <w:r/>
    </w:p>
    <w:p>
      <w:pPr>
        <w:spacing w:line="360" w:lineRule="auto"/>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日  期：</w:t>
      </w:r>
      <w:r/>
    </w:p>
    <w:p>
      <w:pPr>
        <w:jc w:val="left"/>
        <w:spacing w:line="360" w:lineRule="auto"/>
        <w:widowControl/>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p>
      <w:pPr>
        <w:jc w:val="left"/>
        <w:spacing w:line="360" w:lineRule="auto"/>
        <w:widowControl/>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r>
      <w:r/>
    </w:p>
    <w:p>
      <w:pPr>
        <w:spacing w:line="360" w:lineRule="auto"/>
        <w:rPr>
          <w:rFonts w:hint="eastAsia" w:ascii="仿宋" w:hAnsi="仿宋" w:eastAsia="仿宋" w:cs="Times New Roman"/>
          <w:color w:val="auto"/>
          <w:sz w:val="24"/>
          <w:szCs w:val="24"/>
          <w:highlight w:val="none"/>
          <w:lang w:eastAsia="zh-CN"/>
        </w:rPr>
      </w:pPr>
      <w:r>
        <w:rPr>
          <w:rFonts w:ascii="仿宋" w:hAnsi="仿宋" w:eastAsia="仿宋" w:cs="Times New Roman"/>
          <w:color w:val="auto"/>
          <w:sz w:val="24"/>
          <w:szCs w:val="24"/>
          <w:highlight w:val="none"/>
        </w:rPr>
        <w:t xml:space="preserve">附件1</w:t>
      </w:r>
      <w:r>
        <w:rPr>
          <w:rFonts w:hint="eastAsia" w:ascii="仿宋" w:hAnsi="仿宋" w:eastAsia="仿宋" w:cs="Times New Roman"/>
          <w:color w:val="auto"/>
          <w:sz w:val="24"/>
          <w:szCs w:val="24"/>
          <w:highlight w:val="none"/>
          <w:lang w:val="en-US" w:eastAsia="zh-CN"/>
        </w:rPr>
        <w:t xml:space="preserve">2</w:t>
      </w:r>
      <w:r/>
    </w:p>
    <w:p>
      <w:pPr>
        <w:jc w:val="center"/>
        <w:spacing w:line="360" w:lineRule="auto"/>
        <w:rPr>
          <w:rFonts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t xml:space="preserve">监狱和戒毒企业证明材料</w:t>
      </w:r>
      <w:r/>
    </w:p>
    <w:p>
      <w:pPr>
        <w:jc w:val="center"/>
        <w:spacing w:line="360" w:lineRule="auto"/>
        <w:rPr>
          <w:rFonts w:ascii="仿宋" w:hAnsi="仿宋" w:eastAsia="仿宋" w:cs="宋体"/>
          <w:b/>
          <w:color w:val="auto"/>
          <w:sz w:val="24"/>
          <w:szCs w:val="24"/>
          <w:highlight w:val="none"/>
        </w:rPr>
      </w:pPr>
      <w:r>
        <w:rPr>
          <w:rFonts w:hint="eastAsia" w:ascii="仿宋" w:hAnsi="仿宋" w:eastAsia="仿宋" w:cs="宋体"/>
          <w:b/>
          <w:color w:val="auto"/>
          <w:sz w:val="24"/>
          <w:szCs w:val="24"/>
          <w:highlight w:val="none"/>
        </w:rPr>
        <w:t xml:space="preserve">（格式自拟）</w:t>
      </w:r>
      <w:r/>
    </w:p>
    <w:p>
      <w:pPr>
        <w:ind w:firstLine="480"/>
        <w:jc w:val="left"/>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jc w:val="left"/>
        <w:spacing w:line="360" w:lineRule="auto"/>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jc w:val="left"/>
        <w:spacing w:line="360" w:lineRule="auto"/>
        <w:widowControl/>
        <w:rPr>
          <w:rFonts w:ascii="仿宋" w:hAnsi="仿宋" w:eastAsia="仿宋" w:cs="宋体"/>
          <w:color w:val="auto"/>
          <w:sz w:val="24"/>
          <w:szCs w:val="24"/>
          <w:highlight w:val="none"/>
        </w:rPr>
      </w:pPr>
      <w:r>
        <w:rPr>
          <w:rFonts w:ascii="仿宋" w:hAnsi="仿宋" w:eastAsia="仿宋" w:cs="宋体"/>
          <w:color w:val="auto"/>
          <w:sz w:val="24"/>
          <w:szCs w:val="24"/>
          <w:highlight w:val="none"/>
        </w:rPr>
        <w:br w:type="page" w:clear="all"/>
      </w:r>
      <w:r/>
    </w:p>
    <w:p>
      <w:pPr>
        <w:jc w:val="left"/>
        <w:spacing w:line="360" w:lineRule="auto"/>
        <w:rPr>
          <w:rFonts w:hint="eastAsia" w:ascii="仿宋" w:hAnsi="仿宋" w:eastAsia="仿宋" w:cs="Times New Roman"/>
          <w:bCs/>
          <w:color w:val="auto"/>
          <w:sz w:val="24"/>
          <w:szCs w:val="24"/>
          <w:highlight w:val="none"/>
          <w:lang w:eastAsia="zh-CN" w:bidi="ar"/>
        </w:rPr>
      </w:pPr>
      <w:r>
        <w:rPr>
          <w:rFonts w:ascii="仿宋" w:hAnsi="仿宋" w:eastAsia="仿宋" w:cs="Times New Roman"/>
          <w:bCs/>
          <w:color w:val="auto"/>
          <w:sz w:val="24"/>
          <w:szCs w:val="24"/>
          <w:highlight w:val="none"/>
          <w:lang w:bidi="ar"/>
        </w:rPr>
        <w:t xml:space="preserve">附件1</w:t>
      </w:r>
      <w:r>
        <w:rPr>
          <w:rFonts w:hint="eastAsia" w:ascii="仿宋" w:hAnsi="仿宋" w:eastAsia="仿宋" w:cs="Times New Roman"/>
          <w:bCs/>
          <w:color w:val="auto"/>
          <w:sz w:val="24"/>
          <w:szCs w:val="24"/>
          <w:highlight w:val="none"/>
          <w:lang w:val="en-US" w:eastAsia="zh-CN" w:bidi="ar"/>
        </w:rPr>
        <w:t xml:space="preserve">3</w:t>
      </w:r>
      <w:r/>
    </w:p>
    <w:p>
      <w:pPr>
        <w:jc w:val="center"/>
        <w:spacing w:line="360" w:lineRule="auto"/>
        <w:rPr>
          <w:rFonts w:ascii="仿宋" w:hAnsi="仿宋" w:eastAsia="仿宋" w:cs="宋体"/>
          <w:b/>
          <w:color w:val="auto"/>
          <w:sz w:val="24"/>
          <w:szCs w:val="24"/>
          <w:highlight w:val="none"/>
          <w:lang w:bidi="ar"/>
        </w:rPr>
      </w:pPr>
      <w:r/>
      <w:bookmarkStart w:id="94" w:name="_Hlk130369611"/>
      <w:r>
        <w:rPr>
          <w:rFonts w:hint="eastAsia" w:ascii="仿宋" w:hAnsi="仿宋" w:eastAsia="仿宋" w:cs="宋体"/>
          <w:b/>
          <w:color w:val="auto"/>
          <w:sz w:val="24"/>
          <w:szCs w:val="24"/>
          <w:highlight w:val="none"/>
          <w:lang w:bidi="ar"/>
        </w:rPr>
        <w:t xml:space="preserve">供应商信用承诺书</w:t>
      </w:r>
      <w:bookmarkEnd w:id="94"/>
      <w:r/>
      <w:r/>
    </w:p>
    <w:p>
      <w:pPr>
        <w:ind w:firstLine="480"/>
        <w:spacing w:line="360" w:lineRule="auto"/>
        <w:rPr>
          <w:rFonts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bidi="ar"/>
        </w:rPr>
        <w:t xml:space="preserve">为营造公开、公平、公正的交易环境，树立诚信守法的供应商形象，本人代表本单位作出以下承诺：</w:t>
      </w:r>
      <w:r/>
    </w:p>
    <w:p>
      <w:pPr>
        <w:ind w:firstLine="480"/>
        <w:spacing w:line="360" w:lineRule="auto"/>
        <w:rPr>
          <w:rFonts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bidi="ar"/>
        </w:rPr>
        <w:t xml:space="preserve">二、严格依照国家和省、市、县关于政府采购等方面的法律、法规、规章、规范性文件，参加投标活动；积极履行社会责任，促进廉政建设；</w:t>
      </w:r>
      <w:r/>
    </w:p>
    <w:p>
      <w:pPr>
        <w:ind w:firstLine="480"/>
        <w:spacing w:line="360" w:lineRule="auto"/>
        <w:rPr>
          <w:rFonts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bidi="ar"/>
        </w:rPr>
        <w:t xml:space="preserve">三、自我约束、自我管理，守合同、重信用，不参与围标串标、弄虚作假、骗取中标、干扰评标、违约毁约、恶意投诉等行为，主动维护招标投标的良好秩序；</w:t>
      </w:r>
      <w:r/>
    </w:p>
    <w:p>
      <w:pPr>
        <w:ind w:firstLine="480"/>
        <w:spacing w:line="360" w:lineRule="auto"/>
        <w:rPr>
          <w:rFonts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bidi="ar"/>
        </w:rPr>
        <w:t xml:space="preserve">四、如发生违法违规或不良行为或存在其他法律法规对招标投标行为予以限制的情形，自愿接受政府采购有关行政监督部门依法给予的行政处罚（处理），并依法承担相应的法律责任；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bidi="ar"/>
        </w:rPr>
        <w:t xml:space="preserve">五、自觉接受政府部门、行业组织、社会公众、新闻舆论等监督；</w:t>
      </w:r>
      <w:r/>
    </w:p>
    <w:p>
      <w:pPr>
        <w:ind w:firstLine="480"/>
        <w:spacing w:line="360" w:lineRule="auto"/>
        <w:rPr>
          <w:rFonts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bidi="ar"/>
        </w:rPr>
        <w:t xml:space="preserve">六、上述承诺已向本单位员工作了宣传教育；</w:t>
      </w:r>
      <w:r/>
    </w:p>
    <w:p>
      <w:pPr>
        <w:ind w:firstLine="482"/>
        <w:spacing w:line="360" w:lineRule="auto"/>
        <w:rPr>
          <w:rFonts w:ascii="仿宋" w:hAnsi="仿宋" w:eastAsia="仿宋" w:cs="宋体"/>
          <w:color w:val="auto"/>
          <w:sz w:val="24"/>
          <w:szCs w:val="24"/>
          <w:highlight w:val="none"/>
          <w:lang w:val="zh-CN"/>
        </w:rPr>
      </w:pPr>
      <w:r>
        <w:rPr>
          <w:rFonts w:hint="eastAsia" w:ascii="仿宋" w:hAnsi="仿宋" w:eastAsia="仿宋" w:cs="宋体"/>
          <w:b/>
          <w:color w:val="auto"/>
          <w:sz w:val="24"/>
          <w:szCs w:val="24"/>
          <w:highlight w:val="none"/>
          <w:lang w:val="zh-CN" w:bidi="ar"/>
        </w:rPr>
        <w:t xml:space="preserve">如有违反上述承诺的不良行为，本单位同意将其予以上网公示。</w:t>
      </w:r>
      <w:r/>
    </w:p>
    <w:p>
      <w:pPr>
        <w:ind w:firstLine="2640"/>
        <w:spacing w:line="360" w:lineRule="auto"/>
        <w:rPr>
          <w:rFonts w:ascii="仿宋" w:hAnsi="仿宋" w:eastAsia="仿宋" w:cs="宋体"/>
          <w:color w:val="auto"/>
          <w:sz w:val="24"/>
          <w:szCs w:val="24"/>
          <w:highlight w:val="none"/>
          <w:u w:val="single"/>
          <w:lang w:val="zh-CN"/>
        </w:rPr>
      </w:pPr>
      <w:r>
        <w:rPr>
          <w:rFonts w:hint="eastAsia" w:ascii="仿宋" w:hAnsi="仿宋" w:eastAsia="仿宋" w:cs="宋体"/>
          <w:color w:val="auto"/>
          <w:sz w:val="24"/>
          <w:szCs w:val="24"/>
          <w:highlight w:val="none"/>
          <w:lang w:val="zh-CN" w:bidi="ar"/>
        </w:rPr>
        <w:t xml:space="preserve">投标供应商全称(盖公章)：</w:t>
      </w:r>
      <w:r/>
    </w:p>
    <w:p>
      <w:pPr>
        <w:ind w:firstLine="2640"/>
        <w:spacing w:line="360" w:lineRule="auto"/>
        <w:rPr>
          <w:rFonts w:ascii="仿宋" w:hAnsi="仿宋" w:eastAsia="仿宋" w:cs="宋体"/>
          <w:color w:val="auto"/>
          <w:sz w:val="24"/>
          <w:szCs w:val="24"/>
          <w:highlight w:val="none"/>
          <w:u w:val="single"/>
          <w:lang w:val="zh-CN"/>
        </w:rPr>
      </w:pPr>
      <w:r>
        <w:rPr>
          <w:rFonts w:hint="eastAsia" w:ascii="仿宋" w:hAnsi="仿宋" w:eastAsia="仿宋" w:cs="宋体"/>
          <w:color w:val="auto"/>
          <w:sz w:val="24"/>
          <w:szCs w:val="24"/>
          <w:highlight w:val="none"/>
          <w:lang w:val="zh-CN" w:bidi="ar"/>
        </w:rPr>
        <w:t xml:space="preserve">法定代表人（签字或盖章）：</w:t>
      </w:r>
      <w:r/>
    </w:p>
    <w:p>
      <w:pPr>
        <w:ind w:firstLine="2640"/>
        <w:spacing w:line="360" w:lineRule="auto"/>
        <w:rPr>
          <w:rFonts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bidi="ar"/>
        </w:rPr>
        <w:t xml:space="preserve">时间：  年  月   日</w:t>
      </w:r>
      <w:r/>
    </w:p>
    <w:p>
      <w:pPr>
        <w:jc w:val="left"/>
        <w:spacing w:line="360" w:lineRule="auto"/>
        <w:widowControl/>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br w:type="page" w:clear="all"/>
      </w:r>
      <w:r/>
    </w:p>
    <w:p>
      <w:pPr>
        <w:jc w:val="left"/>
        <w:spacing w:line="360" w:lineRule="auto"/>
        <w:rPr>
          <w:rFonts w:hint="eastAsia" w:ascii="仿宋" w:hAnsi="仿宋" w:eastAsia="仿宋" w:cs="Times New Roman"/>
          <w:bCs/>
          <w:color w:val="auto"/>
          <w:sz w:val="24"/>
          <w:szCs w:val="24"/>
          <w:highlight w:val="none"/>
          <w:lang w:eastAsia="zh-CN" w:bidi="ar"/>
        </w:rPr>
      </w:pPr>
      <w:r>
        <w:rPr>
          <w:rFonts w:ascii="仿宋" w:hAnsi="仿宋" w:eastAsia="仿宋" w:cs="Times New Roman"/>
          <w:bCs/>
          <w:color w:val="auto"/>
          <w:sz w:val="24"/>
          <w:szCs w:val="24"/>
          <w:highlight w:val="none"/>
          <w:lang w:bidi="ar"/>
        </w:rPr>
        <w:t xml:space="preserve">附件1</w:t>
      </w:r>
      <w:r>
        <w:rPr>
          <w:rFonts w:hint="eastAsia" w:ascii="仿宋" w:hAnsi="仿宋" w:eastAsia="仿宋" w:cs="Times New Roman"/>
          <w:bCs/>
          <w:color w:val="auto"/>
          <w:sz w:val="24"/>
          <w:szCs w:val="24"/>
          <w:highlight w:val="none"/>
          <w:lang w:val="en-US" w:eastAsia="zh-CN" w:bidi="ar"/>
        </w:rPr>
        <w:t xml:space="preserve">4</w:t>
      </w:r>
      <w:r/>
    </w:p>
    <w:p>
      <w:pPr>
        <w:jc w:val="center"/>
        <w:spacing w:line="360" w:lineRule="auto"/>
        <w:rPr>
          <w:rFonts w:ascii="仿宋" w:hAnsi="仿宋" w:eastAsia="仿宋" w:cs="宋体"/>
          <w:b/>
          <w:color w:val="auto"/>
          <w:sz w:val="24"/>
          <w:szCs w:val="24"/>
          <w:highlight w:val="none"/>
          <w:lang w:bidi="ar"/>
        </w:rPr>
      </w:pPr>
      <w:r>
        <w:rPr>
          <w:rFonts w:hint="eastAsia" w:ascii="仿宋" w:hAnsi="仿宋" w:eastAsia="仿宋" w:cs="宋体"/>
          <w:b/>
          <w:color w:val="auto"/>
          <w:sz w:val="24"/>
          <w:szCs w:val="24"/>
          <w:highlight w:val="none"/>
          <w:lang w:bidi="ar"/>
        </w:rPr>
        <w:t xml:space="preserve">远程参与开标会议诚信承诺书</w:t>
      </w:r>
      <w:r/>
    </w:p>
    <w:p>
      <w:pPr>
        <w:ind w:firstLine="480"/>
        <w:spacing w:line="400" w:lineRule="exact"/>
        <w:rPr>
          <w:rFonts w:ascii="仿宋" w:hAnsi="仿宋" w:eastAsia="仿宋" w:cs="宋体"/>
          <w:color w:val="auto"/>
          <w:sz w:val="24"/>
          <w:szCs w:val="24"/>
          <w:highlight w:val="none"/>
          <w:u w:val="single"/>
          <w:lang w:val="zh-CN" w:bidi="ar"/>
        </w:rPr>
      </w:pPr>
      <w:r>
        <w:rPr>
          <w:rFonts w:hint="eastAsia" w:ascii="仿宋" w:hAnsi="仿宋" w:eastAsia="仿宋" w:cs="宋体"/>
          <w:color w:val="auto"/>
          <w:sz w:val="24"/>
          <w:szCs w:val="24"/>
          <w:highlight w:val="none"/>
          <w:lang w:val="zh-CN" w:bidi="ar"/>
        </w:rPr>
        <w:t xml:space="preserve">致：</w:t>
      </w:r>
      <w:r>
        <w:rPr>
          <w:rFonts w:ascii="仿宋" w:hAnsi="仿宋" w:eastAsia="仿宋" w:cs="宋体"/>
          <w:color w:val="auto"/>
          <w:sz w:val="24"/>
          <w:szCs w:val="24"/>
          <w:highlight w:val="none"/>
          <w:u w:val="single"/>
          <w:lang w:val="zh-CN" w:bidi="ar"/>
        </w:rPr>
        <w:t xml:space="preserve">                   </w:t>
      </w:r>
      <w:r/>
    </w:p>
    <w:p>
      <w:pPr>
        <w:ind w:firstLine="480"/>
        <w:spacing w:line="400" w:lineRule="exact"/>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我方郑重承诺：遵循公开、公平、公正和诚实守信的原则，参加本次远程开标会议，是我方真实意思的表达。</w:t>
      </w:r>
      <w:r/>
    </w:p>
    <w:p>
      <w:pPr>
        <w:ind w:firstLine="480"/>
        <w:spacing w:line="400" w:lineRule="exact"/>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一、不出借、买卖、伪造、涂改企业和从业人员的资质证书、营业执照、资格业绩、印章以及其他相关资信证明文件，严禁其他企业或个人以我公司的名义投标。</w:t>
      </w:r>
      <w:r/>
    </w:p>
    <w:p>
      <w:pPr>
        <w:ind w:firstLine="480"/>
        <w:spacing w:line="400" w:lineRule="exact"/>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二、严格遵守法律、法规和招标文件规定的投标程序。不隐瞒真实情况，不弄虚作假，不骗取投标和中标资格。</w:t>
      </w:r>
      <w:r/>
    </w:p>
    <w:p>
      <w:pPr>
        <w:ind w:firstLine="480"/>
        <w:spacing w:line="400" w:lineRule="exact"/>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三、坚决抵制和杜绝串标、围标、哄抬报价、贿赂、回扣等违法投标和不正当竞争行为。</w:t>
      </w:r>
      <w:r/>
    </w:p>
    <w:p>
      <w:pPr>
        <w:ind w:firstLine="480"/>
        <w:spacing w:line="400" w:lineRule="exact"/>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四、依法经营，公平竞争，不采取违法、违规或不正当手段损害、侵犯同行企业的正当权益。</w:t>
      </w:r>
      <w:r/>
    </w:p>
    <w:p>
      <w:pPr>
        <w:ind w:firstLine="480"/>
        <w:spacing w:line="400" w:lineRule="exact"/>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五、遵守指令、不擅离职守。开标评标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资格在内的任何处理结果。</w:t>
      </w:r>
      <w:r/>
    </w:p>
    <w:p>
      <w:pPr>
        <w:ind w:firstLine="480"/>
        <w:spacing w:line="400" w:lineRule="exact"/>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六、确保设施、设备工况良好。我方将负责提前检查电力供应、网络环境和远程开标会议有关设施、设备的稳定性和安全性，因我方原因导致无法完成投标或者不能进行现场实时交互的，均由我方自行承担一切后果。</w:t>
      </w:r>
      <w:r/>
    </w:p>
    <w:p>
      <w:pPr>
        <w:ind w:firstLine="480"/>
        <w:spacing w:line="400" w:lineRule="exact"/>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七、不向采购人或评标委员会成员或相关人员行贿，以牟取中标。</w:t>
      </w:r>
      <w:r/>
    </w:p>
    <w:p>
      <w:pPr>
        <w:ind w:firstLine="480"/>
        <w:spacing w:line="400" w:lineRule="exact"/>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八、我方将在法律、法规框架允许的范围内就有关评审过程中的事项向管理人员提出咨询或疑问，如需要提出现场质疑的，将严格按照江苏省财政厅文件（苏财购[</w:t>
      </w:r>
      <w:r>
        <w:rPr>
          <w:rFonts w:ascii="仿宋" w:hAnsi="仿宋" w:eastAsia="仿宋" w:cs="宋体"/>
          <w:color w:val="auto"/>
          <w:sz w:val="24"/>
          <w:szCs w:val="24"/>
          <w:highlight w:val="none"/>
          <w:lang w:val="zh-CN" w:bidi="ar"/>
        </w:rPr>
        <w:t xml:space="preserve">2018]86</w:t>
      </w:r>
      <w:r>
        <w:rPr>
          <w:rFonts w:hint="eastAsia" w:ascii="仿宋" w:hAnsi="仿宋" w:eastAsia="仿宋" w:cs="宋体"/>
          <w:color w:val="auto"/>
          <w:sz w:val="24"/>
          <w:szCs w:val="24"/>
          <w:highlight w:val="none"/>
          <w:lang w:val="zh-CN" w:bidi="ar"/>
        </w:rPr>
        <w:t xml:space="preserve">号）规定，以书面方式提出（加盖企业印鉴后通过网络传输扫描件）。不在招投标活动中虚假投诉。</w:t>
      </w:r>
      <w:r/>
    </w:p>
    <w:p>
      <w:pPr>
        <w:ind w:firstLine="480"/>
        <w:spacing w:line="400" w:lineRule="exact"/>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我方若有违反承诺内容的行为，自愿接受取消招投标资格、将不良行为记录记入档案、没收投标保证金等有关处理，并承担相应的法律责任。给采购人造成损失的，依法承担赔偿责任。</w:t>
      </w:r>
      <w:r/>
    </w:p>
    <w:p>
      <w:pPr>
        <w:ind w:firstLine="480"/>
        <w:spacing w:line="360" w:lineRule="auto"/>
        <w:rPr>
          <w:rFonts w:ascii="仿宋" w:hAnsi="仿宋" w:eastAsia="仿宋" w:cs="宋体"/>
          <w:color w:val="auto"/>
          <w:sz w:val="24"/>
          <w:szCs w:val="24"/>
          <w:highlight w:val="none"/>
          <w:lang w:val="zh-CN" w:bidi="ar"/>
        </w:rPr>
      </w:pPr>
      <w:r>
        <w:rPr>
          <w:rFonts w:ascii="仿宋" w:hAnsi="仿宋" w:eastAsia="仿宋" w:cs="宋体"/>
          <w:color w:val="auto"/>
          <w:sz w:val="24"/>
          <w:szCs w:val="24"/>
          <w:highlight w:val="none"/>
          <w:lang w:val="zh-CN" w:bidi="ar"/>
        </w:rPr>
      </w:r>
      <w:r/>
    </w:p>
    <w:p>
      <w:pPr>
        <w:ind w:firstLine="480"/>
        <w:jc w:val="center"/>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承诺单位（盖章）：</w:t>
      </w:r>
      <w:r/>
    </w:p>
    <w:p>
      <w:pPr>
        <w:ind w:firstLine="480"/>
        <w:jc w:val="center"/>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法定代表人签字或签章：</w:t>
      </w:r>
      <w:r/>
    </w:p>
    <w:p>
      <w:pPr>
        <w:ind w:firstLine="480"/>
        <w:jc w:val="center"/>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年</w:t>
      </w:r>
      <w:r>
        <w:rPr>
          <w:rFonts w:ascii="仿宋" w:hAnsi="仿宋" w:eastAsia="仿宋" w:cs="宋体"/>
          <w:color w:val="auto"/>
          <w:sz w:val="24"/>
          <w:szCs w:val="24"/>
          <w:highlight w:val="none"/>
          <w:lang w:val="zh-CN" w:bidi="ar"/>
        </w:rPr>
        <w:t xml:space="preserve">    </w:t>
      </w:r>
      <w:r>
        <w:rPr>
          <w:rFonts w:hint="eastAsia" w:ascii="仿宋" w:hAnsi="仿宋" w:eastAsia="仿宋" w:cs="宋体"/>
          <w:color w:val="auto"/>
          <w:sz w:val="24"/>
          <w:szCs w:val="24"/>
          <w:highlight w:val="none"/>
          <w:lang w:val="zh-CN" w:bidi="ar"/>
        </w:rPr>
        <w:t xml:space="preserve">月</w:t>
      </w:r>
      <w:r>
        <w:rPr>
          <w:rFonts w:ascii="仿宋" w:hAnsi="仿宋" w:eastAsia="仿宋" w:cs="宋体"/>
          <w:color w:val="auto"/>
          <w:sz w:val="24"/>
          <w:szCs w:val="24"/>
          <w:highlight w:val="none"/>
          <w:lang w:val="zh-CN" w:bidi="ar"/>
        </w:rPr>
        <w:t xml:space="preserve">    </w:t>
      </w:r>
      <w:r>
        <w:rPr>
          <w:rFonts w:hint="eastAsia" w:ascii="仿宋" w:hAnsi="仿宋" w:eastAsia="仿宋" w:cs="宋体"/>
          <w:color w:val="auto"/>
          <w:sz w:val="24"/>
          <w:szCs w:val="24"/>
          <w:highlight w:val="none"/>
          <w:lang w:val="zh-CN" w:bidi="ar"/>
        </w:rPr>
        <w:t xml:space="preserve">日</w:t>
      </w:r>
      <w:r/>
    </w:p>
    <w:p>
      <w:pPr>
        <w:rPr>
          <w:color w:val="auto"/>
          <w:highlight w:val="none"/>
        </w:rPr>
      </w:pPr>
      <w:r>
        <w:rPr>
          <w:color w:val="auto"/>
          <w:highlight w:val="none"/>
        </w:rPr>
      </w:r>
      <w:r/>
    </w:p>
    <w:p>
      <w:pPr>
        <w:jc w:val="left"/>
        <w:widowControl/>
        <w:rPr>
          <w:rFonts w:ascii="仿宋" w:hAnsi="仿宋" w:eastAsia="仿宋" w:cs="Times New Roman"/>
          <w:bCs/>
          <w:color w:val="auto"/>
          <w:sz w:val="24"/>
          <w:szCs w:val="24"/>
          <w:highlight w:val="none"/>
          <w:lang w:bidi="ar"/>
        </w:rPr>
      </w:pPr>
      <w:r>
        <w:rPr>
          <w:rFonts w:ascii="仿宋" w:hAnsi="仿宋" w:eastAsia="仿宋" w:cs="Times New Roman"/>
          <w:bCs/>
          <w:color w:val="auto"/>
          <w:sz w:val="24"/>
          <w:szCs w:val="24"/>
          <w:highlight w:val="none"/>
          <w:lang w:bidi="ar"/>
        </w:rPr>
        <w:br w:type="page" w:clear="all"/>
      </w:r>
      <w:r/>
    </w:p>
    <w:p>
      <w:pPr>
        <w:jc w:val="left"/>
        <w:spacing w:line="360" w:lineRule="auto"/>
        <w:rPr>
          <w:rFonts w:hint="eastAsia" w:ascii="仿宋" w:hAnsi="仿宋" w:eastAsia="仿宋" w:cs="Times New Roman"/>
          <w:bCs/>
          <w:color w:val="auto"/>
          <w:sz w:val="24"/>
          <w:szCs w:val="24"/>
          <w:highlight w:val="none"/>
          <w:lang w:eastAsia="zh-CN" w:bidi="ar"/>
        </w:rPr>
      </w:pPr>
      <w:r>
        <w:rPr>
          <w:rFonts w:ascii="仿宋" w:hAnsi="仿宋" w:eastAsia="仿宋" w:cs="Times New Roman"/>
          <w:bCs/>
          <w:color w:val="auto"/>
          <w:sz w:val="24"/>
          <w:szCs w:val="24"/>
          <w:highlight w:val="none"/>
          <w:lang w:bidi="ar"/>
        </w:rPr>
        <w:t xml:space="preserve">附件1</w:t>
      </w:r>
      <w:r>
        <w:rPr>
          <w:rFonts w:hint="eastAsia" w:ascii="仿宋" w:hAnsi="仿宋" w:eastAsia="仿宋" w:cs="Times New Roman"/>
          <w:bCs/>
          <w:color w:val="auto"/>
          <w:sz w:val="24"/>
          <w:szCs w:val="24"/>
          <w:highlight w:val="none"/>
          <w:lang w:val="en-US" w:eastAsia="zh-CN" w:bidi="ar"/>
        </w:rPr>
        <w:t xml:space="preserve">5</w:t>
      </w:r>
      <w:r/>
    </w:p>
    <w:p>
      <w:pPr>
        <w:jc w:val="cente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质疑函范本</w:t>
      </w:r>
      <w:r/>
    </w:p>
    <w:p>
      <w:pPr>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一、质疑供应商基本信息</w:t>
      </w:r>
      <w:r/>
    </w:p>
    <w:p>
      <w:pPr>
        <w:ind w:firstLine="480"/>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质疑供应商：</w:t>
      </w:r>
      <w:r/>
    </w:p>
    <w:p>
      <w:pPr>
        <w:ind w:firstLine="480"/>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地址：邮编：</w:t>
      </w:r>
      <w:r/>
    </w:p>
    <w:p>
      <w:pPr>
        <w:ind w:firstLine="480"/>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联系人：联系电话：</w:t>
      </w:r>
      <w:r/>
    </w:p>
    <w:p>
      <w:pPr>
        <w:ind w:firstLine="480"/>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授权代表：</w:t>
      </w:r>
      <w:r/>
    </w:p>
    <w:p>
      <w:pPr>
        <w:ind w:firstLine="480"/>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联系电话：</w:t>
      </w:r>
      <w:r/>
    </w:p>
    <w:p>
      <w:pPr>
        <w:ind w:firstLine="480"/>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地址：邮编：</w:t>
      </w:r>
      <w:r/>
    </w:p>
    <w:p>
      <w:pPr>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二、质疑项目基本情况</w:t>
      </w:r>
      <w:r/>
    </w:p>
    <w:p>
      <w:pPr>
        <w:ind w:firstLine="480"/>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质疑项目的名称：</w:t>
      </w:r>
      <w:r/>
    </w:p>
    <w:p>
      <w:pPr>
        <w:ind w:firstLine="480"/>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质疑项目的编号：包号：</w:t>
      </w:r>
      <w:r/>
    </w:p>
    <w:p>
      <w:pPr>
        <w:ind w:firstLine="480"/>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采购人名称：</w:t>
      </w:r>
      <w:r/>
    </w:p>
    <w:p>
      <w:pPr>
        <w:ind w:firstLine="480"/>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采购文件获取日期：</w:t>
      </w:r>
      <w:r/>
    </w:p>
    <w:p>
      <w:pPr>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三、质疑事项具体内容</w:t>
      </w:r>
      <w:r/>
    </w:p>
    <w:p>
      <w:pPr>
        <w:ind w:firstLine="480"/>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质疑事项1：</w:t>
      </w:r>
      <w:r/>
    </w:p>
    <w:p>
      <w:pPr>
        <w:ind w:firstLine="480"/>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事实依据：</w:t>
      </w:r>
      <w:r/>
    </w:p>
    <w:p>
      <w:pPr>
        <w:ind w:firstLine="480"/>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法律依据：</w:t>
      </w:r>
      <w:r/>
    </w:p>
    <w:p>
      <w:pPr>
        <w:ind w:firstLine="480"/>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质疑事项2</w:t>
      </w:r>
      <w:r/>
    </w:p>
    <w:p>
      <w:pPr>
        <w:ind w:firstLine="480"/>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w:t>
      </w:r>
      <w:r/>
    </w:p>
    <w:p>
      <w:pPr>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四、与质疑事项相关的质疑请求</w:t>
      </w:r>
      <w:r/>
    </w:p>
    <w:p>
      <w:pPr>
        <w:ind w:firstLine="480"/>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请求：</w:t>
      </w:r>
      <w:r/>
    </w:p>
    <w:p>
      <w:pPr>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签字(签章)：                   公章：                      </w:t>
      </w:r>
      <w:r/>
    </w:p>
    <w:p>
      <w:pPr>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日期：    </w:t>
      </w:r>
      <w:r/>
    </w:p>
    <w:p>
      <w:pPr>
        <w:spacing w:line="360" w:lineRule="auto"/>
        <w:rPr>
          <w:rFonts w:ascii="仿宋" w:hAnsi="仿宋" w:eastAsia="仿宋" w:cs="宋体"/>
          <w:color w:val="auto"/>
          <w:sz w:val="24"/>
          <w:szCs w:val="24"/>
          <w:highlight w:val="none"/>
          <w:lang w:val="zh-CN" w:bidi="ar"/>
        </w:rPr>
      </w:pPr>
      <w:r>
        <w:rPr>
          <w:rFonts w:ascii="仿宋" w:hAnsi="仿宋" w:eastAsia="仿宋" w:cs="宋体"/>
          <w:color w:val="auto"/>
          <w:sz w:val="24"/>
          <w:szCs w:val="24"/>
          <w:highlight w:val="none"/>
          <w:lang w:val="zh-CN" w:bidi="ar"/>
        </w:rPr>
      </w:r>
      <w:r/>
    </w:p>
    <w:p>
      <w:pPr>
        <w:spacing w:line="360" w:lineRule="auto"/>
        <w:rPr>
          <w:rFonts w:ascii="仿宋" w:hAnsi="仿宋" w:eastAsia="仿宋" w:cs="宋体"/>
          <w:b/>
          <w:bCs/>
          <w:color w:val="auto"/>
          <w:sz w:val="24"/>
          <w:szCs w:val="24"/>
          <w:highlight w:val="none"/>
          <w:lang w:val="zh-CN" w:bidi="ar"/>
        </w:rPr>
      </w:pPr>
      <w:r>
        <w:rPr>
          <w:rFonts w:hint="eastAsia" w:ascii="仿宋" w:hAnsi="仿宋" w:eastAsia="仿宋" w:cs="宋体"/>
          <w:b/>
          <w:bCs/>
          <w:color w:val="auto"/>
          <w:sz w:val="24"/>
          <w:szCs w:val="24"/>
          <w:highlight w:val="none"/>
          <w:lang w:val="zh-CN" w:bidi="ar"/>
        </w:rPr>
        <w:t xml:space="preserve">质疑函制作说明：</w:t>
      </w:r>
      <w:r/>
    </w:p>
    <w:p>
      <w:pPr>
        <w:ind w:firstLine="480"/>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1、供应商提出质疑时，应提交质疑函和必要的证明材料。</w:t>
      </w:r>
      <w:r/>
    </w:p>
    <w:p>
      <w:pPr>
        <w:ind w:firstLine="480"/>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3、质疑供应商若对项目的某一分包进行质疑，质疑函中应列明具体分包号。</w:t>
      </w:r>
      <w:r/>
    </w:p>
    <w:p>
      <w:pPr>
        <w:ind w:firstLine="480"/>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4、质疑函的质疑事项应具体、明确，并有必要的事实依据和法律依据。</w:t>
      </w:r>
      <w:r/>
    </w:p>
    <w:p>
      <w:pPr>
        <w:ind w:firstLine="480"/>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5、质疑函的质疑请求应与质疑事项相关。</w:t>
      </w:r>
      <w:r/>
    </w:p>
    <w:p>
      <w:pPr>
        <w:ind w:firstLine="480"/>
        <w:spacing w:line="360" w:lineRule="auto"/>
        <w:rPr>
          <w:rFonts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360" w:lineRule="auto"/>
        <w:rPr>
          <w:rFonts w:ascii="仿宋" w:hAnsi="仿宋" w:eastAsia="仿宋" w:cs="宋体"/>
          <w:color w:val="auto"/>
          <w:sz w:val="24"/>
          <w:szCs w:val="24"/>
          <w:highlight w:val="none"/>
          <w:lang w:val="zh-CN" w:bidi="ar"/>
        </w:rPr>
      </w:pPr>
      <w:r>
        <w:rPr>
          <w:rFonts w:ascii="仿宋" w:hAnsi="仿宋" w:eastAsia="仿宋" w:cs="宋体"/>
          <w:color w:val="auto"/>
          <w:sz w:val="24"/>
          <w:szCs w:val="24"/>
          <w:highlight w:val="none"/>
          <w:lang w:val="zh-CN" w:bidi="ar"/>
        </w:rPr>
      </w:r>
      <w:r/>
    </w:p>
    <w:p>
      <w:pPr>
        <w:jc w:val="left"/>
        <w:spacing w:line="360" w:lineRule="auto"/>
        <w:widowControl/>
        <w:rPr>
          <w:rFonts w:ascii="仿宋" w:hAnsi="仿宋" w:eastAsia="仿宋"/>
          <w:color w:val="auto"/>
          <w:sz w:val="24"/>
          <w:szCs w:val="24"/>
          <w:highlight w:val="none"/>
        </w:rPr>
      </w:pPr>
      <w:r>
        <w:rPr>
          <w:rFonts w:ascii="仿宋" w:hAnsi="仿宋" w:eastAsia="仿宋"/>
          <w:color w:val="auto"/>
          <w:sz w:val="24"/>
          <w:szCs w:val="24"/>
          <w:highlight w:val="none"/>
        </w:rPr>
      </w:r>
      <w:r/>
    </w:p>
    <w:p>
      <w:pPr>
        <w:rPr>
          <w:color w:val="auto"/>
          <w:highlight w:val="none"/>
        </w:rPr>
      </w:pPr>
      <w:r>
        <w:rPr>
          <w:color w:val="auto"/>
          <w:highlight w:val="none"/>
        </w:rPr>
      </w:r>
      <w:r/>
    </w:p>
    <w:p>
      <w:pPr>
        <w:rPr>
          <w:highlight w:val="none"/>
        </w:rPr>
      </w:pPr>
      <w:r>
        <w:rPr>
          <w:highlight w:val="none"/>
        </w:rPr>
      </w:r>
      <w:r/>
    </w:p>
    <w:sectPr>
      <w:footerReference w:type="default" r:id="rId9"/>
      <w:footnotePr/>
      <w:endnotePr/>
      <w:type w:val="nextPage"/>
      <w:pgSz w:w="11906" w:h="16838" w:orient="portrait"/>
      <w:pgMar w:top="1418" w:right="1418" w:bottom="1418" w:left="1701"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华文中宋">
    <w:panose1 w:val="02010600040101010101"/>
  </w:font>
  <w:font w:name="黑体">
    <w:panose1 w:val="02010609060101010101"/>
  </w:font>
  <w:font w:name="仿宋_GB2312">
    <w:panose1 w:val="02010609060101010101"/>
  </w:font>
  <w:font w:name="楷体_GB2312">
    <w:panose1 w:val="02010609060101010101"/>
  </w:font>
  <w:font w:name="仿宋">
    <w:panose1 w:val="02010609060101010101"/>
  </w:font>
  <w:font w:name="Arial">
    <w:panose1 w:val="020B0604020202020204"/>
  </w:font>
  <w:font w:name="??_GB2312">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36827657"/>
      <w:rPr>
        <w:rFonts w:ascii="仿宋" w:hAnsi="仿宋" w:eastAsia="仿宋"/>
        <w:sz w:val="21"/>
        <w:szCs w:val="21"/>
      </w:rPr>
    </w:sdtPr>
    <w:sdtContent>
      <w:sdt>
        <w:sdtPr>
          <w15:appearance w15:val="boundingBox"/>
          <w:id w:val="98381352"/>
          <w:rPr>
            <w:rFonts w:ascii="仿宋" w:hAnsi="仿宋" w:eastAsia="仿宋"/>
            <w:sz w:val="21"/>
            <w:szCs w:val="21"/>
          </w:rPr>
        </w:sdtPr>
        <w:sdtContent>
          <w:p>
            <w:pPr>
              <w:pStyle w:val="854"/>
              <w:jc w:val="center"/>
              <w:rPr>
                <w:rFonts w:ascii="仿宋" w:hAnsi="仿宋" w:eastAsia="仿宋"/>
                <w:sz w:val="21"/>
                <w:szCs w:val="21"/>
              </w:rPr>
            </w:pPr>
            <w:r>
              <w:rPr>
                <w:rFonts w:ascii="仿宋" w:hAnsi="仿宋" w:eastAsia="仿宋"/>
                <w:sz w:val="21"/>
                <w:szCs w:val="21"/>
                <w:lang w:val="zh-CN"/>
              </w:rPr>
              <w:t xml:space="preserve"> </w:t>
            </w:r>
            <w:r>
              <w:rPr>
                <w:rFonts w:ascii="仿宋" w:hAnsi="仿宋" w:eastAsia="仿宋"/>
                <w:bCs/>
                <w:sz w:val="21"/>
                <w:szCs w:val="21"/>
              </w:rPr>
              <w:fldChar w:fldCharType="begin"/>
            </w:r>
            <w:r>
              <w:rPr>
                <w:rFonts w:ascii="仿宋" w:hAnsi="仿宋" w:eastAsia="仿宋"/>
                <w:bCs/>
                <w:sz w:val="21"/>
                <w:szCs w:val="21"/>
              </w:rPr>
              <w:instrText xml:space="preserve">PAGE</w:instrText>
            </w:r>
            <w:r>
              <w:rPr>
                <w:rFonts w:ascii="仿宋" w:hAnsi="仿宋" w:eastAsia="仿宋"/>
                <w:bCs/>
                <w:sz w:val="21"/>
                <w:szCs w:val="21"/>
              </w:rPr>
              <w:fldChar w:fldCharType="separate"/>
            </w:r>
            <w:r>
              <w:rPr>
                <w:rFonts w:ascii="仿宋" w:hAnsi="仿宋" w:eastAsia="仿宋"/>
                <w:bCs/>
                <w:sz w:val="21"/>
                <w:szCs w:val="21"/>
              </w:rPr>
              <w:t xml:space="preserve">12</w:t>
            </w:r>
            <w:r>
              <w:rPr>
                <w:rFonts w:ascii="仿宋" w:hAnsi="仿宋" w:eastAsia="仿宋"/>
                <w:bCs/>
                <w:sz w:val="21"/>
                <w:szCs w:val="21"/>
              </w:rPr>
              <w:fldChar w:fldCharType="end"/>
            </w:r>
            <w:r>
              <w:rPr>
                <w:rFonts w:ascii="仿宋" w:hAnsi="仿宋" w:eastAsia="仿宋"/>
                <w:sz w:val="21"/>
                <w:szCs w:val="21"/>
                <w:lang w:val="zh-CN"/>
              </w:rPr>
              <w:t xml:space="preserve"> / </w:t>
            </w:r>
            <w:r>
              <w:rPr>
                <w:rFonts w:ascii="仿宋" w:hAnsi="仿宋" w:eastAsia="仿宋"/>
                <w:bCs/>
                <w:sz w:val="21"/>
                <w:szCs w:val="21"/>
              </w:rPr>
              <w:fldChar w:fldCharType="begin"/>
            </w:r>
            <w:r>
              <w:rPr>
                <w:rFonts w:ascii="仿宋" w:hAnsi="仿宋" w:eastAsia="仿宋"/>
                <w:bCs/>
                <w:sz w:val="21"/>
                <w:szCs w:val="21"/>
              </w:rPr>
              <w:instrText xml:space="preserve">NUMPAGES</w:instrText>
            </w:r>
            <w:r>
              <w:rPr>
                <w:rFonts w:ascii="仿宋" w:hAnsi="仿宋" w:eastAsia="仿宋"/>
                <w:bCs/>
                <w:sz w:val="21"/>
                <w:szCs w:val="21"/>
              </w:rPr>
              <w:fldChar w:fldCharType="separate"/>
            </w:r>
            <w:r>
              <w:rPr>
                <w:rFonts w:ascii="仿宋" w:hAnsi="仿宋" w:eastAsia="仿宋"/>
                <w:bCs/>
                <w:sz w:val="21"/>
                <w:szCs w:val="21"/>
              </w:rPr>
              <w:t xml:space="preserve">36</w:t>
            </w:r>
            <w:r>
              <w:rPr>
                <w:rFonts w:ascii="仿宋" w:hAnsi="仿宋" w:eastAsia="仿宋"/>
                <w:bCs/>
                <w:sz w:val="21"/>
                <w:szCs w:val="21"/>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6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1">
    <w:name w:val="Heading 1 Char"/>
    <w:basedOn w:val="846"/>
    <w:link w:val="843"/>
    <w:uiPriority w:val="9"/>
    <w:rPr>
      <w:rFonts w:ascii="Arial" w:hAnsi="Arial" w:eastAsia="Arial" w:cs="Arial"/>
      <w:sz w:val="40"/>
      <w:szCs w:val="40"/>
    </w:rPr>
  </w:style>
  <w:style w:type="character" w:styleId="672">
    <w:name w:val="Heading 2 Char"/>
    <w:basedOn w:val="846"/>
    <w:link w:val="844"/>
    <w:uiPriority w:val="9"/>
    <w:rPr>
      <w:rFonts w:ascii="Arial" w:hAnsi="Arial" w:eastAsia="Arial" w:cs="Arial"/>
      <w:sz w:val="34"/>
    </w:rPr>
  </w:style>
  <w:style w:type="character" w:styleId="673">
    <w:name w:val="Heading 3 Char"/>
    <w:basedOn w:val="846"/>
    <w:link w:val="845"/>
    <w:uiPriority w:val="9"/>
    <w:rPr>
      <w:rFonts w:ascii="Arial" w:hAnsi="Arial" w:eastAsia="Arial" w:cs="Arial"/>
      <w:sz w:val="30"/>
      <w:szCs w:val="30"/>
    </w:rPr>
  </w:style>
  <w:style w:type="paragraph" w:styleId="674">
    <w:name w:val="Heading 4"/>
    <w:basedOn w:val="842"/>
    <w:next w:val="842"/>
    <w:link w:val="675"/>
    <w:uiPriority w:val="9"/>
    <w:unhideWhenUsed/>
    <w:qFormat/>
    <w:pPr>
      <w:keepLines/>
      <w:keepNext/>
      <w:spacing w:before="320" w:after="200"/>
      <w:outlineLvl w:val="3"/>
    </w:pPr>
    <w:rPr>
      <w:rFonts w:ascii="Arial" w:hAnsi="Arial" w:eastAsia="Arial" w:cs="Arial"/>
      <w:b/>
      <w:bCs/>
      <w:sz w:val="26"/>
      <w:szCs w:val="26"/>
    </w:rPr>
  </w:style>
  <w:style w:type="character" w:styleId="675">
    <w:name w:val="Heading 4 Char"/>
    <w:basedOn w:val="846"/>
    <w:link w:val="674"/>
    <w:uiPriority w:val="9"/>
    <w:rPr>
      <w:rFonts w:ascii="Arial" w:hAnsi="Arial" w:eastAsia="Arial" w:cs="Arial"/>
      <w:b/>
      <w:bCs/>
      <w:sz w:val="26"/>
      <w:szCs w:val="26"/>
    </w:rPr>
  </w:style>
  <w:style w:type="paragraph" w:styleId="676">
    <w:name w:val="Heading 5"/>
    <w:basedOn w:val="842"/>
    <w:next w:val="842"/>
    <w:link w:val="677"/>
    <w:uiPriority w:val="9"/>
    <w:unhideWhenUsed/>
    <w:qFormat/>
    <w:pPr>
      <w:keepLines/>
      <w:keepNext/>
      <w:spacing w:before="320" w:after="200"/>
      <w:outlineLvl w:val="4"/>
    </w:pPr>
    <w:rPr>
      <w:rFonts w:ascii="Arial" w:hAnsi="Arial" w:eastAsia="Arial" w:cs="Arial"/>
      <w:b/>
      <w:bCs/>
      <w:sz w:val="24"/>
      <w:szCs w:val="24"/>
    </w:rPr>
  </w:style>
  <w:style w:type="character" w:styleId="677">
    <w:name w:val="Heading 5 Char"/>
    <w:basedOn w:val="846"/>
    <w:link w:val="676"/>
    <w:uiPriority w:val="9"/>
    <w:rPr>
      <w:rFonts w:ascii="Arial" w:hAnsi="Arial" w:eastAsia="Arial" w:cs="Arial"/>
      <w:b/>
      <w:bCs/>
      <w:sz w:val="24"/>
      <w:szCs w:val="24"/>
    </w:rPr>
  </w:style>
  <w:style w:type="paragraph" w:styleId="678">
    <w:name w:val="Heading 6"/>
    <w:basedOn w:val="842"/>
    <w:next w:val="842"/>
    <w:link w:val="679"/>
    <w:uiPriority w:val="9"/>
    <w:unhideWhenUsed/>
    <w:qFormat/>
    <w:pPr>
      <w:keepLines/>
      <w:keepNext/>
      <w:spacing w:before="320" w:after="200"/>
      <w:outlineLvl w:val="5"/>
    </w:pPr>
    <w:rPr>
      <w:rFonts w:ascii="Arial" w:hAnsi="Arial" w:eastAsia="Arial" w:cs="Arial"/>
      <w:b/>
      <w:bCs/>
      <w:sz w:val="22"/>
      <w:szCs w:val="22"/>
    </w:rPr>
  </w:style>
  <w:style w:type="character" w:styleId="679">
    <w:name w:val="Heading 6 Char"/>
    <w:basedOn w:val="846"/>
    <w:link w:val="678"/>
    <w:uiPriority w:val="9"/>
    <w:rPr>
      <w:rFonts w:ascii="Arial" w:hAnsi="Arial" w:eastAsia="Arial" w:cs="Arial"/>
      <w:b/>
      <w:bCs/>
      <w:sz w:val="22"/>
      <w:szCs w:val="22"/>
    </w:rPr>
  </w:style>
  <w:style w:type="paragraph" w:styleId="680">
    <w:name w:val="Heading 7"/>
    <w:basedOn w:val="842"/>
    <w:next w:val="842"/>
    <w:link w:val="681"/>
    <w:uiPriority w:val="9"/>
    <w:unhideWhenUsed/>
    <w:qFormat/>
    <w:pPr>
      <w:keepLines/>
      <w:keepNext/>
      <w:spacing w:before="320" w:after="200"/>
      <w:outlineLvl w:val="6"/>
    </w:pPr>
    <w:rPr>
      <w:rFonts w:ascii="Arial" w:hAnsi="Arial" w:eastAsia="Arial" w:cs="Arial"/>
      <w:b/>
      <w:bCs/>
      <w:i/>
      <w:iCs/>
      <w:sz w:val="22"/>
      <w:szCs w:val="22"/>
    </w:rPr>
  </w:style>
  <w:style w:type="character" w:styleId="681">
    <w:name w:val="Heading 7 Char"/>
    <w:basedOn w:val="846"/>
    <w:link w:val="680"/>
    <w:uiPriority w:val="9"/>
    <w:rPr>
      <w:rFonts w:ascii="Arial" w:hAnsi="Arial" w:eastAsia="Arial" w:cs="Arial"/>
      <w:b/>
      <w:bCs/>
      <w:i/>
      <w:iCs/>
      <w:sz w:val="22"/>
      <w:szCs w:val="22"/>
    </w:rPr>
  </w:style>
  <w:style w:type="paragraph" w:styleId="682">
    <w:name w:val="Heading 8"/>
    <w:basedOn w:val="842"/>
    <w:next w:val="842"/>
    <w:link w:val="683"/>
    <w:uiPriority w:val="9"/>
    <w:unhideWhenUsed/>
    <w:qFormat/>
    <w:pPr>
      <w:keepLines/>
      <w:keepNext/>
      <w:spacing w:before="320" w:after="200"/>
      <w:outlineLvl w:val="7"/>
    </w:pPr>
    <w:rPr>
      <w:rFonts w:ascii="Arial" w:hAnsi="Arial" w:eastAsia="Arial" w:cs="Arial"/>
      <w:i/>
      <w:iCs/>
      <w:sz w:val="22"/>
      <w:szCs w:val="22"/>
    </w:rPr>
  </w:style>
  <w:style w:type="character" w:styleId="683">
    <w:name w:val="Heading 8 Char"/>
    <w:basedOn w:val="846"/>
    <w:link w:val="682"/>
    <w:uiPriority w:val="9"/>
    <w:rPr>
      <w:rFonts w:ascii="Arial" w:hAnsi="Arial" w:eastAsia="Arial" w:cs="Arial"/>
      <w:i/>
      <w:iCs/>
      <w:sz w:val="22"/>
      <w:szCs w:val="22"/>
    </w:rPr>
  </w:style>
  <w:style w:type="paragraph" w:styleId="684">
    <w:name w:val="Heading 9"/>
    <w:basedOn w:val="842"/>
    <w:next w:val="842"/>
    <w:link w:val="685"/>
    <w:uiPriority w:val="9"/>
    <w:unhideWhenUsed/>
    <w:qFormat/>
    <w:pPr>
      <w:keepLines/>
      <w:keepNext/>
      <w:spacing w:before="320" w:after="200"/>
      <w:outlineLvl w:val="8"/>
    </w:pPr>
    <w:rPr>
      <w:rFonts w:ascii="Arial" w:hAnsi="Arial" w:eastAsia="Arial" w:cs="Arial"/>
      <w:i/>
      <w:iCs/>
      <w:sz w:val="21"/>
      <w:szCs w:val="21"/>
    </w:rPr>
  </w:style>
  <w:style w:type="character" w:styleId="685">
    <w:name w:val="Heading 9 Char"/>
    <w:basedOn w:val="846"/>
    <w:link w:val="684"/>
    <w:uiPriority w:val="9"/>
    <w:rPr>
      <w:rFonts w:ascii="Arial" w:hAnsi="Arial" w:eastAsia="Arial" w:cs="Arial"/>
      <w:i/>
      <w:iCs/>
      <w:sz w:val="21"/>
      <w:szCs w:val="21"/>
    </w:rPr>
  </w:style>
  <w:style w:type="paragraph" w:styleId="686">
    <w:name w:val="No Spacing"/>
    <w:uiPriority w:val="1"/>
    <w:qFormat/>
    <w:pPr>
      <w:spacing w:before="0" w:after="0" w:line="240" w:lineRule="auto"/>
    </w:pPr>
  </w:style>
  <w:style w:type="paragraph" w:styleId="687">
    <w:name w:val="Title"/>
    <w:basedOn w:val="842"/>
    <w:next w:val="842"/>
    <w:link w:val="688"/>
    <w:uiPriority w:val="10"/>
    <w:qFormat/>
    <w:pPr>
      <w:contextualSpacing/>
      <w:spacing w:before="300" w:after="200"/>
    </w:pPr>
    <w:rPr>
      <w:sz w:val="48"/>
      <w:szCs w:val="48"/>
    </w:rPr>
  </w:style>
  <w:style w:type="character" w:styleId="688">
    <w:name w:val="Title Char"/>
    <w:basedOn w:val="846"/>
    <w:link w:val="687"/>
    <w:uiPriority w:val="10"/>
    <w:rPr>
      <w:sz w:val="48"/>
      <w:szCs w:val="48"/>
    </w:rPr>
  </w:style>
  <w:style w:type="paragraph" w:styleId="689">
    <w:name w:val="Subtitle"/>
    <w:basedOn w:val="842"/>
    <w:next w:val="842"/>
    <w:link w:val="690"/>
    <w:uiPriority w:val="11"/>
    <w:qFormat/>
    <w:pPr>
      <w:spacing w:before="200" w:after="200"/>
    </w:pPr>
    <w:rPr>
      <w:sz w:val="24"/>
      <w:szCs w:val="24"/>
    </w:rPr>
  </w:style>
  <w:style w:type="character" w:styleId="690">
    <w:name w:val="Subtitle Char"/>
    <w:basedOn w:val="846"/>
    <w:link w:val="689"/>
    <w:uiPriority w:val="11"/>
    <w:rPr>
      <w:sz w:val="24"/>
      <w:szCs w:val="24"/>
    </w:rPr>
  </w:style>
  <w:style w:type="paragraph" w:styleId="691">
    <w:name w:val="Quote"/>
    <w:basedOn w:val="842"/>
    <w:next w:val="842"/>
    <w:link w:val="692"/>
    <w:uiPriority w:val="29"/>
    <w:qFormat/>
    <w:pPr>
      <w:ind w:left="720" w:right="720"/>
    </w:pPr>
    <w:rPr>
      <w:i/>
    </w:rPr>
  </w:style>
  <w:style w:type="character" w:styleId="692">
    <w:name w:val="Quote Char"/>
    <w:link w:val="691"/>
    <w:uiPriority w:val="29"/>
    <w:rPr>
      <w:i/>
    </w:rPr>
  </w:style>
  <w:style w:type="paragraph" w:styleId="693">
    <w:name w:val="Intense Quote"/>
    <w:basedOn w:val="842"/>
    <w:next w:val="842"/>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name w:val="Intense Quote Char"/>
    <w:link w:val="693"/>
    <w:uiPriority w:val="30"/>
    <w:rPr>
      <w:i/>
    </w:rPr>
  </w:style>
  <w:style w:type="paragraph" w:styleId="695">
    <w:name w:val="Header"/>
    <w:basedOn w:val="842"/>
    <w:link w:val="696"/>
    <w:uiPriority w:val="99"/>
    <w:unhideWhenUsed/>
    <w:pPr>
      <w:spacing w:after="0" w:line="240" w:lineRule="auto"/>
      <w:tabs>
        <w:tab w:val="center" w:pos="7143" w:leader="none"/>
        <w:tab w:val="right" w:pos="14287" w:leader="none"/>
      </w:tabs>
    </w:pPr>
  </w:style>
  <w:style w:type="character" w:styleId="696">
    <w:name w:val="Header Char"/>
    <w:basedOn w:val="846"/>
    <w:link w:val="695"/>
    <w:uiPriority w:val="99"/>
  </w:style>
  <w:style w:type="character" w:styleId="697">
    <w:name w:val="Footer Char"/>
    <w:basedOn w:val="846"/>
    <w:link w:val="854"/>
    <w:uiPriority w:val="99"/>
  </w:style>
  <w:style w:type="paragraph" w:styleId="698">
    <w:name w:val="Caption"/>
    <w:basedOn w:val="842"/>
    <w:next w:val="842"/>
    <w:uiPriority w:val="35"/>
    <w:semiHidden/>
    <w:unhideWhenUsed/>
    <w:qFormat/>
    <w:pPr>
      <w:spacing w:line="276" w:lineRule="auto"/>
    </w:pPr>
    <w:rPr>
      <w:b/>
      <w:bCs/>
      <w:color w:val="4f81bd" w:themeColor="accent1"/>
      <w:sz w:val="18"/>
      <w:szCs w:val="18"/>
    </w:rPr>
  </w:style>
  <w:style w:type="character" w:styleId="699">
    <w:name w:val="Caption Char"/>
    <w:basedOn w:val="698"/>
    <w:link w:val="854"/>
    <w:uiPriority w:val="99"/>
  </w:style>
  <w:style w:type="table" w:styleId="700">
    <w:name w:val="Table Grid Light"/>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1">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1 Light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8">
    <w:name w:val="Grid Table 1 Light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9">
    <w:name w:val="Grid Table 1 Light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0">
    <w:name w:val="Grid Table 1 Light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1">
    <w:name w:val="Grid Table 1 Light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2">
    <w:name w:val="Grid Table 1 Light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3">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2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5">
    <w:name w:val="Grid Table 2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6">
    <w:name w:val="Grid Table 2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7">
    <w:name w:val="Grid Table 2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8">
    <w:name w:val="Grid Table 2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9">
    <w:name w:val="Grid Table 2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0">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4 - Accent 1"/>
    <w:basedOn w:val="8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9">
    <w:name w:val="Grid Table 4 - Accent 2"/>
    <w:basedOn w:val="8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0">
    <w:name w:val="Grid Table 4 - Accent 3"/>
    <w:basedOn w:val="8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1">
    <w:name w:val="Grid Table 4 - Accent 4"/>
    <w:basedOn w:val="8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2">
    <w:name w:val="Grid Table 4 - Accent 5"/>
    <w:basedOn w:val="8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3">
    <w:name w:val="Grid Table 4 - Accent 6"/>
    <w:basedOn w:val="8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4">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5 Dark- Accent 1"/>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6">
    <w:name w:val="Grid Table 5 Dark - Accent 2"/>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7">
    <w:name w:val="Grid Table 5 Dark - Accent 3"/>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8">
    <w:name w:val="Grid Table 5 Dark- Accent 4"/>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9">
    <w:name w:val="Grid Table 5 Dark - Accent 5"/>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0">
    <w:name w:val="Grid Table 5 Dark - Accent 6"/>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1">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6 Colorful - Accent 1"/>
    <w:basedOn w:val="8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3">
    <w:name w:val="Grid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4">
    <w:name w:val="Grid Table 6 Colorful - Accent 3"/>
    <w:basedOn w:val="8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5">
    <w:name w:val="Grid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6">
    <w:name w:val="Grid Table 6 Colorful - Accent 5"/>
    <w:basedOn w:val="8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7">
    <w:name w:val="Grid Table 6 Colorful - Accent 6"/>
    <w:basedOn w:val="8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8">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9">
    <w:name w:val="Grid Table 7 Colorful - Accent 1"/>
    <w:basedOn w:val="8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0">
    <w:name w:val="Grid Table 7 Colorful - Accent 2"/>
    <w:basedOn w:val="8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7 Colorful - Accent 3"/>
    <w:basedOn w:val="8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7 Colorful - Accent 4"/>
    <w:basedOn w:val="8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7 Colorful - Accent 5"/>
    <w:basedOn w:val="8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4">
    <w:name w:val="Grid Table 7 Colorful - Accent 6"/>
    <w:basedOn w:val="8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5">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name w:val="List Table 1 Light - Accent 1"/>
    <w:basedOn w:val="84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7">
    <w:name w:val="List Table 1 Light - Accent 2"/>
    <w:basedOn w:val="84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8">
    <w:name w:val="List Table 1 Light - Accent 3"/>
    <w:basedOn w:val="84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9">
    <w:name w:val="List Table 1 Light - Accent 4"/>
    <w:basedOn w:val="84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0">
    <w:name w:val="List Table 1 Light - Accent 5"/>
    <w:basedOn w:val="84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1">
    <w:name w:val="List Table 1 Light - Accent 6"/>
    <w:basedOn w:val="84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2">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2 - Accent 1"/>
    <w:basedOn w:val="8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4">
    <w:name w:val="List Table 2 - Accent 2"/>
    <w:basedOn w:val="8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5">
    <w:name w:val="List Table 2 - Accent 3"/>
    <w:basedOn w:val="8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6">
    <w:name w:val="List Table 2 - Accent 4"/>
    <w:basedOn w:val="8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7">
    <w:name w:val="List Table 2 - Accent 5"/>
    <w:basedOn w:val="8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8">
    <w:name w:val="List Table 2 - Accent 6"/>
    <w:basedOn w:val="8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9">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3 - Accent 1"/>
    <w:basedOn w:val="8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1">
    <w:name w:val="List Table 3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2">
    <w:name w:val="List Table 3 - Accent 3"/>
    <w:basedOn w:val="8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3">
    <w:name w:val="List Table 3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4">
    <w:name w:val="List Table 3 - Accent 5"/>
    <w:basedOn w:val="8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5">
    <w:name w:val="List Table 3 - Accent 6"/>
    <w:basedOn w:val="8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6">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4 - Accent 1"/>
    <w:basedOn w:val="8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8">
    <w:name w:val="List Table 4 - Accent 2"/>
    <w:basedOn w:val="8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9">
    <w:name w:val="List Table 4 - Accent 3"/>
    <w:basedOn w:val="8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0">
    <w:name w:val="List Table 4 - Accent 4"/>
    <w:basedOn w:val="8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1">
    <w:name w:val="List Table 4 - Accent 5"/>
    <w:basedOn w:val="8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2">
    <w:name w:val="List Table 4 - Accent 6"/>
    <w:basedOn w:val="8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3">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1"/>
    <w:basedOn w:val="8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2"/>
    <w:basedOn w:val="8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3"/>
    <w:basedOn w:val="8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4"/>
    <w:basedOn w:val="8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5"/>
    <w:basedOn w:val="8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6"/>
    <w:basedOn w:val="8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1">
    <w:name w:val="List Table 6 Colorful - Accent 1"/>
    <w:basedOn w:val="8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2">
    <w:name w:val="List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3">
    <w:name w:val="List Table 6 Colorful - Accent 3"/>
    <w:basedOn w:val="8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4">
    <w:name w:val="List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5">
    <w:name w:val="List Table 6 Colorful - Accent 5"/>
    <w:basedOn w:val="8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6">
    <w:name w:val="List Table 6 Colorful - Accent 6"/>
    <w:basedOn w:val="8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7">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8">
    <w:name w:val="List Table 7 Colorful - Accent 1"/>
    <w:basedOn w:val="8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9">
    <w:name w:val="List Table 7 Colorful - Accent 2"/>
    <w:basedOn w:val="8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0">
    <w:name w:val="List Table 7 Colorful - Accent 3"/>
    <w:basedOn w:val="8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1">
    <w:name w:val="List Table 7 Colorful - Accent 4"/>
    <w:basedOn w:val="8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2">
    <w:name w:val="List Table 7 Colorful - Accent 5"/>
    <w:basedOn w:val="8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3">
    <w:name w:val="List Table 7 Colorful - Accent 6"/>
    <w:basedOn w:val="8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4">
    <w:name w:val="Lined - Accent"/>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Lined - Accent 1"/>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6">
    <w:name w:val="Lined - Accent 2"/>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7">
    <w:name w:val="Lined - Accent 3"/>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8">
    <w:name w:val="Lined - Accent 4"/>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9">
    <w:name w:val="Lined - Accent 5"/>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0">
    <w:name w:val="Lined - Accent 6"/>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1">
    <w:name w:val="Bordered &amp; Lined - Accent"/>
    <w:basedOn w:val="8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Bordered &amp; Lined - Accent 1"/>
    <w:basedOn w:val="8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3">
    <w:name w:val="Bordered &amp; Lined - Accent 2"/>
    <w:basedOn w:val="8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4">
    <w:name w:val="Bordered &amp; Lined - Accent 3"/>
    <w:basedOn w:val="8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5">
    <w:name w:val="Bordered &amp; Lined - Accent 4"/>
    <w:basedOn w:val="8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6">
    <w:name w:val="Bordered &amp; Lined - Accent 5"/>
    <w:basedOn w:val="8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7">
    <w:name w:val="Bordered &amp; Lined - Accent 6"/>
    <w:basedOn w:val="8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8">
    <w:name w:val="Bordered"/>
    <w:basedOn w:val="8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9">
    <w:name w:val="Bordered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0">
    <w:name w:val="Bordered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1">
    <w:name w:val="Bordered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2">
    <w:name w:val="Bordered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3">
    <w:name w:val="Bordered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4">
    <w:name w:val="Bordered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5">
    <w:name w:val="Hyperlink"/>
    <w:uiPriority w:val="99"/>
    <w:unhideWhenUsed/>
    <w:rPr>
      <w:color w:val="0000ff" w:themeColor="hyperlink"/>
      <w:u w:val="single"/>
    </w:rPr>
  </w:style>
  <w:style w:type="paragraph" w:styleId="826">
    <w:name w:val="footnote text"/>
    <w:basedOn w:val="842"/>
    <w:link w:val="827"/>
    <w:uiPriority w:val="99"/>
    <w:semiHidden/>
    <w:unhideWhenUsed/>
    <w:pPr>
      <w:spacing w:after="40" w:line="240" w:lineRule="auto"/>
    </w:pPr>
    <w:rPr>
      <w:sz w:val="18"/>
    </w:rPr>
  </w:style>
  <w:style w:type="character" w:styleId="827">
    <w:name w:val="Footnote Text Char"/>
    <w:link w:val="826"/>
    <w:uiPriority w:val="99"/>
    <w:rPr>
      <w:sz w:val="18"/>
    </w:rPr>
  </w:style>
  <w:style w:type="character" w:styleId="828">
    <w:name w:val="footnote reference"/>
    <w:basedOn w:val="846"/>
    <w:uiPriority w:val="99"/>
    <w:unhideWhenUsed/>
    <w:rPr>
      <w:vertAlign w:val="superscript"/>
    </w:rPr>
  </w:style>
  <w:style w:type="paragraph" w:styleId="829">
    <w:name w:val="endnote text"/>
    <w:basedOn w:val="842"/>
    <w:link w:val="830"/>
    <w:uiPriority w:val="99"/>
    <w:semiHidden/>
    <w:unhideWhenUsed/>
    <w:pPr>
      <w:spacing w:after="0" w:line="240" w:lineRule="auto"/>
    </w:pPr>
    <w:rPr>
      <w:sz w:val="20"/>
    </w:rPr>
  </w:style>
  <w:style w:type="character" w:styleId="830">
    <w:name w:val="Endnote Text Char"/>
    <w:link w:val="829"/>
    <w:uiPriority w:val="99"/>
    <w:rPr>
      <w:sz w:val="20"/>
    </w:rPr>
  </w:style>
  <w:style w:type="character" w:styleId="831">
    <w:name w:val="endnote reference"/>
    <w:basedOn w:val="846"/>
    <w:uiPriority w:val="99"/>
    <w:semiHidden/>
    <w:unhideWhenUsed/>
    <w:rPr>
      <w:vertAlign w:val="superscript"/>
    </w:rPr>
  </w:style>
  <w:style w:type="paragraph" w:styleId="832">
    <w:name w:val="toc 2"/>
    <w:basedOn w:val="842"/>
    <w:next w:val="842"/>
    <w:uiPriority w:val="39"/>
    <w:unhideWhenUsed/>
    <w:pPr>
      <w:ind w:left="283" w:right="0" w:firstLine="0"/>
      <w:spacing w:after="57"/>
    </w:pPr>
  </w:style>
  <w:style w:type="paragraph" w:styleId="833">
    <w:name w:val="toc 3"/>
    <w:basedOn w:val="842"/>
    <w:next w:val="842"/>
    <w:uiPriority w:val="39"/>
    <w:unhideWhenUsed/>
    <w:pPr>
      <w:ind w:left="567" w:right="0" w:firstLine="0"/>
      <w:spacing w:after="57"/>
    </w:pPr>
  </w:style>
  <w:style w:type="paragraph" w:styleId="834">
    <w:name w:val="toc 4"/>
    <w:basedOn w:val="842"/>
    <w:next w:val="842"/>
    <w:uiPriority w:val="39"/>
    <w:unhideWhenUsed/>
    <w:pPr>
      <w:ind w:left="850" w:right="0" w:firstLine="0"/>
      <w:spacing w:after="57"/>
    </w:pPr>
  </w:style>
  <w:style w:type="paragraph" w:styleId="835">
    <w:name w:val="toc 5"/>
    <w:basedOn w:val="842"/>
    <w:next w:val="842"/>
    <w:uiPriority w:val="39"/>
    <w:unhideWhenUsed/>
    <w:pPr>
      <w:ind w:left="1134" w:right="0" w:firstLine="0"/>
      <w:spacing w:after="57"/>
    </w:pPr>
  </w:style>
  <w:style w:type="paragraph" w:styleId="836">
    <w:name w:val="toc 6"/>
    <w:basedOn w:val="842"/>
    <w:next w:val="842"/>
    <w:uiPriority w:val="39"/>
    <w:unhideWhenUsed/>
    <w:pPr>
      <w:ind w:left="1417" w:right="0" w:firstLine="0"/>
      <w:spacing w:after="57"/>
    </w:pPr>
  </w:style>
  <w:style w:type="paragraph" w:styleId="837">
    <w:name w:val="toc 7"/>
    <w:basedOn w:val="842"/>
    <w:next w:val="842"/>
    <w:uiPriority w:val="39"/>
    <w:unhideWhenUsed/>
    <w:pPr>
      <w:ind w:left="1701" w:right="0" w:firstLine="0"/>
      <w:spacing w:after="57"/>
    </w:pPr>
  </w:style>
  <w:style w:type="paragraph" w:styleId="838">
    <w:name w:val="toc 8"/>
    <w:basedOn w:val="842"/>
    <w:next w:val="842"/>
    <w:uiPriority w:val="39"/>
    <w:unhideWhenUsed/>
    <w:pPr>
      <w:ind w:left="1984" w:right="0" w:firstLine="0"/>
      <w:spacing w:after="57"/>
    </w:pPr>
  </w:style>
  <w:style w:type="paragraph" w:styleId="839">
    <w:name w:val="toc 9"/>
    <w:basedOn w:val="842"/>
    <w:next w:val="842"/>
    <w:uiPriority w:val="39"/>
    <w:unhideWhenUsed/>
    <w:pPr>
      <w:ind w:left="2268" w:right="0" w:firstLine="0"/>
      <w:spacing w:after="57"/>
    </w:pPr>
  </w:style>
  <w:style w:type="paragraph" w:styleId="840">
    <w:name w:val="TOC Heading"/>
    <w:uiPriority w:val="39"/>
    <w:unhideWhenUsed/>
  </w:style>
  <w:style w:type="paragraph" w:styleId="841">
    <w:name w:val="table of figures"/>
    <w:basedOn w:val="842"/>
    <w:next w:val="842"/>
    <w:uiPriority w:val="99"/>
    <w:unhideWhenUsed/>
    <w:pPr>
      <w:spacing w:after="0" w:afterAutospacing="0"/>
    </w:pPr>
  </w:style>
  <w:style w:type="paragraph" w:styleId="842"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843">
    <w:name w:val="Heading 1"/>
    <w:basedOn w:val="842"/>
    <w:next w:val="842"/>
    <w:uiPriority w:val="9"/>
    <w:qFormat/>
    <w:pPr>
      <w:keepLines/>
      <w:keepNext/>
      <w:spacing w:before="340" w:after="330" w:line="578" w:lineRule="auto"/>
      <w:outlineLvl w:val="0"/>
    </w:pPr>
    <w:rPr>
      <w:b/>
      <w:bCs/>
      <w:sz w:val="44"/>
      <w:szCs w:val="44"/>
    </w:rPr>
  </w:style>
  <w:style w:type="paragraph" w:styleId="844">
    <w:name w:val="Heading 2"/>
    <w:basedOn w:val="842"/>
    <w:next w:val="842"/>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5">
    <w:name w:val="Heading 3"/>
    <w:basedOn w:val="842"/>
    <w:next w:val="842"/>
    <w:uiPriority w:val="0"/>
    <w:unhideWhenUsed/>
    <w:qFormat/>
    <w:pPr>
      <w:keepLines/>
      <w:keepNext/>
      <w:spacing w:before="260" w:after="260" w:line="416" w:lineRule="auto"/>
      <w:outlineLvl w:val="2"/>
    </w:pPr>
    <w:rPr>
      <w:b/>
      <w:bCs/>
      <w:sz w:val="32"/>
      <w:szCs w:val="32"/>
    </w:rPr>
  </w:style>
  <w:style w:type="character" w:styleId="846" w:default="1">
    <w:name w:val="Default Paragraph Font"/>
    <w:uiPriority w:val="0"/>
    <w:semiHidden/>
    <w:qFormat/>
  </w:style>
  <w:style w:type="table" w:styleId="847" w:default="1">
    <w:name w:val="Normal Table"/>
    <w:uiPriority w:val="0"/>
    <w:semiHidden/>
    <w:qFormat/>
    <w:tblPr>
      <w:tblLayout w:type="fixed"/>
      <w:tblCellMar>
        <w:left w:w="108" w:type="dxa"/>
        <w:top w:w="0" w:type="dxa"/>
        <w:right w:w="108" w:type="dxa"/>
        <w:bottom w:w="0" w:type="dxa"/>
      </w:tblCellMar>
    </w:tblPr>
  </w:style>
  <w:style w:type="paragraph" w:styleId="848">
    <w:name w:val="Body Text First Indent"/>
    <w:basedOn w:val="849"/>
    <w:uiPriority w:val="0"/>
    <w:qFormat/>
    <w:pPr>
      <w:ind w:firstLine="420"/>
      <w:jc w:val="both"/>
      <w:spacing w:after="120" w:line="300" w:lineRule="auto"/>
      <w:tabs>
        <w:tab w:val="left" w:pos="420" w:leader="none"/>
      </w:tabs>
    </w:pPr>
    <w:rPr>
      <w:sz w:val="24"/>
      <w:szCs w:val="24"/>
    </w:rPr>
  </w:style>
  <w:style w:type="paragraph" w:styleId="849">
    <w:name w:val="Body Text"/>
    <w:basedOn w:val="842"/>
    <w:next w:val="842"/>
    <w:uiPriority w:val="1"/>
    <w:qFormat/>
    <w:pPr>
      <w:ind w:left="102"/>
    </w:pPr>
    <w:rPr>
      <w:rFonts w:ascii="仿宋" w:hAnsi="仿宋" w:eastAsia="仿宋"/>
      <w:sz w:val="28"/>
      <w:szCs w:val="28"/>
    </w:rPr>
  </w:style>
  <w:style w:type="paragraph" w:styleId="850">
    <w:name w:val="Normal Indent"/>
    <w:basedOn w:val="842"/>
    <w:uiPriority w:val="0"/>
    <w:qFormat/>
    <w:pPr>
      <w:ind w:firstLine="420"/>
      <w:jc w:val="left"/>
    </w:pPr>
    <w:rPr>
      <w:rFonts w:eastAsia="楷体_GB2312"/>
      <w:sz w:val="24"/>
    </w:rPr>
  </w:style>
  <w:style w:type="paragraph" w:styleId="851">
    <w:name w:val="annotation text"/>
    <w:basedOn w:val="842"/>
    <w:uiPriority w:val="0"/>
    <w:qFormat/>
    <w:pPr>
      <w:jc w:val="left"/>
    </w:pPr>
  </w:style>
  <w:style w:type="paragraph" w:styleId="852">
    <w:name w:val="Body Text Indent"/>
    <w:basedOn w:val="842"/>
    <w:next w:val="853"/>
    <w:uiPriority w:val="99"/>
    <w:unhideWhenUsed/>
    <w:qFormat/>
    <w:pPr>
      <w:ind w:left="420"/>
      <w:spacing w:after="120"/>
    </w:pPr>
    <w:rPr>
      <w:rFonts w:eastAsia="宋体"/>
      <w:sz w:val="21"/>
      <w:szCs w:val="24"/>
      <w:lang w:val="en-US" w:eastAsia="zh-CN" w:bidi="ar-SA"/>
    </w:rPr>
  </w:style>
  <w:style w:type="paragraph" w:styleId="853">
    <w:name w:val="envelope return"/>
    <w:basedOn w:val="842"/>
    <w:uiPriority w:val="99"/>
    <w:unhideWhenUsed/>
    <w:qFormat/>
    <w:rPr>
      <w:rFonts w:ascii="Arial" w:hAnsi="Arial"/>
    </w:rPr>
  </w:style>
  <w:style w:type="paragraph" w:styleId="854">
    <w:name w:val="Footer"/>
    <w:basedOn w:val="842"/>
    <w:uiPriority w:val="99"/>
    <w:unhideWhenUsed/>
    <w:qFormat/>
    <w:pPr>
      <w:jc w:val="left"/>
      <w:tabs>
        <w:tab w:val="center" w:pos="4153" w:leader="none"/>
        <w:tab w:val="right" w:pos="8306" w:leader="none"/>
      </w:tabs>
    </w:pPr>
    <w:rPr>
      <w:sz w:val="18"/>
      <w:szCs w:val="18"/>
    </w:rPr>
  </w:style>
  <w:style w:type="paragraph" w:styleId="855">
    <w:name w:val="Body Text First Indent 2"/>
    <w:basedOn w:val="852"/>
    <w:uiPriority w:val="99"/>
    <w:unhideWhenUsed/>
    <w:qFormat/>
    <w:pPr>
      <w:ind w:left="420" w:firstLine="200"/>
      <w:spacing w:after="120" w:line="240" w:lineRule="auto"/>
    </w:pPr>
    <w:rPr>
      <w:sz w:val="21"/>
      <w:szCs w:val="24"/>
    </w:rPr>
  </w:style>
  <w:style w:type="paragraph" w:styleId="856">
    <w:name w:val="toc 1"/>
    <w:basedOn w:val="842"/>
    <w:next w:val="842"/>
    <w:uiPriority w:val="0"/>
    <w:semiHidden/>
    <w:qFormat/>
    <w:pPr>
      <w:jc w:val="center"/>
      <w:spacing w:line="480" w:lineRule="auto"/>
      <w:tabs>
        <w:tab w:val="right" w:pos="8296" w:leader="dot"/>
      </w:tabs>
    </w:pPr>
    <w:rPr>
      <w:rFonts w:eastAsia="仿宋_GB2312"/>
      <w:color w:val="000000"/>
      <w:sz w:val="24"/>
    </w:rPr>
  </w:style>
  <w:style w:type="character" w:styleId="857">
    <w:name w:val="HTML Typewriter"/>
    <w:uiPriority w:val="0"/>
    <w:qFormat/>
    <w:rPr>
      <w:rFonts w:ascii="黑体" w:hAnsi="Courier New" w:eastAsia="黑体" w:cs="Courier New"/>
      <w:sz w:val="14"/>
      <w:szCs w:val="14"/>
    </w:rPr>
  </w:style>
  <w:style w:type="table" w:styleId="858">
    <w:name w:val="Table Grid"/>
    <w:basedOn w:val="847"/>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859" w:customStyle="1">
    <w:name w:val="Default"/>
    <w:next w:val="842"/>
    <w:uiPriority w:val="0"/>
    <w:qFormat/>
    <w:pPr>
      <w:widowControl w:val="off"/>
    </w:pPr>
    <w:rPr>
      <w:rFonts w:hint="default" w:ascii="Times New Roman" w:hAnsi="Times New Roman" w:eastAsia="宋体" w:cs="Times New Roman"/>
      <w:color w:val="000000"/>
      <w:sz w:val="24"/>
    </w:rPr>
  </w:style>
  <w:style w:type="paragraph" w:styleId="860" w:customStyle="1">
    <w:name w:val="正文文本1"/>
    <w:basedOn w:val="842"/>
    <w:next w:val="859"/>
    <w:uiPriority w:val="99"/>
    <w:qFormat/>
    <w:rPr>
      <w:rFonts w:ascii="??_GB2312" w:hAnsi="Arial"/>
      <w:sz w:val="28"/>
      <w:szCs w:val="28"/>
    </w:rPr>
  </w:style>
  <w:style w:type="paragraph" w:styleId="861" w:customStyle="1">
    <w:name w:val="Table Paragraph"/>
    <w:basedOn w:val="842"/>
    <w:uiPriority w:val="1"/>
    <w:qFormat/>
    <w:pPr>
      <w:jc w:val="left"/>
    </w:pPr>
    <w:rPr>
      <w:rFonts w:ascii="仿宋" w:hAnsi="仿宋" w:eastAsia="仿宋" w:cs="仿宋"/>
      <w:sz w:val="22"/>
      <w:lang w:val="zh-CN" w:bidi="zh-CN"/>
    </w:rPr>
  </w:style>
  <w:style w:type="paragraph" w:styleId="862">
    <w:name w:val="List Paragraph"/>
    <w:basedOn w:val="842"/>
    <w:uiPriority w:val="1"/>
    <w:qFormat/>
    <w:pPr>
      <w:ind w:left="282" w:firstLine="555"/>
      <w:spacing w:before="107"/>
    </w:pPr>
  </w:style>
  <w:style w:type="paragraph" w:styleId="863" w:customStyle="1">
    <w:name w:val="ListBullet2"/>
    <w:basedOn w:val="842"/>
    <w:uiPriority w:val="99"/>
    <w:qFormat/>
    <w:pPr>
      <w:numPr>
        <w:ilvl w:val="0"/>
        <w:numId w:val="1"/>
      </w:numPr>
    </w:pPr>
  </w:style>
  <w:style w:type="numbering" w:styleId="8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 Id="rId1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dc:creator>
  <cp:lastModifiedBy>沈红英</cp:lastModifiedBy>
  <cp:revision>3</cp:revision>
  <dcterms:created xsi:type="dcterms:W3CDTF">2014-10-29T20:08:00Z</dcterms:created>
  <dcterms:modified xsi:type="dcterms:W3CDTF">2026-03-17T06:26:14Z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DAF432D61E974BFE99D983682B5F9934_13</vt:lpwstr>
  </property>
  <property fmtid="{D5CDD505-2E9C-101B-9397-08002B2CF9AE}" pid="4" name="KSOTemplateDocerSaveRecord">
    <vt:lpwstr>eyJoZGlkIjoiMDY5NmFjMmM4ZTljMGJiZDAxN2JmYTc0NGI0NmFiNDgiLCJ1c2VySWQiOiIyNjIzMzIxMzUifQ==</vt:lpwstr>
  </property>
</Properties>
</file>