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JSZC-320585-SZTZ-G2026-0001</w:t>
      </w:r>
      <w:r>
        <w:rPr>
          <w:rFonts w:hint="eastAsia" w:ascii="宋体" w:hAnsi="宋体" w:cs="宋体"/>
          <w:b/>
          <w:color w:val="auto"/>
          <w:sz w:val="30"/>
          <w:szCs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《太仓市国土空间总体规划（2021-2035年）》动态维护项目</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hint="eastAsia" w:ascii="宋体" w:hAnsi="宋体" w:cs="宋体"/>
          <w:color w:val="auto"/>
          <w:sz w:val="30"/>
          <w:highlight w:val="none"/>
        </w:rPr>
      </w:pPr>
      <w:r>
        <w:rPr>
          <w:rFonts w:hint="eastAsia" w:ascii="宋体" w:hAnsi="宋体" w:cs="宋体"/>
          <w:b/>
          <w:bCs/>
          <w:color w:val="auto"/>
          <w:sz w:val="30"/>
          <w:highlight w:val="none"/>
        </w:rPr>
        <w:t xml:space="preserve">标的所属行业：（十六）其他未列明行业。</w:t>
      </w:r>
      <w:r>
        <w:rPr>
          <w:rFonts w:hint="eastAsia" w:ascii="宋体" w:hAnsi="宋体" w:cs="宋体"/>
          <w:color w:val="auto"/>
          <w:sz w:val="30"/>
          <w:highlight w:val="none"/>
        </w:rPr>
        <w:t xml:space="preserve">  </w:t>
      </w:r>
      <w:r/>
    </w:p>
    <w:p>
      <w:pPr>
        <w:ind w:left="480" w:right="-159"/>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招标单位：太仓市自然资源和规划局</w:t>
      </w:r>
      <w:r/>
    </w:p>
    <w:p>
      <w:pPr>
        <w:ind w:left="480" w:right="-159"/>
        <w:spacing w:line="360" w:lineRule="auto"/>
        <w:rPr>
          <w:rFonts w:hint="eastAsia" w:ascii="宋体" w:hAnsi="宋体" w:cs="宋体"/>
          <w:color w:val="auto"/>
          <w:sz w:val="30"/>
          <w:highlight w:val="none"/>
        </w:rPr>
      </w:pPr>
      <w:r>
        <w:rPr>
          <w:rFonts w:hint="eastAsia" w:ascii="宋体" w:hAnsi="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二</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796"/>
        <w:spacing w:line="360" w:lineRule="auto"/>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796"/>
        <w:spacing w:line="360" w:lineRule="auto"/>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766"/>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7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太仓市自然资源和规划局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JSZC-320585-SZTZ-G2026-0001</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1"/>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《太仓市国土空间总体规划（2021-2035年）》动态维护项目</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1"/>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时间：自招标文件公告发布之日起5个工作日 </w:t>
            </w:r>
            <w:r/>
          </w:p>
          <w:p>
            <w:pPr>
              <w:jc w:val="both"/>
              <w:spacing w:line="360" w:lineRule="auto"/>
              <w:shd w:val="clear" w:color="auto" w:fill="ffff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eastAsia="zh-CN"/>
              </w:rPr>
              <w:t xml:space="preserve">13145086180</w:t>
            </w:r>
            <w:r>
              <w:rPr>
                <w:rFonts w:hint="eastAsia" w:ascii="宋体" w:hAnsi="宋体" w:cs="宋体"/>
                <w:color w:val="auto"/>
                <w:sz w:val="21"/>
                <w:szCs w:val="21"/>
                <w:highlight w:val="none"/>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hint="eastAsia"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2026年03月20日09点30分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时间：2026年03月20日09点30分（北京时间）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20"/>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w:t>
            </w:r>
            <w:r>
              <w:rPr>
                <w:rFonts w:hint="eastAsia" w:ascii="宋体" w:hAnsi="宋体" w:cs="宋体"/>
                <w:color w:val="auto"/>
                <w:sz w:val="21"/>
                <w:szCs w:val="21"/>
                <w:highlight w:val="none"/>
                <w:lang w:eastAsia="zh-CN"/>
              </w:rPr>
              <w:t xml:space="preserve">3500元</w:t>
            </w:r>
            <w:r>
              <w:rPr>
                <w:rFonts w:hint="eastAsia" w:ascii="宋体" w:hAnsi="宋体" w:cs="宋体"/>
                <w:color w:val="auto"/>
                <w:sz w:val="21"/>
                <w:szCs w:val="21"/>
                <w:highlight w:val="none"/>
              </w:rPr>
              <w:t xml:space="preserve">的，则中标服务费按人民币</w:t>
            </w:r>
            <w:r>
              <w:rPr>
                <w:rFonts w:hint="eastAsia" w:ascii="宋体" w:hAnsi="宋体" w:cs="宋体"/>
                <w:color w:val="auto"/>
                <w:sz w:val="21"/>
                <w:szCs w:val="21"/>
                <w:highlight w:val="none"/>
                <w:lang w:eastAsia="zh-CN"/>
              </w:rPr>
              <w:t xml:space="preserve">3500元</w:t>
            </w:r>
            <w:r>
              <w:rPr>
                <w:rFonts w:hint="eastAsia" w:ascii="宋体" w:hAnsi="宋体" w:cs="宋体"/>
                <w:color w:val="auto"/>
                <w:sz w:val="21"/>
                <w:szCs w:val="21"/>
                <w:highlight w:val="none"/>
              </w:rPr>
              <w:t xml:space="preserve">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18"/>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bl>
    <w:p>
      <w:pPr>
        <w:ind w:firstLine="544"/>
        <w:jc w:val="right"/>
        <w:spacing w:line="360" w:lineRule="auto"/>
        <w:shd w:val="clear" w:color="auto" w:fill="ffffff"/>
        <w:rPr>
          <w:rFonts w:hint="eastAsia"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766"/>
        <w:numPr>
          <w:ilvl w:val="0"/>
          <w:numId w:val="0"/>
        </w:numPr>
        <w:jc w:val="center"/>
        <w:spacing w:before="0" w:after="0" w:line="480" w:lineRule="auto"/>
        <w:rPr>
          <w:rFonts w:hint="eastAsia"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776"/>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《太仓市国土空间总体规划（2021-2035年）》动态维护项目</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JSZC-320585-SZTZ-G2026-0001</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2026年03月20日09点30分</w:t>
            </w:r>
            <w:r>
              <w:rPr>
                <w:rFonts w:hint="eastAsia" w:ascii="仿宋" w:hAnsi="仿宋" w:eastAsia="仿宋" w:cs="仿宋"/>
                <w:color w:val="auto"/>
                <w:sz w:val="21"/>
                <w:szCs w:val="21"/>
                <w:highlight w:val="none"/>
              </w:rPr>
              <w:t xml:space="preserve"> （北京时间）前递交投标文件。</w:t>
            </w:r>
            <w:r/>
          </w:p>
        </w:tc>
      </w:tr>
    </w:tbl>
    <w:p>
      <w:pPr>
        <w:pStyle w:val="76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一、项目基本情况</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JSZC-320585-SZTZ-G2026-0001</w:t>
      </w:r>
      <w:r>
        <w:rPr>
          <w:rFonts w:hint="eastAsia" w:ascii="仿宋" w:hAnsi="仿宋" w:eastAsia="仿宋" w:cs="仿宋"/>
          <w:color w:val="auto"/>
          <w:sz w:val="21"/>
          <w:szCs w:val="21"/>
          <w:highlight w:val="none"/>
        </w:rPr>
        <w:t xml:space="preserve">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《太仓市国土空间总体规划（2021-2035年）》动态维护项目</w:t>
      </w:r>
      <w:r>
        <w:rPr>
          <w:rFonts w:hint="eastAsia" w:ascii="仿宋" w:hAnsi="仿宋" w:eastAsia="仿宋" w:cs="仿宋"/>
          <w:color w:val="auto"/>
          <w:sz w:val="21"/>
          <w:szCs w:val="21"/>
          <w:highlight w:val="none"/>
        </w:rPr>
        <w:t xml:space="preserve">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eastAsia="zh-CN"/>
        </w:rPr>
        <w:t xml:space="preserve">100.00万元</w:t>
      </w:r>
      <w:r>
        <w:rPr>
          <w:rFonts w:hint="eastAsia" w:ascii="仿宋" w:hAnsi="仿宋" w:eastAsia="仿宋" w:cs="仿宋"/>
          <w:color w:val="auto"/>
          <w:sz w:val="21"/>
          <w:szCs w:val="21"/>
          <w:highlight w:val="none"/>
        </w:rPr>
        <w:t xml:space="preserve">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eastAsia="zh-CN"/>
        </w:rPr>
        <w:t xml:space="preserve">100.00万元</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807"/>
        <w:ind w:firstLine="420"/>
        <w:spacing w:before="0" w:beforeAutospacing="0" w:after="0" w:afterAutospacing="0" w:line="360" w:lineRule="auto"/>
        <w:rPr>
          <w:rFonts w:hint="eastAsia" w:ascii="仿宋" w:hAnsi="仿宋" w:eastAsia="仿宋" w:cs="仿宋"/>
          <w:color w:val="auto"/>
          <w:sz w:val="21"/>
          <w:highlight w:val="none"/>
          <w:lang w:eastAsia="zh-CN"/>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highlight w:val="none"/>
          <w:lang w:eastAsia="zh-CN"/>
        </w:rPr>
        <w:t xml:space="preserve">《太仓市国土空间总体规划（2021-2035年）》动态维护</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bidi="ar"/>
        </w:rPr>
        <w:t xml:space="preserve">自合同签订之日起</w:t>
      </w:r>
      <w:r>
        <w:rPr>
          <w:rFonts w:hint="eastAsia" w:ascii="仿宋" w:hAnsi="仿宋" w:eastAsia="仿宋" w:cs="仿宋"/>
          <w:color w:val="auto"/>
          <w:sz w:val="21"/>
          <w:szCs w:val="21"/>
          <w:highlight w:val="none"/>
          <w:lang w:eastAsia="zh-CN" w:bidi="ar"/>
        </w:rPr>
        <w:t xml:space="preserve">至2027年6月30日</w:t>
      </w:r>
      <w:r>
        <w:rPr>
          <w:rFonts w:hint="eastAsia" w:ascii="仿宋" w:hAnsi="仿宋" w:eastAsia="仿宋" w:cs="仿宋"/>
          <w:color w:val="auto"/>
          <w:sz w:val="21"/>
          <w:szCs w:val="21"/>
          <w:highlight w:val="none"/>
          <w:lang w:bidi="ar"/>
        </w:rPr>
        <w:t xml:space="preserve">前完成全部工作任务，提交最终成果。</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本项目（是/否）接受联合体投标：</w:t>
      </w:r>
      <w:r>
        <w:rPr>
          <w:rFonts w:hint="eastAsia" w:ascii="仿宋" w:hAnsi="仿宋" w:eastAsia="仿宋" w:cs="仿宋"/>
          <w:color w:val="auto"/>
          <w:sz w:val="21"/>
          <w:szCs w:val="21"/>
          <w:highlight w:val="none"/>
          <w:lang w:val="en-US" w:eastAsia="zh-CN"/>
        </w:rPr>
        <w:t xml:space="preserve">是</w:t>
      </w:r>
      <w:r/>
    </w:p>
    <w:p>
      <w:pPr>
        <w:pStyle w:val="76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二、申请人的资格要求</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2.具有良好的商业信誉和健全的财务会计制度</w:t>
      </w:r>
      <w:r>
        <w:rPr>
          <w:rFonts w:hint="eastAsia" w:ascii="仿宋" w:hAnsi="仿宋" w:eastAsia="仿宋" w:cs="仿宋"/>
          <w:color w:val="auto"/>
          <w:sz w:val="21"/>
          <w:szCs w:val="21"/>
          <w:highlight w:val="none"/>
          <w:lang w:eastAsia="zh-CN"/>
        </w:rPr>
        <w:t xml:space="preserve">；</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3.具有依法缴纳税收和社会保障资金的良好记录</w:t>
      </w:r>
      <w:r>
        <w:rPr>
          <w:rFonts w:hint="eastAsia" w:ascii="仿宋" w:hAnsi="仿宋" w:eastAsia="仿宋" w:cs="仿宋"/>
          <w:color w:val="auto"/>
          <w:sz w:val="21"/>
          <w:szCs w:val="21"/>
          <w:highlight w:val="none"/>
          <w:lang w:eastAsia="zh-CN"/>
        </w:rPr>
        <w:t xml:space="preserve">；</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4.具有履行合同所必需的设备和专业技术能力</w:t>
      </w:r>
      <w:r>
        <w:rPr>
          <w:rFonts w:hint="eastAsia" w:ascii="仿宋" w:hAnsi="仿宋" w:eastAsia="仿宋" w:cs="仿宋"/>
          <w:color w:val="auto"/>
          <w:sz w:val="21"/>
          <w:szCs w:val="21"/>
          <w:highlight w:val="none"/>
          <w:lang w:eastAsia="zh-CN"/>
        </w:rPr>
        <w:t xml:space="preserve">；</w:t>
      </w:r>
      <w:r/>
    </w:p>
    <w:p>
      <w:pPr>
        <w:ind w:firstLine="420"/>
        <w:jc w:val="both"/>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5.参加政府采购活动前三年内，在经营活动中没有重大违法记录</w:t>
      </w:r>
      <w:r>
        <w:rPr>
          <w:rFonts w:hint="eastAsia" w:ascii="仿宋" w:hAnsi="仿宋" w:eastAsia="仿宋" w:cs="仿宋"/>
          <w:color w:val="auto"/>
          <w:sz w:val="21"/>
          <w:szCs w:val="21"/>
          <w:highlight w:val="none"/>
          <w:lang w:eastAsia="zh-CN"/>
        </w:rPr>
        <w:t xml:space="preserve">；</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联合体（如有）</w:t>
      </w:r>
      <w:r>
        <w:rPr>
          <w:rFonts w:hint="eastAsia" w:ascii="仿宋" w:hAnsi="仿宋" w:eastAsia="仿宋" w:cs="仿宋"/>
          <w:color w:val="auto"/>
          <w:sz w:val="21"/>
          <w:szCs w:val="21"/>
          <w:highlight w:val="none"/>
          <w:lang w:eastAsia="zh-CN"/>
        </w:rPr>
        <w:t xml:space="preserve">；</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b w:val="0"/>
          <w:bCs w:val="0"/>
          <w:color w:val="auto"/>
          <w:sz w:val="21"/>
          <w:szCs w:val="21"/>
          <w:highlight w:val="none"/>
        </w:rPr>
        <w:t xml:space="preserve">法律、行政法规规定的其他条件</w:t>
      </w:r>
      <w:r>
        <w:rPr>
          <w:rFonts w:hint="eastAsia" w:ascii="仿宋" w:hAnsi="仿宋" w:eastAsia="仿宋" w:cs="仿宋"/>
          <w:b w:val="0"/>
          <w:bCs w:val="0"/>
          <w:color w:val="auto"/>
          <w:sz w:val="21"/>
          <w:szCs w:val="21"/>
          <w:highlight w:val="none"/>
          <w:lang w:eastAsia="zh-CN"/>
        </w:rPr>
        <w:t xml:space="preserve">。</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807"/>
        <w:ind w:firstLine="422"/>
        <w:spacing w:before="0" w:beforeAutospacing="0" w:after="0" w:afterAutospacing="0" w:line="360" w:lineRule="auto"/>
        <w:rPr>
          <w:rFonts w:hint="eastAsia" w:ascii="仿宋" w:hAnsi="仿宋" w:eastAsia="仿宋" w:cs="仿宋"/>
          <w:b/>
          <w:bCs/>
          <w:color w:val="auto"/>
          <w:sz w:val="21"/>
          <w:szCs w:val="21"/>
          <w:highlight w:val="none"/>
        </w:rPr>
      </w:pPr>
      <w:r>
        <w:rPr>
          <w:rStyle w:val="813"/>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807"/>
        <w:ind w:firstLine="422"/>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w:t>
      </w:r>
      <w:r>
        <w:rPr>
          <w:rFonts w:hint="eastAsia" w:ascii="仿宋" w:hAnsi="仿宋" w:eastAsia="仿宋" w:cs="仿宋"/>
          <w:color w:val="auto"/>
          <w:sz w:val="21"/>
          <w:szCs w:val="21"/>
          <w:highlight w:val="none"/>
        </w:rPr>
        <w:t xml:space="preserve">供应商须具有行政主管部门颁发的</w:t>
      </w:r>
      <w:r>
        <w:rPr>
          <w:rFonts w:hint="eastAsia" w:ascii="仿宋" w:hAnsi="仿宋" w:eastAsia="仿宋" w:cs="仿宋"/>
          <w:color w:val="auto"/>
          <w:sz w:val="21"/>
          <w:szCs w:val="21"/>
          <w:highlight w:val="none"/>
          <w:lang w:eastAsia="zh-CN"/>
        </w:rPr>
        <w:t xml:space="preserve">城乡规划(国土空间规划)编制资质证书</w:t>
      </w:r>
      <w:r>
        <w:rPr>
          <w:rFonts w:hint="eastAsia" w:ascii="仿宋" w:hAnsi="仿宋" w:eastAsia="仿宋" w:cs="仿宋"/>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rPr>
      </w:pPr>
      <w:r>
        <w:rPr>
          <w:rStyle w:val="813"/>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shd w:val="clear" w:color="auto" w:fill="ffffff"/>
          <w:lang w:val="en-US" w:eastAsia="zh-CN" w:bidi="ar"/>
        </w:rPr>
        <w:t xml:space="preserve">本项目要求拟投入人员合计不少于8人。其中项目负责人1人，项目组其他成员不少于7人，投标文件中提供响应单位为项目组成员近</w:t>
      </w:r>
      <w:r>
        <w:rPr>
          <w:rFonts w:hint="eastAsia" w:ascii="仿宋" w:hAnsi="仿宋" w:eastAsia="仿宋" w:cs="仿宋"/>
          <w:b/>
          <w:bCs/>
          <w:color w:val="auto"/>
          <w:sz w:val="21"/>
          <w:szCs w:val="21"/>
          <w:highlight w:val="none"/>
        </w:rPr>
        <w:t xml:space="preserve">六个月中至少1个月缴纳社保的证明材料</w:t>
      </w:r>
      <w:r>
        <w:rPr>
          <w:rFonts w:hint="eastAsia" w:ascii="仿宋" w:hAnsi="仿宋" w:eastAsia="仿宋" w:cs="仿宋"/>
          <w:b/>
          <w:bCs/>
          <w:color w:val="auto"/>
          <w:sz w:val="21"/>
          <w:szCs w:val="21"/>
          <w:highlight w:val="none"/>
          <w:lang w:val="en-US" w:eastAsia="zh-CN"/>
        </w:rPr>
        <w:t xml:space="preserve">扫描件</w:t>
      </w:r>
      <w:r>
        <w:rPr>
          <w:rFonts w:hint="eastAsia" w:ascii="仿宋" w:hAnsi="仿宋" w:eastAsia="仿宋" w:cs="仿宋"/>
          <w:b/>
          <w:bCs/>
          <w:color w:val="auto"/>
          <w:sz w:val="21"/>
          <w:szCs w:val="21"/>
          <w:highlight w:val="none"/>
        </w:rPr>
        <w:t xml:space="preserve">并加盖公章</w:t>
      </w:r>
      <w:r/>
    </w:p>
    <w:p>
      <w:pPr>
        <w:pStyle w:val="76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三、获取招标文件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时间：自招标文件公告发布之日起5个工作日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67"/>
        <w:numPr>
          <w:ilvl w:val="1"/>
          <w:numId w:val="0"/>
        </w:numPr>
        <w:ind w:left="480"/>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四、提交投标文件截止时间、开标时间和地点</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2026年03月20日09点30分</w:t>
      </w:r>
      <w:r>
        <w:rPr>
          <w:rFonts w:hint="eastAsia" w:ascii="仿宋" w:hAnsi="仿宋" w:eastAsia="仿宋" w:cs="仿宋"/>
          <w:color w:val="auto"/>
          <w:sz w:val="21"/>
          <w:szCs w:val="21"/>
          <w:highlight w:val="none"/>
        </w:rPr>
        <w:t xml:space="preserve"> （北京时间）</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6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五、公告期限</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6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hint="eastAsia" w:ascii="仿宋" w:hAnsi="仿宋" w:eastAsia="仿宋" w:cs="仿宋"/>
          <w:color w:val="auto"/>
          <w:sz w:val="21"/>
          <w:szCs w:val="21"/>
          <w:highlight w:val="none"/>
        </w:rPr>
      </w:pPr>
      <w:r>
        <w:rPr>
          <w:rStyle w:val="813"/>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hint="eastAsia" w:ascii="仿宋" w:hAnsi="仿宋" w:eastAsia="仿宋" w:cs="仿宋"/>
          <w:color w:val="auto"/>
          <w:sz w:val="21"/>
          <w:szCs w:val="21"/>
          <w:highlight w:val="none"/>
        </w:rPr>
      </w:pPr>
      <w:r>
        <w:rPr>
          <w:rStyle w:val="813"/>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813"/>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813"/>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813"/>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813"/>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813"/>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813"/>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813"/>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hint="eastAsia" w:ascii="仿宋" w:hAnsi="仿宋" w:eastAsia="仿宋" w:cs="仿宋"/>
          <w:color w:val="auto"/>
          <w:sz w:val="21"/>
          <w:szCs w:val="21"/>
          <w:highlight w:val="none"/>
        </w:rPr>
      </w:pPr>
      <w:r>
        <w:rPr>
          <w:rStyle w:val="813"/>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813"/>
          <w:rFonts w:hint="eastAsia" w:ascii="仿宋" w:hAnsi="仿宋" w:eastAsia="仿宋" w:cs="仿宋"/>
          <w:color w:val="auto"/>
          <w:sz w:val="21"/>
          <w:szCs w:val="21"/>
          <w:highlight w:val="none"/>
          <w:lang w:bidi="ar"/>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8、</w:t>
      </w:r>
      <w:r>
        <w:rPr>
          <w:rStyle w:val="813"/>
          <w:rFonts w:hint="eastAsia" w:ascii="仿宋" w:hAnsi="仿宋" w:eastAsia="仿宋" w:cs="仿宋"/>
          <w:color w:val="auto"/>
          <w:sz w:val="21"/>
          <w:szCs w:val="21"/>
          <w:highlight w:val="none"/>
          <w:lang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w:t>
      </w:r>
      <w:r>
        <w:rPr>
          <w:rFonts w:hint="eastAsia" w:ascii="仿宋" w:hAnsi="仿宋" w:eastAsia="仿宋" w:cs="仿宋"/>
          <w:color w:val="auto"/>
          <w:sz w:val="21"/>
          <w:szCs w:val="21"/>
          <w:highlight w:val="none"/>
          <w:lang w:eastAsia="zh-CN"/>
        </w:rPr>
        <w:t xml:space="preserve">3500元</w:t>
      </w:r>
      <w:r>
        <w:rPr>
          <w:rFonts w:hint="eastAsia" w:ascii="仿宋" w:hAnsi="仿宋" w:eastAsia="仿宋" w:cs="仿宋"/>
          <w:color w:val="auto"/>
          <w:sz w:val="21"/>
          <w:szCs w:val="21"/>
          <w:highlight w:val="none"/>
        </w:rPr>
        <w:t xml:space="preserve">的，则中标服务费按人民币</w:t>
      </w:r>
      <w:r>
        <w:rPr>
          <w:rFonts w:hint="eastAsia" w:ascii="仿宋" w:hAnsi="仿宋" w:eastAsia="仿宋" w:cs="仿宋"/>
          <w:color w:val="auto"/>
          <w:sz w:val="21"/>
          <w:szCs w:val="21"/>
          <w:highlight w:val="none"/>
          <w:lang w:eastAsia="zh-CN"/>
        </w:rPr>
        <w:t xml:space="preserve">3500元</w:t>
      </w:r>
      <w:r>
        <w:rPr>
          <w:rFonts w:hint="eastAsia" w:ascii="仿宋" w:hAnsi="仿宋" w:eastAsia="仿宋" w:cs="仿宋"/>
          <w:color w:val="auto"/>
          <w:sz w:val="21"/>
          <w:szCs w:val="21"/>
          <w:highlight w:val="none"/>
        </w:rPr>
        <w:t xml:space="preserve">计取。</w:t>
      </w:r>
      <w:r/>
    </w:p>
    <w:p>
      <w:pPr>
        <w:ind w:firstLine="420"/>
        <w:jc w:val="both"/>
        <w:spacing w:line="360" w:lineRule="auto"/>
        <w:shd w:val="clear" w:color="auto" w:fill="ffffff"/>
        <w:rPr>
          <w:color w:val="auto"/>
          <w:sz w:val="21"/>
          <w:szCs w:val="21"/>
          <w:highlight w:val="none"/>
        </w:rPr>
      </w:pPr>
      <w:r>
        <w:rPr>
          <w:rStyle w:val="813"/>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lang w:bidi="ar"/>
        </w:rPr>
        <w:t xml:space="preserve">政府采购履约资金扶持政策  </w:t>
      </w:r>
      <w:r/>
    </w:p>
    <w:p>
      <w:pPr>
        <w:pStyle w:val="767"/>
        <w:numPr>
          <w:ilvl w:val="1"/>
          <w:numId w:val="0"/>
        </w:numPr>
        <w:ind w:firstLine="420"/>
        <w:keepLines w:val="0"/>
        <w:keepNext w:val="0"/>
        <w:spacing w:before="0" w:after="0" w:line="360" w:lineRule="auto"/>
        <w:rPr>
          <w:rStyle w:val="813"/>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ind w:firstLine="420"/>
        <w:jc w:val="both"/>
        <w:spacing w:line="360" w:lineRule="auto"/>
        <w:widowControl w:val="off"/>
        <w:rPr>
          <w:rFonts w:hint="eastAsia" w:ascii="仿宋" w:hAnsi="仿宋" w:eastAsia="仿宋" w:cs="仿宋"/>
          <w:color w:val="auto"/>
          <w:sz w:val="21"/>
          <w:szCs w:val="21"/>
          <w:highlight w:val="none"/>
        </w:rPr>
      </w:pPr>
      <w:r>
        <w:rPr>
          <w:rStyle w:val="813"/>
          <w:rFonts w:hint="eastAsia" w:ascii="仿宋" w:hAnsi="仿宋" w:eastAsia="仿宋" w:cs="仿宋"/>
          <w:b w:val="0"/>
          <w:bCs w:val="0"/>
          <w:color w:val="auto"/>
          <w:sz w:val="21"/>
          <w:szCs w:val="21"/>
          <w:highlight w:val="none"/>
        </w:rPr>
        <w:t xml:space="preserve">10、</w:t>
      </w:r>
      <w:r>
        <w:rPr>
          <w:rFonts w:hint="eastAsia" w:ascii="仿宋" w:hAnsi="仿宋" w:eastAsia="仿宋" w:cs="仿宋"/>
          <w:color w:val="auto"/>
          <w:sz w:val="21"/>
          <w:szCs w:val="21"/>
          <w:highlight w:val="none"/>
        </w:rPr>
        <w:t xml:space="preserve">本项目接受联合体投标。（联合体最多由两家供应商组成）。</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（1）以联合体形式参加响应的，联合体各方均应当符合本项目要求的资格条件。</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（2）联合体牵头人作为响应全权代表，代表所有联合体成员负责执行一切与该项目招响应活动有关的事项，并以响应全权代表方的商务应答材料作为商务评审的依据。</w:t>
      </w:r>
      <w:r/>
    </w:p>
    <w:p>
      <w:pPr>
        <w:ind w:firstLine="420"/>
        <w:jc w:val="both"/>
        <w:spacing w:line="360" w:lineRule="auto"/>
        <w:widowControl w:val="off"/>
        <w:rPr>
          <w:rStyle w:val="813"/>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联合体各方之间应当签订联合响应协议书，明确约定联合体各方承担的工作、相应的责任和资金支付方式，并将共同响应协议连同响应文件一并提交上传。联合体各方签订联合响应协议书后，不得再以自己名义单独在同一项目中响应，也不得组成新的联合体参加同一项目响应。</w:t>
      </w:r>
      <w:r/>
    </w:p>
    <w:p>
      <w:pPr>
        <w:pStyle w:val="76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3"/>
          <w:rFonts w:hint="eastAsia" w:ascii="仿宋" w:hAnsi="仿宋" w:eastAsia="仿宋" w:cs="仿宋"/>
          <w:b/>
          <w:bCs/>
          <w:color w:val="auto"/>
          <w:sz w:val="21"/>
          <w:szCs w:val="21"/>
          <w:highlight w:val="none"/>
        </w:rPr>
        <w:t xml:space="preserve">七、对本次招标提出询问，请按以下方式联系</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单位名称：太仓市自然资源和规划局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单位地址：太仓市上海东路96号</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马静旖</w:t>
      </w:r>
      <w:r>
        <w:rPr>
          <w:rFonts w:hint="eastAsia" w:ascii="仿宋" w:hAnsi="仿宋" w:eastAsia="仿宋" w:cs="仿宋"/>
          <w:color w:val="auto"/>
          <w:sz w:val="21"/>
          <w:szCs w:val="21"/>
          <w:highlight w:val="none"/>
        </w:rPr>
        <w:t xml:space="preserve">     </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0512-53516017</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苏州泰至鑫项目管理有限公司</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太仓市娄东街道上海东路333号高展商务大厦10楼1003室</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顾孙英</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13145086180</w:t>
      </w:r>
      <w:r/>
    </w:p>
    <w:p>
      <w:pPr>
        <w:pStyle w:val="807"/>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顾孙英</w:t>
      </w:r>
      <w:r>
        <w:rPr>
          <w:rFonts w:hint="eastAsia" w:ascii="仿宋" w:hAnsi="仿宋" w:eastAsia="仿宋" w:cs="仿宋"/>
          <w:color w:val="auto"/>
          <w:sz w:val="21"/>
          <w:szCs w:val="21"/>
          <w:highlight w:val="none"/>
          <w:lang w:bidi="ar"/>
        </w:rPr>
        <w:t xml:space="preserve"> 联系电话：</w:t>
      </w:r>
      <w:r>
        <w:rPr>
          <w:rFonts w:hint="eastAsia" w:ascii="仿宋" w:hAnsi="仿宋" w:eastAsia="仿宋" w:cs="仿宋"/>
          <w:color w:val="auto"/>
          <w:sz w:val="21"/>
          <w:szCs w:val="21"/>
          <w:highlight w:val="none"/>
          <w:lang w:eastAsia="zh-CN" w:bidi="ar"/>
        </w:rPr>
        <w:t xml:space="preserve">13145086180</w:t>
      </w:r>
      <w:r/>
    </w:p>
    <w:p>
      <w:pPr>
        <w:ind w:firstLine="422"/>
        <w:jc w:val="both"/>
        <w:spacing w:line="360" w:lineRule="auto"/>
        <w:rPr>
          <w:rFonts w:hint="eastAsia" w:ascii="仿宋" w:hAnsi="仿宋" w:eastAsia="仿宋" w:cs="仿宋"/>
          <w:color w:val="auto"/>
          <w:sz w:val="21"/>
          <w:szCs w:val="21"/>
          <w:highlight w:val="none"/>
        </w:rPr>
      </w:pPr>
      <w:r>
        <w:rPr>
          <w:rStyle w:val="813"/>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t xml:space="preserve"> </w:t>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shd w:val="clear" w:color="auto" w:fill="ffffff"/>
          <w:lang w:bidi="ar"/>
        </w:rPr>
      </w:pPr>
      <w:r>
        <w:rPr>
          <w:rFonts w:hint="eastAsia" w:ascii="仿宋" w:hAnsi="仿宋" w:eastAsia="仿宋" w:cs="仿宋"/>
          <w:color w:val="auto"/>
          <w:sz w:val="21"/>
          <w:szCs w:val="21"/>
          <w:highlight w:val="none"/>
          <w:shd w:val="clear" w:color="auto" w:fill="ffffff"/>
          <w:lang w:bidi="ar"/>
        </w:rPr>
      </w:r>
      <w:r/>
    </w:p>
    <w:p>
      <w:pPr>
        <w:ind w:firstLine="420"/>
        <w:jc w:val="center"/>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rPr>
          <w:rStyle w:val="971"/>
          <w:rFonts w:hint="eastAsia" w:ascii="宋体" w:hAnsi="宋体" w:eastAsia="宋体" w:cs="宋体"/>
          <w:color w:val="auto"/>
          <w:sz w:val="32"/>
          <w:szCs w:val="32"/>
          <w:highlight w:val="none"/>
        </w:rPr>
        <w:t xml:space="preserve">第二章 投标人须知</w:t>
      </w:r>
      <w:r/>
    </w:p>
    <w:p>
      <w:pPr>
        <w:jc w:val="both"/>
        <w:widowControl w:val="off"/>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2" w:name="_Toc142194258"/>
      <w:r>
        <w:rPr>
          <w:rFonts w:hint="eastAsia" w:ascii="宋体" w:hAnsi="宋体" w:cs="宋体"/>
          <w:b/>
          <w:bCs/>
          <w:color w:val="auto"/>
          <w:sz w:val="21"/>
          <w:szCs w:val="21"/>
          <w:highlight w:val="none"/>
          <w:lang w:val="zh-CN"/>
        </w:rPr>
        <w:t xml:space="preserve">二、投标人</w:t>
      </w:r>
      <w:bookmarkEnd w:id="2"/>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联合体（如有）：提供</w:t>
      </w:r>
      <w:r>
        <w:rPr>
          <w:rFonts w:hint="eastAsia" w:ascii="宋体" w:hAnsi="宋体" w:cs="宋体"/>
          <w:b/>
          <w:color w:val="auto"/>
          <w:sz w:val="21"/>
          <w:szCs w:val="21"/>
          <w:highlight w:val="none"/>
        </w:rPr>
        <w:t xml:space="preserve">联合体协议书、联合响应授权委托书。</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w:t>
      </w:r>
      <w:r>
        <w:rPr>
          <w:rFonts w:hint="eastAsia" w:ascii="宋体" w:hAnsi="宋体" w:cs="宋体"/>
          <w:color w:val="auto"/>
          <w:sz w:val="21"/>
          <w:szCs w:val="21"/>
          <w:highlight w:val="none"/>
          <w:lang w:eastAsia="zh-CN"/>
        </w:rPr>
        <w:t xml:space="preserve">服务条款偏离表</w:t>
      </w:r>
      <w:bookmarkStart w:id="22" w:name="_GoBack"/>
      <w:r/>
      <w:bookmarkEnd w:id="22"/>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投标总报价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lang w:val="en-US" w:eastAsia="zh-CN"/>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根据财库〔2026〕2号关于推动解决政府采购异常低价问题的通知。</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26.7.1政府采购评审中出现下列情形之一的，评审委员会应当启动异常低价投标（响应）审查程序：</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（1）投标（响应）报价低于全部通过符合性审查供应商投标（响应）报价平均值50%的，即投标（响应）报价&lt;全部通过符合性审查供应商投标（响应）报价平均值×50%；</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（2）投标（响应）报价低于通过符合性审查的次低报价供应商投标（响应）报价50%的，即投标（响应）报价&lt;通过符合性审查的次低报价供应商投标（响应）报价×50%；</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（3）投标（响应）报价低于采购项目最高限价45%的，即投标（响应）报价&lt;采购项目最高限价×45%；</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（4）评审委员会基于专业判断，认为供应商报价过低，有可能影响产品质量或者不能诚信履约的其他情形。</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71"/>
          <w:rFonts w:hint="eastAsia" w:ascii="宋体" w:hAnsi="宋体" w:eastAsia="宋体" w:cs="宋体"/>
          <w:color w:val="auto"/>
          <w:sz w:val="32"/>
          <w:szCs w:val="32"/>
          <w:highlight w:val="none"/>
        </w:rPr>
      </w:pPr>
      <w:r/>
      <w:bookmarkStart w:id="3" w:name="_Toc28477"/>
      <w:r>
        <w:rPr>
          <w:rStyle w:val="971"/>
          <w:rFonts w:ascii="宋体" w:hAnsi="宋体" w:eastAsia="宋体" w:cs="宋体"/>
          <w:color w:val="auto"/>
          <w:sz w:val="32"/>
          <w:szCs w:val="32"/>
          <w:highlight w:val="none"/>
        </w:rPr>
        <w:br w:type="page" w:clear="all"/>
      </w:r>
      <w:r/>
    </w:p>
    <w:p>
      <w:pPr>
        <w:pStyle w:val="970"/>
        <w:jc w:val="center"/>
        <w:rPr>
          <w:color w:val="auto"/>
          <w:highlight w:val="none"/>
        </w:rPr>
      </w:pPr>
      <w:r>
        <w:rPr>
          <w:rStyle w:val="971"/>
          <w:rFonts w:hint="eastAsia" w:ascii="宋体" w:hAnsi="宋体" w:eastAsia="宋体" w:cs="宋体"/>
          <w:color w:val="auto"/>
          <w:sz w:val="32"/>
          <w:szCs w:val="32"/>
          <w:highlight w:val="none"/>
        </w:rPr>
        <w:t xml:space="preserve">第三章 </w:t>
      </w:r>
      <w:bookmarkEnd w:id="3"/>
      <w:r>
        <w:rPr>
          <w:rStyle w:val="971"/>
          <w:rFonts w:hint="eastAsia" w:ascii="宋体" w:hAnsi="宋体" w:eastAsia="宋体" w:cs="宋体"/>
          <w:color w:val="auto"/>
          <w:sz w:val="32"/>
          <w:szCs w:val="32"/>
          <w:highlight w:val="none"/>
        </w:rPr>
        <w:t xml:space="preserve">项目需求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受太仓市自然资源和规划局之委托，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《太仓市国土空间总体规划（2021-2035年）》动态维护项目</w:t>
      </w:r>
      <w:r>
        <w:rPr>
          <w:rFonts w:hint="eastAsia" w:ascii="宋体" w:hAnsi="宋体" w:cs="宋体"/>
          <w:color w:val="auto"/>
          <w:sz w:val="21"/>
          <w:szCs w:val="21"/>
          <w:highlight w:val="none"/>
        </w:rPr>
        <w:t xml:space="preserve">进行国内公开招标。欢迎符合资格条件的供应商前来报名参加投标。</w:t>
      </w:r>
      <w:r/>
    </w:p>
    <w:p>
      <w:pPr>
        <w:pStyle w:val="782"/>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JSZC-320585-SZTZ-G2026-0001</w:t>
      </w:r>
      <w:r/>
    </w:p>
    <w:p>
      <w:pPr>
        <w:ind w:firstLine="422"/>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《太仓市国土空间总体规划（2021-2035年）》动态维护项目</w:t>
      </w:r>
      <w:r/>
    </w:p>
    <w:p>
      <w:pPr>
        <w:ind w:firstLine="422"/>
        <w:spacing w:line="360" w:lineRule="auto"/>
        <w:tabs>
          <w:tab w:val="left" w:pos="3600" w:leader="none"/>
        </w:tabs>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自合同签订之日起至2027年6月30日前完成全部工作任务，提交最终成果。</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4、预算金额：</w:t>
      </w:r>
      <w:r>
        <w:rPr>
          <w:rFonts w:hint="eastAsia" w:ascii="宋体" w:hAnsi="宋体" w:cs="宋体"/>
          <w:color w:val="auto"/>
          <w:sz w:val="21"/>
          <w:szCs w:val="21"/>
          <w:highlight w:val="none"/>
          <w:lang w:eastAsia="zh-CN"/>
        </w:rPr>
        <w:t xml:space="preserve">100.00万元</w:t>
      </w:r>
      <w:r>
        <w:rPr>
          <w:rFonts w:hint="eastAsia" w:ascii="宋体" w:hAnsi="宋体" w:cs="宋体"/>
          <w:color w:val="auto"/>
          <w:sz w:val="21"/>
          <w:szCs w:val="21"/>
          <w:highlight w:val="none"/>
        </w:rPr>
        <w:t xml:space="preserve"> </w:t>
      </w:r>
      <w:r/>
    </w:p>
    <w:p>
      <w:pPr>
        <w:ind w:firstLine="422"/>
        <w:spacing w:line="360" w:lineRule="auto"/>
        <w:tabs>
          <w:tab w:val="left" w:pos="3600" w:leader="none"/>
        </w:tabs>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5、最高限价：</w:t>
      </w:r>
      <w:r>
        <w:rPr>
          <w:rFonts w:hint="eastAsia" w:ascii="宋体" w:hAnsi="宋体" w:cs="宋体"/>
          <w:color w:val="auto"/>
          <w:sz w:val="21"/>
          <w:szCs w:val="21"/>
          <w:highlight w:val="none"/>
          <w:lang w:eastAsia="zh-CN"/>
        </w:rPr>
        <w:t xml:space="preserve">100.00万元</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6、服务地点：</w:t>
      </w:r>
      <w:r>
        <w:rPr>
          <w:rFonts w:hint="eastAsia" w:ascii="宋体" w:hAnsi="宋体" w:cs="宋体"/>
          <w:color w:val="auto"/>
          <w:sz w:val="21"/>
          <w:szCs w:val="21"/>
          <w:highlight w:val="none"/>
        </w:rPr>
        <w:t xml:space="preserve">采购方指定</w:t>
      </w:r>
      <w:r/>
    </w:p>
    <w:p>
      <w:pPr>
        <w:ind w:firstLine="422"/>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firstLine="422"/>
        <w:jc w:val="both"/>
        <w:keepNext/>
        <w:spacing w:line="360" w:lineRule="auto"/>
        <w:widowControl w:val="off"/>
        <w:tabs>
          <w:tab w:val="left" w:pos="200" w:leader="none"/>
        </w:tabs>
        <w:rPr>
          <w:rFonts w:ascii="宋体" w:hAnsi="宋体" w:cs="宋体"/>
          <w:color w:val="auto"/>
          <w:sz w:val="21"/>
          <w:szCs w:val="21"/>
          <w:highlight w:val="none"/>
        </w:rPr>
        <w:outlineLvl w:val="1"/>
      </w:pPr>
      <w:r/>
      <w:bookmarkStart w:id="4" w:name="_Toc234085236"/>
      <w:r/>
      <w:bookmarkStart w:id="5" w:name="_Toc361054516"/>
      <w:r/>
      <w:bookmarkStart w:id="6" w:name="_Toc142194272"/>
      <w:r/>
      <w:bookmarkStart w:id="7" w:name="_Toc40449968"/>
      <w:r/>
      <w:bookmarkStart w:id="8" w:name="_Toc25002"/>
      <w:r>
        <w:rPr>
          <w:rFonts w:hint="eastAsia" w:ascii="宋体" w:hAnsi="宋体" w:cs="宋体"/>
          <w:b/>
          <w:bCs/>
          <w:color w:val="auto"/>
          <w:sz w:val="21"/>
          <w:szCs w:val="21"/>
          <w:highlight w:val="none"/>
        </w:rPr>
        <w:t xml:space="preserve">（一）项目工作要求</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根据《江苏省自然资源厅关于进一步加强市县国土空间总体规划实施监督管理的通知》（苏自然资发〔2025〕161号）等文件要求，在严守空间安全底线，不突破国务院审批的省级、市级国土空间总体规划确定的保护目标任务，不改变总体规划确定的空间结构和格局的前提下，开展规划动态维护。经国土空间规划五年实施评估，若需对规划范围、总体格局、目标指标、其他规划强制性内容等调整的，应按相关规定和程序进行规划修改等工作。</w:t>
      </w:r>
      <w:r/>
    </w:p>
    <w:p>
      <w:pPr>
        <w:ind w:firstLine="422"/>
        <w:jc w:val="both"/>
        <w:keepNext/>
        <w:spacing w:line="360" w:lineRule="auto"/>
        <w:widowControl w:val="off"/>
        <w:tabs>
          <w:tab w:val="left" w:pos="200" w:leader="none"/>
        </w:tabs>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二</w:t>
      </w:r>
      <w:r>
        <w:rPr>
          <w:rFonts w:hint="eastAsia" w:ascii="宋体" w:hAnsi="宋体" w:cs="宋体"/>
          <w:b/>
          <w:bCs/>
          <w:color w:val="auto"/>
          <w:sz w:val="21"/>
          <w:szCs w:val="21"/>
          <w:highlight w:val="none"/>
          <w:lang w:val="zh-CN"/>
        </w:rPr>
        <w:t xml:space="preserve">）项目工作内容</w:t>
      </w:r>
      <w:r/>
    </w:p>
    <w:p>
      <w:pPr>
        <w:ind w:firstLine="420"/>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本项目主要</w:t>
      </w:r>
      <w:r>
        <w:rPr>
          <w:rFonts w:hint="eastAsia" w:ascii="宋体" w:hAnsi="宋体" w:cs="宋体"/>
          <w:color w:val="auto"/>
          <w:sz w:val="21"/>
          <w:szCs w:val="21"/>
          <w:highlight w:val="none"/>
        </w:rPr>
        <w:t xml:space="preserve">包括</w:t>
      </w:r>
      <w:r>
        <w:rPr>
          <w:rFonts w:hint="eastAsia" w:ascii="宋体" w:hAnsi="宋体" w:cs="宋体"/>
          <w:color w:val="auto"/>
          <w:sz w:val="21"/>
          <w:szCs w:val="21"/>
          <w:highlight w:val="none"/>
          <w:lang w:val="zh-CN"/>
        </w:rPr>
        <w:t xml:space="preserve">以下</w:t>
      </w:r>
      <w:r>
        <w:rPr>
          <w:rFonts w:hint="eastAsia" w:ascii="宋体" w:hAnsi="宋体" w:cs="宋体"/>
          <w:color w:val="auto"/>
          <w:sz w:val="21"/>
          <w:szCs w:val="21"/>
          <w:highlight w:val="none"/>
        </w:rPr>
        <w:t xml:space="preserve">内容</w:t>
      </w:r>
      <w:r>
        <w:rPr>
          <w:rFonts w:hint="eastAsia" w:ascii="宋体" w:hAnsi="宋体" w:cs="宋体"/>
          <w:color w:val="auto"/>
          <w:sz w:val="21"/>
          <w:szCs w:val="21"/>
          <w:highlight w:val="none"/>
          <w:lang w:val="zh-CN"/>
        </w:rPr>
        <w:t xml:space="preserve">：</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①优化三条控制线，对耕地和永久基本农田、生态保护红线、城镇开发边界三条控制线进行动态维护。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②合理优化规划分区，结合三条控制线布局优化、相关专项规划编制，衔接相关自然资源管理工作，合理优化规划分区。</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③完善中心城区功能布局，统筹相关“十五五”专项规划和社区生活圈建设，结合人口结构变化和经济社会发展，优化中心城区用地结构和空间布局，完善城市功能。</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④优化城市重要控制线，衔接相关专项规划和实施管理，确需对城市绿线、蓝线、黄线进行重大布局调整的，可以开展动态维护，促进城市功能完善、结构优化、布局合理、服务水平提升。</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⑤更新重点建设项目清单，结合“十五五”规划、国家和省重大战略落实等，衔接各类专项规划，分类增补和优化交通、能源、水利等重点建设项目清单。</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经国土空间规划五年实施评估，若需对规划范围、总体格局、目标指标、其他规划强制性内容等调整的，应按相关规定和程序进行规划修改等工作。</w:t>
      </w:r>
      <w:r/>
    </w:p>
    <w:p>
      <w:pPr>
        <w:ind w:firstLine="422"/>
        <w:jc w:val="both"/>
        <w:keepNext/>
        <w:spacing w:line="360" w:lineRule="auto"/>
        <w:widowControl w:val="off"/>
        <w:tabs>
          <w:tab w:val="left" w:pos="200" w:leader="none"/>
        </w:tabs>
        <w:rPr>
          <w:rFonts w:ascii="宋体" w:hAnsi="宋体" w:cs="宋体"/>
          <w:b/>
          <w:bCs/>
          <w:color w:val="auto"/>
          <w:sz w:val="21"/>
          <w:szCs w:val="21"/>
          <w:highlight w:val="none"/>
        </w:rPr>
        <w:outlineLvl w:val="1"/>
      </w:pPr>
      <w:r/>
      <w:bookmarkStart w:id="9" w:name="_Toc417024236"/>
      <w:r>
        <w:rPr>
          <w:rFonts w:hint="eastAsia" w:ascii="宋体" w:hAnsi="宋体" w:cs="宋体"/>
          <w:b/>
          <w:bCs/>
          <w:color w:val="auto"/>
          <w:sz w:val="21"/>
          <w:szCs w:val="21"/>
          <w:highlight w:val="none"/>
        </w:rPr>
        <w:t xml:space="preserve">（三）项目成果要求</w:t>
      </w:r>
      <w:bookmarkEnd w:id="9"/>
      <w:r/>
      <w:r/>
    </w:p>
    <w:p>
      <w:pPr>
        <w:ind w:firstLine="420"/>
        <w:jc w:val="both"/>
        <w:spacing w:line="360" w:lineRule="auto"/>
        <w:widowControl w:val="off"/>
        <w:rPr>
          <w:rFonts w:ascii="宋体" w:hAnsi="宋体" w:cs="宋体"/>
          <w:color w:val="auto"/>
          <w:sz w:val="21"/>
          <w:szCs w:val="21"/>
          <w:highlight w:val="none"/>
        </w:rPr>
      </w:pPr>
      <w:r/>
      <w:bookmarkStart w:id="10" w:name="_Toc790"/>
      <w:r/>
      <w:bookmarkStart w:id="11" w:name="_Toc383531929"/>
      <w:r/>
      <w:bookmarkStart w:id="12" w:name="_Toc28601"/>
      <w:r/>
      <w:bookmarkStart w:id="13" w:name="_Toc527189482"/>
      <w:r/>
      <w:bookmarkStart w:id="14" w:name="_Toc417024237"/>
      <w:r>
        <w:rPr>
          <w:rFonts w:hint="eastAsia" w:ascii="宋体" w:hAnsi="宋体" w:cs="宋体"/>
          <w:color w:val="auto"/>
          <w:sz w:val="21"/>
          <w:szCs w:val="21"/>
          <w:highlight w:val="none"/>
          <w:lang w:val="zh-CN"/>
        </w:rPr>
        <w:t xml:space="preserve">本项目</w:t>
      </w:r>
      <w:r>
        <w:rPr>
          <w:rFonts w:hint="eastAsia" w:ascii="宋体" w:hAnsi="宋体" w:cs="宋体"/>
          <w:color w:val="auto"/>
          <w:sz w:val="21"/>
          <w:szCs w:val="21"/>
          <w:highlight w:val="none"/>
        </w:rPr>
        <w:t xml:space="preserve">成果包含报告、表格、图件、数据库、附件等。确保材料完整、规范、符合要求。</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1、报告</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市县级国土空间总体规划的组织编制单元为单位，形成《XX市国土空间总体规划202X年度动态维护方案》/《XX县（市、区）国土空间总体规划202X年度动态维护方案》。报告应包含规划体检评估结论、空间问题分析、动态维护的思路、方案以及合理性分析等内容。</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2、表格</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包括三条控制线维护情况表、重点建设项目维护表、三条控制线动态维护成效表等。</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3、图件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国土空间总体规划动态维护方案的图件包括：国土空间规划实施情况分析图；维护后的三条控制线规划图、调整分析图（调入和调出图斑）等。</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4、数据库</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数据库应与市、县两级国土空间总体规划数据库规范要求相衔接。</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5、附件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附件应包含相关部门征求意见及落实情况、审查论证情况等相关材料</w:t>
      </w:r>
      <w:bookmarkEnd w:id="10"/>
      <w:r/>
      <w:bookmarkEnd w:id="11"/>
      <w:r/>
      <w:bookmarkEnd w:id="12"/>
      <w:r/>
      <w:bookmarkEnd w:id="13"/>
      <w:r>
        <w:rPr>
          <w:rFonts w:hint="eastAsia" w:ascii="宋体" w:hAnsi="宋体" w:cs="宋体"/>
          <w:color w:val="auto"/>
          <w:sz w:val="21"/>
          <w:szCs w:val="21"/>
          <w:highlight w:val="none"/>
        </w:rPr>
        <w:t xml:space="preserve">。</w:t>
      </w:r>
      <w:bookmarkEnd w:id="4"/>
      <w:r/>
      <w:bookmarkEnd w:id="5"/>
      <w:r/>
      <w:bookmarkEnd w:id="14"/>
      <w:r/>
      <w:r/>
    </w:p>
    <w:p>
      <w:pPr>
        <w:ind w:firstLine="422"/>
        <w:jc w:val="both"/>
        <w:keepNext/>
        <w:spacing w:line="360" w:lineRule="auto"/>
        <w:widowControl w:val="off"/>
        <w:tabs>
          <w:tab w:val="left" w:pos="200" w:leader="none"/>
        </w:tabs>
        <w:rPr>
          <w:rFonts w:hint="default" w:ascii="宋体" w:hAnsi="宋体" w:eastAsia="宋体" w:cs="宋体"/>
          <w:b/>
          <w:bCs/>
          <w:color w:val="auto"/>
          <w:sz w:val="21"/>
          <w:szCs w:val="21"/>
          <w:highlight w:val="none"/>
          <w:lang w:val="en-US" w:eastAsia="zh-CN"/>
        </w:rPr>
        <w:outlineLvl w:val="1"/>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人员要求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1、项目架构及人员要求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中标人应成立项目部，并明确项目负责人协调项目的开展，解决工作中有关重大问题。项目组人员</w:t>
      </w:r>
      <w:r>
        <w:rPr>
          <w:rFonts w:hint="eastAsia" w:ascii="宋体" w:hAnsi="宋体" w:eastAsia="宋体" w:cs="宋体"/>
          <w:color w:val="auto"/>
          <w:sz w:val="21"/>
          <w:szCs w:val="21"/>
          <w:highlight w:val="none"/>
          <w:lang w:val="en-US" w:eastAsia="zh-CN"/>
        </w:rPr>
        <w:t xml:space="preserve">合计</w:t>
      </w:r>
      <w:r>
        <w:rPr>
          <w:rFonts w:hint="eastAsia" w:ascii="宋体" w:hAnsi="宋体" w:eastAsia="宋体" w:cs="宋体"/>
          <w:color w:val="auto"/>
          <w:sz w:val="21"/>
          <w:szCs w:val="21"/>
          <w:highlight w:val="none"/>
        </w:rPr>
        <w:t xml:space="preserve">不得少于</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人。在项目建设过程中不得随意更换项目</w:t>
      </w:r>
      <w:r>
        <w:rPr>
          <w:rFonts w:hint="eastAsia" w:ascii="宋体" w:hAnsi="宋体" w:eastAsia="宋体" w:cs="宋体"/>
          <w:color w:val="auto"/>
          <w:sz w:val="21"/>
          <w:szCs w:val="21"/>
          <w:highlight w:val="none"/>
          <w:lang w:val="en-US" w:eastAsia="zh-CN"/>
        </w:rPr>
        <w:t xml:space="preserve">组成员</w:t>
      </w:r>
      <w:r>
        <w:rPr>
          <w:rFonts w:hint="eastAsia" w:ascii="宋体" w:hAnsi="宋体" w:eastAsia="宋体" w:cs="宋体"/>
          <w:color w:val="auto"/>
          <w:sz w:val="21"/>
          <w:szCs w:val="21"/>
          <w:highlight w:val="none"/>
        </w:rPr>
        <w:t xml:space="preserve">，必需变更时，应先征得采购人同意。</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不少于1人，项目负责人是项目的核心管理者，需具有丰富的项目管理经验，负责整体规划、团队协调、进度控制、资源分配、信息安全保密和风险管理等。他们确保项目按时、按预算完成，并满足质量要求，同时与各方保持有效沟通，推动项目成功；</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）项目组成员：不少</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人，项目组成员应具有和本项目相关的专业知识及工作经验，</w:t>
      </w:r>
      <w:r>
        <w:rPr>
          <w:rFonts w:hint="eastAsia" w:ascii="宋体" w:hAnsi="宋体" w:eastAsia="宋体" w:cs="宋体"/>
          <w:color w:val="auto"/>
          <w:sz w:val="21"/>
          <w:szCs w:val="21"/>
          <w:highlight w:val="none"/>
          <w:lang w:val="en-US" w:eastAsia="zh-CN"/>
        </w:rPr>
        <w:t xml:space="preserve">人员专业覆盖全面，</w:t>
      </w:r>
      <w:r>
        <w:rPr>
          <w:rFonts w:hint="eastAsia" w:ascii="宋体" w:hAnsi="宋体" w:eastAsia="宋体" w:cs="宋体"/>
          <w:color w:val="auto"/>
          <w:sz w:val="21"/>
          <w:szCs w:val="21"/>
          <w:highlight w:val="none"/>
        </w:rPr>
        <w:t xml:space="preserve">了解相关法律法规，并经过专业培训。</w:t>
      </w:r>
      <w:r/>
    </w:p>
    <w:p>
      <w:pPr>
        <w:ind w:firstLine="422"/>
        <w:jc w:val="both"/>
        <w:keepNext/>
        <w:spacing w:line="360" w:lineRule="auto"/>
        <w:widowControl w:val="off"/>
        <w:tabs>
          <w:tab w:val="left" w:pos="200" w:leader="none"/>
        </w:tabs>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）付款方式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合同签订后支付中标额的20%，完成总体规划动态维护初稿成果支付中标额的30%，完成总体规划动态维护成果并上报省厅后支付中标额的30%，经国土空间规划五年实施评估需修改规划，总体规划修改方案批准并上报省厅后支付中标额的20%。</w:t>
      </w:r>
      <w:r/>
    </w:p>
    <w:p>
      <w:pPr>
        <w:pStyle w:val="78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bookmarkEnd w:id="6"/>
      <w:r/>
      <w:bookmarkEnd w:id="7"/>
      <w:r>
        <w:rPr>
          <w:rFonts w:hint="eastAsia" w:ascii="宋体" w:hAnsi="宋体" w:cs="宋体"/>
          <w:color w:val="auto"/>
          <w:sz w:val="21"/>
          <w:szCs w:val="21"/>
          <w:highlight w:val="none"/>
        </w:rPr>
        <w:t xml:space="preserve">每次支付前，</w:t>
      </w:r>
      <w:r>
        <w:rPr>
          <w:rFonts w:hint="eastAsia" w:ascii="宋体" w:hAnsi="宋体" w:cs="宋体"/>
          <w:color w:val="auto"/>
          <w:sz w:val="21"/>
          <w:szCs w:val="21"/>
          <w:highlight w:val="none"/>
          <w:lang w:val="en-US" w:eastAsia="zh-CN"/>
        </w:rPr>
        <w:t xml:space="preserve">乙方应向甲方出具与应付款金额同等的普通发票（税率【6】%），否则甲方有权拒绝支付并不承担违约责任，且乙方不得中止、延迟、终止履行本协议</w:t>
      </w:r>
      <w:r/>
    </w:p>
    <w:p>
      <w:pPr>
        <w:contextualSpacing/>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rPr>
        <w:t xml:space="preserve">）投标报价</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价方式：总价报价。投标报价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1、验收组织方式：本项目由采购人进行验收。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2、履约验收时间：</w:t>
      </w:r>
      <w:r>
        <w:rPr>
          <w:rFonts w:hint="eastAsia" w:ascii="宋体" w:hAnsi="宋体" w:cs="宋体"/>
          <w:bCs/>
          <w:color w:val="auto"/>
          <w:sz w:val="21"/>
          <w:szCs w:val="21"/>
          <w:highlight w:val="none"/>
          <w:lang w:val="en-US" w:eastAsia="zh-CN" w:bidi="en-US"/>
        </w:rPr>
        <w:t xml:space="preserve">项目结束进行</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验收前</w:t>
      </w:r>
      <w:r>
        <w:rPr>
          <w:rFonts w:hint="eastAsia" w:ascii="宋体" w:hAnsi="宋体" w:eastAsia="宋体" w:cs="宋体"/>
          <w:bCs/>
          <w:color w:val="auto"/>
          <w:sz w:val="21"/>
          <w:szCs w:val="21"/>
          <w:highlight w:val="none"/>
          <w:lang w:bidi="en-US"/>
        </w:rPr>
        <w:t xml:space="preserve">采购人向供应商发出《政府采购履约验收通知单》，验收完成后形成《政府采购履约验收书》。</w:t>
      </w:r>
      <w:r/>
    </w:p>
    <w:p>
      <w:pPr>
        <w:contextualSpacing/>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bidi="en-US"/>
        </w:rPr>
        <w:t xml:space="preserve">3、履约验收的内容及标准：</w:t>
      </w:r>
      <w:r>
        <w:rPr>
          <w:rFonts w:hint="eastAsia" w:ascii="宋体" w:hAnsi="宋体" w:cs="宋体"/>
          <w:bCs/>
          <w:color w:val="auto"/>
          <w:sz w:val="21"/>
          <w:szCs w:val="21"/>
          <w:highlight w:val="none"/>
          <w:lang w:val="en-US" w:eastAsia="zh-CN" w:bidi="en-US"/>
        </w:rPr>
        <w:t xml:space="preserve">按采购文件要求及</w:t>
      </w:r>
      <w:r>
        <w:rPr>
          <w:rFonts w:hint="eastAsia" w:ascii="宋体" w:hAnsi="宋体" w:cs="宋体"/>
          <w:bCs/>
          <w:color w:val="auto"/>
          <w:sz w:val="21"/>
          <w:szCs w:val="21"/>
          <w:highlight w:val="none"/>
          <w:lang w:val="en-US" w:eastAsia="zh-CN" w:bidi="en-US"/>
        </w:rPr>
        <w:t xml:space="preserve">相关法律法规及行业标准</w:t>
      </w:r>
      <w:r>
        <w:rPr>
          <w:rFonts w:hint="eastAsia" w:ascii="宋体" w:hAnsi="宋体" w:eastAsia="宋体" w:cs="宋体"/>
          <w:bCs/>
          <w:color w:val="auto"/>
          <w:sz w:val="21"/>
          <w:szCs w:val="21"/>
          <w:highlight w:val="none"/>
          <w:lang w:bidi="en-US"/>
        </w:rPr>
        <w:t xml:space="preserve">进行验收。</w:t>
      </w:r>
      <w:r/>
    </w:p>
    <w:p>
      <w:pPr>
        <w:contextualSpacing/>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三、其他说明：</w:t>
      </w:r>
      <w:r/>
    </w:p>
    <w:p>
      <w:pPr>
        <w:contextualSpacing/>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1、中标单位应能保证所提供服务涉及到的知识产权是合法取得，并享有完整的知识产权，不会因为招标人的使用而被责令停止使用、追偿或要求赔偿损失；如出现此情况，一切经济和法律责任均由中标单位；</w:t>
      </w:r>
      <w:r/>
    </w:p>
    <w:p>
      <w:pPr>
        <w:contextualSpacing/>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2、中标人对服务缺陷不予更正，招标人有权另请其他单位更正，所发生的费用由中标单位承担；</w:t>
      </w:r>
      <w:r/>
    </w:p>
    <w:p>
      <w:pPr>
        <w:contextualSpacing/>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、编制工作中涉及到的涉密和敏感图文资料、电子数据，编制单位应严格执行保密的相关规定，不得以任何方式向任何第三人披露、泄露或许可第三人使用</w:t>
      </w:r>
      <w:r>
        <w:rPr>
          <w:rFonts w:hint="eastAsia" w:ascii="宋体" w:hAnsi="宋体" w:cs="宋体"/>
          <w:bCs/>
          <w:color w:val="auto"/>
          <w:sz w:val="21"/>
          <w:szCs w:val="21"/>
          <w:highlight w:val="none"/>
        </w:rPr>
        <w:t xml:space="preserve">；</w:t>
      </w:r>
      <w:r/>
    </w:p>
    <w:p>
      <w:pPr>
        <w:contextualSpacing/>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、投标人应在投标文件中说明，如能中标，在服务过程中需要招标人配合的工作和需要提供的条件。</w:t>
      </w:r>
      <w:r/>
    </w:p>
    <w:p>
      <w:pPr>
        <w:contextualSpacing/>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知识产权：在合同履行过程中，由甲方向乙方提供的资料－－包括但不限于程序、文件、报告、说明、图表等均归甲方所有。在合同履行完毕后，乙方依据本合同及本合同附件向甲方提供的任何程序、文件、报告、说明、图表等的知识产权均归甲方所有（但属于乙方或第三方的除外），乙方不得以任何形式使用或向第三方透露。</w:t>
      </w:r>
      <w:r/>
    </w:p>
    <w:p>
      <w:pPr>
        <w:contextualSpacing/>
        <w:ind w:firstLine="420"/>
        <w:jc w:val="both"/>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6、方案要求</w:t>
      </w:r>
      <w:r/>
    </w:p>
    <w:p>
      <w:pPr>
        <w:contextualSpacing/>
        <w:ind w:firstLine="420"/>
        <w:jc w:val="both"/>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项目工作方案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投标人结合本项目实际情况，针对本项目提供</w:t>
      </w:r>
      <w:r>
        <w:rPr>
          <w:rFonts w:hint="eastAsia" w:ascii="宋体" w:hAnsi="宋体" w:cs="宋体"/>
          <w:color w:val="auto"/>
          <w:sz w:val="21"/>
          <w:szCs w:val="21"/>
          <w:highlight w:val="none"/>
        </w:rPr>
        <w:t xml:space="preserve">项目工作方案</w:t>
      </w:r>
      <w:r>
        <w:rPr>
          <w:rFonts w:hint="eastAsia" w:ascii="宋体" w:hAnsi="宋体" w:cs="宋体"/>
          <w:color w:val="auto"/>
          <w:sz w:val="21"/>
          <w:szCs w:val="21"/>
          <w:highlight w:val="none"/>
          <w:lang w:eastAsia="zh-CN"/>
        </w:rPr>
        <w:t xml:space="preserve">。</w:t>
      </w:r>
      <w:r/>
    </w:p>
    <w:p>
      <w:pPr>
        <w:contextualSpacing/>
        <w:ind w:firstLine="420"/>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方案内容至少包括：</w:t>
      </w:r>
      <w:r>
        <w:rPr>
          <w:rFonts w:hint="eastAsia" w:ascii="宋体" w:hAnsi="宋体" w:cs="宋体"/>
          <w:color w:val="auto"/>
          <w:sz w:val="21"/>
          <w:szCs w:val="21"/>
          <w:highlight w:val="none"/>
        </w:rPr>
        <w:t xml:space="preserve">①编制背景及政策解读</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规划体检评估</w:t>
      </w:r>
      <w:r>
        <w:rPr>
          <w:rFonts w:hint="eastAsia" w:ascii="宋体" w:hAnsi="宋体" w:cs="宋体"/>
          <w:color w:val="auto"/>
          <w:sz w:val="21"/>
          <w:szCs w:val="21"/>
          <w:highlight w:val="none"/>
          <w:lang w:val="en-US" w:eastAsia="zh-CN"/>
        </w:rPr>
        <w:t xml:space="preserve">③</w:t>
      </w:r>
      <w:r>
        <w:rPr>
          <w:rFonts w:hint="eastAsia" w:ascii="宋体" w:hAnsi="宋体" w:cs="宋体"/>
          <w:color w:val="auto"/>
          <w:sz w:val="21"/>
          <w:szCs w:val="21"/>
          <w:highlight w:val="none"/>
        </w:rPr>
        <w:t xml:space="preserve">三条控制线动态维护④规划分区动态维护⑤中心城区用地用海规划布局动态维护⑥城市重要控制线动态维护⑦重点建设项目动态维护</w:t>
      </w:r>
      <w:r>
        <w:rPr>
          <w:rFonts w:hint="eastAsia" w:ascii="宋体" w:hAnsi="宋体" w:cs="宋体"/>
          <w:color w:val="auto"/>
          <w:sz w:val="21"/>
          <w:szCs w:val="21"/>
          <w:highlight w:val="none"/>
          <w:lang w:eastAsia="zh-CN"/>
        </w:rPr>
        <w:t xml:space="preserve">。</w:t>
      </w:r>
      <w:r/>
    </w:p>
    <w:p>
      <w:pPr>
        <w:contextualSpacing/>
        <w:ind w:firstLine="420"/>
        <w:jc w:val="both"/>
        <w:spacing w:line="360" w:lineRule="auto"/>
        <w:rPr>
          <w:rFonts w:hint="eastAsia"/>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color w:val="auto"/>
          <w:sz w:val="21"/>
          <w:szCs w:val="21"/>
          <w:highlight w:val="none"/>
        </w:rPr>
        <w:t xml:space="preserve">组织管理</w:t>
      </w:r>
      <w:r>
        <w:rPr>
          <w:rFonts w:hint="eastAsia"/>
          <w:color w:val="auto"/>
          <w:sz w:val="21"/>
          <w:szCs w:val="21"/>
          <w:highlight w:val="none"/>
        </w:rPr>
        <w:t xml:space="preserve">方案</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投标人结合本项目实际情况，针对本项目提供</w:t>
      </w:r>
      <w:r>
        <w:rPr>
          <w:rFonts w:hint="eastAsia" w:ascii="宋体" w:hAnsi="宋体" w:cs="宋体"/>
          <w:color w:val="auto"/>
          <w:sz w:val="21"/>
          <w:szCs w:val="21"/>
          <w:highlight w:val="none"/>
        </w:rPr>
        <w:t xml:space="preserve">项目</w:t>
      </w:r>
      <w:r>
        <w:rPr>
          <w:color w:val="auto"/>
          <w:sz w:val="21"/>
          <w:szCs w:val="21"/>
          <w:highlight w:val="none"/>
        </w:rPr>
        <w:t xml:space="preserve">组织管理</w:t>
      </w:r>
      <w:r>
        <w:rPr>
          <w:rFonts w:hint="eastAsia"/>
          <w:color w:val="auto"/>
          <w:sz w:val="21"/>
          <w:szCs w:val="21"/>
          <w:highlight w:val="none"/>
        </w:rPr>
        <w:t xml:space="preserve">方案</w:t>
      </w:r>
      <w:r>
        <w:rPr>
          <w:rFonts w:hint="eastAsia"/>
          <w:color w:val="auto"/>
          <w:sz w:val="21"/>
          <w:szCs w:val="21"/>
          <w:highlight w:val="none"/>
          <w:lang w:eastAsia="zh-CN"/>
        </w:rPr>
        <w:t xml:space="preserve">。</w:t>
      </w:r>
      <w:r/>
    </w:p>
    <w:p>
      <w:pPr>
        <w:contextualSpacing/>
        <w:ind w:firstLine="420"/>
        <w:jc w:val="both"/>
        <w:spacing w:line="360" w:lineRule="auto"/>
        <w:rPr>
          <w:rFonts w:hint="default" w:ascii="宋体" w:hAnsi="宋体" w:eastAsia="宋体" w:cs="宋体"/>
          <w:color w:val="auto"/>
          <w:sz w:val="21"/>
          <w:szCs w:val="21"/>
          <w:highlight w:val="none"/>
          <w:lang w:val="en-US" w:eastAsia="zh-CN"/>
        </w:rPr>
      </w:pPr>
      <w:r>
        <w:rPr>
          <w:rFonts w:hint="eastAsia"/>
          <w:color w:val="auto"/>
          <w:sz w:val="21"/>
          <w:szCs w:val="21"/>
          <w:highlight w:val="none"/>
          <w:lang w:val="en-US" w:eastAsia="zh-CN"/>
        </w:rPr>
        <w:t xml:space="preserve">方案内容至少包括：</w:t>
      </w:r>
      <w:r>
        <w:rPr>
          <w:rFonts w:hint="eastAsia" w:ascii="宋体" w:hAnsi="宋体" w:cs="宋体"/>
          <w:color w:val="auto"/>
          <w:sz w:val="21"/>
          <w:szCs w:val="21"/>
          <w:highlight w:val="none"/>
        </w:rPr>
        <w:t xml:space="preserve">①</w:t>
      </w:r>
      <w:r>
        <w:rPr>
          <w:rFonts w:hint="eastAsia"/>
          <w:color w:val="auto"/>
          <w:sz w:val="21"/>
          <w:szCs w:val="21"/>
          <w:highlight w:val="none"/>
        </w:rPr>
        <w:t xml:space="preserve">项目进度保障方案</w:t>
      </w:r>
      <w:r>
        <w:rPr>
          <w:rFonts w:hint="eastAsia" w:ascii="宋体" w:hAnsi="宋体" w:cs="宋体"/>
          <w:color w:val="auto"/>
          <w:sz w:val="21"/>
          <w:szCs w:val="21"/>
          <w:highlight w:val="none"/>
        </w:rPr>
        <w:t xml:space="preserve">②</w:t>
      </w:r>
      <w:r>
        <w:rPr>
          <w:rFonts w:hint="eastAsia"/>
          <w:color w:val="auto"/>
          <w:sz w:val="21"/>
          <w:szCs w:val="21"/>
          <w:highlight w:val="none"/>
        </w:rPr>
        <w:t xml:space="preserve">项目质量管理方案</w:t>
      </w:r>
      <w:r>
        <w:rPr>
          <w:rFonts w:hint="eastAsia" w:ascii="宋体" w:hAnsi="宋体" w:cs="宋体"/>
          <w:color w:val="auto"/>
          <w:sz w:val="21"/>
          <w:szCs w:val="21"/>
          <w:highlight w:val="none"/>
        </w:rPr>
        <w:t xml:space="preserve">③</w:t>
      </w:r>
      <w:r>
        <w:rPr>
          <w:rFonts w:hint="eastAsia"/>
          <w:color w:val="auto"/>
          <w:sz w:val="21"/>
          <w:szCs w:val="21"/>
          <w:highlight w:val="none"/>
        </w:rPr>
        <w:t xml:space="preserve">后续服务方案</w:t>
      </w:r>
      <w:r/>
    </w:p>
    <w:p>
      <w:pPr>
        <w:contextualSpacing/>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83"/>
        <w:ind w:firstLine="0"/>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7"/>
        <w:ind w:firstLine="643"/>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7"/>
        <w:ind w:firstLine="643"/>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971"/>
          <w:rFonts w:hint="eastAsia" w:ascii="宋体" w:hAnsi="宋体" w:eastAsia="宋体" w:cs="宋体"/>
          <w:color w:val="auto"/>
          <w:sz w:val="32"/>
          <w:szCs w:val="32"/>
          <w:highlight w:val="none"/>
        </w:rPr>
      </w:pPr>
      <w:r>
        <w:rPr>
          <w:rStyle w:val="971"/>
          <w:rFonts w:hint="eastAsia" w:ascii="宋体" w:hAnsi="宋体" w:eastAsia="宋体" w:cs="宋体"/>
          <w:color w:val="auto"/>
          <w:sz w:val="32"/>
          <w:szCs w:val="32"/>
          <w:highlight w:val="none"/>
        </w:rPr>
        <w:br w:type="page" w:clear="all"/>
      </w:r>
      <w:r/>
    </w:p>
    <w:p>
      <w:pPr>
        <w:jc w:val="both"/>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Style w:val="971"/>
          <w:rFonts w:hint="eastAsia" w:ascii="宋体" w:hAnsi="宋体" w:eastAsia="宋体" w:cs="宋体"/>
          <w:color w:val="auto"/>
          <w:sz w:val="32"/>
          <w:szCs w:val="32"/>
          <w:highlight w:val="none"/>
        </w:rPr>
        <w:t xml:space="preserve">第四章 投标文件格式</w:t>
      </w:r>
      <w:bookmarkEnd w:id="8"/>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68"/>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p>
    <w:p>
      <w:pPr>
        <w:pStyle w:val="988"/>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88"/>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776"/>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contextualSpacing/>
        <w:ind w:firstLine="478"/>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、投标报价一次报定</w:t>
      </w:r>
      <w:r>
        <w:rPr>
          <w:rFonts w:hint="eastAsia" w:ascii="宋体" w:hAnsi="宋体" w:cs="宋体"/>
          <w:color w:val="auto"/>
          <w:sz w:val="21"/>
          <w:szCs w:val="21"/>
          <w:highlight w:val="none"/>
        </w:rPr>
        <w:t xml:space="preserve">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18"/>
        <w:rPr>
          <w:color w:val="auto"/>
          <w:szCs w:val="21"/>
          <w:highlight w:val="none"/>
          <w:lang w:val="zh-CN"/>
        </w:rPr>
      </w:pPr>
      <w:r>
        <w:rPr>
          <w:color w:val="auto"/>
          <w:szCs w:val="21"/>
          <w:highlight w:val="none"/>
          <w:lang w:val="zh-CN"/>
        </w:rPr>
      </w:r>
      <w:r/>
    </w:p>
    <w:p>
      <w:pPr>
        <w:ind w:firstLine="392"/>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999"/>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3"/>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783"/>
        <w:ind w:firstLine="25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431"/>
        <w:gridCol w:w="829"/>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hint="eastAsia" w:ascii="宋体" w:hAnsi="宋体" w:cs="宋体"/>
                <w:color w:val="auto"/>
                <w:sz w:val="21"/>
                <w:szCs w:val="21"/>
                <w:highlight w:val="none"/>
              </w:rPr>
            </w:pPr>
            <w:r>
              <w:rPr>
                <w:rFonts w:hint="eastAsia"/>
                <w:b/>
                <w:bCs/>
                <w:color w:val="auto"/>
                <w:sz w:val="21"/>
                <w:szCs w:val="21"/>
                <w:highlight w:val="none"/>
              </w:rPr>
              <w:t xml:space="preserve">合价</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82"/>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82"/>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82"/>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82"/>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811"/>
        <w:ind w:firstLine="5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pStyle w:val="807"/>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cs="宋体"/>
          <w:b/>
          <w:color w:val="auto"/>
          <w:sz w:val="21"/>
          <w:szCs w:val="21"/>
          <w:highlight w:val="none"/>
          <w:lang w:val="en-US" w:eastAsia="zh-CN"/>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（1）投标（响应）报价低于全部通过符合性审查供应商投标（响应）报价平均值50%的，即投标（响应）报价&lt;全部通过符合性审查供应商投标（响应）报价平均值×50%；</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（2）投标（响应）报价低于通过符合性审查的次低报价供应商投标（响应）报价50%的，即投标（响应）报价&lt;通过符合性审查的次低报价供应商投标（响应）报价×50%；</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（3）投标（响应）报价低于采购项目最高限价45%的，即投标（响应）报价&lt;采购项目最高限价×45%；</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（4）评审委员会基于专业判断，认为供应商报价过低，有可能影响产品质量或者不能诚信履约的其他情形。</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pStyle w:val="80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jc w:val="both"/>
        <w:spacing w:line="360" w:lineRule="auto"/>
        <w:widowControl w:val="off"/>
        <w:rPr>
          <w:b/>
          <w:bCs/>
          <w:color w:val="auto"/>
          <w:sz w:val="44"/>
          <w:szCs w:val="44"/>
          <w:highlight w:val="none"/>
        </w:rPr>
      </w:pPr>
      <w:r>
        <w:rPr>
          <w:b/>
          <w:bCs/>
          <w:color w:val="auto"/>
          <w:sz w:val="44"/>
          <w:szCs w:val="44"/>
          <w:highlight w:val="none"/>
        </w:rPr>
      </w:r>
      <w:r/>
    </w:p>
    <w:p>
      <w:pPr>
        <w:pStyle w:val="782"/>
        <w:numPr>
          <w:ilvl w:val="0"/>
          <w:numId w:val="4"/>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1、资格证明文件部分：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关于资格文件的声明函</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投标人基本情况表</w:t>
      </w:r>
      <w:r>
        <w:rPr>
          <w:rFonts w:hint="eastAsia" w:ascii="宋体" w:hAnsi="宋体" w:cs="宋体"/>
          <w:b/>
          <w:bCs/>
          <w:color w:val="auto"/>
          <w:sz w:val="21"/>
          <w:szCs w:val="21"/>
          <w:highlight w:val="none"/>
        </w:rPr>
        <w:t xml:space="preserve">。</w:t>
      </w:r>
      <w:r/>
    </w:p>
    <w:p>
      <w:pPr>
        <w:pStyle w:val="777"/>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格式1.关于资格文件的声明函</w:t>
      </w:r>
      <w:r/>
    </w:p>
    <w:p>
      <w:pPr>
        <w:pStyle w:val="777"/>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77"/>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7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single"/>
          <w:lang w:eastAsia="zh-CN"/>
        </w:rPr>
        <w:t xml:space="preserve">苏州泰至鑫项目管理有限公司</w:t>
      </w:r>
      <w:r>
        <w:rPr>
          <w:rFonts w:hint="eastAsia" w:ascii="宋体" w:hAnsi="宋体" w:cs="宋体"/>
          <w:b/>
          <w:bCs/>
          <w:color w:val="auto"/>
          <w:sz w:val="21"/>
          <w:szCs w:val="21"/>
          <w:highlight w:val="none"/>
        </w:rPr>
        <w:t xml:space="preserve">：</w:t>
      </w:r>
      <w:r/>
    </w:p>
    <w:p>
      <w:pPr>
        <w:pStyle w:val="777"/>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777"/>
        <w:ind w:left="0"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格式2：投标人基本情况表</w:t>
      </w:r>
      <w:r/>
    </w:p>
    <w:p>
      <w:pPr>
        <w:pStyle w:val="777"/>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77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777"/>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77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77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7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7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7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7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具有良好的商业信誉和健全的财务会计制度：提供参加本次政府采购活动前的财务状况报告或者银行出具的资信证明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具有履行合同所必需的设备和专业技术能力：提供履行合同所必需的设备和专业技术能力的证明材料或书面声明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格式4：参加政府采购活动前三年内，在经营活动中没有重大违法记录声明</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w:t>
      </w:r>
      <w:r>
        <w:rPr>
          <w:rFonts w:hint="eastAsia" w:ascii="宋体" w:hAnsi="宋体"/>
          <w:bCs/>
          <w:color w:val="auto"/>
          <w:sz w:val="21"/>
          <w:szCs w:val="21"/>
          <w:highlight w:val="none"/>
          <w:lang w:val="en-US" w:eastAsia="zh-CN"/>
        </w:rPr>
        <w:t xml:space="preserve">切</w:t>
      </w:r>
      <w:r>
        <w:rPr>
          <w:rFonts w:hint="eastAsia" w:ascii="宋体" w:hAnsi="宋体"/>
          <w:bCs/>
          <w:color w:val="auto"/>
          <w:sz w:val="21"/>
          <w:szCs w:val="21"/>
          <w:highlight w:val="none"/>
        </w:rPr>
        <w:t xml:space="preserve">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联合体（如有）：提供联合体协议书、联合响应授权委托书。</w:t>
      </w:r>
      <w:r/>
    </w:p>
    <w:p>
      <w:pP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格式5：联合体协议书</w:t>
      </w:r>
      <w:r/>
    </w:p>
    <w:p>
      <w:pPr>
        <w:ind w:firstLine="640"/>
        <w:jc w:val="center"/>
        <w:spacing w:line="360" w:lineRule="auto"/>
        <w:rPr>
          <w:color w:val="auto"/>
          <w:sz w:val="21"/>
          <w:szCs w:val="21"/>
          <w:highlight w:val="none"/>
        </w:rPr>
      </w:pPr>
      <w:r>
        <w:rPr>
          <w:rFonts w:hint="eastAsia"/>
          <w:color w:val="auto"/>
          <w:sz w:val="21"/>
          <w:szCs w:val="21"/>
          <w:highlight w:val="none"/>
        </w:rPr>
        <w:t xml:space="preserve">联合体协议书</w:t>
      </w:r>
      <w:r/>
    </w:p>
    <w:p>
      <w:pPr>
        <w:ind w:firstLine="480"/>
        <w:spacing w:line="360" w:lineRule="auto"/>
        <w:tabs>
          <w:tab w:val="left" w:pos="3302" w:leader="none"/>
          <w:tab w:val="left" w:pos="5717" w:leader="none"/>
        </w:tabs>
        <w:rPr>
          <w:rFonts w:hint="eastAsia" w:ascii="宋体" w:hAnsi="宋体"/>
          <w:color w:val="auto"/>
          <w:sz w:val="21"/>
          <w:szCs w:val="21"/>
          <w:highlight w:val="none"/>
        </w:rPr>
      </w:pPr>
      <w:r>
        <w:rPr>
          <w:rFonts w:ascii="宋体" w:hAnsi="宋体"/>
          <w:color w:val="auto"/>
          <w:sz w:val="21"/>
          <w:szCs w:val="21"/>
          <w:highlight w:val="none"/>
          <w:u w:val="single"/>
        </w:rPr>
        <w:t xml:space="preserve">（所有成员单位名称）</w:t>
      </w:r>
      <w:r>
        <w:rPr>
          <w:rFonts w:ascii="宋体" w:hAnsi="宋体"/>
          <w:color w:val="auto"/>
          <w:sz w:val="21"/>
          <w:szCs w:val="21"/>
          <w:highlight w:val="none"/>
        </w:rPr>
        <w:t xml:space="preserve">自愿组成联合体，</w:t>
      </w:r>
      <w:r>
        <w:rPr>
          <w:rFonts w:hint="eastAsia" w:ascii="宋体" w:hAnsi="宋体"/>
          <w:color w:val="auto"/>
          <w:sz w:val="21"/>
          <w:szCs w:val="21"/>
          <w:highlight w:val="none"/>
        </w:rPr>
        <w:t xml:space="preserve">共同参加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苏州泰至鑫项目管理有限公司</w:t>
      </w:r>
      <w:r>
        <w:rPr>
          <w:rFonts w:hint="eastAsia" w:ascii="宋体" w:hAnsi="宋体"/>
          <w:color w:val="auto"/>
          <w:sz w:val="21"/>
          <w:szCs w:val="21"/>
          <w:highlight w:val="none"/>
        </w:rPr>
        <w:t xml:space="preserve">组织的</w:t>
      </w:r>
      <w:r>
        <w:rPr>
          <w:rFonts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（项目编号：</w:t>
      </w:r>
      <w:r>
        <w:rPr>
          <w:rFonts w:hint="eastAsia" w:ascii="宋体" w:hAnsi="宋体"/>
          <w:color w:val="auto"/>
          <w:sz w:val="21"/>
          <w:szCs w:val="21"/>
          <w:highlight w:val="none"/>
          <w:u w:val="single"/>
        </w:rPr>
        <w:t xml:space="preserve">XXXXXXXXX</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现就联合体投标事宜订立如下协议</w:t>
      </w:r>
      <w:r>
        <w:rPr>
          <w:rFonts w:hint="eastAsia" w:ascii="宋体" w:hAnsi="宋体"/>
          <w:color w:val="auto"/>
          <w:sz w:val="21"/>
          <w:szCs w:val="21"/>
          <w:highlight w:val="none"/>
        </w:rPr>
        <w:t xml:space="preserve">：</w:t>
      </w:r>
      <w:r/>
    </w:p>
    <w:p>
      <w:pPr>
        <w:ind w:firstLine="480"/>
        <w:spacing w:line="360" w:lineRule="auto"/>
        <w:tabs>
          <w:tab w:val="left" w:pos="4982" w:leader="none"/>
        </w:tabs>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某</w:t>
      </w:r>
      <w:r>
        <w:rPr>
          <w:rFonts w:ascii="宋体" w:hAnsi="宋体"/>
          <w:color w:val="auto"/>
          <w:sz w:val="21"/>
          <w:szCs w:val="21"/>
          <w:highlight w:val="none"/>
        </w:rPr>
        <w:t xml:space="preserve">成员单位名称）</w:t>
      </w:r>
      <w:r>
        <w:rPr>
          <w:rFonts w:hint="eastAsia" w:ascii="宋体" w:hAnsi="宋体"/>
          <w:color w:val="auto"/>
          <w:sz w:val="21"/>
          <w:szCs w:val="21"/>
          <w:highlight w:val="none"/>
        </w:rPr>
        <w:t xml:space="preserve">为联合体牵头人。</w:t>
      </w:r>
      <w:r/>
    </w:p>
    <w:p>
      <w:pPr>
        <w:ind w:firstLine="480"/>
        <w:spacing w:line="360" w:lineRule="auto"/>
        <w:tabs>
          <w:tab w:val="left" w:pos="4982"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spacing w:line="360" w:lineRule="auto"/>
        <w:tabs>
          <w:tab w:val="left" w:pos="498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3、联合体将严格按照招标文件的各项要求，上传电子投标文件，履行合同，并对外承担连带责任。</w:t>
      </w:r>
      <w:r/>
    </w:p>
    <w:p>
      <w:pPr>
        <w:ind w:firstLine="480"/>
        <w:spacing w:after="240" w:line="480" w:lineRule="exact"/>
        <w:tabs>
          <w:tab w:val="left" w:pos="7558" w:leader="none"/>
        </w:tabs>
        <w:rPr>
          <w:rFonts w:hint="eastAsia" w:ascii="宋体" w:hAnsi="宋体"/>
          <w:color w:val="auto"/>
          <w:sz w:val="21"/>
          <w:szCs w:val="21"/>
          <w:highlight w:val="none"/>
          <w:u w:val="single"/>
        </w:rPr>
      </w:pPr>
      <w:r>
        <w:rPr>
          <w:rFonts w:ascii="宋体" w:hAnsi="宋体"/>
          <w:color w:val="auto"/>
          <w:sz w:val="21"/>
          <w:szCs w:val="21"/>
          <w:highlight w:val="none"/>
        </w:rPr>
        <w:t xml:space="preserve">4、联合体各成员单位内部的职责分工如下</w:t>
      </w:r>
      <w:r>
        <w:rPr>
          <w:rFonts w:hint="eastAsia" w:ascii="宋体" w:hAnsi="宋体"/>
          <w:color w:val="auto"/>
          <w:sz w:val="21"/>
          <w:szCs w:val="21"/>
          <w:highlight w:val="none"/>
        </w:rPr>
        <w:t xml:space="preserve">：</w:t>
      </w:r>
      <w:r/>
    </w:p>
    <w:tbl>
      <w:tblPr>
        <w:tblStyle w:val="776"/>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3316"/>
        <w:gridCol w:w="1166"/>
        <w:gridCol w:w="1271"/>
        <w:gridCol w:w="1271"/>
      </w:tblGrid>
      <w:tr>
        <w:trPr>
          <w:jc w:val="center"/>
          <w:trHeight w:val="567"/>
        </w:trPr>
        <w:tc>
          <w:tcPr>
            <w:tcW w:w="1975"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成员单位</w:t>
            </w:r>
            <w:r/>
          </w:p>
        </w:tc>
        <w:tc>
          <w:tcPr>
            <w:tcW w:w="3316"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cs="宋体"/>
                <w:b/>
                <w:bCs/>
                <w:color w:val="auto"/>
                <w:sz w:val="21"/>
                <w:szCs w:val="21"/>
                <w:highlight w:val="none"/>
              </w:rPr>
              <w:t xml:space="preserve">承担的工作、相应的责任和资金支付方式,、资金所占比例</w:t>
            </w:r>
            <w:r/>
          </w:p>
        </w:tc>
        <w:tc>
          <w:tcPr>
            <w:tcW w:w="1166"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数量</w:t>
            </w:r>
            <w:r/>
          </w:p>
        </w:tc>
        <w:tc>
          <w:tcPr>
            <w:tcW w:w="1271"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单位</w:t>
            </w:r>
            <w:r/>
          </w:p>
        </w:tc>
        <w:tc>
          <w:tcPr>
            <w:tcW w:w="1271"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其他说明</w:t>
            </w:r>
            <w:r/>
          </w:p>
        </w:tc>
      </w:tr>
      <w:tr>
        <w:trPr>
          <w:jc w:val="center"/>
          <w:trHeight w:val="677"/>
        </w:trPr>
        <w:tc>
          <w:tcPr>
            <w:tcW w:w="1975" w:type="dxa"/>
            <w:vAlign w:val="center"/>
            <w:vMerge w:val="restart"/>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（牵头单位）</w:t>
            </w:r>
            <w:r/>
          </w:p>
        </w:tc>
        <w:tc>
          <w:tcPr>
            <w:tcW w:w="331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continue"/>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31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restart"/>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（成员）</w:t>
            </w:r>
            <w:r/>
          </w:p>
        </w:tc>
        <w:tc>
          <w:tcPr>
            <w:tcW w:w="331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continue"/>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31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27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ind w:firstLine="480"/>
        <w:spacing w:line="480" w:lineRule="exact"/>
        <w:tabs>
          <w:tab w:val="left" w:pos="7558" w:leader="none"/>
        </w:tabs>
        <w:rPr>
          <w:rFonts w:hint="eastAsia" w:ascii="宋体" w:hAnsi="宋体"/>
          <w:color w:val="auto"/>
          <w:sz w:val="21"/>
          <w:szCs w:val="21"/>
          <w:highlight w:val="none"/>
        </w:rPr>
      </w:pPr>
      <w:r>
        <w:rPr>
          <w:rFonts w:ascii="宋体" w:hAnsi="宋体"/>
          <w:color w:val="auto"/>
          <w:sz w:val="21"/>
          <w:szCs w:val="21"/>
          <w:highlight w:val="none"/>
        </w:rPr>
        <w:t xml:space="preserve">5、本协议书自签署之日起生效，合同履行完毕后自动失效。</w:t>
      </w:r>
      <w:r/>
    </w:p>
    <w:p>
      <w:pPr>
        <w:ind w:firstLine="480"/>
        <w:spacing w:line="480" w:lineRule="exact"/>
        <w:tabs>
          <w:tab w:val="left" w:pos="24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注：本协议书由委托代理人签字的，应附法定代表人授权委托书。</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牵头人名称：</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color w:val="auto"/>
          <w:sz w:val="21"/>
          <w:szCs w:val="21"/>
          <w:highlight w:val="none"/>
        </w:rPr>
        <w:t xml:space="preserve">（盖单位公章）</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法定代表人或其委托代理人：</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color w:val="auto"/>
          <w:sz w:val="21"/>
          <w:szCs w:val="21"/>
          <w:highlight w:val="none"/>
        </w:rPr>
        <w:t xml:space="preserve">（签字或盖章）</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成员名称：</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color w:val="auto"/>
          <w:sz w:val="21"/>
          <w:szCs w:val="21"/>
          <w:highlight w:val="none"/>
        </w:rPr>
        <w:t xml:space="preserve">（盖单位公章）</w:t>
      </w:r>
      <w:r/>
    </w:p>
    <w:p>
      <w:pPr>
        <w:ind w:firstLine="482"/>
        <w:spacing w:line="480" w:lineRule="auto"/>
        <w:rPr>
          <w:color w:val="auto"/>
          <w:sz w:val="21"/>
          <w:szCs w:val="21"/>
          <w:highlight w:val="none"/>
        </w:rPr>
      </w:pPr>
      <w:r>
        <w:rPr>
          <w:rFonts w:hint="eastAsia" w:hAnsi="宋体"/>
          <w:color w:val="auto"/>
          <w:sz w:val="21"/>
          <w:szCs w:val="21"/>
          <w:highlight w:val="none"/>
        </w:rPr>
        <w:t xml:space="preserve">法定代表人或其委托代理人：</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color w:val="auto"/>
          <w:sz w:val="21"/>
          <w:szCs w:val="21"/>
          <w:highlight w:val="none"/>
        </w:rPr>
        <w:t xml:space="preserve">（签字或盖章） </w:t>
      </w:r>
      <w:r/>
    </w:p>
    <w:p>
      <w:pPr>
        <w:ind w:firstLine="482"/>
        <w:jc w:val="right"/>
        <w:spacing w:line="480" w:lineRule="auto"/>
        <w:rPr>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rPr>
          <w:rFonts w:hint="eastAsia"/>
          <w:color w:val="auto"/>
          <w:sz w:val="21"/>
          <w:szCs w:val="21"/>
          <w:highlight w:val="none"/>
        </w:rPr>
        <w:t xml:space="preserve"> </w:t>
      </w:r>
      <w:r/>
    </w:p>
    <w:p>
      <w:pPr>
        <w:ind w:right="-159" w:firstLine="250"/>
        <w:jc w:val="both"/>
        <w:spacing w:line="240" w:lineRule="atLeast"/>
        <w:widowControl w:val="off"/>
        <w:rPr>
          <w:color w:val="auto"/>
          <w:spacing w:val="20"/>
          <w:sz w:val="21"/>
          <w:highlight w:val="none"/>
        </w:rPr>
      </w:pPr>
      <w:r>
        <w:rPr>
          <w:color w:val="auto"/>
          <w:spacing w:val="20"/>
          <w:sz w:val="21"/>
          <w:highlight w:val="none"/>
        </w:rPr>
      </w:r>
      <w:r/>
    </w:p>
    <w:p>
      <w:pPr>
        <w:jc w:val="both"/>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spacing w:line="360" w:lineRule="auto"/>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p>
      <w:pPr>
        <w:jc w:val="both"/>
        <w:spacing w:line="360" w:lineRule="auto"/>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p>
      <w:pPr>
        <w:jc w:val="both"/>
        <w:spacing w:line="360" w:lineRule="auto"/>
        <w:rPr>
          <w:rFonts w:hint="eastAsia" w:ascii="宋体" w:hAnsi="宋体" w:cs="宋体"/>
          <w:b/>
          <w:bCs/>
          <w:color w:val="auto"/>
          <w:sz w:val="21"/>
          <w:szCs w:val="21"/>
          <w:highlight w:val="none"/>
          <w:lang w:bidi="ar"/>
        </w:rPr>
      </w:pPr>
      <w:r>
        <w:rPr>
          <w:rFonts w:hint="eastAsia" w:ascii="宋体" w:hAnsi="宋体" w:cs="宋体"/>
          <w:b/>
          <w:color w:val="auto"/>
          <w:sz w:val="21"/>
          <w:szCs w:val="21"/>
          <w:highlight w:val="none"/>
          <w:lang w:bidi="ar"/>
        </w:rPr>
        <w:t xml:space="preserve">格式6：联合响应授权委托书</w:t>
      </w:r>
      <w:r/>
    </w:p>
    <w:p>
      <w:pPr>
        <w:ind w:firstLine="420"/>
        <w:jc w:val="center"/>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lang w:bidi="ar"/>
        </w:rPr>
        <w:t xml:space="preserve">联合响应授权委托书 </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本授权委托书声明：根据</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与</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签订的《联合体协议书》的内容，主办人</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的法定代表人现授权</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为联合响应代理人，以本公司的名义参加</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组织实施的编号为_________号的采购活动。代理人在采购活动、合同等过程中所签署的一切文件和处理与这有关的一切事务，我均予以承认。</w:t>
      </w:r>
      <w:r/>
    </w:p>
    <w:p>
      <w:pPr>
        <w:ind w:firstLine="482"/>
        <w:spacing w:line="480" w:lineRule="auto"/>
        <w:rPr>
          <w:rFonts w:hint="eastAsia" w:ascii="宋体" w:hAnsi="宋体" w:cs="宋体"/>
          <w:color w:val="auto"/>
          <w:sz w:val="21"/>
          <w:szCs w:val="21"/>
          <w:highlight w:val="none"/>
        </w:rPr>
      </w:pPr>
      <w:r>
        <w:rPr>
          <w:rFonts w:hint="eastAsia" w:hAnsi="宋体"/>
          <w:color w:val="auto"/>
          <w:sz w:val="21"/>
          <w:szCs w:val="21"/>
          <w:highlight w:val="none"/>
        </w:rPr>
        <w:t xml:space="preserve">                                  </w:t>
      </w:r>
      <w:r>
        <w:rPr>
          <w:rFonts w:hint="eastAsia" w:ascii="宋体" w:hAnsi="宋体" w:cs="宋体"/>
          <w:color w:val="auto"/>
          <w:sz w:val="21"/>
          <w:szCs w:val="21"/>
          <w:highlight w:val="none"/>
        </w:rPr>
        <w:t xml:space="preserve">特此委托。</w:t>
      </w:r>
      <w:r/>
    </w:p>
    <w:p>
      <w:pPr>
        <w:ind w:firstLine="42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授权人（签字）：</w:t>
      </w:r>
      <w:r/>
    </w:p>
    <w:p>
      <w:pPr>
        <w:ind w:firstLine="41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日期：    年  月  日</w:t>
      </w:r>
      <w:r/>
    </w:p>
    <w:p>
      <w:pPr>
        <w:ind w:firstLine="41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被授权人（签字）；</w:t>
      </w:r>
      <w:r/>
    </w:p>
    <w:p>
      <w:pPr>
        <w:ind w:firstLine="4147"/>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日期：    年  月  日</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附：法定代表人身份证扫描件。</w:t>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1506220</wp:posOffset>
                </wp:positionH>
                <wp:positionV relativeFrom="paragraph">
                  <wp:posOffset>55245</wp:posOffset>
                </wp:positionV>
                <wp:extent cx="2847975" cy="1574165"/>
                <wp:effectExtent l="4445" t="5080" r="5080" b="20955"/>
                <wp:wrapNone/>
                <wp:docPr id="5" name="流程图: 可选过程 9"/>
                <wp:cNvGraphicFramePr/>
                <a:graphic xmlns:a="http://schemas.openxmlformats.org/drawingml/2006/main">
                  <a:graphicData uri="http://schemas.microsoft.com/office/word/2010/wordprocessingShape">
                    <wps:wsp>
                      <wps:cNvPr id="0" name=""/>
                      <wps:cNvSpPr/>
                      <wps:spPr bwMode="auto">
                        <a:xfrm>
                          <a:off x="0" y="0"/>
                          <a:ext cx="2847975"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wps:txbx>
                      <wps:bodyPr upright="1"/>
                    </wps:wsp>
                  </a:graphicData>
                </a:graphic>
              </wp:anchor>
            </w:drawing>
          </mc:Choice>
          <mc:Fallback>
            <w:pict>
              <v:shape id="shape 4" o:spid="_x0000_s4" style="position:absolute;z-index:251662336;o:allowoverlap:true;o:allowincell:true;mso-position-horizontal-relative:text;margin-left:118.6pt;mso-position-horizontal:absolute;mso-position-vertical-relative:text;margin-top:4.3pt;mso-position-vertical:absolute;width:224.2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  </w:t>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ind w:right="-159" w:firstLine="211"/>
        <w:jc w:val="both"/>
        <w:keepLines/>
        <w:keepNext/>
        <w:spacing w:before="340" w:after="330" w:line="240" w:lineRule="atLeast"/>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附：代理人身份证扫描件</w:t>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1"/>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1506220</wp:posOffset>
                </wp:positionH>
                <wp:positionV relativeFrom="paragraph">
                  <wp:posOffset>-836295</wp:posOffset>
                </wp:positionV>
                <wp:extent cx="2860675" cy="1574165"/>
                <wp:effectExtent l="4445" t="4445" r="11430" b="21590"/>
                <wp:wrapNone/>
                <wp:docPr id="6" name="流程图: 可选过程 10"/>
                <wp:cNvGraphicFramePr/>
                <a:graphic xmlns:a="http://schemas.openxmlformats.org/drawingml/2006/main">
                  <a:graphicData uri="http://schemas.microsoft.com/office/word/2010/wordprocessingShape">
                    <wps:wsp>
                      <wps:cNvPr id="0" name=""/>
                      <wps:cNvSpPr/>
                      <wps:spPr bwMode="auto">
                        <a:xfrm>
                          <a:off x="0" y="0"/>
                          <a:ext cx="2860675"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wps:txbx>
                      <wps:bodyPr upright="1"/>
                    </wps:wsp>
                  </a:graphicData>
                </a:graphic>
              </wp:anchor>
            </w:drawing>
          </mc:Choice>
          <mc:Fallback>
            <w:pict>
              <v:shape id="shape 5" o:spid="_x0000_s5" style="position:absolute;z-index:251661312;o:allowoverlap:true;o:allowincell:true;mso-position-horizontal-relative:text;margin-left:118.6pt;mso-position-horizontal:absolute;mso-position-vertical-relative:text;margin-top:-65.8pt;mso-position-vertical:absolute;width:225.2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v:textbox>
              </v:shape>
            </w:pict>
          </mc:Fallback>
        </mc:AlternateContent>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注：如属于联合体响应的，请填写“</w:t>
      </w:r>
      <w:r>
        <w:rPr>
          <w:rFonts w:hint="eastAsia" w:ascii="宋体" w:hAnsi="宋体" w:cs="宋体"/>
          <w:b/>
          <w:color w:val="auto"/>
          <w:sz w:val="21"/>
          <w:szCs w:val="21"/>
          <w:highlight w:val="none"/>
          <w:lang w:bidi="ar"/>
        </w:rPr>
        <w:t xml:space="preserve">联合体协议书”、“联合响应授权委托书”</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rPr>
        <w:t xml:space="preserve">特定资格条件：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.1未被“信用中国”网站（www.creditchina.gov.cn）或中国政府采购网（https://www.ccgp.gov.cn/search/cr/）列入失信被执行人、重大税收违法案件当事人名单、政府采购严重违法失信行为记录名单。</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xml:space="preserve">1.</w:t>
      </w:r>
      <w:r>
        <w:rPr>
          <w:rFonts w:hint="eastAsia" w:ascii="仿宋" w:hAnsi="仿宋" w:eastAsia="仿宋" w:cs="仿宋"/>
          <w:color w:val="auto"/>
          <w:sz w:val="21"/>
          <w:szCs w:val="21"/>
          <w:highlight w:val="none"/>
          <w:shd w:val="clear" w:color="auto" w:fill="ffffff"/>
          <w:lang w:val="en-US" w:eastAsia="zh-CN"/>
        </w:rPr>
        <w:t xml:space="preserve">7</w:t>
      </w:r>
      <w:r>
        <w:rPr>
          <w:rFonts w:hint="eastAsia" w:ascii="仿宋" w:hAnsi="仿宋" w:eastAsia="仿宋" w:cs="仿宋"/>
          <w:color w:val="auto"/>
          <w:sz w:val="21"/>
          <w:szCs w:val="21"/>
          <w:highlight w:val="none"/>
          <w:shd w:val="clear" w:color="auto" w:fill="ffffff"/>
        </w:rPr>
        <w:t xml:space="preserve">.2</w:t>
      </w:r>
      <w:r>
        <w:rPr>
          <w:rFonts w:hint="eastAsia" w:ascii="仿宋" w:hAnsi="仿宋" w:eastAsia="仿宋" w:cs="仿宋"/>
          <w:color w:val="auto"/>
          <w:sz w:val="21"/>
          <w:szCs w:val="21"/>
          <w:highlight w:val="none"/>
        </w:rPr>
        <w:t xml:space="preserve">供应商须具有行政主管部门颁发的</w:t>
      </w:r>
      <w:r>
        <w:rPr>
          <w:rFonts w:hint="eastAsia" w:ascii="仿宋" w:hAnsi="仿宋" w:eastAsia="仿宋" w:cs="仿宋"/>
          <w:color w:val="auto"/>
          <w:sz w:val="21"/>
          <w:szCs w:val="21"/>
          <w:highlight w:val="none"/>
          <w:lang w:eastAsia="zh-CN"/>
        </w:rPr>
        <w:t xml:space="preserve">城乡规划(国土空间规划)编制资质证书</w:t>
      </w:r>
      <w:r>
        <w:rPr>
          <w:rFonts w:hint="eastAsia" w:ascii="仿宋" w:hAnsi="仿宋" w:eastAsia="仿宋" w:cs="仿宋"/>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1.7.3</w:t>
      </w:r>
      <w:r>
        <w:rPr>
          <w:rFonts w:hint="eastAsia" w:ascii="仿宋" w:hAnsi="仿宋" w:eastAsia="仿宋" w:cs="仿宋"/>
          <w:b/>
          <w:bCs/>
          <w:color w:val="auto"/>
          <w:sz w:val="21"/>
          <w:szCs w:val="21"/>
          <w:highlight w:val="none"/>
          <w:shd w:val="clear" w:color="auto" w:fill="ffffff"/>
          <w:lang w:val="en-US" w:eastAsia="zh-CN" w:bidi="ar"/>
        </w:rPr>
        <w:t xml:space="preserve">本项目要求拟投入人员合计不少于8人。其中项目负责人1人，项目组其他成员不少于7人，投标文件中提供响应单位为项目组成员近</w:t>
      </w:r>
      <w:r>
        <w:rPr>
          <w:rFonts w:hint="eastAsia" w:ascii="仿宋" w:hAnsi="仿宋" w:eastAsia="仿宋" w:cs="仿宋"/>
          <w:b/>
          <w:bCs/>
          <w:color w:val="auto"/>
          <w:sz w:val="21"/>
          <w:szCs w:val="21"/>
          <w:highlight w:val="none"/>
        </w:rPr>
        <w:t xml:space="preserve">六个月中至少1个月缴纳社保的证明材料</w:t>
      </w:r>
      <w:r>
        <w:rPr>
          <w:rFonts w:hint="eastAsia" w:ascii="仿宋" w:hAnsi="仿宋" w:eastAsia="仿宋" w:cs="仿宋"/>
          <w:b/>
          <w:bCs/>
          <w:color w:val="auto"/>
          <w:sz w:val="21"/>
          <w:szCs w:val="21"/>
          <w:highlight w:val="none"/>
          <w:lang w:val="en-US" w:eastAsia="zh-CN"/>
        </w:rPr>
        <w:t xml:space="preserve">扫描件</w:t>
      </w:r>
      <w:r>
        <w:rPr>
          <w:rFonts w:hint="eastAsia" w:ascii="仿宋" w:hAnsi="仿宋" w:eastAsia="仿宋" w:cs="仿宋"/>
          <w:b/>
          <w:bCs/>
          <w:color w:val="auto"/>
          <w:sz w:val="21"/>
          <w:szCs w:val="21"/>
          <w:highlight w:val="none"/>
        </w:rPr>
        <w:t xml:space="preserve">并加盖公章</w:t>
      </w:r>
      <w:r/>
    </w:p>
    <w:p>
      <w:pPr>
        <w:ind w:firstLine="420"/>
        <w:spacing w:line="360" w:lineRule="auto"/>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r>
      <w:r/>
    </w:p>
    <w:p>
      <w:pPr>
        <w:pStyle w:val="782"/>
        <w:jc w:val="both"/>
        <w:rPr>
          <w:b/>
          <w:color w:val="auto"/>
          <w:sz w:val="44"/>
          <w:szCs w:val="44"/>
          <w:highlight w:val="none"/>
        </w:rPr>
      </w:pPr>
      <w:r>
        <w:rPr>
          <w:b/>
          <w:color w:val="auto"/>
          <w:sz w:val="44"/>
          <w:szCs w:val="44"/>
          <w:highlight w:val="none"/>
        </w:rPr>
      </w:r>
      <w:r/>
    </w:p>
    <w:p>
      <w:pPr>
        <w:pStyle w:val="782"/>
        <w:jc w:val="both"/>
        <w:rPr>
          <w:b/>
          <w:color w:val="auto"/>
          <w:sz w:val="44"/>
          <w:szCs w:val="44"/>
          <w:highlight w:val="none"/>
        </w:rPr>
      </w:pPr>
      <w:r>
        <w:rPr>
          <w:b/>
          <w:color w:val="auto"/>
          <w:sz w:val="44"/>
          <w:szCs w:val="44"/>
          <w:highlight w:val="none"/>
        </w:rPr>
      </w:r>
      <w:r/>
    </w:p>
    <w:p>
      <w:pPr>
        <w:pStyle w:val="782"/>
        <w:jc w:val="both"/>
        <w:rPr>
          <w:b/>
          <w:color w:val="auto"/>
          <w:sz w:val="44"/>
          <w:szCs w:val="44"/>
          <w:highlight w:val="none"/>
        </w:rPr>
      </w:pPr>
      <w:r>
        <w:rPr>
          <w:b/>
          <w:color w:val="auto"/>
          <w:sz w:val="44"/>
          <w:szCs w:val="44"/>
          <w:highlight w:val="none"/>
        </w:rPr>
      </w:r>
      <w:r/>
    </w:p>
    <w:p>
      <w:pPr>
        <w:ind w:firstLine="210"/>
        <w:jc w:val="center"/>
        <w:spacing w:line="360" w:lineRule="auto"/>
        <w:widowControl w:val="off"/>
        <w:rPr>
          <w:rFonts w:hint="eastAsia"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符合性审查文件部分</w:t>
      </w:r>
      <w:r/>
    </w:p>
    <w:p>
      <w:pPr>
        <w:pStyle w:val="777"/>
        <w:rPr>
          <w:rFonts w:hint="eastAsia"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bidi="ar"/>
        </w:rPr>
        <w:t xml:space="preserve">格式7：</w:t>
      </w:r>
      <w:r>
        <w:rPr>
          <w:rFonts w:hint="eastAsia" w:ascii="宋体" w:hAnsi="宋体" w:cs="宋体"/>
          <w:b/>
          <w:color w:val="auto"/>
          <w:sz w:val="21"/>
          <w:szCs w:val="21"/>
          <w:highlight w:val="none"/>
          <w:lang w:eastAsia="zh-CN"/>
        </w:rPr>
        <w:t xml:space="preserve">服务条款偏离表</w:t>
      </w:r>
      <w:r/>
    </w:p>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777"/>
              <w:ind w:left="54"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777"/>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777"/>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777"/>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7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0"/>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  格式8：</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77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人员投入</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pStyle w:val="777"/>
        <w:numPr>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rPr>
        <w:t xml:space="preserve">技术及</w:t>
      </w:r>
      <w:r>
        <w:rPr>
          <w:rFonts w:hint="eastAsia" w:ascii="宋体" w:hAnsi="宋体" w:eastAsia="宋体" w:cs="宋体"/>
          <w:b/>
          <w:bCs/>
          <w:color w:val="auto"/>
          <w:sz w:val="21"/>
          <w:szCs w:val="21"/>
          <w:highlight w:val="none"/>
        </w:rPr>
        <w:t xml:space="preserve">商务部分（投标人视各自的情况按评审要求自行编制）</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格式9：相关证书一览表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77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77"/>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格式10：</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Cs w:val="21"/>
          <w:highlight w:val="none"/>
        </w:rPr>
      </w:pPr>
      <w:r>
        <w:rPr>
          <w:rFonts w:hint="eastAsia" w:ascii="宋体" w:hAnsi="宋体" w:cs="宋体"/>
          <w:color w:val="auto"/>
          <w:sz w:val="21"/>
          <w:szCs w:val="21"/>
          <w:highlight w:val="none"/>
          <w:lang w:val="zh-CN"/>
        </w:rPr>
        <w:t xml:space="preserve">      年     月     日</w:t>
      </w:r>
      <w:r/>
    </w:p>
    <w:p>
      <w:pPr>
        <w:pStyle w:val="777"/>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格式11：投入本项目技术（服务）人员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77"/>
        <w:ind w:left="0"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4、价格折扣文件</w:t>
      </w:r>
      <w:r/>
    </w:p>
    <w:p>
      <w:pPr>
        <w:pStyle w:val="77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格式12：中小企业声明函（如有）</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996"/>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782"/>
        <w:ind w:right="355" w:firstLine="41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24"/>
        <w:numPr>
          <w:ilvl w:val="0"/>
          <w:numId w:val="5"/>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24"/>
        <w:numPr>
          <w:ilvl w:val="0"/>
          <w:numId w:val="5"/>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782"/>
        <w:ind w:left="860"/>
        <w:spacing w:before="11"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782"/>
        <w:ind w:right="357" w:firstLine="645"/>
        <w:jc w:val="both"/>
        <w:spacing w:before="108"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82"/>
        <w:ind w:right="315" w:firstLine="64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7"/>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格式13：</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15"/>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15"/>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8"/>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8"/>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7"/>
        <w:spacing w:before="0" w:beforeAutospacing="0" w:after="0" w:afterAutospacing="0" w:line="360" w:lineRule="auto"/>
        <w:rPr>
          <w:rFonts w:hint="eastAsia"/>
          <w:color w:val="auto"/>
          <w:sz w:val="21"/>
          <w:szCs w:val="21"/>
          <w:highlight w:val="none"/>
        </w:rPr>
      </w:pPr>
      <w:r/>
      <w:bookmarkStart w:id="15"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15"/>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Style w:val="971"/>
          <w:rFonts w:hint="eastAsia" w:ascii="宋体" w:hAnsi="宋体" w:eastAsia="宋体" w:cs="宋体"/>
          <w:color w:val="auto"/>
          <w:sz w:val="32"/>
          <w:szCs w:val="32"/>
          <w:highlight w:val="none"/>
        </w:rPr>
      </w:pPr>
      <w:r/>
      <w:bookmarkStart w:id="16" w:name="_Toc19345"/>
      <w:r>
        <w:rPr>
          <w:rStyle w:val="971"/>
          <w:rFonts w:hint="eastAsia" w:ascii="宋体" w:hAnsi="宋体" w:eastAsia="宋体" w:cs="宋体"/>
          <w:color w:val="auto"/>
          <w:sz w:val="32"/>
          <w:szCs w:val="32"/>
          <w:highlight w:val="none"/>
        </w:rPr>
        <w:br w:type="page" w:clear="all"/>
      </w:r>
      <w:r/>
    </w:p>
    <w:p>
      <w:pPr>
        <w:jc w:val="center"/>
        <w:spacing w:line="360" w:lineRule="auto"/>
        <w:rPr>
          <w:color w:val="auto"/>
          <w:highlight w:val="none"/>
        </w:rPr>
      </w:pPr>
      <w:r>
        <w:rPr>
          <w:rStyle w:val="971"/>
          <w:rFonts w:hint="eastAsia" w:ascii="宋体" w:hAnsi="宋体" w:eastAsia="宋体" w:cs="宋体"/>
          <w:color w:val="auto"/>
          <w:sz w:val="32"/>
          <w:szCs w:val="32"/>
          <w:highlight w:val="none"/>
        </w:rPr>
        <w:t xml:space="preserve">第五章 评标办法及评分标准</w:t>
      </w:r>
      <w:bookmarkEnd w:id="16"/>
      <w:r/>
      <w:r/>
    </w:p>
    <w:p>
      <w:pPr>
        <w:pStyle w:val="996"/>
        <w:ind w:firstLine="42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996"/>
        <w:numPr>
          <w:ilvl w:val="0"/>
          <w:numId w:val="6"/>
        </w:numPr>
        <w:ind w:left="0"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6"/>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6"/>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6"/>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节能产品和环境标志产品</w:t>
      </w:r>
      <w:r/>
    </w:p>
    <w:p>
      <w:pPr>
        <w:ind w:firstLine="420"/>
        <w:spacing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小微企业的价格分评审</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根据财政部《政府采购促进中小企业发展管理办法》（财库﹝2020﹞46号）及苏州市财政局《关于进一步做好政府采购政策贯彻执行工作的通知》（苏财购〔2017〕10号）、太财购[2022]12号）的规定，</w:t>
      </w:r>
      <w:r>
        <w:rPr>
          <w:rFonts w:hint="eastAsia" w:ascii="宋体" w:hAnsi="宋体" w:cs="宋体"/>
          <w:b/>
          <w:bCs/>
          <w:color w:val="auto"/>
          <w:sz w:val="21"/>
          <w:szCs w:val="21"/>
          <w:highlight w:val="none"/>
        </w:rPr>
        <w:t xml:space="preserve">本项目属于非专门面向中小微企业采购的项目，</w:t>
      </w:r>
      <w:r>
        <w:rPr>
          <w:rFonts w:ascii="宋体" w:hAnsi="宋体" w:cs="宋体"/>
          <w:b/>
          <w:bCs/>
          <w:color w:val="auto"/>
          <w:sz w:val="21"/>
          <w:highlight w:val="none"/>
        </w:rPr>
        <w:t xml:space="preserve">执行以下相关政策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rPr>
        <w:t xml:space="preserve">本项目属于非专门面向中小微企业采购的项目，小微企业参与本项目的对其价格给予20%的扣除，用扣除后的价格参与评审。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（2）中小企业划分标准详见“工信部联企业〔2011〕300号通知”。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（5）提供其他企业制造的货物或服务，须同时提供其他企业的小微企业证明材料（材料同上条）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（8）符合中小企业划分标准的个体工商户，在政府采购活动中视同中小企业。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（9）中标、成交供应商为小微企业单位的，《中小企业声明函》应当随中标、成交结果同时公告，接受社会监督。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807"/>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807"/>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rPr>
          <w:rFonts w:hint="eastAsia"/>
          <w:color w:val="auto"/>
          <w:sz w:val="21"/>
          <w:szCs w:val="21"/>
          <w:highlight w:val="none"/>
        </w:rPr>
        <w:t xml:space="preserve">. 监狱企业发展政策：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单位将对供应商进行信用查询，凡经确认不符合政府采购相关法律法规规定的，将拒绝其参与政府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（2）查询渠道：通过“信用中国”网站、中国政府采购网等渠道查询相关主体信用记录。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tbl>
      <w:tblPr>
        <w:tblStyle w:val="776"/>
        <w:tblW w:w="4937" w:type="pct"/>
        <w:jc w:val="center"/>
        <w:tblLayout w:type="fixed"/>
        <w:tblCellMar>
          <w:left w:w="108" w:type="dxa"/>
          <w:top w:w="0" w:type="dxa"/>
          <w:right w:w="108" w:type="dxa"/>
          <w:bottom w:w="0" w:type="dxa"/>
        </w:tblCellMar>
        <w:tblLook w:val="04A0" w:firstRow="1" w:lastRow="0" w:firstColumn="1" w:lastColumn="0" w:noHBand="0" w:noVBand="1"/>
      </w:tblPr>
      <w:tblGrid>
        <w:gridCol w:w="749"/>
        <w:gridCol w:w="917"/>
        <w:gridCol w:w="909"/>
        <w:gridCol w:w="7155"/>
      </w:tblGrid>
      <w:tr>
        <w:trPr>
          <w:jc w:val="center"/>
          <w:trHeight w:val="944"/>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676" w:type="pct"/>
            <w:vAlign w:val="center"/>
            <w:textDirection w:val="lrTb"/>
            <w:noWrap w:val="false"/>
          </w:tcPr>
          <w:p>
            <w:pPr>
              <w:ind w:firstLine="42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评审标准</w:t>
            </w:r>
            <w:r/>
          </w:p>
        </w:tc>
      </w:tr>
      <w:tr>
        <w:trPr>
          <w:jc w:val="center"/>
          <w:trHeight w:val="948"/>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报价或招标文件规定的报价为无效投标报价。无效投标报价的投标文件不进行评审，也不得标。</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    第二步：在所有有效投标报价中满足招标文件要求，且投标价格最低的投标报价为评标基准价，其价格分为20分，其他投标人的价格分按照下列公式计算（计算结果四舍五入 保留两位小数）。</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投标报价得分＝（评标基准价/投标报价）×20％×100</w:t>
            </w:r>
            <w:r/>
          </w:p>
        </w:tc>
      </w:tr>
      <w:tr>
        <w:trPr>
          <w:jc w:val="center"/>
          <w:trHeight w:val="532"/>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项目规划方案</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方案内容包括但不限于：①编制背景及政策解读</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规划体检评估</w:t>
            </w:r>
            <w:r>
              <w:rPr>
                <w:rFonts w:hint="eastAsia" w:ascii="宋体" w:hAnsi="宋体" w:cs="宋体"/>
                <w:color w:val="auto"/>
                <w:sz w:val="21"/>
                <w:szCs w:val="21"/>
                <w:highlight w:val="none"/>
                <w:lang w:val="en-US" w:eastAsia="zh-CN"/>
              </w:rPr>
              <w:t xml:space="preserve">③</w:t>
            </w:r>
            <w:r>
              <w:rPr>
                <w:rFonts w:hint="eastAsia" w:ascii="宋体" w:hAnsi="宋体" w:cs="宋体"/>
                <w:color w:val="auto"/>
                <w:sz w:val="21"/>
                <w:szCs w:val="21"/>
                <w:highlight w:val="none"/>
              </w:rPr>
              <w:t xml:space="preserve">三条控制线动态维护④规划分区动态维护⑤中心城区用地用海规划布局动态维护⑥城市重要控制线动态维护⑦重点建设项目动态维护。方案内容针对本项目且符合本项目实际需求的，每满足1项得3分，本项总分为</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w:t>
            </w:r>
            <w:r/>
          </w:p>
        </w:tc>
      </w:tr>
      <w:tr>
        <w:trPr>
          <w:jc w:val="center"/>
          <w:trHeight w:val="758"/>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rPr>
                <w:rFonts w:ascii="宋体" w:hAnsi="宋体" w:cs="宋体"/>
                <w:color w:val="auto"/>
                <w:sz w:val="20"/>
                <w:szCs w:val="20"/>
                <w:highlight w:val="none"/>
              </w:rPr>
            </w:pPr>
            <w:r>
              <w:rPr>
                <w:color w:val="auto"/>
                <w:sz w:val="21"/>
                <w:szCs w:val="21"/>
                <w:highlight w:val="none"/>
              </w:rPr>
              <w:t xml:space="preserve">组织管理</w:t>
            </w:r>
            <w:r>
              <w:rPr>
                <w:rFonts w:hint="eastAsia"/>
                <w:color w:val="auto"/>
                <w:sz w:val="21"/>
                <w:szCs w:val="21"/>
                <w:highlight w:val="none"/>
              </w:rPr>
              <w:t xml:space="preserve">方案</w:t>
            </w:r>
            <w:r/>
          </w:p>
        </w:tc>
        <w:tc>
          <w:tcPr>
            <w:shd w:val="clear" w:color="auto" w:fill="auto"/>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676" w:type="pct"/>
            <w:vAlign w:val="center"/>
            <w:textDirection w:val="lrTb"/>
            <w:noWrap w:val="false"/>
          </w:tcPr>
          <w:p>
            <w:pPr>
              <w:ind w:firstLine="420"/>
              <w:jc w:val="both"/>
              <w:spacing w:line="360" w:lineRule="auto"/>
              <w:widowControl w:val="off"/>
              <w:rPr>
                <w:rFonts w:ascii="宋体" w:hAnsi="宋体" w:cs="宋体"/>
                <w:color w:val="auto"/>
                <w:sz w:val="22"/>
                <w:szCs w:val="22"/>
                <w:highlight w:val="none"/>
              </w:rPr>
            </w:pPr>
            <w:r>
              <w:rPr>
                <w:rFonts w:hint="eastAsia" w:ascii="宋体" w:hAnsi="宋体" w:cs="宋体"/>
                <w:color w:val="auto"/>
                <w:sz w:val="21"/>
                <w:szCs w:val="21"/>
                <w:highlight w:val="none"/>
              </w:rPr>
              <w:t xml:space="preserve">方案内容包括但不限于：①</w:t>
            </w:r>
            <w:r>
              <w:rPr>
                <w:rFonts w:hint="eastAsia"/>
                <w:color w:val="auto"/>
                <w:sz w:val="21"/>
                <w:szCs w:val="21"/>
                <w:highlight w:val="none"/>
              </w:rPr>
              <w:t xml:space="preserve">项目进度保障方案</w:t>
            </w:r>
            <w:r>
              <w:rPr>
                <w:rFonts w:hint="eastAsia" w:ascii="宋体" w:hAnsi="宋体" w:cs="宋体"/>
                <w:color w:val="auto"/>
                <w:sz w:val="21"/>
                <w:szCs w:val="21"/>
                <w:highlight w:val="none"/>
              </w:rPr>
              <w:t xml:space="preserve">②</w:t>
            </w:r>
            <w:r>
              <w:rPr>
                <w:rFonts w:hint="eastAsia"/>
                <w:color w:val="auto"/>
                <w:sz w:val="21"/>
                <w:szCs w:val="21"/>
                <w:highlight w:val="none"/>
              </w:rPr>
              <w:t xml:space="preserve">项目质量管理方案</w:t>
            </w:r>
            <w:r>
              <w:rPr>
                <w:rFonts w:hint="eastAsia" w:ascii="宋体" w:hAnsi="宋体" w:cs="宋体"/>
                <w:color w:val="auto"/>
                <w:sz w:val="21"/>
                <w:szCs w:val="21"/>
                <w:highlight w:val="none"/>
              </w:rPr>
              <w:t xml:space="preserve">③</w:t>
            </w:r>
            <w:r>
              <w:rPr>
                <w:rFonts w:hint="eastAsia"/>
                <w:color w:val="auto"/>
                <w:sz w:val="21"/>
                <w:szCs w:val="21"/>
                <w:highlight w:val="none"/>
              </w:rPr>
              <w:t xml:space="preserve">后续服务方案。</w:t>
            </w:r>
            <w:r>
              <w:rPr>
                <w:rFonts w:hint="eastAsia" w:ascii="宋体" w:hAnsi="宋体" w:cs="宋体"/>
                <w:bCs/>
                <w:color w:val="auto"/>
                <w:sz w:val="21"/>
                <w:szCs w:val="21"/>
                <w:highlight w:val="none"/>
              </w:rPr>
              <w:t xml:space="preserve">方案内容针对本项目且符合本项目实际需求的，每满足1项得</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分，本项总分为</w:t>
            </w: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rPr>
              <w:t xml:space="preserve">分。</w:t>
            </w:r>
            <w:r/>
          </w:p>
        </w:tc>
      </w:tr>
      <w:tr>
        <w:trPr>
          <w:jc w:val="center"/>
          <w:trHeight w:val="1072"/>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2021</w: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w:t xml:space="preserve">1月1日以来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以合同签订日期为准</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承担的</w:t>
            </w:r>
            <w:r>
              <w:rPr>
                <w:rFonts w:hint="eastAsia" w:ascii="宋体" w:hAnsi="宋体" w:cs="宋体"/>
                <w:strike w:val="0"/>
                <w:color w:val="auto"/>
                <w:sz w:val="21"/>
                <w:szCs w:val="21"/>
                <w:highlight w:val="none"/>
              </w:rPr>
              <w:t xml:space="preserve">县</w:t>
            </w:r>
            <w:r>
              <w:rPr>
                <w:rFonts w:hint="eastAsia" w:ascii="宋体" w:hAnsi="宋体" w:cs="宋体"/>
                <w:strike w:val="0"/>
                <w:color w:val="auto"/>
                <w:sz w:val="21"/>
                <w:szCs w:val="21"/>
                <w:highlight w:val="none"/>
                <w:lang w:eastAsia="zh-CN"/>
              </w:rPr>
              <w:t xml:space="preserve">（</w:t>
            </w:r>
            <w:r>
              <w:rPr>
                <w:rFonts w:hint="eastAsia" w:ascii="宋体" w:hAnsi="宋体" w:cs="宋体"/>
                <w:strike w:val="0"/>
                <w:color w:val="auto"/>
                <w:sz w:val="21"/>
                <w:szCs w:val="21"/>
                <w:highlight w:val="none"/>
                <w:lang w:val="en-US" w:eastAsia="zh-CN"/>
              </w:rPr>
              <w:t xml:space="preserve">市、区</w:t>
            </w:r>
            <w:r>
              <w:rPr>
                <w:rFonts w:hint="eastAsia" w:ascii="宋体" w:hAnsi="宋体" w:cs="宋体"/>
                <w:strike w:val="0"/>
                <w:color w:val="auto"/>
                <w:sz w:val="21"/>
                <w:szCs w:val="21"/>
                <w:highlight w:val="none"/>
                <w:lang w:eastAsia="zh-CN"/>
              </w:rPr>
              <w:t xml:space="preserve">）</w:t>
            </w:r>
            <w:r>
              <w:rPr>
                <w:rFonts w:hint="eastAsia" w:ascii="宋体" w:hAnsi="宋体" w:cs="宋体"/>
                <w:strike w:val="0"/>
                <w:color w:val="auto"/>
                <w:sz w:val="21"/>
                <w:szCs w:val="21"/>
                <w:highlight w:val="none"/>
              </w:rPr>
              <w:t xml:space="preserve">级及以上</w:t>
            </w:r>
            <w:r>
              <w:rPr>
                <w:rFonts w:hint="eastAsia" w:ascii="宋体" w:hAnsi="宋体" w:cs="宋体"/>
                <w:color w:val="auto"/>
                <w:sz w:val="21"/>
                <w:szCs w:val="21"/>
                <w:highlight w:val="none"/>
              </w:rPr>
              <w:t xml:space="preserve">国土空间总体规划或国土空间总体规划实施评估项目，有</w:t>
            </w:r>
            <w:r>
              <w:rPr>
                <w:rFonts w:ascii="宋体" w:hAnsi="宋体" w:cs="宋体"/>
                <w:color w:val="auto"/>
                <w:sz w:val="21"/>
                <w:szCs w:val="21"/>
                <w:highlight w:val="none"/>
              </w:rPr>
              <w:t xml:space="preserve">1个得2分，最高得8分（须提供合同扫描件</w:t>
            </w:r>
            <w:r>
              <w:rPr>
                <w:rFonts w:hint="eastAsia" w:ascii="宋体" w:hAnsi="宋体" w:cs="宋体"/>
                <w:color w:val="auto"/>
                <w:sz w:val="21"/>
                <w:szCs w:val="21"/>
                <w:highlight w:val="none"/>
              </w:rPr>
              <w:t xml:space="preserve">，不按要求提供不得分）</w:t>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auto"/>
                <w:lang w:val="en-US" w:eastAsia="zh-CN"/>
              </w:rPr>
              <w:t xml:space="preserve">8</w:t>
            </w:r>
            <w:r>
              <w:rPr>
                <w:rFonts w:hint="eastAsia" w:ascii="宋体" w:hAnsi="宋体" w:cs="宋体"/>
                <w:color w:val="auto"/>
                <w:sz w:val="21"/>
                <w:szCs w:val="21"/>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（1）拟投入本项目的项目负责人具备规划类研究员级（或正高级）高级工程师职称得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分，具备规划类高级工程师职称得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分。（须提供人员相关证书及近六个月中至少1个月为其缴纳社保的证明材料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并加盖公章，不按要求提供不得分）</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具备注册城乡规划师资格证书的得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（须提供人员相关证书及近六个月中至少1个月为其缴纳社保的证明材料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并加盖公章，不按要求提供不得分）</w:t>
            </w:r>
            <w:r/>
          </w:p>
        </w:tc>
      </w:tr>
      <w:tr>
        <w:trPr>
          <w:jc w:val="center"/>
          <w:trHeight w:val="1340"/>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项目负责人获奖情况</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auto"/>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拟投入本项目的项目负责人2021年1月1日以来获得过规划类</w:t>
            </w:r>
            <w:r>
              <w:rPr>
                <w:rFonts w:hint="eastAsia" w:ascii="宋体" w:hAnsi="宋体" w:cs="宋体"/>
                <w:color w:val="auto"/>
                <w:sz w:val="21"/>
                <w:szCs w:val="21"/>
                <w:highlight w:val="none"/>
                <w:lang w:val="en-US" w:eastAsia="zh-CN"/>
              </w:rPr>
              <w:t xml:space="preserve">省级及以上</w:t>
            </w:r>
            <w:r>
              <w:rPr>
                <w:rFonts w:hint="eastAsia" w:ascii="宋体" w:hAnsi="宋体" w:cs="宋体"/>
                <w:color w:val="auto"/>
                <w:sz w:val="21"/>
                <w:szCs w:val="21"/>
                <w:highlight w:val="none"/>
              </w:rPr>
              <w:t xml:space="preserve">奖项的，有一个获</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分，此项最高得</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（须提供人员获奖证书</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近六个月中至少1个月为其缴纳社保的证明材料扫描件并加盖公章）</w:t>
            </w:r>
            <w:r/>
          </w:p>
        </w:tc>
      </w:tr>
      <w:tr>
        <w:trPr>
          <w:jc w:val="center"/>
          <w:trHeight w:val="1369"/>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项目组成员</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auto"/>
                <w:lang w:val="en-US" w:eastAsia="zh-CN"/>
              </w:rPr>
              <w:t xml:space="preserve">21</w:t>
            </w:r>
            <w:r>
              <w:rPr>
                <w:rFonts w:hint="eastAsia" w:ascii="宋体" w:hAnsi="宋体" w:cs="宋体"/>
                <w:color w:val="auto"/>
                <w:sz w:val="21"/>
                <w:szCs w:val="21"/>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numPr>
                <w:ilvl w:val="0"/>
                <w:numId w:val="7"/>
              </w:num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拟投入的其他技术人员</w:t>
            </w:r>
            <w:r>
              <w:rPr>
                <w:rFonts w:hint="eastAsia" w:ascii="宋体" w:hAnsi="宋体" w:cs="宋体"/>
                <w:color w:val="auto"/>
                <w:sz w:val="21"/>
                <w:szCs w:val="21"/>
                <w:highlight w:val="none"/>
                <w:lang w:val="en-US" w:eastAsia="zh-CN"/>
              </w:rPr>
              <w:t xml:space="preserve">具有</w:t>
            </w:r>
            <w:r>
              <w:rPr>
                <w:rFonts w:hint="eastAsia" w:ascii="宋体" w:hAnsi="宋体" w:cs="宋体"/>
                <w:color w:val="auto"/>
                <w:sz w:val="21"/>
                <w:szCs w:val="21"/>
                <w:highlight w:val="none"/>
              </w:rPr>
              <w:t xml:space="preserve">涵盖城市（乡）规划、</w:t>
            </w:r>
            <w:r>
              <w:rPr>
                <w:rFonts w:hint="eastAsia" w:ascii="宋体" w:hAnsi="宋体" w:cs="宋体"/>
                <w:color w:val="auto"/>
                <w:sz w:val="21"/>
                <w:szCs w:val="21"/>
                <w:highlight w:val="none"/>
                <w:lang w:val="en-US" w:eastAsia="zh-CN"/>
              </w:rPr>
              <w:t xml:space="preserve">园林</w:t>
            </w:r>
            <w:r>
              <w:rPr>
                <w:rFonts w:hint="eastAsia" w:ascii="宋体" w:hAnsi="宋体" w:cs="宋体"/>
                <w:color w:val="auto"/>
                <w:sz w:val="21"/>
                <w:szCs w:val="21"/>
                <w:highlight w:val="none"/>
              </w:rPr>
              <w:t xml:space="preserve">、交通运输、市政工程、地理信息、土地管理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建筑学</w:t>
            </w:r>
            <w:r>
              <w:rPr>
                <w:rFonts w:hint="eastAsia" w:ascii="宋体" w:hAnsi="宋体" w:cs="宋体"/>
                <w:color w:val="auto"/>
                <w:sz w:val="21"/>
                <w:szCs w:val="21"/>
                <w:highlight w:val="none"/>
              </w:rPr>
              <w:t xml:space="preserve">等</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个专业的</w:t>
            </w:r>
            <w:r>
              <w:rPr>
                <w:rFonts w:hint="eastAsia" w:ascii="宋体" w:hAnsi="宋体" w:cs="宋体"/>
                <w:color w:val="auto"/>
                <w:sz w:val="21"/>
                <w:szCs w:val="21"/>
                <w:highlight w:val="none"/>
                <w:lang w:val="en-US" w:eastAsia="zh-CN"/>
              </w:rPr>
              <w:t xml:space="preserve">本科及以上毕业证书</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分，专业不齐的不得分。（提供人员相关证书及近六个月中至少1个月为其缴纳社保的证明材料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w:t>
            </w:r>
            <w:r/>
          </w:p>
          <w:p>
            <w:pPr>
              <w:numPr>
                <w:ilvl w:val="0"/>
                <w:numId w:val="0"/>
              </w:num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（2）拟投入的其他技术人员每拥有一个高级及以上职称证书的得</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分。</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w:t>
            </w:r>
            <w:r/>
          </w:p>
        </w:tc>
      </w:tr>
    </w:tbl>
    <w:p>
      <w:pPr>
        <w:pStyle w:val="996"/>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1"/>
          <w:rFonts w:hint="eastAsia" w:ascii="宋体" w:hAnsi="宋体" w:eastAsia="宋体" w:cs="宋体"/>
          <w:color w:val="auto"/>
          <w:sz w:val="32"/>
          <w:szCs w:val="32"/>
          <w:highlight w:val="none"/>
        </w:rPr>
      </w:pPr>
      <w:r>
        <w:rPr>
          <w:rStyle w:val="971"/>
          <w:rFonts w:hint="eastAsia" w:ascii="宋体" w:hAnsi="宋体" w:eastAsia="宋体" w:cs="宋体"/>
          <w:color w:val="auto"/>
          <w:sz w:val="32"/>
          <w:szCs w:val="32"/>
          <w:highlight w:val="none"/>
        </w:rPr>
        <w:br w:type="page" w:clear="all"/>
      </w:r>
      <w:bookmarkStart w:id="17" w:name="_Toc31315"/>
      <w:r>
        <w:rPr>
          <w:rStyle w:val="971"/>
          <w:rFonts w:hint="eastAsia" w:ascii="宋体" w:hAnsi="宋体" w:eastAsia="宋体" w:cs="宋体"/>
          <w:color w:val="auto"/>
          <w:sz w:val="32"/>
          <w:szCs w:val="32"/>
          <w:highlight w:val="none"/>
        </w:rPr>
        <w:t xml:space="preserve">第六章 合同格式</w:t>
      </w:r>
      <w:bookmarkEnd w:id="17"/>
      <w:r/>
      <w:r/>
    </w:p>
    <w:p>
      <w:pPr>
        <w:spacing w:line="440" w:lineRule="exact"/>
        <w:rPr>
          <w:rFonts w:hint="eastAsia" w:ascii="宋体" w:hAnsi="宋体" w:cs="宋体"/>
          <w:color w:val="auto"/>
          <w:highlight w:val="none"/>
        </w:rPr>
      </w:pPr>
      <w:r/>
      <w:bookmarkStart w:id="18" w:name="_Toc479449569"/>
      <w:r/>
      <w:bookmarkEnd w:id="18"/>
      <w:r/>
      <w:bookmarkStart w:id="19" w:name="_Toc479449483"/>
      <w:r/>
      <w:bookmarkEnd w:id="19"/>
      <w:r/>
      <w:bookmarkStart w:id="20" w:name="_Toc480191160"/>
      <w:r/>
      <w:bookmarkEnd w:id="20"/>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hint="eastAsia"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hint="eastAsia"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1440"/>
        <w:jc w:val="both"/>
        <w:spacing w:line="7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hint="eastAsia" w:ascii="宋体" w:hAnsi="宋体"/>
          <w:color w:val="auto"/>
          <w:szCs w:val="22"/>
          <w:highlight w:val="none"/>
        </w:rPr>
      </w:pPr>
      <w:r>
        <w:rPr>
          <w:rFonts w:hint="eastAsia" w:ascii="宋体" w:hAnsi="宋体"/>
          <w:color w:val="auto"/>
          <w:szCs w:val="22"/>
          <w:highlight w:val="none"/>
        </w:rPr>
      </w:r>
      <w:r/>
    </w:p>
    <w:p>
      <w:pPr>
        <w:ind w:firstLine="480"/>
        <w:rPr>
          <w:rFonts w:hint="eastAsia" w:ascii="宋体" w:hAnsi="宋体"/>
          <w:color w:val="auto"/>
          <w:szCs w:val="22"/>
          <w:highlight w:val="none"/>
          <w:u w:val="single"/>
        </w:rPr>
      </w:pPr>
      <w:r>
        <w:rPr>
          <w:rFonts w:hint="eastAsia" w:ascii="宋体" w:hAnsi="宋体"/>
          <w:color w:val="auto"/>
          <w:szCs w:val="22"/>
          <w:highlight w:val="none"/>
          <w:u w:val="single"/>
        </w:rPr>
      </w:r>
      <w:r/>
    </w:p>
    <w:p>
      <w:pPr>
        <w:pStyle w:val="988"/>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keepLines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《太仓市国土空间总体规划（2021-2035年）》动态维护项目</w:t>
      </w:r>
      <w:r/>
    </w:p>
    <w:tbl>
      <w:tblPr>
        <w:tblStyle w:val="77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5040" w:type="dxa"/>
            <w:textDirection w:val="lrTb"/>
            <w:noWrap w:val="false"/>
          </w:tcPr>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rPr>
              <w:t xml:space="preserve">太仓市自然资源和规划局</w:t>
            </w:r>
            <w:r/>
          </w:p>
        </w:tc>
        <w:tc>
          <w:tcPr>
            <w:tcW w:w="5040" w:type="dxa"/>
            <w:textDirection w:val="lrTb"/>
            <w:noWrap w:val="false"/>
          </w:tcPr>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textDirection w:val="lrTb"/>
            <w:noWrap w:val="false"/>
          </w:tcPr>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textDirection w:val="lrTb"/>
            <w:noWrap w:val="false"/>
          </w:tcPr>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ind w:firstLine="420"/>
        <w:keepLines w:val="0"/>
        <w:pageBreakBefore w:val="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JSZC-320585-SZTZ-G2026-0001</w:t>
      </w:r>
      <w:r>
        <w:rPr>
          <w:rFonts w:hint="eastAsia" w:ascii="宋体" w:hAnsi="宋体" w:cs="宋体"/>
          <w:color w:val="auto"/>
          <w:sz w:val="21"/>
          <w:szCs w:val="21"/>
          <w:highlight w:val="none"/>
        </w:rPr>
        <w:t xml:space="preserve">号政府采购文件及中标单位的投标文件和中标通知书，甲乙双方就甲方聘用乙方从事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《太仓市国土空间总体规划（2021-2035年）》动态维护项目</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工作，签订本合同书。</w:t>
      </w:r>
      <w:r/>
    </w:p>
    <w:p>
      <w:pPr>
        <w:ind w:firstLine="422"/>
        <w:keepLines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第一条  技术服务内容</w:t>
      </w:r>
      <w:r/>
    </w:p>
    <w:p>
      <w:pPr>
        <w:ind w:firstLine="422"/>
        <w:jc w:val="both"/>
        <w:keepLines w:val="0"/>
        <w:keepNext/>
        <w:pageBreakBefore w:val="0"/>
        <w:spacing w:line="360" w:lineRule="auto"/>
        <w:widowControl w:val="off"/>
        <w:tabs>
          <w:tab w:val="left" w:pos="200" w:leader="none"/>
        </w:tabs>
        <w:rPr>
          <w:rFonts w:ascii="宋体" w:hAnsi="宋体" w:cs="宋体"/>
          <w:color w:val="auto"/>
          <w:sz w:val="21"/>
          <w:szCs w:val="21"/>
          <w:highlight w:val="none"/>
        </w:rPr>
        <w:outlineLvl w:val="1"/>
      </w:pPr>
      <w:r>
        <w:rPr>
          <w:rFonts w:hint="eastAsia" w:ascii="宋体" w:hAnsi="宋体" w:cs="宋体"/>
          <w:b/>
          <w:bCs/>
          <w:color w:val="auto"/>
          <w:sz w:val="21"/>
          <w:szCs w:val="21"/>
          <w:highlight w:val="none"/>
        </w:rPr>
        <w:t xml:space="preserve">（一）项目工作要求</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根据《江苏省自然资源厅关于进一步加强市县国土空间总体规划实施监督管理的通知》（苏自然资发〔2025〕161号）等文件要求，在严守空间安全底线，不突破国务院审批的省级、市级国土空间总体规划确定的保护目标任务，不改变总体规划确定的空间结构和格局的前提下，开展规划动态维护。经国土空间规划五年实施评估，若需对规划范围、总体格局、目标指标、其他规划强制性内容等调整的，应按相关规定和程序进行规划修改等工作。</w:t>
      </w:r>
      <w:r/>
    </w:p>
    <w:p>
      <w:pPr>
        <w:ind w:firstLine="422"/>
        <w:jc w:val="both"/>
        <w:keepLines w:val="0"/>
        <w:keepNext/>
        <w:pageBreakBefore w:val="0"/>
        <w:spacing w:line="360" w:lineRule="auto"/>
        <w:widowControl w:val="off"/>
        <w:tabs>
          <w:tab w:val="left" w:pos="200" w:leader="none"/>
        </w:tabs>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二</w:t>
      </w:r>
      <w:r>
        <w:rPr>
          <w:rFonts w:hint="eastAsia" w:ascii="宋体" w:hAnsi="宋体" w:cs="宋体"/>
          <w:b/>
          <w:bCs/>
          <w:color w:val="auto"/>
          <w:sz w:val="21"/>
          <w:szCs w:val="21"/>
          <w:highlight w:val="none"/>
          <w:lang w:val="zh-CN"/>
        </w:rPr>
        <w:t xml:space="preserve">）项目工作内容</w:t>
      </w:r>
      <w:r/>
    </w:p>
    <w:p>
      <w:pPr>
        <w:ind w:firstLine="420"/>
        <w:jc w:val="both"/>
        <w:keepLines w:val="0"/>
        <w:pageBreakBefore w:val="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本项目主要</w:t>
      </w:r>
      <w:r>
        <w:rPr>
          <w:rFonts w:hint="eastAsia" w:ascii="宋体" w:hAnsi="宋体" w:cs="宋体"/>
          <w:color w:val="auto"/>
          <w:sz w:val="21"/>
          <w:szCs w:val="21"/>
          <w:highlight w:val="none"/>
        </w:rPr>
        <w:t xml:space="preserve">包括</w:t>
      </w:r>
      <w:r>
        <w:rPr>
          <w:rFonts w:hint="eastAsia" w:ascii="宋体" w:hAnsi="宋体" w:cs="宋体"/>
          <w:color w:val="auto"/>
          <w:sz w:val="21"/>
          <w:szCs w:val="21"/>
          <w:highlight w:val="none"/>
          <w:lang w:val="zh-CN"/>
        </w:rPr>
        <w:t xml:space="preserve">以下</w:t>
      </w:r>
      <w:r>
        <w:rPr>
          <w:rFonts w:hint="eastAsia" w:ascii="宋体" w:hAnsi="宋体" w:cs="宋体"/>
          <w:color w:val="auto"/>
          <w:sz w:val="21"/>
          <w:szCs w:val="21"/>
          <w:highlight w:val="none"/>
        </w:rPr>
        <w:t xml:space="preserve">内容</w:t>
      </w:r>
      <w:r>
        <w:rPr>
          <w:rFonts w:hint="eastAsia" w:ascii="宋体" w:hAnsi="宋体" w:cs="宋体"/>
          <w:color w:val="auto"/>
          <w:sz w:val="21"/>
          <w:szCs w:val="21"/>
          <w:highlight w:val="none"/>
          <w:lang w:val="zh-CN"/>
        </w:rPr>
        <w:t xml:space="preserve">：</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①优化三条控制线，对耕地和永久基本农田、生态保护红线、城镇开发边界三条控制线进行动态维护。</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②合理优化规划分区，结合三条控制线布局优化、相关专项规划编制，衔接相关自然资源管理工作，合理优化规划分区。</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③完善中心城区功能布局，统筹相关“十五五”专项规划和社区生活圈建设，结合人口结构变化和经济社会发展，优化中心城区用地结构和空间布局，完善城市功能。</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④优化城市重要控制线，衔接相关专项规划和实施管理，确需对城市绿线、蓝线、黄线进行重大布局调整的，可以开展动态维护，促进城市功能完善、结构优化、布局合理、服务水平提升。</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⑤更新重点建设项目清单，结合“十五五”规划、国家和省重大战略落实等，衔接各类专项规划，分类增补和优化交通、能源、水利等重点建设项目清单。</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经国土空间规划五年实施评估，若需对规划范围、总体格局、目标指标、其他规划强制性内容等调整的，应按相关规定和程序进行规划修改等工作。</w:t>
      </w:r>
      <w:r/>
    </w:p>
    <w:p>
      <w:pPr>
        <w:ind w:firstLine="422"/>
        <w:jc w:val="both"/>
        <w:keepLines w:val="0"/>
        <w:keepNext/>
        <w:pageBreakBefore w:val="0"/>
        <w:spacing w:line="360" w:lineRule="auto"/>
        <w:widowControl w:val="off"/>
        <w:tabs>
          <w:tab w:val="left" w:pos="200" w:leader="none"/>
        </w:tabs>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（三）项目成果要求</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w:t>
      </w:r>
      <w:r>
        <w:rPr>
          <w:rFonts w:hint="eastAsia" w:ascii="宋体" w:hAnsi="宋体" w:cs="宋体"/>
          <w:color w:val="auto"/>
          <w:sz w:val="21"/>
          <w:szCs w:val="21"/>
          <w:highlight w:val="none"/>
        </w:rPr>
        <w:t xml:space="preserve">成果包含报告、表格、图件、数据库、附件等。确保材料完整、规范、符合要求。</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1、报告</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市县级国土空间总体规划的组织编制单元为单位，形成《XX市国土空间总体规划202X年度动态维护方案》/《XX县（市、区）国土空间总体规划202X年度动态维护方案》。报告应包含规划体检评估结论、空间问题分析、动态维护的思路、方案以及合理性分析等内容。</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2、表格</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包括三条控制线维护情况表、重点建设项目维护表、三条控制线动态维护成效表等。</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3、图件</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国土空间总体规划动态维护方案的图件包括：国土空间规划实施情况分析图；维护后的三条控制线规划图、调整分析图（调入和调出图斑）等。</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4、数据库</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数据库应与市、县两级国土空间总体规划数据库规范要求相衔接。</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5、附件</w:t>
      </w:r>
      <w:r/>
    </w:p>
    <w:p>
      <w:pPr>
        <w:ind w:firstLine="420"/>
        <w:jc w:val="both"/>
        <w:keepLines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附件应包含相关部门征求意见及落实情况、审查论证情况等相关材料。</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1、验收组织方式：本项目由</w:t>
      </w:r>
      <w:r>
        <w:rPr>
          <w:rFonts w:hint="eastAsia" w:ascii="宋体" w:hAnsi="宋体" w:cs="宋体"/>
          <w:bCs/>
          <w:color w:val="auto"/>
          <w:sz w:val="21"/>
          <w:szCs w:val="21"/>
          <w:highlight w:val="none"/>
          <w:lang w:val="en-US" w:eastAsia="zh-CN" w:bidi="en-US"/>
        </w:rPr>
        <w:t xml:space="preserve">甲方</w:t>
      </w:r>
      <w:r>
        <w:rPr>
          <w:rFonts w:hint="eastAsia" w:ascii="宋体" w:hAnsi="宋体" w:eastAsia="宋体" w:cs="宋体"/>
          <w:bCs/>
          <w:color w:val="auto"/>
          <w:sz w:val="21"/>
          <w:szCs w:val="21"/>
          <w:highlight w:val="none"/>
          <w:lang w:bidi="en-US"/>
        </w:rPr>
        <w:t xml:space="preserve">进行验收。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2、履约验收时间：</w:t>
      </w:r>
      <w:r>
        <w:rPr>
          <w:rFonts w:hint="eastAsia" w:ascii="宋体" w:hAnsi="宋体" w:cs="宋体"/>
          <w:bCs/>
          <w:color w:val="auto"/>
          <w:sz w:val="21"/>
          <w:szCs w:val="21"/>
          <w:highlight w:val="none"/>
          <w:lang w:val="en-US" w:eastAsia="zh-CN" w:bidi="en-US"/>
        </w:rPr>
        <w:t xml:space="preserve">项目结束进行</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验收前甲方</w:t>
      </w:r>
      <w:r>
        <w:rPr>
          <w:rFonts w:hint="eastAsia" w:ascii="宋体" w:hAnsi="宋体" w:eastAsia="宋体" w:cs="宋体"/>
          <w:bCs/>
          <w:color w:val="auto"/>
          <w:sz w:val="21"/>
          <w:szCs w:val="21"/>
          <w:highlight w:val="none"/>
          <w:lang w:bidi="en-US"/>
        </w:rPr>
        <w:t xml:space="preserve">向</w:t>
      </w:r>
      <w:r>
        <w:rPr>
          <w:rFonts w:hint="eastAsia" w:ascii="宋体" w:hAnsi="宋体" w:cs="宋体"/>
          <w:bCs/>
          <w:color w:val="auto"/>
          <w:sz w:val="21"/>
          <w:szCs w:val="21"/>
          <w:highlight w:val="none"/>
          <w:lang w:val="en-US" w:eastAsia="zh-CN" w:bidi="en-US"/>
        </w:rPr>
        <w:t xml:space="preserve">乙方</w:t>
      </w:r>
      <w:r>
        <w:rPr>
          <w:rFonts w:hint="eastAsia" w:ascii="宋体" w:hAnsi="宋体" w:eastAsia="宋体" w:cs="宋体"/>
          <w:bCs/>
          <w:color w:val="auto"/>
          <w:sz w:val="21"/>
          <w:szCs w:val="21"/>
          <w:highlight w:val="none"/>
          <w:lang w:bidi="en-US"/>
        </w:rPr>
        <w:t xml:space="preserve">发出《政府采购履约验收通知单》，验收完成后形成《政府采购履约验收书》。</w:t>
      </w:r>
      <w:r/>
    </w:p>
    <w:p>
      <w:pPr>
        <w:contextualSpacing/>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bidi="en-US"/>
        </w:rPr>
        <w:t xml:space="preserve">3、履约验收的内容及标准：</w:t>
      </w:r>
      <w:r>
        <w:rPr>
          <w:rFonts w:hint="eastAsia" w:ascii="宋体" w:hAnsi="宋体" w:cs="宋体"/>
          <w:bCs/>
          <w:color w:val="auto"/>
          <w:sz w:val="21"/>
          <w:szCs w:val="21"/>
          <w:highlight w:val="none"/>
          <w:lang w:val="en-US" w:eastAsia="zh-CN" w:bidi="en-US"/>
        </w:rPr>
        <w:t xml:space="preserve">按采购文件要求及</w:t>
      </w:r>
      <w:r>
        <w:rPr>
          <w:rFonts w:hint="eastAsia" w:ascii="宋体" w:hAnsi="宋体" w:cs="宋体"/>
          <w:bCs/>
          <w:color w:val="auto"/>
          <w:sz w:val="21"/>
          <w:szCs w:val="21"/>
          <w:highlight w:val="none"/>
          <w:lang w:val="en-US" w:eastAsia="zh-CN" w:bidi="en-US"/>
        </w:rPr>
        <w:t xml:space="preserve">相关法律法规及行业标准</w:t>
      </w:r>
      <w:r>
        <w:rPr>
          <w:rFonts w:hint="eastAsia" w:ascii="宋体" w:hAnsi="宋体" w:eastAsia="宋体" w:cs="宋体"/>
          <w:bCs/>
          <w:color w:val="auto"/>
          <w:sz w:val="21"/>
          <w:szCs w:val="21"/>
          <w:highlight w:val="none"/>
          <w:lang w:bidi="en-US"/>
        </w:rPr>
        <w:t xml:space="preserve">进行验收。</w:t>
      </w:r>
      <w:r/>
    </w:p>
    <w:p>
      <w:pPr>
        <w:ind w:firstLine="422"/>
        <w:keepLines w:val="0"/>
        <w:pageBreakBefore w:val="0"/>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bidi="ar"/>
        </w:rPr>
        <w:t xml:space="preserve">自合同签订之日起</w:t>
      </w:r>
      <w:r>
        <w:rPr>
          <w:rFonts w:hint="eastAsia" w:ascii="宋体" w:hAnsi="宋体" w:eastAsia="宋体" w:cs="宋体"/>
          <w:color w:val="auto"/>
          <w:sz w:val="21"/>
          <w:szCs w:val="21"/>
          <w:highlight w:val="none"/>
          <w:lang w:eastAsia="zh-CN" w:bidi="ar"/>
        </w:rPr>
        <w:t xml:space="preserve">至2027年6月30日</w:t>
      </w:r>
      <w:r>
        <w:rPr>
          <w:rFonts w:hint="eastAsia" w:ascii="宋体" w:hAnsi="宋体" w:eastAsia="宋体" w:cs="宋体"/>
          <w:color w:val="auto"/>
          <w:sz w:val="21"/>
          <w:szCs w:val="21"/>
          <w:highlight w:val="none"/>
          <w:lang w:bidi="ar"/>
        </w:rPr>
        <w:t xml:space="preserve">前完成全部工作任务，提交最终成果。</w:t>
      </w:r>
      <w:r/>
    </w:p>
    <w:p>
      <w:pPr>
        <w:ind w:firstLine="422"/>
        <w:keepLines w:val="0"/>
        <w:pageBreakBefore w:val="0"/>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w:t>
      </w:r>
      <w:r>
        <w:rPr>
          <w:rFonts w:hint="eastAsia" w:ascii="宋体" w:hAnsi="宋体" w:cs="宋体"/>
          <w:bCs/>
          <w:color w:val="auto"/>
          <w:sz w:val="21"/>
          <w:szCs w:val="21"/>
          <w:highlight w:val="none"/>
        </w:rPr>
        <w:t xml:space="preserve">其他要求详见招标文件及乙方在投标文件中所做的承诺。</w:t>
      </w:r>
      <w:r/>
    </w:p>
    <w:p>
      <w:pPr>
        <w:ind w:firstLine="422"/>
        <w:keepLines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第二条  双方的权利和义务</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1、协助、配合乙方收集工作区内相关资料</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2、为乙方工作提供便利条件，协调好各部门关系。</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3、保证工作经费的及时到位。</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1、按照国家和江苏省相关法律法规、技术要求、标准规范等开展工作，</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2、及时向甲方汇报项目进展，工作中出现问题及时同甲方沟通解决。</w:t>
      </w:r>
      <w:r/>
    </w:p>
    <w:p>
      <w:pPr>
        <w:pStyle w:val="970"/>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3、按时提交成果，并配合甲方要求做好成果应用服务工作。</w:t>
      </w:r>
      <w:r/>
    </w:p>
    <w:p>
      <w:pPr>
        <w:pStyle w:val="807"/>
        <w:ind w:firstLine="420"/>
        <w:keepLines w:val="0"/>
        <w:pageBreakBefore w:val="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乙方承诺：乙方将对在甲方指定地点因履行义务而知晓的所有内部信息严格保守秘密,绝不将该等信息泄露给任何第三方；在服务项目结束或阶段性工作结束后,协议所涉及的由甲方送交给乙方的一切保密信息,无论是书面的还是其他具体形式,均需立即交还提供方,或者予以销毁,且有关销毁凭证应同时送交给对方；</w:t>
      </w:r>
      <w:r/>
    </w:p>
    <w:p>
      <w:pPr>
        <w:ind w:firstLine="422"/>
        <w:keepLines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第三条  合同金额与支付</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1、根据本项目采购结果，合同总金额为人民币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contextualSpacing/>
        <w:ind w:firstLine="420"/>
        <w:jc w:val="both"/>
        <w:keepLines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合同价格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3、付款方式：</w:t>
      </w:r>
      <w:r/>
    </w:p>
    <w:p>
      <w:pPr>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合同签订后支付中标额的20%，完成总体规划动态维护初稿成果支付中标额的30%，完成总体规划动态维护成果并上报省厅后支付中标额的30%，经国土空间规划五年实施评估需修改规划，总体规划修改方案批准并上报省厅后支付中标额的20%。</w:t>
      </w:r>
      <w:r/>
    </w:p>
    <w:p>
      <w:pPr>
        <w:pStyle w:val="781"/>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2、每次支付前，</w:t>
      </w:r>
      <w:r>
        <w:rPr>
          <w:rFonts w:hint="eastAsia" w:ascii="宋体" w:hAnsi="宋体" w:cs="宋体"/>
          <w:color w:val="auto"/>
          <w:sz w:val="21"/>
          <w:szCs w:val="21"/>
          <w:highlight w:val="none"/>
          <w:lang w:val="en-US" w:eastAsia="zh-CN"/>
        </w:rPr>
        <w:t xml:space="preserve">乙方应向甲方出具与应付款金额同等的普通发票（税率【6】%），否则甲方有权拒绝支付并不承担违约责任，且乙方不得中止、延迟、终止履行本协议。</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4、乙方开户银行：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第四条、税费</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中国政府根据现行税法规定对乙方征收的、与本合同有关的一切税费，均由乙方负担。</w:t>
      </w:r>
      <w:r/>
    </w:p>
    <w:p>
      <w:pPr>
        <w:ind w:firstLine="422"/>
        <w:keepLines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第五条  技术情报及资料的保管</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乙方负责对甲方所提供资料及最终成果的保密。</w:t>
      </w:r>
      <w:r/>
    </w:p>
    <w:p>
      <w:pPr>
        <w:ind w:firstLine="422"/>
        <w:keepLines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第六条  技术成果的归属和分享</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项目所完成的技术成果全部属于甲方所有（包括著作权等全部知识产权），未经甲方许可，乙方不得将成果全部或部分分批泄露或提供给第三方。</w:t>
      </w:r>
      <w:r/>
    </w:p>
    <w:p>
      <w:pPr>
        <w:pStyle w:val="970"/>
        <w:ind w:firstLine="422"/>
        <w:keepLines w:val="0"/>
        <w:pageBreakBefore w:val="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第七条  </w:t>
      </w:r>
      <w:r>
        <w:rPr>
          <w:rFonts w:hint="eastAsia" w:ascii="宋体" w:hAnsi="宋体" w:cs="宋体"/>
          <w:b/>
          <w:bCs/>
          <w:color w:val="auto"/>
          <w:sz w:val="21"/>
          <w:szCs w:val="21"/>
          <w:highlight w:val="none"/>
        </w:rPr>
        <w:t xml:space="preserve">质量要求</w:t>
      </w:r>
      <w:r/>
    </w:p>
    <w:p>
      <w:pPr>
        <w:contextualSpacing/>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1、为保证本项目实施的科学性、规范性和准确性，技术设计需严格遵照国家有关法律、法规、规章制度以及国家和行业颁布的相关技术标准和规范。</w:t>
      </w:r>
      <w:r/>
    </w:p>
    <w:p>
      <w:pPr>
        <w:contextualSpacing/>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2、在项目成果通过验收并实施过程中，按照项目实际需求，配合采购人进一步完善成果细节，以满足建设要求</w:t>
      </w:r>
      <w:r>
        <w:rPr>
          <w:rFonts w:ascii="宋体" w:hAnsi="宋体" w:cs="宋体"/>
          <w:color w:val="auto"/>
          <w:sz w:val="21"/>
          <w:szCs w:val="21"/>
          <w:highlight w:val="none"/>
        </w:rPr>
        <w:t xml:space="preserve">；</w:t>
      </w:r>
      <w:r/>
    </w:p>
    <w:p>
      <w:pPr>
        <w:contextualSpacing/>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3、乙方需在规定的时间内完成项目服务工作，甲方将组织对成果进行确认、验收，如发现与要求不符等问题，应作详细记录，甲方有权要求终止服务，由此造成的各种费用损失均由乙方承担；</w:t>
      </w:r>
      <w:r/>
    </w:p>
    <w:p>
      <w:pPr>
        <w:contextualSpacing/>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4、乙方应对甲方提供的资料、信息有保密责任，不得泄漏给任何第三方；</w:t>
      </w:r>
      <w:r/>
    </w:p>
    <w:p>
      <w:pPr>
        <w:contextualSpacing/>
        <w:ind w:firstLine="420"/>
        <w:jc w:val="both"/>
        <w:keepLines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5、乙方在服务期间，如将承担的服务转包他人，或者出现弄虚作假欺骗用户，将被解除服务合同；</w:t>
      </w:r>
      <w:r/>
    </w:p>
    <w:p>
      <w:pPr>
        <w:contextualSpacing/>
        <w:ind w:firstLine="420"/>
        <w:jc w:val="both"/>
        <w:keepLines w:val="0"/>
        <w:pageBreakBefore w:val="0"/>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验收标准：按本招标文件、供应商的投标文件、承诺及行业相关标准为准。</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第八条  风险责任的承担：</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乙方需按期完成所承担的工作，若因乙方未按期完成应承担的工作造成项目延误，其风险责任由乙方承担。</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第九条  违约责任</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1、违约责任</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2、甲方违约责任</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在合同生效后，甲方无正当理由要求解除合同的，应向乙方偿付合同总价款10%的违约金</w:t>
      </w:r>
      <w:bookmarkStart w:id="21" w:name="_Hlk112854527"/>
      <w:r>
        <w:rPr>
          <w:rFonts w:hint="eastAsia" w:ascii="宋体" w:hAnsi="宋体" w:cs="宋体"/>
          <w:color w:val="auto"/>
          <w:sz w:val="21"/>
          <w:szCs w:val="21"/>
          <w:highlight w:val="none"/>
        </w:rPr>
        <w:t xml:space="preserve">。</w:t>
      </w:r>
      <w:bookmarkEnd w:id="21"/>
      <w:r/>
      <w:r/>
    </w:p>
    <w:p>
      <w:pPr>
        <w:numPr>
          <w:ilvl w:val="0"/>
          <w:numId w:val="8"/>
        </w:num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乙方违约责任</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w:t>
      </w:r>
      <w:r>
        <w:rPr>
          <w:rFonts w:hint="eastAsia" w:ascii="宋体" w:hAnsi="宋体" w:cs="宋体"/>
          <w:color w:val="auto"/>
          <w:sz w:val="21"/>
          <w:szCs w:val="21"/>
          <w:highlight w:val="none"/>
          <w:lang w:val="en-US" w:eastAsia="zh-CN"/>
        </w:rPr>
        <w:t xml:space="preserve">甲</w:t>
      </w:r>
      <w:r>
        <w:rPr>
          <w:rFonts w:hint="eastAsia" w:ascii="宋体" w:hAnsi="宋体" w:cs="宋体"/>
          <w:color w:val="auto"/>
          <w:sz w:val="21"/>
          <w:szCs w:val="21"/>
          <w:highlight w:val="none"/>
        </w:rPr>
        <w:t xml:space="preserve">方有权要求</w:t>
      </w:r>
      <w:r>
        <w:rPr>
          <w:rFonts w:hint="eastAsia" w:ascii="宋体" w:hAnsi="宋体" w:cs="宋体"/>
          <w:color w:val="auto"/>
          <w:sz w:val="21"/>
          <w:szCs w:val="21"/>
          <w:highlight w:val="none"/>
          <w:lang w:val="en-US" w:eastAsia="zh-CN"/>
        </w:rPr>
        <w:t xml:space="preserve">乙</w:t>
      </w:r>
      <w:r>
        <w:rPr>
          <w:rFonts w:hint="eastAsia" w:ascii="宋体" w:hAnsi="宋体" w:cs="宋体"/>
          <w:color w:val="auto"/>
          <w:sz w:val="21"/>
          <w:szCs w:val="21"/>
          <w:highlight w:val="none"/>
        </w:rPr>
        <w:t xml:space="preserve">方补足。</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（2）在合同生效后，乙方要求解除合同的，应向甲方偿付合同总价款10%的违约金，违约金不足以补偿损失的，甲方有权要求乙方补足。</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（3）乙方不能履行合同或者拒绝履行合同，从而影响甲方按期正常使用的，甲方有权解除合同，乙方向甲方偿付合同总价款10%的违约金，违约金不足以补偿损失的甲方有权要求乙方补足。</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4、不可抗力</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（3）本条所述的“不可抗力”系指下列甲、乙双方无法控制、不可预见的事件，但不包括甲、乙双方的违约或疏忽。这些事件包括：战争、严重火灾、洪水、台风、地震、疫情以及其他甲方和乙方商定的事件。</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第十条  </w:t>
      </w:r>
      <w:r>
        <w:rPr>
          <w:rFonts w:hint="eastAsia" w:ascii="宋体" w:hAnsi="宋体" w:cs="宋体"/>
          <w:b/>
          <w:bCs/>
          <w:color w:val="auto"/>
          <w:sz w:val="21"/>
          <w:szCs w:val="21"/>
          <w:highlight w:val="none"/>
        </w:rPr>
        <w:t xml:space="preserve">索赔</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w:t>
      </w:r>
      <w:r>
        <w:rPr>
          <w:rFonts w:hint="eastAsia" w:ascii="宋体" w:hAnsi="宋体" w:cs="宋体"/>
          <w:color w:val="auto"/>
          <w:sz w:val="21"/>
          <w:szCs w:val="21"/>
          <w:highlight w:val="none"/>
          <w:lang w:val="en-US" w:eastAsia="zh-CN"/>
        </w:rPr>
        <w:t xml:space="preserve">须</w:t>
      </w:r>
      <w:r>
        <w:rPr>
          <w:rFonts w:hint="eastAsia" w:ascii="宋体" w:hAnsi="宋体" w:cs="宋体"/>
          <w:color w:val="auto"/>
          <w:sz w:val="21"/>
          <w:szCs w:val="21"/>
          <w:highlight w:val="none"/>
        </w:rPr>
        <w:t xml:space="preserve">赔偿甲方生效司法或行政文书所确认的金额。</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第十一条  </w:t>
      </w:r>
      <w:r>
        <w:rPr>
          <w:rFonts w:hint="eastAsia" w:ascii="宋体" w:hAnsi="宋体" w:cs="宋体"/>
          <w:b/>
          <w:bCs/>
          <w:color w:val="auto"/>
          <w:sz w:val="21"/>
          <w:szCs w:val="21"/>
          <w:highlight w:val="none"/>
        </w:rPr>
        <w:t xml:space="preserve">合同的转让</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合同的部分和全部都不得转让，否则甲方有权解除本合同。</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第十二条  </w:t>
      </w:r>
      <w:r>
        <w:rPr>
          <w:rFonts w:hint="eastAsia" w:ascii="宋体" w:hAnsi="宋体" w:cs="宋体"/>
          <w:b/>
          <w:bCs/>
          <w:color w:val="auto"/>
          <w:sz w:val="21"/>
          <w:szCs w:val="21"/>
          <w:highlight w:val="none"/>
        </w:rPr>
        <w:t xml:space="preserve">合同的解除：</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1、甲方和乙方协商一致，可以解除合同。</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keepLines w:val="0"/>
        <w:pageBreakBefore w:val="0"/>
        <w:spacing w:line="360" w:lineRule="auto"/>
        <w:tabs>
          <w:tab w:val="left" w:pos="10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firstLine="420"/>
        <w:keepLines w:val="0"/>
        <w:pageBreakBefore w:val="0"/>
        <w:spacing w:line="360" w:lineRule="auto"/>
        <w:tabs>
          <w:tab w:val="left" w:pos="10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（2）因合同一方违约导致合同不能履行，另一方有权解除合同。</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3、有权解除合同的一方，应当在违约事实或不可抗力发生之后书面通知对方以主张解除合同，合同在书面通知到达对方时解除</w:t>
      </w:r>
      <w:r/>
    </w:p>
    <w:p>
      <w:pPr>
        <w:ind w:firstLine="422"/>
        <w:keepLines w:val="0"/>
        <w:pageBreakBefore w:val="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第十三条  </w:t>
      </w:r>
      <w:r>
        <w:rPr>
          <w:rFonts w:hint="eastAsia" w:ascii="宋体" w:hAnsi="宋体" w:cs="宋体"/>
          <w:b/>
          <w:bCs/>
          <w:color w:val="auto"/>
          <w:sz w:val="21"/>
          <w:szCs w:val="21"/>
          <w:highlight w:val="none"/>
        </w:rPr>
        <w:t xml:space="preserve">争议处置</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执行本合同中所发生的一切争议，甲方、乙方应通过友好协商的办法进行解决，如协商不能解决的，可依法向甲方所在地人民法院提起诉讼。因此产生的一切相关诉讼费用和成本(包括但不限于:诉讼费、公告费、拍卖费、保全费</w:t>
      </w:r>
      <w:r>
        <w:rPr>
          <w:rFonts w:hint="eastAsia" w:ascii="宋体" w:hAnsi="宋体" w:cs="宋体"/>
          <w:color w:val="auto"/>
          <w:sz w:val="21"/>
          <w:szCs w:val="21"/>
          <w:highlight w:val="none"/>
          <w:lang w:val="en-US" w:eastAsia="zh-CN"/>
        </w:rPr>
        <w:t xml:space="preserve">和</w:t>
      </w:r>
      <w:r>
        <w:rPr>
          <w:rFonts w:hint="eastAsia" w:ascii="宋体" w:hAnsi="宋体" w:cs="宋体"/>
          <w:color w:val="auto"/>
          <w:sz w:val="21"/>
          <w:szCs w:val="21"/>
          <w:highlight w:val="none"/>
        </w:rPr>
        <w:t xml:space="preserve">保全保险费、调查费、差旅费、公证费、鉴定费、翻译费、律师费等)均由违约方承担。</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第十四条  </w:t>
      </w:r>
      <w:r>
        <w:rPr>
          <w:rFonts w:hint="eastAsia" w:ascii="宋体" w:hAnsi="宋体" w:cs="宋体"/>
          <w:b/>
          <w:bCs/>
          <w:color w:val="auto"/>
          <w:sz w:val="21"/>
          <w:szCs w:val="21"/>
          <w:highlight w:val="none"/>
        </w:rPr>
        <w:t xml:space="preserve">合同生效及其它：</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1、本合同经双方</w:t>
      </w:r>
      <w:r>
        <w:rPr>
          <w:rFonts w:hint="eastAsia" w:ascii="宋体" w:hAnsi="宋体" w:cs="宋体"/>
          <w:color w:val="auto"/>
          <w:sz w:val="21"/>
          <w:szCs w:val="21"/>
          <w:highlight w:val="none"/>
          <w:lang w:val="en-US" w:eastAsia="zh-CN"/>
        </w:rPr>
        <w:t xml:space="preserve">法定代表人或授权代表</w:t>
      </w:r>
      <w:r>
        <w:rPr>
          <w:rFonts w:hint="eastAsia" w:ascii="宋体" w:hAnsi="宋体" w:cs="宋体"/>
          <w:color w:val="auto"/>
          <w:sz w:val="21"/>
          <w:szCs w:val="21"/>
          <w:highlight w:val="none"/>
        </w:rPr>
        <w:t xml:space="preserve">签字盖章后生效，并向招标代理机构备案。</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ind w:firstLine="42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第十五条 特别条款</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2、本合同一式</w:t>
      </w:r>
      <w:r>
        <w:rPr>
          <w:rFonts w:hint="eastAsia" w:ascii="宋体" w:hAnsi="宋体" w:cs="宋体"/>
          <w:color w:val="auto"/>
          <w:sz w:val="21"/>
          <w:szCs w:val="21"/>
          <w:highlight w:val="none"/>
          <w:u w:val="single"/>
        </w:rPr>
        <w:t xml:space="preserve">伍</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贰</w:t>
      </w:r>
      <w:r>
        <w:rPr>
          <w:rFonts w:hint="eastAsia" w:ascii="宋体" w:hAnsi="宋体" w:cs="宋体"/>
          <w:color w:val="auto"/>
          <w:sz w:val="21"/>
          <w:szCs w:val="21"/>
          <w:highlight w:val="none"/>
        </w:rPr>
        <w:t xml:space="preserve">份，代理机构</w:t>
      </w:r>
      <w:r>
        <w:rPr>
          <w:rFonts w:hint="eastAsia" w:ascii="宋体" w:hAnsi="宋体" w:cs="宋体"/>
          <w:color w:val="auto"/>
          <w:sz w:val="21"/>
          <w:szCs w:val="21"/>
          <w:highlight w:val="none"/>
          <w:u w:val="single"/>
        </w:rPr>
        <w:t xml:space="preserve">壹</w:t>
      </w:r>
      <w:r>
        <w:rPr>
          <w:rFonts w:hint="eastAsia" w:ascii="宋体" w:hAnsi="宋体" w:cs="宋体"/>
          <w:color w:val="auto"/>
          <w:sz w:val="21"/>
          <w:szCs w:val="21"/>
          <w:highlight w:val="none"/>
        </w:rPr>
        <w:t xml:space="preserve">份，各份具有同等法律效力。</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textDirection w:val="lrTb"/>
            <w:noWrap w:val="false"/>
          </w:tcPr>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甲方（盖章）：太仓市自然资源和规划局</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346" w:type="dxa"/>
            <w:textDirection w:val="lrTb"/>
            <w:noWrap w:val="false"/>
          </w:tcPr>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法定</w:t>
            </w:r>
            <w:r>
              <w:rPr>
                <w:rFonts w:hint="eastAsia" w:ascii="宋体" w:hAnsi="宋体" w:cs="宋体"/>
                <w:color w:val="auto"/>
                <w:sz w:val="21"/>
                <w:szCs w:val="21"/>
                <w:highlight w:val="none"/>
              </w:rPr>
              <w:t xml:space="preserve">代表人</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或</w:t>
            </w:r>
            <w:r>
              <w:rPr>
                <w:rFonts w:hint="eastAsia" w:ascii="宋体" w:hAnsi="宋体" w:cs="宋体"/>
                <w:color w:val="auto"/>
                <w:sz w:val="21"/>
                <w:szCs w:val="21"/>
                <w:highlight w:val="none"/>
                <w:lang w:val="en-US" w:eastAsia="zh-CN"/>
              </w:rPr>
              <w:t xml:space="preserve">授权代表</w:t>
            </w:r>
            <w:r>
              <w:rPr>
                <w:rFonts w:hint="eastAsia" w:ascii="宋体" w:hAnsi="宋体" w:cs="宋体"/>
                <w:color w:val="auto"/>
                <w:sz w:val="21"/>
                <w:szCs w:val="21"/>
                <w:highlight w:val="none"/>
              </w:rPr>
              <w:t xml:space="preserve">（签字）：</w:t>
            </w:r>
            <w:r/>
          </w:p>
        </w:tc>
        <w:tc>
          <w:tcPr>
            <w:tcW w:w="4346" w:type="dxa"/>
            <w:vAlign w:val="center"/>
            <w:textDirection w:val="lrTb"/>
            <w:noWrap w:val="false"/>
          </w:tcPr>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法定</w:t>
            </w:r>
            <w:r>
              <w:rPr>
                <w:rFonts w:hint="eastAsia" w:ascii="宋体" w:hAnsi="宋体" w:cs="宋体"/>
                <w:color w:val="auto"/>
                <w:sz w:val="21"/>
                <w:szCs w:val="21"/>
                <w:highlight w:val="none"/>
              </w:rPr>
              <w:t xml:space="preserve">代表人</w:t>
            </w:r>
            <w:r/>
          </w:p>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或</w:t>
            </w:r>
            <w:r>
              <w:rPr>
                <w:rFonts w:hint="eastAsia" w:ascii="宋体" w:hAnsi="宋体" w:cs="宋体"/>
                <w:color w:val="auto"/>
                <w:sz w:val="21"/>
                <w:szCs w:val="21"/>
                <w:highlight w:val="none"/>
                <w:lang w:val="en-US" w:eastAsia="zh-CN"/>
              </w:rPr>
              <w:t xml:space="preserve">授权代表</w:t>
            </w:r>
            <w:r>
              <w:rPr>
                <w:rFonts w:hint="eastAsia" w:ascii="宋体" w:hAnsi="宋体" w:cs="宋体"/>
                <w:color w:val="auto"/>
                <w:sz w:val="21"/>
                <w:szCs w:val="21"/>
                <w:highlight w:val="none"/>
              </w:rPr>
              <w:t xml:space="preserve">（签字）：</w:t>
            </w:r>
            <w:r/>
          </w:p>
        </w:tc>
      </w:tr>
      <w:tr>
        <w:trPr>
          <w:jc w:val="center"/>
          <w:trHeight w:val="903"/>
        </w:trPr>
        <w:tc>
          <w:tcPr>
            <w:tcW w:w="4977" w:type="dxa"/>
            <w:vAlign w:val="center"/>
            <w:textDirection w:val="lrTb"/>
            <w:noWrap w:val="false"/>
          </w:tcPr>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c>
          <w:tcPr>
            <w:tcW w:w="4346" w:type="dxa"/>
            <w:vAlign w:val="center"/>
            <w:textDirection w:val="lrTb"/>
            <w:noWrap w:val="false"/>
          </w:tcPr>
          <w:p>
            <w:pPr>
              <w:ind w:firstLine="420"/>
              <w:keepLines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r>
    </w:tbl>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7"/>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w:t>
      </w:r>
      <w:r/>
    </w:p>
    <w:p>
      <w:pPr>
        <w:jc w:val="center"/>
        <w:keepLines/>
        <w:keepNext/>
        <w:spacing w:before="320" w:after="200"/>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spacing w:line="44"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776"/>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5"/>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411" w:right="2893" w:hanging="54"/>
              <w:spacing w:before="75" w:line="507"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日</w:t>
            </w:r>
            <w:r/>
          </w:p>
        </w:tc>
      </w:tr>
    </w:tbl>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19"/>
          <w:sz w:val="21"/>
          <w:szCs w:val="21"/>
          <w:highlight w:val="none"/>
        </w:rPr>
        <w:t xml:space="preserve">政府采购履约验收书参考样本(服务类)</w:t>
      </w:r>
      <w:r/>
    </w:p>
    <w:tbl>
      <w:tblPr>
        <w:tblStyle w:val="776"/>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363"/>
        <w:gridCol w:w="1519"/>
        <w:gridCol w:w="464"/>
        <w:gridCol w:w="1052"/>
        <w:gridCol w:w="1579"/>
      </w:tblGrid>
      <w:tr>
        <w:trPr>
          <w:gridBefore w:val="1"/>
          <w:trHeight w:val="562"/>
        </w:trPr>
        <w:tc>
          <w:tcPr>
            <w:tcW w:w="1339" w:type="dxa"/>
            <w:textDirection w:val="lrTb"/>
            <w:noWrap w:val="false"/>
          </w:tcPr>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采购人</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项目名称</w:t>
            </w:r>
            <w:r/>
          </w:p>
        </w:tc>
        <w:tc>
          <w:tcPr>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3"/>
            <w:tcW w:w="3035" w:type="dxa"/>
            <w:textDirection w:val="lrTb"/>
            <w:noWrap w:val="false"/>
          </w:tcPr>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合同名称</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64"/>
        </w:trPr>
        <w:tc>
          <w:tcPr>
            <w:tcW w:w="1339" w:type="dxa"/>
            <w:textDirection w:val="lrTb"/>
            <w:noWrap w:val="false"/>
          </w:tcPr>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供应商</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项目及合同编号</w:t>
            </w:r>
            <w:r/>
          </w:p>
        </w:tc>
        <w:tc>
          <w:tcPr>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3"/>
            <w:tcW w:w="3035" w:type="dxa"/>
            <w:textDirection w:val="lrTb"/>
            <w:noWrap w:val="false"/>
          </w:tcPr>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合同金额</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59"/>
        </w:trPr>
        <w:tc>
          <w:tcPr>
            <w:tcW w:w="1339" w:type="dxa"/>
            <w:textDirection w:val="lrTb"/>
            <w:noWrap w:val="false"/>
          </w:tcPr>
          <w:p>
            <w:pPr>
              <w:pStyle w:val="1043"/>
              <w:ind w:left="0"/>
              <w:keepLines w:val="0"/>
              <w:keepNext w:val="0"/>
              <w:pageBreakBefore w:val="0"/>
              <w:spacing w:line="2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分期（段）验收</w:t>
            </w:r>
            <w:r/>
          </w:p>
        </w:tc>
        <w:tc>
          <w:tcPr>
            <w:tcW w:w="1251" w:type="dxa"/>
            <w:textDirection w:val="lrTb"/>
            <w:noWrap w:val="false"/>
          </w:tcPr>
          <w:p>
            <w:pPr>
              <w:pStyle w:val="1043"/>
              <w:ind w:left="0"/>
              <w:keepLines w:val="0"/>
              <w:keepNext w:val="0"/>
              <w:pageBreakBefore w:val="0"/>
              <w:spacing w:line="2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6"/>
                <w:position w:val="1"/>
                <w:sz w:val="21"/>
                <w:szCs w:val="21"/>
                <w:highlight w:val="none"/>
              </w:rPr>
              <w:t xml:space="preserve">是□否□</w:t>
            </w:r>
            <w:r/>
          </w:p>
        </w:tc>
        <w:tc>
          <w:tcPr>
            <w:tcW w:w="1257" w:type="dxa"/>
            <w:textDirection w:val="lrTb"/>
            <w:noWrap w:val="false"/>
          </w:tcPr>
          <w:p>
            <w:pPr>
              <w:pStyle w:val="1043"/>
              <w:ind w:left="0"/>
              <w:keepLines w:val="0"/>
              <w:keepNext w:val="0"/>
              <w:pageBreakBefore w:val="0"/>
              <w:spacing w:line="2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分期（段）情况</w:t>
            </w:r>
            <w:r/>
          </w:p>
        </w:tc>
        <w:tc>
          <w:tcPr>
            <w:gridSpan w:val="5"/>
            <w:tcW w:w="5977" w:type="dxa"/>
            <w:textDirection w:val="lrTb"/>
            <w:noWrap w:val="false"/>
          </w:tcPr>
          <w:p>
            <w:pPr>
              <w:pStyle w:val="1043"/>
              <w:ind w:left="0"/>
              <w:keepLines w:val="0"/>
              <w:keepNext w:val="0"/>
              <w:pageBreakBefore w:val="0"/>
              <w:spacing w:line="2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position w:val="1"/>
                <w:sz w:val="21"/>
                <w:szCs w:val="21"/>
                <w:highlight w:val="none"/>
                <w:lang w:eastAsia="zh-CN"/>
              </w:rPr>
              <w:t xml:space="preserve">共分   期（段</w:t>
            </w:r>
            <w:r>
              <w:rPr>
                <w:rFonts w:hint="eastAsia" w:ascii="宋体" w:hAnsi="宋体" w:eastAsia="宋体" w:cs="宋体"/>
                <w:color w:val="auto"/>
                <w:spacing w:val="6"/>
                <w:position w:val="1"/>
                <w:sz w:val="21"/>
                <w:szCs w:val="21"/>
                <w:highlight w:val="none"/>
                <w:lang w:eastAsia="zh-CN"/>
              </w:rPr>
              <w:t xml:space="preserve">），</w:t>
            </w:r>
            <w:r>
              <w:rPr>
                <w:rFonts w:hint="eastAsia" w:ascii="宋体" w:hAnsi="宋体" w:eastAsia="宋体" w:cs="宋体"/>
                <w:color w:val="auto"/>
                <w:spacing w:val="-1"/>
                <w:position w:val="1"/>
                <w:sz w:val="21"/>
                <w:szCs w:val="21"/>
                <w:highlight w:val="none"/>
                <w:lang w:eastAsia="zh-CN"/>
              </w:rPr>
              <w:t xml:space="preserve">此为第   期（段）验收</w:t>
            </w:r>
            <w:r/>
          </w:p>
        </w:tc>
      </w:tr>
      <w:tr>
        <w:trPr>
          <w:gridBefore w:val="1"/>
          <w:trHeight w:val="1420"/>
        </w:trPr>
        <w:tc>
          <w:tcPr>
            <w:tcW w:w="1339"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验收时间</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验收地点</w:t>
            </w:r>
            <w:r/>
          </w:p>
        </w:tc>
        <w:tc>
          <w:tcPr>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3"/>
            <w:tcW w:w="3035"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验收组织形式</w:t>
            </w:r>
            <w:r/>
          </w:p>
        </w:tc>
        <w:tc>
          <w:tcPr>
            <w:tcW w:w="1579" w:type="dxa"/>
            <w:textDirection w:val="lrTb"/>
            <w:noWrap w:val="false"/>
          </w:tcPr>
          <w:p>
            <w:pPr>
              <w:pStyle w:val="1043"/>
              <w:ind w:left="0"/>
              <w:keepLines w:val="0"/>
              <w:keepNext w:val="0"/>
              <w:pageBreakBefore w:val="0"/>
              <w:spacing w:line="239"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position w:val="1"/>
                <w:sz w:val="21"/>
                <w:szCs w:val="21"/>
                <w:highlight w:val="none"/>
                <w:lang w:eastAsia="zh-CN"/>
              </w:rPr>
              <w:t xml:space="preserve">□自行简易验收</w:t>
            </w:r>
            <w:r/>
          </w:p>
          <w:p>
            <w:pPr>
              <w:ind w:left="0"/>
              <w:keepLines w:val="0"/>
              <w:keepNext w:val="0"/>
              <w:pageBreakBefore w:val="0"/>
              <w:spacing w:line="2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position w:val="1"/>
                <w:sz w:val="21"/>
                <w:szCs w:val="21"/>
                <w:highlight w:val="none"/>
                <w:lang w:eastAsia="zh-CN"/>
              </w:rPr>
              <w:t xml:space="preserve">□验收小组验收</w:t>
            </w:r>
            <w:r/>
          </w:p>
          <w:p>
            <w:pPr>
              <w:ind w:left="0"/>
              <w:keepLines w:val="0"/>
              <w:keepNext w:val="0"/>
              <w:pageBreakBefore w:val="0"/>
              <w:spacing w:line="26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39"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□采购代理机构验收</w:t>
            </w:r>
            <w:r/>
          </w:p>
        </w:tc>
      </w:tr>
      <w:tr>
        <w:trPr>
          <w:gridBefore w:val="1"/>
          <w:trHeight w:val="641"/>
        </w:trPr>
        <w:tc>
          <w:tcPr>
            <w:tcBorders>
              <w:bottom w:val="none" w:color="000000" w:sz="4" w:space="0"/>
            </w:tcBorders>
            <w:tcW w:w="1339" w:type="dxa"/>
            <w:vMerge w:val="restart"/>
            <w:textDirection w:val="lrTb"/>
            <w:noWrap w:val="false"/>
          </w:tcPr>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验收内容</w:t>
            </w:r>
            <w:r/>
          </w:p>
        </w:tc>
        <w:tc>
          <w:tcPr>
            <w:tcW w:w="1251" w:type="dxa"/>
            <w:vAlign w:val="center"/>
            <w:vMerge w:val="restart"/>
            <w:textDirection w:val="lrTb"/>
            <w:noWrap w:val="false"/>
          </w:tcPr>
          <w:p>
            <w:pPr>
              <w:pStyle w:val="1043"/>
              <w:ind w:left="0"/>
              <w:jc w:val="center"/>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服务质量</w:t>
            </w:r>
            <w:r/>
          </w:p>
        </w:tc>
        <w:tc>
          <w:tcPr>
            <w:tcW w:w="1257" w:type="dxa"/>
            <w:vAlign w:val="center"/>
            <w:textDirection w:val="lrTb"/>
            <w:noWrap w:val="false"/>
          </w:tcPr>
          <w:p>
            <w:pPr>
              <w:pStyle w:val="1043"/>
              <w:ind w:left="0"/>
              <w:jc w:val="center"/>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服务进度</w:t>
            </w:r>
            <w:r/>
          </w:p>
        </w:tc>
        <w:tc>
          <w:tcPr>
            <w:tcW w:w="1363" w:type="dxa"/>
            <w:vAlign w:val="center"/>
            <w:textDirection w:val="lrTb"/>
            <w:noWrap w:val="false"/>
          </w:tcPr>
          <w:p>
            <w:pPr>
              <w:pStyle w:val="1043"/>
              <w:ind w:left="0"/>
              <w:jc w:val="center"/>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人员、设备 配备情况</w:t>
            </w:r>
            <w:r/>
          </w:p>
        </w:tc>
        <w:tc>
          <w:tcPr>
            <w:tcW w:w="1519" w:type="dxa"/>
            <w:vAlign w:val="center"/>
            <w:textDirection w:val="lrTb"/>
            <w:noWrap w:val="false"/>
          </w:tcPr>
          <w:p>
            <w:pPr>
              <w:pStyle w:val="1043"/>
              <w:ind w:left="0"/>
              <w:jc w:val="center"/>
              <w:keepLines w:val="0"/>
              <w:keepNext w:val="0"/>
              <w:pageBreakBefore w:val="0"/>
              <w:spacing w:line="209"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行业、安全标准</w:t>
            </w:r>
            <w:r/>
          </w:p>
        </w:tc>
        <w:tc>
          <w:tcPr>
            <w:gridSpan w:val="2"/>
            <w:tcW w:w="1516" w:type="dxa"/>
            <w:vAlign w:val="center"/>
            <w:textDirection w:val="lrTb"/>
            <w:noWrap w:val="false"/>
          </w:tcPr>
          <w:p>
            <w:pPr>
              <w:pStyle w:val="1043"/>
              <w:ind w:left="0"/>
              <w:jc w:val="center"/>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项目需求、服务承诺</w:t>
            </w:r>
            <w:r/>
          </w:p>
        </w:tc>
        <w:tc>
          <w:tcPr>
            <w:tcW w:w="1579" w:type="dxa"/>
            <w:vAlign w:val="center"/>
            <w:textDirection w:val="lrTb"/>
            <w:noWrap w:val="false"/>
          </w:tcPr>
          <w:p>
            <w:pPr>
              <w:pStyle w:val="1043"/>
              <w:ind w:left="0"/>
              <w:jc w:val="center"/>
              <w:keepLines w:val="0"/>
              <w:keepNext w:val="0"/>
              <w:pageBreakBefore w:val="0"/>
              <w:spacing w:line="208"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合同履约时间、 地点、方式</w:t>
            </w:r>
            <w:r/>
          </w:p>
        </w:tc>
      </w:tr>
      <w:tr>
        <w:trPr>
          <w:gridBefore w:val="1"/>
          <w:trHeight w:val="1119"/>
        </w:trPr>
        <w:tc>
          <w:tcPr>
            <w:tcBorders>
              <w:top w:val="none" w:color="000000" w:sz="4" w:space="0"/>
            </w:tcBorders>
            <w:tcW w:w="1339" w:type="dxa"/>
            <w:vMerge w:val="continue"/>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1" w:type="dxa"/>
            <w:vAlign w:val="center"/>
            <w:textDirection w:val="lrTb"/>
            <w:noWrap w:val="false"/>
          </w:tcPr>
          <w:p>
            <w:pPr>
              <w:pStyle w:val="1043"/>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合格□</w:t>
            </w:r>
            <w:r>
              <w:rPr>
                <w:rFonts w:hint="eastAsia" w:ascii="宋体" w:hAnsi="宋体" w:eastAsia="宋体" w:cs="宋体"/>
                <w:color w:val="auto"/>
                <w:spacing w:val="-3"/>
                <w:sz w:val="21"/>
                <w:szCs w:val="21"/>
                <w:highlight w:val="none"/>
              </w:rPr>
              <w:t xml:space="preserve">不合格□</w:t>
            </w:r>
            <w:r/>
          </w:p>
        </w:tc>
        <w:tc>
          <w:tcPr>
            <w:tcW w:w="1257" w:type="dxa"/>
            <w:vAlign w:val="center"/>
            <w:textDirection w:val="lrTb"/>
            <w:noWrap w:val="false"/>
          </w:tcPr>
          <w:p>
            <w:pPr>
              <w:pStyle w:val="1043"/>
              <w:ind w:left="0" w:hanging="1"/>
              <w:jc w:val="center"/>
              <w:keepLines w:val="0"/>
              <w:keepNext w:val="0"/>
              <w:pageBreakBefore w:val="0"/>
              <w:spacing w:line="43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按时□</w:t>
            </w:r>
            <w:r>
              <w:rPr>
                <w:rFonts w:hint="eastAsia" w:ascii="宋体" w:hAnsi="宋体" w:eastAsia="宋体" w:cs="宋体"/>
                <w:color w:val="auto"/>
                <w:spacing w:val="-3"/>
                <w:sz w:val="21"/>
                <w:szCs w:val="21"/>
                <w:highlight w:val="none"/>
              </w:rPr>
              <w:t xml:space="preserve">不按时□</w:t>
            </w:r>
            <w:r/>
          </w:p>
        </w:tc>
        <w:tc>
          <w:tcPr>
            <w:tcW w:w="1363" w:type="dxa"/>
            <w:vAlign w:val="center"/>
            <w:textDirection w:val="lrTb"/>
            <w:noWrap w:val="false"/>
          </w:tcPr>
          <w:p>
            <w:pPr>
              <w:pStyle w:val="1043"/>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合格□</w:t>
            </w:r>
            <w:r>
              <w:rPr>
                <w:rFonts w:hint="eastAsia" w:ascii="宋体" w:hAnsi="宋体" w:eastAsia="宋体" w:cs="宋体"/>
                <w:color w:val="auto"/>
                <w:spacing w:val="-3"/>
                <w:sz w:val="21"/>
                <w:szCs w:val="21"/>
                <w:highlight w:val="none"/>
              </w:rPr>
              <w:t xml:space="preserve">不合格□</w:t>
            </w:r>
            <w:r/>
          </w:p>
        </w:tc>
        <w:tc>
          <w:tcPr>
            <w:tcW w:w="1519" w:type="dxa"/>
            <w:vAlign w:val="center"/>
            <w:textDirection w:val="lrTb"/>
            <w:noWrap w:val="false"/>
          </w:tcPr>
          <w:p>
            <w:pPr>
              <w:pStyle w:val="1043"/>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合格□</w:t>
            </w:r>
            <w:r>
              <w:rPr>
                <w:rFonts w:hint="eastAsia" w:ascii="宋体" w:hAnsi="宋体" w:eastAsia="宋体" w:cs="宋体"/>
                <w:color w:val="auto"/>
                <w:spacing w:val="-3"/>
                <w:sz w:val="21"/>
                <w:szCs w:val="21"/>
                <w:highlight w:val="none"/>
              </w:rPr>
              <w:t xml:space="preserve">不合格□</w:t>
            </w:r>
            <w:r/>
          </w:p>
        </w:tc>
        <w:tc>
          <w:tcPr>
            <w:gridSpan w:val="2"/>
            <w:tcW w:w="1516" w:type="dxa"/>
            <w:vAlign w:val="center"/>
            <w:textDirection w:val="lrTb"/>
            <w:noWrap w:val="false"/>
          </w:tcPr>
          <w:p>
            <w:pPr>
              <w:pStyle w:val="1043"/>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合格□</w:t>
            </w:r>
            <w:r>
              <w:rPr>
                <w:rFonts w:hint="eastAsia" w:ascii="宋体" w:hAnsi="宋体" w:eastAsia="宋体" w:cs="宋体"/>
                <w:color w:val="auto"/>
                <w:spacing w:val="-3"/>
                <w:sz w:val="21"/>
                <w:szCs w:val="21"/>
                <w:highlight w:val="none"/>
              </w:rPr>
              <w:t xml:space="preserve">不合格□</w:t>
            </w:r>
            <w:r/>
          </w:p>
        </w:tc>
        <w:tc>
          <w:tcPr>
            <w:tcW w:w="1579" w:type="dxa"/>
            <w:vAlign w:val="center"/>
            <w:textDirection w:val="lrTb"/>
            <w:noWrap w:val="false"/>
          </w:tcPr>
          <w:p>
            <w:pPr>
              <w:pStyle w:val="1043"/>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合格□</w:t>
            </w:r>
            <w:r>
              <w:rPr>
                <w:rFonts w:hint="eastAsia" w:ascii="宋体" w:hAnsi="宋体" w:eastAsia="宋体" w:cs="宋体"/>
                <w:color w:val="auto"/>
                <w:spacing w:val="-3"/>
                <w:sz w:val="21"/>
                <w:szCs w:val="21"/>
                <w:highlight w:val="none"/>
              </w:rPr>
              <w:t xml:space="preserve">不合格□</w:t>
            </w:r>
            <w:r/>
          </w:p>
        </w:tc>
      </w:tr>
      <w:tr>
        <w:trPr>
          <w:gridBefore w:val="1"/>
          <w:trHeight w:val="1119"/>
        </w:trPr>
        <w:tc>
          <w:tcPr>
            <w:tcW w:w="1339" w:type="dxa"/>
            <w:textDirection w:val="lrTb"/>
            <w:noWrap w:val="false"/>
          </w:tcPr>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专业检测机构情</w:t>
            </w:r>
            <w:r/>
          </w:p>
          <w:p>
            <w:pPr>
              <w:ind w:left="0"/>
              <w:keepLines w:val="0"/>
              <w:keepNext w:val="0"/>
              <w:pageBreakBefore w:val="0"/>
              <w:spacing w:line="29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 xml:space="preserve">况说明</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20"/>
        </w:trPr>
        <w:tc>
          <w:tcPr>
            <w:tcW w:w="1339" w:type="dxa"/>
            <w:textDirection w:val="lrTb"/>
            <w:noWrap w:val="false"/>
          </w:tcPr>
          <w:p>
            <w:pPr>
              <w:ind w:left="0"/>
              <w:keepLines w:val="0"/>
              <w:keepNext w:val="0"/>
              <w:pageBreakBefore w:val="0"/>
              <w:spacing w:line="241"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存在问题</w:t>
            </w:r>
            <w:r/>
          </w:p>
          <w:p>
            <w:pPr>
              <w:ind w:left="0"/>
              <w:keepLines w:val="0"/>
              <w:keepNext w:val="0"/>
              <w:pageBreakBefore w:val="0"/>
              <w:spacing w:line="29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和改进意见</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687"/>
        </w:trPr>
        <w:tc>
          <w:tcPr>
            <w:gridSpan w:val="2"/>
            <w:tcW w:w="1345" w:type="dxa"/>
            <w:textDirection w:val="lrTb"/>
            <w:noWrap w:val="false"/>
          </w:tcPr>
          <w:p>
            <w:pPr>
              <w:ind w:left="0"/>
              <w:keepLines w:val="0"/>
              <w:keepNext w:val="0"/>
              <w:pageBreakBefore w:val="0"/>
              <w:spacing w:line="30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最终结论</w:t>
            </w:r>
            <w:r/>
          </w:p>
        </w:tc>
        <w:tc>
          <w:tcPr>
            <w:gridSpan w:val="7"/>
            <w:tcW w:w="8485" w:type="dxa"/>
            <w:textDirection w:val="lrTb"/>
            <w:noWrap w:val="false"/>
          </w:tcPr>
          <w:p>
            <w:pPr>
              <w:ind w:left="0"/>
              <w:keepLines w:val="0"/>
              <w:keepNext w:val="0"/>
              <w:pageBreakBefore w:val="0"/>
              <w:spacing w:line="27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firstLine="352"/>
              <w:keepLines w:val="0"/>
              <w:keepNext w:val="0"/>
              <w:pageBreakBefore w:val="0"/>
              <w:spacing w:line="2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合  格□不合格□</w:t>
            </w:r>
            <w:r/>
          </w:p>
        </w:tc>
      </w:tr>
      <w:tr>
        <w:trPr>
          <w:trHeight w:val="1119"/>
        </w:trPr>
        <w:tc>
          <w:tcPr>
            <w:gridSpan w:val="2"/>
            <w:tcW w:w="1345" w:type="dxa"/>
            <w:textDirection w:val="lrTb"/>
            <w:noWrap w:val="false"/>
          </w:tcPr>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验收小组成员</w:t>
            </w:r>
            <w:r/>
          </w:p>
          <w:p>
            <w:pPr>
              <w:ind w:left="0"/>
              <w:keepLines w:val="0"/>
              <w:keepNext w:val="0"/>
              <w:pageBreakBefore w:val="0"/>
              <w:spacing w:line="29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签字</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778"/>
        </w:trPr>
        <w:tc>
          <w:tcPr>
            <w:gridSpan w:val="7"/>
            <w:tcW w:w="7199" w:type="dxa"/>
            <w:textDirection w:val="lrTb"/>
            <w:noWrap w:val="false"/>
          </w:tcPr>
          <w:p>
            <w:pPr>
              <w:pStyle w:val="1043"/>
              <w:ind w:left="0"/>
              <w:keepLines w:val="0"/>
              <w:keepNext w:val="0"/>
              <w:pageBreakBefore w:val="0"/>
              <w:spacing w:line="208"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采购代理机构意见</w:t>
            </w:r>
            <w:r/>
          </w:p>
        </w:tc>
        <w:tc>
          <w:tcPr>
            <w:gridSpan w:val="2"/>
            <w:tcW w:w="2631" w:type="dxa"/>
            <w:textDirection w:val="lrTb"/>
            <w:noWrap w:val="false"/>
          </w:tcPr>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采购人意见</w:t>
            </w:r>
            <w:r/>
          </w:p>
        </w:tc>
      </w:tr>
      <w:tr>
        <w:trPr>
          <w:trHeight w:val="999"/>
        </w:trPr>
        <w:tc>
          <w:tcPr>
            <w:gridSpan w:val="7"/>
            <w:tcW w:w="7199"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38"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position w:val="1"/>
                <w:sz w:val="21"/>
                <w:szCs w:val="21"/>
                <w:highlight w:val="none"/>
                <w:lang w:eastAsia="zh-CN"/>
              </w:rPr>
              <w:t xml:space="preserve">经办人：         负责人</w:t>
            </w:r>
            <w:r>
              <w:rPr>
                <w:rFonts w:hint="eastAsia" w:ascii="宋体" w:hAnsi="宋体" w:eastAsia="宋体" w:cs="宋体"/>
                <w:color w:val="auto"/>
                <w:spacing w:val="-18"/>
                <w:position w:val="1"/>
                <w:sz w:val="21"/>
                <w:szCs w:val="21"/>
                <w:highlight w:val="none"/>
                <w:lang w:eastAsia="zh-CN"/>
              </w:rPr>
              <w:t xml:space="preserve">：（</w:t>
            </w:r>
            <w:r>
              <w:rPr>
                <w:rFonts w:hint="eastAsia" w:ascii="宋体" w:hAnsi="宋体" w:eastAsia="宋体" w:cs="宋体"/>
                <w:color w:val="auto"/>
                <w:spacing w:val="1"/>
                <w:position w:val="1"/>
                <w:sz w:val="21"/>
                <w:szCs w:val="21"/>
                <w:highlight w:val="none"/>
                <w:lang w:eastAsia="zh-CN"/>
              </w:rPr>
              <w:t xml:space="preserve">采购代理机构公章）</w:t>
            </w:r>
            <w:r/>
          </w:p>
        </w:tc>
        <w:tc>
          <w:tcPr>
            <w:gridSpan w:val="2"/>
            <w:tcW w:w="2631"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38"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position w:val="1"/>
                <w:sz w:val="21"/>
                <w:szCs w:val="21"/>
                <w:highlight w:val="none"/>
                <w:lang w:eastAsia="zh-CN"/>
              </w:rPr>
              <w:t xml:space="preserve">经办人：         负责人</w:t>
            </w:r>
            <w:r>
              <w:rPr>
                <w:rFonts w:hint="eastAsia" w:ascii="宋体" w:hAnsi="宋体" w:eastAsia="宋体" w:cs="宋体"/>
                <w:color w:val="auto"/>
                <w:spacing w:val="-17"/>
                <w:position w:val="1"/>
                <w:sz w:val="21"/>
                <w:szCs w:val="21"/>
                <w:highlight w:val="none"/>
                <w:lang w:eastAsia="zh-CN"/>
              </w:rPr>
              <w:t xml:space="preserve">：（</w:t>
            </w:r>
            <w:r>
              <w:rPr>
                <w:rFonts w:hint="eastAsia" w:ascii="宋体" w:hAnsi="宋体" w:eastAsia="宋体" w:cs="宋体"/>
                <w:color w:val="auto"/>
                <w:spacing w:val="1"/>
                <w:position w:val="1"/>
                <w:sz w:val="21"/>
                <w:szCs w:val="21"/>
                <w:highlight w:val="none"/>
                <w:lang w:eastAsia="zh-CN"/>
              </w:rPr>
              <w:t xml:space="preserve">采购人公章）</w:t>
            </w:r>
            <w:r/>
          </w:p>
        </w:tc>
      </w:tr>
      <w:tr>
        <w:trPr>
          <w:trHeight w:val="940"/>
        </w:trPr>
        <w:tc>
          <w:tcPr>
            <w:gridSpan w:val="9"/>
            <w:tcW w:w="9830" w:type="dxa"/>
            <w:textDirection w:val="lrTb"/>
            <w:noWrap w:val="false"/>
          </w:tcPr>
          <w:p>
            <w:pPr>
              <w:pStyle w:val="1043"/>
              <w:ind w:left="0"/>
              <w:keepLines w:val="0"/>
              <w:keepNext w:val="0"/>
              <w:pageBreakBefore w:val="0"/>
              <w:spacing w:line="207"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p>
            <w:pPr>
              <w:pStyle w:val="1043"/>
              <w:ind w:left="0"/>
              <w:keepLines w:val="0"/>
              <w:keepNext w:val="0"/>
              <w:pageBreakBefore w:val="0"/>
              <w:spacing w:line="207" w:lineRule="auto"/>
              <w:widowControl/>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p>
            <w:pPr>
              <w:pStyle w:val="1043"/>
              <w:ind w:left="0"/>
              <w:keepLines w:val="0"/>
              <w:keepNext w:val="0"/>
              <w:pageBreakBefore w:val="0"/>
              <w:spacing w:line="207"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供应商确认：</w:t>
            </w:r>
            <w:r/>
          </w:p>
          <w:p>
            <w:pPr>
              <w:ind w:left="0"/>
              <w:jc w:val="center"/>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left="0"/>
              <w:keepLines w:val="0"/>
              <w:keepNext w:val="0"/>
              <w:pageBreakBefore w:val="0"/>
              <w:spacing w:line="239"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position w:val="1"/>
                <w:sz w:val="21"/>
                <w:szCs w:val="21"/>
                <w:highlight w:val="none"/>
                <w:lang w:eastAsia="zh-CN"/>
              </w:rPr>
              <w:t xml:space="preserve">（单位公章或授权代表签字）</w:t>
            </w:r>
            <w:r/>
          </w:p>
        </w:tc>
      </w:tr>
    </w:tbl>
    <w:p>
      <w:pPr>
        <w:ind w:left="85"/>
        <w:spacing w:before="296"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说明：1.该表为服务类项目履约验收的参考样表，采购人或采购代理机构可以</w:t>
      </w:r>
      <w:r>
        <w:rPr>
          <w:rFonts w:hint="eastAsia" w:ascii="宋体" w:hAnsi="宋体" w:eastAsia="宋体" w:cs="宋体"/>
          <w:color w:val="auto"/>
          <w:spacing w:val="-1"/>
          <w:sz w:val="21"/>
          <w:szCs w:val="21"/>
          <w:highlight w:val="none"/>
        </w:rPr>
        <w:t xml:space="preserve">根据工作实际进行调整。</w:t>
      </w:r>
      <w:r/>
    </w:p>
    <w:p>
      <w:pPr>
        <w:spacing w:line="29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25"/>
        <w:spacing w:before="59"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2.未委托采购代理机构开展履约验收工作的，无需填写“</w:t>
      </w:r>
      <w:r>
        <w:rPr>
          <w:rFonts w:hint="eastAsia" w:ascii="宋体" w:hAnsi="宋体" w:eastAsia="宋体" w:cs="宋体"/>
          <w:color w:val="auto"/>
          <w:spacing w:val="-1"/>
          <w:sz w:val="21"/>
          <w:szCs w:val="21"/>
          <w:highlight w:val="none"/>
        </w:rPr>
        <w:t xml:space="preserve">采购代理机构意见”。</w:t>
      </w:r>
      <w:r/>
    </w:p>
    <w:p>
      <w:pPr>
        <w:pStyle w:val="102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Cambria">
    <w:panose1 w:val="0204050305040603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15"/>
      </w:rPr>
      <w:framePr w:wrap="around" w:vAnchor="text" w:hAnchor="margin" w:xAlign="center" w:y="2"/>
    </w:pPr>
    <w:r>
      <w:fldChar w:fldCharType="begin"/>
    </w:r>
    <w:r>
      <w:rPr>
        <w:rStyle w:val="815"/>
      </w:rPr>
      <w:instrText xml:space="preserve">PAGE  </w:instrText>
    </w:r>
    <w:r>
      <w:fldChar w:fldCharType="separate"/>
    </w:r>
    <w:r>
      <w:rPr>
        <w:rStyle w:val="815"/>
      </w:rPr>
      <w:t xml:space="preserve">0</w:t>
    </w:r>
    <w:r>
      <w:fldChar w:fldCharType="end"/>
    </w:r>
    <w:r/>
  </w:p>
  <w:p>
    <w:pPr>
      <w:pStyle w:val="79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fldChar w:fldCharType="begin"/>
    </w:r>
    <w:r>
      <w:instrText xml:space="preserve">PAGE   \* MERGEFORMAT</w:instrText>
    </w:r>
    <w:r>
      <w:fldChar w:fldCharType="separate"/>
    </w:r>
    <w:r>
      <w:rPr>
        <w:lang w:val="zh-CN"/>
      </w:rPr>
      <w:t xml:space="preserve">47</w:t>
    </w:r>
    <w:r>
      <w:fldChar w:fldCharType="end"/>
    </w:r>
    <w:r/>
  </w:p>
  <w:p>
    <w:pPr>
      <w:pStyle w:val="79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fldChar w:fldCharType="begin"/>
    </w:r>
    <w:r>
      <w:instrText xml:space="preserve">PAGE   \* MERGEFORMAT</w:instrText>
    </w:r>
    <w:r>
      <w:fldChar w:fldCharType="separate"/>
    </w:r>
    <w:r>
      <w:rPr>
        <w:lang w:val="zh-CN"/>
      </w:rPr>
      <w:t xml:space="preserve">1</w:t>
    </w:r>
    <w:r>
      <w:fldChar w:fldCharType="end"/>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left"/>
      <w:rPr>
        <w:sz w:val="21"/>
        <w:szCs w:val="21"/>
      </w:rPr>
    </w:pPr>
    <w:r>
      <w:rPr>
        <w:rFonts w:hint="eastAsia"/>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0"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sz w:val="21"/>
        <w:szCs w:val="21"/>
      </w:rPr>
      <w:t xml:space="preserve"> </w:t>
    </w:r>
    <w:r>
      <w:rPr>
        <w:rFonts w:hint="eastAsia"/>
        <w:lang w:eastAsia="zh-CN"/>
      </w:rPr>
      <w:t xml:space="preserve">苏州泰至鑫项目管理有限公司</w:t>
    </w:r>
    <w:r>
      <w:rPr>
        <w:rFonts w:hint="eastAsia"/>
      </w:rPr>
      <w:t xml:space="preserve">                        招标编号： </w:t>
    </w:r>
    <w:r>
      <w:rPr>
        <w:rFonts w:hint="eastAsia"/>
        <w:lang w:eastAsia="zh-CN"/>
      </w:rPr>
      <w:t xml:space="preserve">JSZC-320585-SZTZ-G2026-0001</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编号：</w:t>
    </w:r>
    <w:r>
      <w:rPr>
        <w:rFonts w:hint="eastAsia"/>
        <w:lang w:eastAsia="zh-CN"/>
      </w:rPr>
      <w:t xml:space="preserve">JSZC-320585-SZTZ-G2026-0001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5"/>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pStyle w:val="766"/>
      <w:isLgl w:val="false"/>
      <w:suff w:val="nothing"/>
      <w:lvlText w:val="%1、"/>
      <w:lvlJc w:val="left"/>
      <w:pPr>
        <w:ind w:left="0" w:firstLine="0"/>
      </w:pPr>
      <w:rPr>
        <w:rFonts w:hint="eastAsia"/>
      </w:rPr>
    </w:lvl>
    <w:lvl w:ilvl="1">
      <w:start w:val="1"/>
      <w:numFmt w:val="chineseCounting"/>
      <w:pStyle w:val="767"/>
      <w:isLgl w:val="false"/>
      <w:suff w:val="nothing"/>
      <w:lvlText w:val="（%2）"/>
      <w:lvlJc w:val="left"/>
      <w:pPr>
        <w:ind w:left="0" w:firstLine="0"/>
      </w:pPr>
      <w:rPr>
        <w:rFonts w:hint="eastAsia"/>
      </w:rPr>
    </w:lvl>
    <w:lvl w:ilvl="2">
      <w:start w:val="1"/>
      <w:numFmt w:val="decimal"/>
      <w:pStyle w:val="768"/>
      <w:isLgl w:val="false"/>
      <w:suff w:val="nothing"/>
      <w:lvlText w:val="%3．"/>
      <w:lvlJc w:val="left"/>
      <w:pPr>
        <w:ind w:left="0" w:firstLine="400"/>
      </w:pPr>
      <w:rPr>
        <w:rFonts w:hint="eastAsia"/>
      </w:rPr>
    </w:lvl>
    <w:lvl w:ilvl="3">
      <w:start w:val="1"/>
      <w:numFmt w:val="decimal"/>
      <w:pStyle w:val="769"/>
      <w:isLgl w:val="false"/>
      <w:suff w:val="nothing"/>
      <w:lvlText w:val="（%4）"/>
      <w:lvlJc w:val="left"/>
      <w:pPr>
        <w:ind w:left="0" w:firstLine="402"/>
      </w:pPr>
      <w:rPr>
        <w:rFonts w:hint="eastAsia"/>
      </w:rPr>
    </w:lvl>
    <w:lvl w:ilvl="4">
      <w:start w:val="1"/>
      <w:numFmt w:val="decimalEnclosedCircleChinese"/>
      <w:pStyle w:val="770"/>
      <w:isLgl w:val="false"/>
      <w:suff w:val="nothing"/>
      <w:lvlText w:val="%5"/>
      <w:lvlJc w:val="left"/>
      <w:pPr>
        <w:ind w:left="0" w:firstLine="402"/>
      </w:pPr>
      <w:rPr>
        <w:rFonts w:hint="eastAsia"/>
      </w:rPr>
    </w:lvl>
    <w:lvl w:ilvl="5">
      <w:start w:val="1"/>
      <w:numFmt w:val="decimal"/>
      <w:pStyle w:val="771"/>
      <w:isLgl w:val="false"/>
      <w:suff w:val="nothing"/>
      <w:lvlText w:val="%6）"/>
      <w:lvlJc w:val="left"/>
      <w:pPr>
        <w:ind w:left="0" w:firstLine="402"/>
      </w:pPr>
      <w:rPr>
        <w:rFonts w:hint="eastAsia"/>
      </w:rPr>
    </w:lvl>
    <w:lvl w:ilvl="6">
      <w:start w:val="1"/>
      <w:numFmt w:val="lowerLetter"/>
      <w:pStyle w:val="772"/>
      <w:isLgl w:val="false"/>
      <w:suff w:val="nothing"/>
      <w:lvlText w:val="%7．"/>
      <w:lvlJc w:val="left"/>
      <w:pPr>
        <w:ind w:left="0" w:firstLine="402"/>
      </w:pPr>
      <w:rPr>
        <w:rFonts w:hint="eastAsia"/>
      </w:rPr>
    </w:lvl>
    <w:lvl w:ilvl="7">
      <w:start w:val="1"/>
      <w:numFmt w:val="lowerLetter"/>
      <w:pStyle w:val="773"/>
      <w:isLgl w:val="false"/>
      <w:suff w:val="nothing"/>
      <w:lvlText w:val="%8）"/>
      <w:lvlJc w:val="left"/>
      <w:pPr>
        <w:ind w:left="0" w:firstLine="402"/>
      </w:pPr>
      <w:rPr>
        <w:rFonts w:hint="eastAsia"/>
      </w:rPr>
    </w:lvl>
    <w:lvl w:ilvl="8">
      <w:start w:val="1"/>
      <w:numFmt w:val="lowerRoman"/>
      <w:pStyle w:val="774"/>
      <w:isLgl w:val="false"/>
      <w:suff w:val="nothing"/>
      <w:lvlText w:val="%9 "/>
      <w:lvlJc w:val="left"/>
      <w:pPr>
        <w:ind w:left="0" w:firstLine="402"/>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5"/>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2"/>
  </w:num>
  <w:num w:numId="2">
    <w:abstractNumId w:val="1"/>
  </w:num>
  <w:num w:numId="3">
    <w:abstractNumId w:val="5"/>
  </w:num>
  <w:num w:numId="4">
    <w:abstractNumId w:val="0"/>
  </w:num>
  <w:num w:numId="5">
    <w:abstractNumId w:val="4"/>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rPr>
      <w:rFonts w:hint="default" w:ascii="Times New Roman" w:hAnsi="Times New Roman" w:eastAsia="宋体" w:cs="Times New Roman"/>
      <w:sz w:val="24"/>
      <w:szCs w:val="24"/>
      <w:lang w:val="en-US" w:eastAsia="zh-CN" w:bidi="ar-SA"/>
    </w:rPr>
  </w:style>
  <w:style w:type="paragraph" w:styleId="766">
    <w:name w:val="Heading 1"/>
    <w:basedOn w:val="765"/>
    <w:next w:val="765"/>
    <w:link w:val="971"/>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67">
    <w:name w:val="Heading 2"/>
    <w:basedOn w:val="765"/>
    <w:next w:val="765"/>
    <w:link w:val="972"/>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68">
    <w:name w:val="Heading 3"/>
    <w:basedOn w:val="765"/>
    <w:next w:val="777"/>
    <w:uiPriority w:val="0"/>
    <w:qFormat/>
    <w:pPr>
      <w:numPr>
        <w:ilvl w:val="2"/>
        <w:numId w:val="1"/>
      </w:numPr>
      <w:keepLines/>
      <w:keepNext/>
      <w:spacing w:before="260" w:after="260" w:line="416" w:lineRule="auto"/>
      <w:outlineLvl w:val="2"/>
    </w:pPr>
    <w:rPr>
      <w:b/>
      <w:bCs/>
      <w:sz w:val="32"/>
      <w:szCs w:val="32"/>
    </w:rPr>
  </w:style>
  <w:style w:type="paragraph" w:styleId="769">
    <w:name w:val="Heading 4"/>
    <w:basedOn w:val="765"/>
    <w:next w:val="76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70">
    <w:name w:val="Heading 5"/>
    <w:basedOn w:val="765"/>
    <w:next w:val="765"/>
    <w:uiPriority w:val="0"/>
    <w:qFormat/>
    <w:pPr>
      <w:numPr>
        <w:ilvl w:val="4"/>
        <w:numId w:val="1"/>
      </w:numPr>
      <w:keepLines/>
      <w:keepNext/>
      <w:spacing w:before="280" w:after="290" w:line="376" w:lineRule="auto"/>
      <w:outlineLvl w:val="4"/>
    </w:pPr>
    <w:rPr>
      <w:b/>
      <w:bCs/>
      <w:sz w:val="28"/>
      <w:szCs w:val="28"/>
    </w:rPr>
  </w:style>
  <w:style w:type="paragraph" w:styleId="771">
    <w:name w:val="Heading 6"/>
    <w:basedOn w:val="765"/>
    <w:next w:val="765"/>
    <w:uiPriority w:val="0"/>
    <w:qFormat/>
    <w:pPr>
      <w:numPr>
        <w:ilvl w:val="5"/>
        <w:numId w:val="1"/>
      </w:numPr>
      <w:keepLines/>
      <w:keepNext/>
      <w:spacing w:before="240" w:after="64" w:line="320" w:lineRule="auto"/>
      <w:outlineLvl w:val="5"/>
    </w:pPr>
    <w:rPr>
      <w:rFonts w:ascii="Arial" w:hAnsi="Arial" w:eastAsia="黑体"/>
      <w:b/>
      <w:bCs/>
    </w:rPr>
  </w:style>
  <w:style w:type="paragraph" w:styleId="772">
    <w:name w:val="Heading 7"/>
    <w:basedOn w:val="765"/>
    <w:next w:val="765"/>
    <w:uiPriority w:val="0"/>
    <w:qFormat/>
    <w:pPr>
      <w:numPr>
        <w:ilvl w:val="6"/>
        <w:numId w:val="1"/>
      </w:numPr>
      <w:jc w:val="center"/>
      <w:keepLines/>
      <w:keepNext/>
      <w:spacing w:before="30" w:after="10"/>
      <w:outlineLvl w:val="6"/>
    </w:pPr>
    <w:rPr>
      <w:rFonts w:eastAsia="黑体"/>
      <w:lang w:val="zh-CN"/>
    </w:rPr>
  </w:style>
  <w:style w:type="paragraph" w:styleId="773">
    <w:name w:val="Heading 8"/>
    <w:basedOn w:val="772"/>
    <w:next w:val="765"/>
    <w:uiPriority w:val="0"/>
    <w:qFormat/>
    <w:pPr>
      <w:numPr>
        <w:ilvl w:val="7"/>
      </w:numPr>
      <w:keepLines w:val="0"/>
      <w:keepNext w:val="0"/>
      <w:spacing w:before="10" w:after="30"/>
      <w:outlineLvl w:val="7"/>
    </w:pPr>
  </w:style>
  <w:style w:type="paragraph" w:styleId="774">
    <w:name w:val="Heading 9"/>
    <w:basedOn w:val="765"/>
    <w:next w:val="765"/>
    <w:uiPriority w:val="0"/>
    <w:qFormat/>
    <w:pPr>
      <w:numPr>
        <w:ilvl w:val="8"/>
        <w:numId w:val="1"/>
      </w:numPr>
      <w:keepLines/>
      <w:keepNext/>
      <w:spacing w:before="240" w:after="64" w:line="317" w:lineRule="auto"/>
      <w:outlineLvl w:val="8"/>
    </w:pPr>
    <w:rPr>
      <w:rFonts w:ascii="Arial" w:hAnsi="Arial" w:eastAsia="黑体"/>
      <w:sz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widowControl w:val="off"/>
    </w:pPr>
    <w:rPr>
      <w:rFonts w:eastAsia="楷体_GB2312"/>
      <w:szCs w:val="20"/>
    </w:rPr>
  </w:style>
  <w:style w:type="paragraph" w:styleId="778">
    <w:name w:val="toc 7"/>
    <w:basedOn w:val="765"/>
    <w:next w:val="765"/>
    <w:uiPriority w:val="39"/>
    <w:unhideWhenUsed/>
    <w:qFormat/>
    <w:pPr>
      <w:ind w:left="1701" w:right="0" w:firstLine="0"/>
      <w:spacing w:after="57"/>
    </w:pPr>
  </w:style>
  <w:style w:type="paragraph" w:styleId="779">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Document Map"/>
    <w:basedOn w:val="765"/>
    <w:link w:val="973"/>
    <w:uiPriority w:val="0"/>
    <w:qFormat/>
    <w:pPr>
      <w:shd w:val="clear" w:color="auto" w:fill="000080"/>
    </w:pPr>
  </w:style>
  <w:style w:type="paragraph" w:styleId="781">
    <w:name w:val="annotation text"/>
    <w:basedOn w:val="765"/>
    <w:uiPriority w:val="0"/>
    <w:qFormat/>
  </w:style>
  <w:style w:type="paragraph" w:styleId="782">
    <w:name w:val="Body Text"/>
    <w:basedOn w:val="765"/>
    <w:uiPriority w:val="0"/>
    <w:qFormat/>
    <w:pPr>
      <w:spacing w:after="120"/>
    </w:pPr>
  </w:style>
  <w:style w:type="paragraph" w:styleId="783">
    <w:name w:val="Body Text Indent"/>
    <w:basedOn w:val="765"/>
    <w:next w:val="765"/>
    <w:uiPriority w:val="0"/>
    <w:qFormat/>
    <w:pPr>
      <w:ind w:right="-159" w:firstLine="246"/>
      <w:jc w:val="both"/>
      <w:spacing w:line="240" w:lineRule="atLeast"/>
      <w:widowControl w:val="off"/>
    </w:pPr>
    <w:rPr>
      <w:spacing w:val="20"/>
      <w:sz w:val="21"/>
    </w:rPr>
  </w:style>
  <w:style w:type="paragraph" w:styleId="784">
    <w:name w:val="Block Text"/>
    <w:basedOn w:val="7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85">
    <w:name w:val="toc 5"/>
    <w:basedOn w:val="765"/>
    <w:next w:val="765"/>
    <w:uiPriority w:val="39"/>
    <w:unhideWhenUsed/>
    <w:qFormat/>
    <w:pPr>
      <w:ind w:left="1134" w:right="0" w:firstLine="0"/>
      <w:spacing w:after="57"/>
    </w:pPr>
  </w:style>
  <w:style w:type="paragraph" w:styleId="786">
    <w:name w:val="toc 3"/>
    <w:basedOn w:val="765"/>
    <w:next w:val="765"/>
    <w:uiPriority w:val="39"/>
    <w:unhideWhenUsed/>
    <w:qFormat/>
    <w:pPr>
      <w:ind w:left="567" w:right="0" w:firstLine="0"/>
      <w:spacing w:after="57"/>
    </w:pPr>
  </w:style>
  <w:style w:type="paragraph" w:styleId="787">
    <w:name w:val="Plain Text"/>
    <w:basedOn w:val="765"/>
    <w:link w:val="974"/>
    <w:uiPriority w:val="0"/>
    <w:qFormat/>
    <w:rPr>
      <w:rFonts w:ascii="宋体" w:hAnsi="Courier New" w:eastAsia="楷体_GB2312"/>
      <w:sz w:val="26"/>
      <w:szCs w:val="20"/>
    </w:rPr>
  </w:style>
  <w:style w:type="paragraph" w:styleId="788">
    <w:name w:val="toc 8"/>
    <w:basedOn w:val="765"/>
    <w:next w:val="765"/>
    <w:uiPriority w:val="39"/>
    <w:unhideWhenUsed/>
    <w:qFormat/>
    <w:pPr>
      <w:ind w:left="1984" w:right="0" w:firstLine="0"/>
      <w:spacing w:after="57"/>
    </w:pPr>
  </w:style>
  <w:style w:type="paragraph" w:styleId="789">
    <w:name w:val="Date"/>
    <w:basedOn w:val="765"/>
    <w:next w:val="765"/>
    <w:link w:val="975"/>
    <w:uiPriority w:val="0"/>
    <w:qFormat/>
    <w:pPr>
      <w:ind w:left="100"/>
      <w:jc w:val="both"/>
      <w:widowControl w:val="off"/>
    </w:pPr>
    <w:rPr>
      <w:b/>
      <w:bCs/>
      <w:spacing w:val="20"/>
      <w:sz w:val="21"/>
    </w:rPr>
  </w:style>
  <w:style w:type="paragraph" w:styleId="790">
    <w:name w:val="Body Text Indent 2"/>
    <w:basedOn w:val="765"/>
    <w:uiPriority w:val="0"/>
    <w:qFormat/>
    <w:pPr>
      <w:ind w:firstLine="460"/>
      <w:spacing w:line="360" w:lineRule="auto"/>
    </w:pPr>
    <w:rPr>
      <w:spacing w:val="20"/>
      <w:sz w:val="21"/>
    </w:rPr>
  </w:style>
  <w:style w:type="paragraph" w:styleId="791">
    <w:name w:val="endnote text"/>
    <w:basedOn w:val="765"/>
    <w:link w:val="965"/>
    <w:uiPriority w:val="99"/>
    <w:semiHidden/>
    <w:unhideWhenUsed/>
    <w:qFormat/>
    <w:pPr>
      <w:spacing w:after="0" w:line="240" w:lineRule="auto"/>
    </w:pPr>
    <w:rPr>
      <w:sz w:val="20"/>
    </w:rPr>
  </w:style>
  <w:style w:type="paragraph" w:styleId="792">
    <w:name w:val="Balloon Text"/>
    <w:basedOn w:val="765"/>
    <w:uiPriority w:val="0"/>
    <w:qFormat/>
    <w:rPr>
      <w:sz w:val="18"/>
      <w:szCs w:val="18"/>
    </w:rPr>
  </w:style>
  <w:style w:type="paragraph" w:styleId="793">
    <w:name w:val="Footer"/>
    <w:basedOn w:val="765"/>
    <w:link w:val="976"/>
    <w:uiPriority w:val="99"/>
    <w:qFormat/>
    <w:pPr>
      <w:widowControl w:val="off"/>
      <w:tabs>
        <w:tab w:val="center" w:pos="4153" w:leader="none"/>
        <w:tab w:val="right" w:pos="8306" w:leader="none"/>
      </w:tabs>
    </w:pPr>
    <w:rPr>
      <w:sz w:val="18"/>
      <w:szCs w:val="18"/>
    </w:rPr>
  </w:style>
  <w:style w:type="paragraph" w:styleId="794">
    <w:name w:val="envelope return"/>
    <w:basedOn w:val="765"/>
    <w:uiPriority w:val="99"/>
    <w:unhideWhenUsed/>
    <w:qFormat/>
    <w:rPr>
      <w:rFonts w:ascii="Arial" w:hAnsi="Arial"/>
    </w:rPr>
  </w:style>
  <w:style w:type="paragraph" w:styleId="795">
    <w:name w:val="Header"/>
    <w:basedOn w:val="765"/>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96">
    <w:name w:val="toc 1"/>
    <w:basedOn w:val="765"/>
    <w:next w:val="765"/>
    <w:uiPriority w:val="0"/>
    <w:qFormat/>
    <w:pPr>
      <w:widowControl w:val="off"/>
    </w:pPr>
    <w:rPr>
      <w:rFonts w:eastAsia="楷体_GB2312"/>
      <w:szCs w:val="20"/>
    </w:rPr>
  </w:style>
  <w:style w:type="paragraph" w:styleId="797">
    <w:name w:val="toc 4"/>
    <w:basedOn w:val="765"/>
    <w:next w:val="765"/>
    <w:uiPriority w:val="39"/>
    <w:unhideWhenUsed/>
    <w:qFormat/>
    <w:pPr>
      <w:ind w:left="1260"/>
    </w:pPr>
  </w:style>
  <w:style w:type="paragraph" w:styleId="798">
    <w:name w:val="Subtitle"/>
    <w:basedOn w:val="765"/>
    <w:next w:val="765"/>
    <w:uiPriority w:val="0"/>
    <w:qFormat/>
    <w:pPr>
      <w:jc w:val="center"/>
      <w:spacing w:before="240" w:after="60" w:line="312" w:lineRule="auto"/>
      <w:outlineLvl w:val="1"/>
    </w:pPr>
    <w:rPr>
      <w:rFonts w:ascii="宋体" w:hAnsi="Courier New" w:eastAsia="楷体_GB2312"/>
      <w:sz w:val="26"/>
      <w:szCs w:val="20"/>
    </w:rPr>
  </w:style>
  <w:style w:type="paragraph" w:styleId="799">
    <w:name w:val="footnote text"/>
    <w:basedOn w:val="765"/>
    <w:link w:val="964"/>
    <w:uiPriority w:val="99"/>
    <w:semiHidden/>
    <w:unhideWhenUsed/>
    <w:qFormat/>
    <w:pPr>
      <w:spacing w:after="40" w:line="240" w:lineRule="auto"/>
    </w:pPr>
    <w:rPr>
      <w:sz w:val="18"/>
    </w:rPr>
  </w:style>
  <w:style w:type="paragraph" w:styleId="800">
    <w:name w:val="toc 6"/>
    <w:basedOn w:val="765"/>
    <w:next w:val="765"/>
    <w:uiPriority w:val="39"/>
    <w:unhideWhenUsed/>
    <w:qFormat/>
    <w:pPr>
      <w:ind w:left="1417" w:right="0" w:firstLine="0"/>
      <w:spacing w:after="57"/>
    </w:pPr>
  </w:style>
  <w:style w:type="paragraph" w:styleId="801">
    <w:name w:val="Body Text Indent 3"/>
    <w:basedOn w:val="765"/>
    <w:link w:val="977"/>
    <w:uiPriority w:val="0"/>
    <w:qFormat/>
    <w:pPr>
      <w:ind w:firstLine="480"/>
      <w:spacing w:line="300" w:lineRule="auto"/>
      <w:widowControl w:val="off"/>
    </w:pPr>
  </w:style>
  <w:style w:type="paragraph" w:styleId="802">
    <w:name w:val="table of figures"/>
    <w:basedOn w:val="765"/>
    <w:next w:val="765"/>
    <w:uiPriority w:val="99"/>
    <w:unhideWhenUsed/>
    <w:qFormat/>
    <w:pPr>
      <w:spacing w:after="0" w:afterAutospacing="0"/>
    </w:pPr>
  </w:style>
  <w:style w:type="paragraph" w:styleId="803">
    <w:name w:val="toc 2"/>
    <w:basedOn w:val="765"/>
    <w:next w:val="765"/>
    <w:uiPriority w:val="39"/>
    <w:unhideWhenUsed/>
    <w:qFormat/>
    <w:pPr>
      <w:ind w:left="283" w:right="0" w:firstLine="0"/>
      <w:spacing w:after="57"/>
    </w:pPr>
  </w:style>
  <w:style w:type="paragraph" w:styleId="804">
    <w:name w:val="toc 9"/>
    <w:basedOn w:val="765"/>
    <w:next w:val="765"/>
    <w:uiPriority w:val="39"/>
    <w:unhideWhenUsed/>
    <w:qFormat/>
    <w:pPr>
      <w:ind w:left="2268" w:right="0" w:firstLine="0"/>
      <w:spacing w:after="57"/>
    </w:pPr>
  </w:style>
  <w:style w:type="paragraph" w:styleId="805">
    <w:name w:val="Body Text 2"/>
    <w:basedOn w:val="765"/>
    <w:uiPriority w:val="0"/>
    <w:qFormat/>
    <w:pPr>
      <w:spacing w:after="120" w:line="480" w:lineRule="auto"/>
    </w:pPr>
  </w:style>
  <w:style w:type="paragraph" w:styleId="806">
    <w:name w:val="HTML Preformatted"/>
    <w:basedOn w:val="76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807">
    <w:name w:val="Normal (Web)"/>
    <w:basedOn w:val="765"/>
    <w:uiPriority w:val="0"/>
    <w:qFormat/>
    <w:pPr>
      <w:spacing w:before="100" w:beforeAutospacing="1" w:after="100" w:afterAutospacing="1"/>
    </w:pPr>
    <w:rPr>
      <w:rFonts w:ascii="宋体" w:hAnsi="宋体" w:cs="宋体"/>
    </w:rPr>
  </w:style>
  <w:style w:type="paragraph" w:styleId="808">
    <w:name w:val="Title"/>
    <w:basedOn w:val="765"/>
    <w:next w:val="765"/>
    <w:link w:val="978"/>
    <w:uiPriority w:val="0"/>
    <w:qFormat/>
    <w:pPr>
      <w:jc w:val="center"/>
      <w:spacing w:before="240" w:after="60"/>
      <w:outlineLvl w:val="0"/>
    </w:pPr>
    <w:rPr>
      <w:rFonts w:ascii="Cambria" w:hAnsi="Cambria"/>
      <w:b/>
      <w:bCs/>
      <w:sz w:val="32"/>
      <w:szCs w:val="32"/>
    </w:rPr>
  </w:style>
  <w:style w:type="paragraph" w:styleId="809">
    <w:name w:val="annotation subject"/>
    <w:basedOn w:val="781"/>
    <w:next w:val="781"/>
    <w:uiPriority w:val="0"/>
    <w:qFormat/>
    <w:rPr>
      <w:b/>
      <w:bCs/>
    </w:rPr>
  </w:style>
  <w:style w:type="paragraph" w:styleId="810">
    <w:name w:val="Body Text First Indent"/>
    <w:basedOn w:val="782"/>
    <w:uiPriority w:val="0"/>
    <w:qFormat/>
    <w:pPr>
      <w:ind w:firstLine="420"/>
      <w:tabs>
        <w:tab w:val="left" w:pos="5250" w:leader="none"/>
      </w:tabs>
    </w:pPr>
  </w:style>
  <w:style w:type="paragraph" w:styleId="811">
    <w:name w:val="Body Text First Indent 2"/>
    <w:basedOn w:val="783"/>
    <w:uiPriority w:val="99"/>
    <w:qFormat/>
    <w:pPr>
      <w:ind w:firstLine="420"/>
    </w:pPr>
  </w:style>
  <w:style w:type="table" w:styleId="812">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Strong"/>
    <w:uiPriority w:val="0"/>
    <w:qFormat/>
    <w:rPr>
      <w:b/>
      <w:bCs/>
    </w:rPr>
  </w:style>
  <w:style w:type="character" w:styleId="814">
    <w:name w:val="endnote reference"/>
    <w:basedOn w:val="775"/>
    <w:uiPriority w:val="99"/>
    <w:semiHidden/>
    <w:unhideWhenUsed/>
    <w:qFormat/>
    <w:rPr>
      <w:vertAlign w:val="superscript"/>
    </w:rPr>
  </w:style>
  <w:style w:type="character" w:styleId="815">
    <w:name w:val="page number"/>
    <w:uiPriority w:val="0"/>
    <w:qFormat/>
  </w:style>
  <w:style w:type="character" w:styleId="816">
    <w:name w:val="FollowedHyperlink"/>
    <w:uiPriority w:val="0"/>
    <w:qFormat/>
    <w:rPr>
      <w:color w:val="333333"/>
      <w:u w:val="none"/>
    </w:rPr>
  </w:style>
  <w:style w:type="character" w:styleId="817">
    <w:name w:val="Hyperlink"/>
    <w:uiPriority w:val="0"/>
    <w:qFormat/>
    <w:rPr>
      <w:color w:val="333333"/>
      <w:u w:val="none"/>
    </w:rPr>
  </w:style>
  <w:style w:type="character" w:styleId="818">
    <w:name w:val="annotation reference"/>
    <w:uiPriority w:val="0"/>
    <w:qFormat/>
    <w:rPr>
      <w:sz w:val="21"/>
      <w:szCs w:val="21"/>
    </w:rPr>
  </w:style>
  <w:style w:type="character" w:styleId="819">
    <w:name w:val="footnote reference"/>
    <w:basedOn w:val="775"/>
    <w:uiPriority w:val="99"/>
    <w:unhideWhenUsed/>
    <w:qFormat/>
    <w:rPr>
      <w:vertAlign w:val="superscript"/>
    </w:rPr>
  </w:style>
  <w:style w:type="character" w:styleId="820" w:customStyle="1">
    <w:name w:val="Heading 1 Char"/>
    <w:basedOn w:val="775"/>
    <w:uiPriority w:val="9"/>
    <w:qFormat/>
    <w:rPr>
      <w:rFonts w:ascii="Arial" w:hAnsi="Arial" w:eastAsia="Arial" w:cs="Arial"/>
      <w:sz w:val="40"/>
      <w:szCs w:val="40"/>
    </w:rPr>
  </w:style>
  <w:style w:type="character" w:styleId="821" w:customStyle="1">
    <w:name w:val="Heading 2 Char"/>
    <w:basedOn w:val="775"/>
    <w:uiPriority w:val="9"/>
    <w:qFormat/>
    <w:rPr>
      <w:rFonts w:ascii="Arial" w:hAnsi="Arial" w:eastAsia="Arial" w:cs="Arial"/>
      <w:sz w:val="34"/>
    </w:rPr>
  </w:style>
  <w:style w:type="character" w:styleId="822" w:customStyle="1">
    <w:name w:val="Heading 3 Char"/>
    <w:basedOn w:val="775"/>
    <w:uiPriority w:val="9"/>
    <w:qFormat/>
    <w:rPr>
      <w:rFonts w:ascii="Arial" w:hAnsi="Arial" w:eastAsia="Arial" w:cs="Arial"/>
      <w:sz w:val="30"/>
      <w:szCs w:val="30"/>
    </w:rPr>
  </w:style>
  <w:style w:type="character" w:styleId="823" w:customStyle="1">
    <w:name w:val="Heading 4 Char"/>
    <w:basedOn w:val="775"/>
    <w:uiPriority w:val="9"/>
    <w:qFormat/>
    <w:rPr>
      <w:rFonts w:ascii="Arial" w:hAnsi="Arial" w:eastAsia="Arial" w:cs="Arial"/>
      <w:b/>
      <w:bCs/>
      <w:sz w:val="26"/>
      <w:szCs w:val="26"/>
    </w:rPr>
  </w:style>
  <w:style w:type="character" w:styleId="824" w:customStyle="1">
    <w:name w:val="Heading 5 Char"/>
    <w:basedOn w:val="775"/>
    <w:uiPriority w:val="9"/>
    <w:qFormat/>
    <w:rPr>
      <w:rFonts w:ascii="Arial" w:hAnsi="Arial" w:eastAsia="Arial" w:cs="Arial"/>
      <w:b/>
      <w:bCs/>
      <w:sz w:val="24"/>
      <w:szCs w:val="24"/>
    </w:rPr>
  </w:style>
  <w:style w:type="character" w:styleId="825" w:customStyle="1">
    <w:name w:val="Heading 6 Char"/>
    <w:basedOn w:val="775"/>
    <w:uiPriority w:val="9"/>
    <w:qFormat/>
    <w:rPr>
      <w:rFonts w:ascii="Arial" w:hAnsi="Arial" w:eastAsia="Arial" w:cs="Arial"/>
      <w:b/>
      <w:bCs/>
      <w:sz w:val="22"/>
      <w:szCs w:val="22"/>
    </w:rPr>
  </w:style>
  <w:style w:type="character" w:styleId="826" w:customStyle="1">
    <w:name w:val="Heading 7 Char"/>
    <w:basedOn w:val="775"/>
    <w:uiPriority w:val="9"/>
    <w:qFormat/>
    <w:rPr>
      <w:rFonts w:ascii="Arial" w:hAnsi="Arial" w:eastAsia="Arial" w:cs="Arial"/>
      <w:b/>
      <w:bCs/>
      <w:i/>
      <w:iCs/>
      <w:sz w:val="22"/>
      <w:szCs w:val="22"/>
    </w:rPr>
  </w:style>
  <w:style w:type="character" w:styleId="827" w:customStyle="1">
    <w:name w:val="Heading 8 Char"/>
    <w:basedOn w:val="775"/>
    <w:uiPriority w:val="9"/>
    <w:qFormat/>
    <w:rPr>
      <w:rFonts w:ascii="Arial" w:hAnsi="Arial" w:eastAsia="Arial" w:cs="Arial"/>
      <w:i/>
      <w:iCs/>
      <w:sz w:val="22"/>
      <w:szCs w:val="22"/>
    </w:rPr>
  </w:style>
  <w:style w:type="character" w:styleId="828" w:customStyle="1">
    <w:name w:val="Heading 9 Char"/>
    <w:basedOn w:val="775"/>
    <w:uiPriority w:val="9"/>
    <w:qFormat/>
    <w:rPr>
      <w:rFonts w:ascii="Arial" w:hAnsi="Arial" w:eastAsia="Arial" w:cs="Arial"/>
      <w:i/>
      <w:iCs/>
      <w:sz w:val="21"/>
      <w:szCs w:val="21"/>
    </w:rPr>
  </w:style>
  <w:style w:type="paragraph" w:styleId="829">
    <w:name w:val="List Paragraph"/>
    <w:basedOn w:val="765"/>
    <w:uiPriority w:val="34"/>
    <w:qFormat/>
    <w:pPr>
      <w:contextualSpacing/>
      <w:ind w:left="720"/>
    </w:pPr>
  </w:style>
  <w:style w:type="character" w:styleId="830" w:customStyle="1">
    <w:name w:val="Title Char"/>
    <w:basedOn w:val="775"/>
    <w:uiPriority w:val="10"/>
    <w:qFormat/>
    <w:rPr>
      <w:sz w:val="48"/>
      <w:szCs w:val="48"/>
    </w:rPr>
  </w:style>
  <w:style w:type="character" w:styleId="831" w:customStyle="1">
    <w:name w:val="Subtitle Char"/>
    <w:basedOn w:val="775"/>
    <w:uiPriority w:val="11"/>
    <w:qFormat/>
    <w:rPr>
      <w:sz w:val="24"/>
      <w:szCs w:val="24"/>
    </w:rPr>
  </w:style>
  <w:style w:type="paragraph" w:styleId="832">
    <w:name w:val="Quote"/>
    <w:basedOn w:val="765"/>
    <w:next w:val="765"/>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65"/>
    <w:next w:val="765"/>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75"/>
    <w:uiPriority w:val="99"/>
    <w:qFormat/>
  </w:style>
  <w:style w:type="character" w:styleId="837" w:customStyle="1">
    <w:name w:val="Footer Char"/>
    <w:basedOn w:val="775"/>
    <w:uiPriority w:val="99"/>
    <w:qFormat/>
  </w:style>
  <w:style w:type="character" w:styleId="838" w:customStyle="1">
    <w:name w:val="Caption Char"/>
    <w:uiPriority w:val="99"/>
    <w:qFormat/>
  </w:style>
  <w:style w:type="table" w:styleId="839"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7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7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7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7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7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7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7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7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7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7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7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7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7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7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7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7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7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7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7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7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7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7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7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7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7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7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7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7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7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7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7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7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7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7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7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7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7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7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7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7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7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7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7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7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7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7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7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7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7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7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7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7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7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7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7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7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7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7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7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7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7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7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799"/>
    <w:uiPriority w:val="99"/>
    <w:qFormat/>
    <w:rPr>
      <w:sz w:val="18"/>
    </w:rPr>
  </w:style>
  <w:style w:type="character" w:styleId="965" w:customStyle="1">
    <w:name w:val="Endnote Text Char"/>
    <w:link w:val="791"/>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正文首行缩进 21"/>
    <w:basedOn w:val="968"/>
    <w:uiPriority w:val="99"/>
    <w:qFormat/>
    <w:pPr>
      <w:ind w:firstLine="420"/>
    </w:pPr>
  </w:style>
  <w:style w:type="paragraph" w:styleId="968" w:customStyle="1">
    <w:name w:val="正文文本缩进1"/>
    <w:next w:val="765"/>
    <w:uiPriority w:val="0"/>
    <w:qFormat/>
    <w:pPr>
      <w:ind w:left="570"/>
      <w:jc w:val="both"/>
      <w:spacing w:line="520" w:lineRule="exact"/>
      <w:widowControl w:val="off"/>
    </w:pPr>
    <w:rPr>
      <w:rFonts w:hint="default" w:ascii="方正仿宋简体" w:hAnsi="创艺简仿宋" w:eastAsia="方正仿宋简体" w:cs="Times New Roman"/>
      <w:sz w:val="24"/>
      <w:szCs w:val="24"/>
      <w:lang w:val="en-US" w:eastAsia="zh-CN" w:bidi="ar-SA"/>
    </w:rPr>
  </w:style>
  <w:style w:type="paragraph" w:styleId="969" w:customStyle="1">
    <w:name w:val="样式1"/>
    <w:basedOn w:val="765"/>
    <w:uiPriority w:val="0"/>
    <w:qFormat/>
    <w:pPr>
      <w:jc w:val="center"/>
    </w:pPr>
  </w:style>
  <w:style w:type="paragraph" w:styleId="970" w:customStyle="1">
    <w:name w:val="正文1"/>
    <w:basedOn w:val="765"/>
    <w:next w:val="765"/>
    <w:uiPriority w:val="0"/>
    <w:qFormat/>
    <w:pPr>
      <w:ind w:firstLine="540"/>
    </w:pPr>
    <w:rPr>
      <w:szCs w:val="20"/>
    </w:rPr>
  </w:style>
  <w:style w:type="character" w:styleId="971" w:customStyle="1">
    <w:name w:val="标题 1 字符"/>
    <w:link w:val="766"/>
    <w:uiPriority w:val="0"/>
    <w:qFormat/>
    <w:rPr>
      <w:rFonts w:eastAsia="楷体_GB2312"/>
      <w:b/>
      <w:sz w:val="44"/>
      <w:szCs w:val="20"/>
    </w:rPr>
  </w:style>
  <w:style w:type="character" w:styleId="972" w:customStyle="1">
    <w:name w:val="标题 2 字符"/>
    <w:basedOn w:val="775"/>
    <w:link w:val="767"/>
    <w:uiPriority w:val="9"/>
    <w:qFormat/>
    <w:rPr>
      <w:rFonts w:ascii="Cambria" w:hAnsi="Cambria" w:eastAsia="宋体" w:cs="Times New Roman"/>
      <w:b/>
      <w:bCs/>
      <w:sz w:val="32"/>
      <w:szCs w:val="32"/>
    </w:rPr>
  </w:style>
  <w:style w:type="character" w:styleId="973" w:customStyle="1">
    <w:name w:val="文档结构图 字符"/>
    <w:link w:val="780"/>
    <w:uiPriority w:val="0"/>
    <w:qFormat/>
    <w:rPr>
      <w:sz w:val="24"/>
      <w:szCs w:val="24"/>
      <w:shd w:val="clear" w:color="auto" w:fill="000080"/>
    </w:rPr>
  </w:style>
  <w:style w:type="character" w:styleId="974" w:customStyle="1">
    <w:name w:val="纯文本 字符"/>
    <w:link w:val="787"/>
    <w:uiPriority w:val="0"/>
    <w:qFormat/>
    <w:rPr>
      <w:rFonts w:ascii="宋体" w:hAnsi="Courier New" w:eastAsia="楷体_GB2312"/>
      <w:sz w:val="26"/>
    </w:rPr>
  </w:style>
  <w:style w:type="character" w:styleId="975" w:customStyle="1">
    <w:name w:val="日期 字符"/>
    <w:link w:val="789"/>
    <w:uiPriority w:val="0"/>
    <w:qFormat/>
    <w:rPr>
      <w:b/>
      <w:bCs/>
      <w:spacing w:val="20"/>
      <w:sz w:val="21"/>
      <w:szCs w:val="24"/>
    </w:rPr>
  </w:style>
  <w:style w:type="character" w:styleId="976" w:customStyle="1">
    <w:name w:val="页脚 字符"/>
    <w:link w:val="793"/>
    <w:uiPriority w:val="99"/>
    <w:qFormat/>
    <w:rPr>
      <w:sz w:val="18"/>
      <w:szCs w:val="18"/>
    </w:rPr>
  </w:style>
  <w:style w:type="character" w:styleId="977" w:customStyle="1">
    <w:name w:val="正文文本缩进 3 字符"/>
    <w:link w:val="801"/>
    <w:uiPriority w:val="0"/>
    <w:qFormat/>
    <w:rPr>
      <w:sz w:val="24"/>
      <w:szCs w:val="24"/>
    </w:rPr>
  </w:style>
  <w:style w:type="character" w:styleId="978" w:customStyle="1">
    <w:name w:val="标题 字符"/>
    <w:link w:val="808"/>
    <w:uiPriority w:val="0"/>
    <w:qFormat/>
    <w:rPr>
      <w:rFonts w:ascii="Cambria" w:hAnsi="Cambria" w:cs="Times New Roman"/>
      <w:b/>
      <w:bCs/>
      <w:sz w:val="32"/>
      <w:szCs w:val="32"/>
    </w:rPr>
  </w:style>
  <w:style w:type="character" w:styleId="979" w:customStyle="1">
    <w:name w:val="font31"/>
    <w:basedOn w:val="775"/>
    <w:uiPriority w:val="0"/>
    <w:qFormat/>
    <w:rPr>
      <w:rFonts w:hint="eastAsia" w:ascii="宋体" w:hAnsi="宋体" w:eastAsia="宋体" w:cs="宋体"/>
      <w:color w:val="000000"/>
      <w:sz w:val="21"/>
      <w:szCs w:val="21"/>
      <w:u w:val="none"/>
    </w:rPr>
  </w:style>
  <w:style w:type="character" w:styleId="980" w:customStyle="1">
    <w:name w:val="无"/>
    <w:uiPriority w:val="0"/>
    <w:qFormat/>
  </w:style>
  <w:style w:type="character" w:styleId="981" w:customStyle="1">
    <w:name w:val="apple-converted-space"/>
    <w:uiPriority w:val="0"/>
    <w:qFormat/>
  </w:style>
  <w:style w:type="character" w:styleId="982" w:customStyle="1">
    <w:name w:val="font21"/>
    <w:basedOn w:val="775"/>
    <w:uiPriority w:val="0"/>
    <w:qFormat/>
    <w:rPr>
      <w:rFonts w:hint="eastAsia" w:ascii="宋体" w:hAnsi="宋体" w:eastAsia="宋体" w:cs="宋体"/>
      <w:color w:val="000000"/>
      <w:sz w:val="24"/>
      <w:szCs w:val="24"/>
      <w:u w:val="none"/>
    </w:rPr>
  </w:style>
  <w:style w:type="character" w:styleId="983" w:customStyle="1">
    <w:name w:val="NormalCharacter"/>
    <w:uiPriority w:val="0"/>
    <w:qFormat/>
  </w:style>
  <w:style w:type="character" w:styleId="984" w:customStyle="1">
    <w:name w:val="font11"/>
    <w:uiPriority w:val="0"/>
    <w:qFormat/>
    <w:rPr>
      <w:rFonts w:hint="eastAsia" w:ascii="宋体" w:hAnsi="宋体" w:eastAsia="宋体" w:cs="宋体"/>
      <w:color w:val="000000"/>
      <w:sz w:val="24"/>
      <w:szCs w:val="24"/>
      <w:u w:val="none"/>
    </w:rPr>
  </w:style>
  <w:style w:type="character" w:styleId="985" w:customStyle="1">
    <w:name w:val="font01"/>
    <w:uiPriority w:val="0"/>
    <w:qFormat/>
    <w:rPr>
      <w:rFonts w:hint="eastAsia" w:ascii="宋体" w:hAnsi="宋体" w:eastAsia="宋体" w:cs="宋体"/>
      <w:color w:val="000000"/>
      <w:sz w:val="24"/>
      <w:szCs w:val="24"/>
      <w:u w:val="none"/>
    </w:rPr>
  </w:style>
  <w:style w:type="character" w:styleId="986" w:customStyle="1">
    <w:name w:val="font51"/>
    <w:basedOn w:val="775"/>
    <w:uiPriority w:val="0"/>
    <w:qFormat/>
    <w:rPr>
      <w:rFonts w:hint="eastAsia" w:ascii="宋体" w:hAnsi="宋体" w:eastAsia="宋体" w:cs="宋体"/>
      <w:color w:val="000000"/>
      <w:sz w:val="24"/>
      <w:szCs w:val="24"/>
      <w:u w:val="none"/>
    </w:rPr>
  </w:style>
  <w:style w:type="character" w:styleId="987" w:customStyle="1">
    <w:name w:val="Plain Text Char"/>
    <w:link w:val="988"/>
    <w:uiPriority w:val="0"/>
    <w:qFormat/>
    <w:rPr>
      <w:rFonts w:ascii="宋体" w:hAnsi="Courier New" w:eastAsia="楷体_GB2312"/>
      <w:sz w:val="26"/>
    </w:rPr>
  </w:style>
  <w:style w:type="paragraph" w:styleId="988" w:customStyle="1">
    <w:name w:val="纯文本1"/>
    <w:basedOn w:val="765"/>
    <w:link w:val="987"/>
    <w:uiPriority w:val="0"/>
    <w:qFormat/>
    <w:pPr>
      <w:jc w:val="both"/>
      <w:widowControl w:val="off"/>
    </w:pPr>
    <w:rPr>
      <w:rFonts w:ascii="宋体" w:hAnsi="Courier New" w:eastAsia="楷体_GB2312"/>
      <w:sz w:val="26"/>
      <w:szCs w:val="20"/>
    </w:rPr>
  </w:style>
  <w:style w:type="character" w:styleId="989" w:customStyle="1">
    <w:name w:val="Andy_正文 Char"/>
    <w:link w:val="990"/>
    <w:uiPriority w:val="0"/>
    <w:qFormat/>
    <w:rPr>
      <w:rFonts w:ascii="Calibri" w:hAnsi="Calibri"/>
      <w:sz w:val="24"/>
      <w:szCs w:val="24"/>
    </w:rPr>
  </w:style>
  <w:style w:type="paragraph" w:styleId="990" w:customStyle="1">
    <w:name w:val="Andy_正文"/>
    <w:basedOn w:val="765"/>
    <w:link w:val="989"/>
    <w:uiPriority w:val="0"/>
    <w:qFormat/>
    <w:pPr>
      <w:ind w:firstLine="480"/>
      <w:jc w:val="both"/>
      <w:spacing w:line="360" w:lineRule="auto"/>
      <w:widowControl w:val="off"/>
    </w:pPr>
    <w:rPr>
      <w:rFonts w:ascii="Calibri" w:hAnsi="Calibri"/>
    </w:rPr>
  </w:style>
  <w:style w:type="paragraph" w:styleId="991" w:customStyle="1">
    <w:name w:val="H-TextFormat"/>
    <w:uiPriority w:val="0"/>
    <w:qFormat/>
    <w:rPr>
      <w:rFonts w:hint="default" w:ascii="Arial" w:hAnsi="Arial" w:eastAsia="宋体" w:cs="Times New Roman"/>
      <w:sz w:val="22"/>
      <w:lang w:val="en-GB" w:eastAsia="en-US" w:bidi="ar-SA"/>
    </w:rPr>
  </w:style>
  <w:style w:type="paragraph" w:styleId="992" w:customStyle="1">
    <w:name w:val="Char1"/>
    <w:basedOn w:val="765"/>
    <w:uiPriority w:val="0"/>
    <w:qFormat/>
    <w:pPr>
      <w:jc w:val="both"/>
      <w:widowControl w:val="off"/>
    </w:pPr>
    <w:rPr>
      <w:rFonts w:ascii="Tahoma" w:hAnsi="Tahoma"/>
      <w:szCs w:val="20"/>
    </w:rPr>
  </w:style>
  <w:style w:type="paragraph" w:styleId="993" w:customStyle="1">
    <w:name w:val="_Style 12"/>
    <w:basedOn w:val="780"/>
    <w:uiPriority w:val="0"/>
    <w:qFormat/>
    <w:pPr>
      <w:spacing w:line="360" w:lineRule="auto"/>
    </w:pPr>
  </w:style>
  <w:style w:type="paragraph" w:styleId="994" w:customStyle="1">
    <w:name w:val="Table Paragraph"/>
    <w:basedOn w:val="765"/>
    <w:uiPriority w:val="1"/>
    <w:qFormat/>
    <w:pPr>
      <w:widowControl w:val="off"/>
    </w:pPr>
    <w:rPr>
      <w:rFonts w:ascii="宋体" w:hAnsi="宋体" w:cs="宋体"/>
      <w:sz w:val="22"/>
      <w:szCs w:val="22"/>
      <w:lang w:val="zh-CN" w:bidi="zh-CN"/>
    </w:rPr>
  </w:style>
  <w:style w:type="paragraph" w:styleId="995" w:customStyle="1">
    <w:name w:val="_Style 25"/>
    <w:basedOn w:val="765"/>
    <w:uiPriority w:val="0"/>
    <w:qFormat/>
    <w:pPr>
      <w:spacing w:after="160" w:line="240" w:lineRule="exact"/>
    </w:pPr>
    <w:rPr>
      <w:szCs w:val="20"/>
    </w:rPr>
  </w:style>
  <w:style w:type="paragraph" w:styleId="996" w:customStyle="1">
    <w:name w:val="纯文本11"/>
    <w:basedOn w:val="765"/>
    <w:uiPriority w:val="0"/>
    <w:qFormat/>
    <w:pPr>
      <w:jc w:val="both"/>
      <w:widowControl w:val="off"/>
    </w:pPr>
    <w:rPr>
      <w:rFonts w:ascii="宋体" w:hAnsi="Courier New" w:eastAsia="楷体_GB2312"/>
      <w:sz w:val="28"/>
      <w:szCs w:val="20"/>
    </w:rPr>
  </w:style>
  <w:style w:type="paragraph" w:styleId="997" w:customStyle="1">
    <w:name w:val="中等深浅网格 2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98" w:customStyle="1">
    <w:name w:val="Char Char Char1 Char Char Char Char"/>
    <w:basedOn w:val="765"/>
    <w:uiPriority w:val="0"/>
    <w:qFormat/>
    <w:pPr>
      <w:spacing w:after="160" w:line="240" w:lineRule="exact"/>
    </w:pPr>
  </w:style>
  <w:style w:type="paragraph" w:styleId="999" w:customStyle="1">
    <w:name w:val="表正文"/>
    <w:basedOn w:val="765"/>
    <w:next w:val="783"/>
    <w:uiPriority w:val="0"/>
    <w:qFormat/>
    <w:pPr>
      <w:ind w:left="420"/>
      <w:spacing w:after="120"/>
    </w:pPr>
    <w:rPr>
      <w:sz w:val="21"/>
    </w:rPr>
  </w:style>
  <w:style w:type="paragraph" w:styleId="1000" w:customStyle="1">
    <w:name w:val="Char Char Char Char Char Char Char Char Char Char"/>
    <w:basedOn w:val="765"/>
    <w:uiPriority w:val="0"/>
    <w:qFormat/>
    <w:pPr>
      <w:ind w:left="795" w:hanging="360"/>
      <w:jc w:val="both"/>
      <w:widowControl w:val="off"/>
      <w:tabs>
        <w:tab w:val="left" w:pos="795" w:leader="none"/>
      </w:tabs>
    </w:pPr>
  </w:style>
  <w:style w:type="paragraph" w:styleId="1001" w:customStyle="1">
    <w:name w:val="Char1 Char Char Char"/>
    <w:basedOn w:val="765"/>
    <w:uiPriority w:val="0"/>
    <w:qFormat/>
    <w:pPr>
      <w:jc w:val="both"/>
      <w:widowControl w:val="off"/>
    </w:pPr>
    <w:rPr>
      <w:sz w:val="21"/>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05" w:customStyle="1">
    <w:name w:val="Andy_2级"/>
    <w:basedOn w:val="765"/>
    <w:uiPriority w:val="0"/>
    <w:qFormat/>
    <w:pPr>
      <w:numPr>
        <w:ilvl w:val="1"/>
        <w:numId w:val="2"/>
      </w:numPr>
      <w:ind w:left="0" w:firstLine="510"/>
      <w:spacing w:line="360" w:lineRule="auto"/>
    </w:pPr>
    <w:rPr>
      <w:rFonts w:ascii="Calibri" w:hAnsi="Calibri"/>
      <w:szCs w:val="20"/>
    </w:rPr>
  </w:style>
  <w:style w:type="paragraph" w:styleId="1006" w:customStyle="1">
    <w:name w:val="p16"/>
    <w:basedOn w:val="765"/>
    <w:uiPriority w:val="0"/>
    <w:qFormat/>
    <w:rPr>
      <w:rFonts w:ascii="宋体" w:hAnsi="宋体" w:cs="宋体"/>
      <w:sz w:val="26"/>
      <w:szCs w:val="26"/>
    </w:rPr>
  </w:style>
  <w:style w:type="paragraph" w:styleId="1007" w:customStyle="1">
    <w:name w:val="纯文本3"/>
    <w:basedOn w:val="765"/>
    <w:uiPriority w:val="0"/>
    <w:qFormat/>
    <w:rPr>
      <w:rFonts w:ascii="宋体" w:hAnsi="Courier New"/>
      <w:sz w:val="26"/>
    </w:rPr>
  </w:style>
  <w:style w:type="paragraph" w:styleId="1008" w:customStyle="1">
    <w:name w:val="Char Char Char"/>
    <w:basedOn w:val="765"/>
    <w:uiPriority w:val="0"/>
    <w:qFormat/>
    <w:pPr>
      <w:ind w:left="795" w:hanging="360"/>
      <w:jc w:val="both"/>
      <w:widowControl w:val="off"/>
      <w:tabs>
        <w:tab w:val="left" w:pos="795" w:leader="none"/>
      </w:tabs>
    </w:pPr>
  </w:style>
  <w:style w:type="paragraph" w:styleId="1009" w:customStyle="1">
    <w:name w:val="样式2"/>
    <w:basedOn w:val="969"/>
    <w:uiPriority w:val="0"/>
    <w:qFormat/>
    <w:rPr>
      <w:sz w:val="21"/>
    </w:rPr>
  </w:style>
  <w:style w:type="paragraph" w:styleId="1010" w:customStyle="1">
    <w:name w:val="f正文"/>
    <w:basedOn w:val="765"/>
    <w:uiPriority w:val="0"/>
    <w:qFormat/>
    <w:pPr>
      <w:ind w:firstLine="200"/>
    </w:pPr>
  </w:style>
  <w:style w:type="paragraph" w:styleId="1011" w:customStyle="1">
    <w:name w:val="_Style 3"/>
    <w:basedOn w:val="765"/>
    <w:uiPriority w:val="0"/>
    <w:qFormat/>
    <w:pPr>
      <w:ind w:left="795" w:hanging="360"/>
      <w:jc w:val="both"/>
      <w:widowControl w:val="off"/>
      <w:tabs>
        <w:tab w:val="left" w:pos="540" w:leader="none"/>
      </w:tabs>
    </w:pPr>
  </w:style>
  <w:style w:type="paragraph" w:styleId="1012" w:customStyle="1">
    <w:name w:val="Char Char Char Char Char Char Char Char Char1 Char"/>
    <w:basedOn w:val="780"/>
    <w:uiPriority w:val="0"/>
    <w:qFormat/>
    <w:pPr>
      <w:jc w:val="both"/>
      <w:spacing w:line="360" w:lineRule="auto"/>
      <w:widowControl w:val="off"/>
    </w:pPr>
    <w:rPr>
      <w:rFonts w:ascii="Tahoma" w:hAnsi="Tahoma"/>
    </w:rPr>
  </w:style>
  <w:style w:type="paragraph" w:styleId="1013" w:customStyle="1">
    <w:name w:val="纯文本5"/>
    <w:basedOn w:val="765"/>
    <w:uiPriority w:val="0"/>
    <w:qFormat/>
    <w:rPr>
      <w:rFonts w:ascii="宋体" w:hAnsi="Courier New" w:eastAsia="楷体_GB2312"/>
      <w:sz w:val="28"/>
      <w:szCs w:val="20"/>
    </w:rPr>
  </w:style>
  <w:style w:type="paragraph" w:styleId="1014" w:customStyle="1">
    <w:name w:val="p18"/>
    <w:basedOn w:val="765"/>
    <w:uiPriority w:val="0"/>
    <w:qFormat/>
    <w:pPr>
      <w:ind w:firstLine="420"/>
    </w:pPr>
  </w:style>
  <w:style w:type="paragraph" w:styleId="1015" w:customStyle="1">
    <w:name w:val="纯文本2"/>
    <w:basedOn w:val="765"/>
    <w:uiPriority w:val="0"/>
    <w:qFormat/>
    <w:rPr>
      <w:rFonts w:ascii="宋体" w:hAnsi="Courier New"/>
    </w:rPr>
  </w:style>
  <w:style w:type="paragraph" w:styleId="1016" w:customStyle="1">
    <w:name w:val="Char Char2"/>
    <w:basedOn w:val="780"/>
    <w:uiPriority w:val="0"/>
    <w:qFormat/>
    <w:pPr>
      <w:spacing w:line="360" w:lineRule="auto"/>
    </w:pPr>
  </w:style>
  <w:style w:type="paragraph" w:styleId="1017" w:customStyle="1">
    <w:name w:val="_Style 5"/>
    <w:basedOn w:val="765"/>
    <w:uiPriority w:val="0"/>
    <w:qFormat/>
    <w:pPr>
      <w:spacing w:after="160" w:line="240" w:lineRule="exact"/>
    </w:pPr>
    <w:rPr>
      <w:szCs w:val="20"/>
    </w:rPr>
  </w:style>
  <w:style w:type="paragraph" w:styleId="1018" w:customStyle="1">
    <w:name w:val="段"/>
    <w:next w:val="765"/>
    <w:uiPriority w:val="0"/>
    <w:qFormat/>
    <w:pPr>
      <w:ind w:firstLine="200"/>
      <w:jc w:val="both"/>
    </w:pPr>
    <w:rPr>
      <w:rFonts w:hint="default" w:ascii="宋体" w:hAnsi="Times New Roman" w:eastAsia="宋体" w:cs="Times New Roman"/>
      <w:sz w:val="21"/>
      <w:szCs w:val="22"/>
      <w:lang w:val="en-US" w:eastAsia="zh-CN" w:bidi="ar-SA"/>
    </w:rPr>
  </w:style>
  <w:style w:type="paragraph" w:styleId="1019" w:customStyle="1">
    <w:name w:val="Char Char Char Char"/>
    <w:basedOn w:val="780"/>
    <w:uiPriority w:val="0"/>
    <w:qFormat/>
    <w:pPr>
      <w:jc w:val="both"/>
      <w:spacing w:line="360" w:lineRule="auto"/>
      <w:widowControl w:val="off"/>
    </w:pPr>
    <w:rPr>
      <w:szCs w:val="20"/>
    </w:rPr>
  </w:style>
  <w:style w:type="paragraph" w:styleId="1020" w:customStyle="1">
    <w:name w:val="p0"/>
    <w:basedOn w:val="765"/>
    <w:uiPriority w:val="0"/>
    <w:qFormat/>
  </w:style>
  <w:style w:type="paragraph" w:styleId="1021" w:customStyle="1">
    <w:name w:val="Char Char Char Char Char Char Char Char Char1 Char1"/>
    <w:basedOn w:val="780"/>
    <w:uiPriority w:val="0"/>
    <w:qFormat/>
    <w:pPr>
      <w:jc w:val="both"/>
      <w:spacing w:line="360" w:lineRule="auto"/>
      <w:widowControl w:val="off"/>
    </w:pPr>
    <w:rPr>
      <w:rFonts w:ascii="Tahoma" w:hAnsi="Tahoma"/>
    </w:rPr>
  </w:style>
  <w:style w:type="paragraph" w:styleId="1022" w:customStyle="1">
    <w:name w:val="列出段落1"/>
    <w:basedOn w:val="765"/>
    <w:uiPriority w:val="0"/>
    <w:qFormat/>
    <w:pPr>
      <w:ind w:firstLine="420"/>
    </w:pPr>
    <w:rPr>
      <w:rFonts w:ascii="Calibri" w:hAnsi="Calibri" w:cs="Calibri"/>
      <w:szCs w:val="22"/>
    </w:rPr>
  </w:style>
  <w:style w:type="paragraph" w:styleId="1023" w:customStyle="1">
    <w:name w:val="纯文本111"/>
    <w:basedOn w:val="765"/>
    <w:uiPriority w:val="0"/>
    <w:qFormat/>
    <w:rPr>
      <w:rFonts w:ascii="宋体" w:hAnsi="Courier New"/>
    </w:rPr>
  </w:style>
  <w:style w:type="paragraph" w:styleId="1024" w:customStyle="1">
    <w:name w:val="列表段落1"/>
    <w:basedOn w:val="765"/>
    <w:uiPriority w:val="0"/>
    <w:qFormat/>
    <w:pPr>
      <w:ind w:firstLine="420"/>
      <w:jc w:val="both"/>
      <w:widowControl w:val="off"/>
    </w:pPr>
    <w:rPr>
      <w:rFonts w:ascii="Calibri" w:hAnsi="Calibri"/>
      <w:sz w:val="21"/>
      <w:szCs w:val="22"/>
    </w:rPr>
  </w:style>
  <w:style w:type="paragraph" w:styleId="1025" w:customStyle="1">
    <w:name w:val="Char Char3"/>
    <w:basedOn w:val="765"/>
    <w:uiPriority w:val="0"/>
    <w:qFormat/>
    <w:pPr>
      <w:numPr>
        <w:ilvl w:val="0"/>
        <w:numId w:val="3"/>
      </w:numPr>
      <w:jc w:val="both"/>
      <w:widowControl w:val="off"/>
    </w:pPr>
  </w:style>
  <w:style w:type="paragraph" w:styleId="1026" w:customStyle="1">
    <w:name w:val="Char"/>
    <w:basedOn w:val="765"/>
    <w:uiPriority w:val="0"/>
    <w:qFormat/>
    <w:pPr>
      <w:jc w:val="both"/>
      <w:widowControl w:val="off"/>
    </w:pPr>
    <w:rPr>
      <w:rFonts w:ascii="Tahoma" w:hAnsi="Tahoma" w:cs="Tahoma"/>
    </w:rPr>
  </w:style>
  <w:style w:type="paragraph" w:styleId="1027" w:customStyle="1">
    <w:name w:val="01 章标"/>
    <w:basedOn w:val="765"/>
    <w:uiPriority w:val="0"/>
    <w:qFormat/>
    <w:pPr>
      <w:ind w:firstLine="883"/>
      <w:jc w:val="center"/>
      <w:outlineLvl w:val="0"/>
    </w:pPr>
    <w:rPr>
      <w:b/>
      <w:sz w:val="44"/>
      <w:szCs w:val="44"/>
    </w:rPr>
  </w:style>
  <w:style w:type="paragraph" w:styleId="1028" w:customStyle="1">
    <w:name w:val="首行缩进"/>
    <w:basedOn w:val="765"/>
    <w:uiPriority w:val="0"/>
    <w:qFormat/>
    <w:pPr>
      <w:ind w:firstLine="480"/>
    </w:pPr>
    <w:rPr>
      <w:rFonts w:eastAsia="楷体_GB2312"/>
      <w:sz w:val="26"/>
      <w:szCs w:val="20"/>
      <w:lang w:val="zh-CN"/>
    </w:rPr>
  </w:style>
  <w:style w:type="paragraph" w:styleId="1029" w:customStyle="1">
    <w:name w:val="Other|1"/>
    <w:basedOn w:val="765"/>
    <w:uiPriority w:val="0"/>
    <w:qFormat/>
    <w:pPr>
      <w:spacing w:line="306" w:lineRule="exact"/>
    </w:pPr>
    <w:rPr>
      <w:rFonts w:ascii="宋体" w:hAnsi="宋体" w:cs="宋体"/>
      <w:sz w:val="20"/>
      <w:szCs w:val="20"/>
      <w:lang w:val="zh-TW" w:eastAsia="zh-TW" w:bidi="zh-TW"/>
    </w:rPr>
  </w:style>
  <w:style w:type="paragraph" w:styleId="1030" w:customStyle="1">
    <w:name w:val="Plain Text1"/>
    <w:basedOn w:val="765"/>
    <w:uiPriority w:val="0"/>
    <w:qFormat/>
    <w:rPr>
      <w:rFonts w:hint="eastAsia" w:ascii="宋体" w:hAnsi="Courier New"/>
    </w:rPr>
  </w:style>
  <w:style w:type="paragraph" w:styleId="1031" w:customStyle="1">
    <w:name w:val="正文2"/>
    <w:basedOn w:val="765"/>
    <w:uiPriority w:val="0"/>
    <w:qFormat/>
    <w:pPr>
      <w:ind w:firstLine="200"/>
      <w:spacing w:after="160" w:line="360" w:lineRule="auto"/>
    </w:pPr>
    <w:rPr>
      <w:rFonts w:ascii="Verdana" w:hAnsi="Verdana" w:eastAsia="黑体"/>
      <w:sz w:val="21"/>
      <w:szCs w:val="20"/>
      <w:lang w:eastAsia="en-US"/>
    </w:rPr>
  </w:style>
  <w:style w:type="paragraph" w:styleId="1032" w:customStyle="1">
    <w:name w:val="图片格式"/>
    <w:basedOn w:val="765"/>
    <w:uiPriority w:val="0"/>
    <w:qFormat/>
    <w:pPr>
      <w:jc w:val="center"/>
      <w:tabs>
        <w:tab w:val="center" w:pos="4153" w:leader="none"/>
        <w:tab w:val="right" w:pos="8306" w:leader="none"/>
      </w:tabs>
    </w:pPr>
    <w:rPr>
      <w:rFonts w:cs="宋体"/>
      <w:szCs w:val="20"/>
    </w:rPr>
  </w:style>
  <w:style w:type="paragraph" w:styleId="1033" w:customStyle="1">
    <w:name w:val="p17"/>
    <w:basedOn w:val="765"/>
    <w:uiPriority w:val="0"/>
    <w:qFormat/>
    <w:pPr>
      <w:jc w:val="both"/>
    </w:pPr>
    <w:rPr>
      <w:rFonts w:ascii="宋体" w:hAnsi="宋体" w:cs="宋体"/>
      <w:sz w:val="26"/>
      <w:szCs w:val="26"/>
    </w:rPr>
  </w:style>
  <w:style w:type="paragraph" w:styleId="1034" w:customStyle="1">
    <w:name w:val="Char2"/>
    <w:basedOn w:val="780"/>
    <w:uiPriority w:val="0"/>
    <w:qFormat/>
    <w:pPr>
      <w:jc w:val="both"/>
      <w:spacing w:line="360" w:lineRule="auto"/>
      <w:widowControl w:val="off"/>
    </w:pPr>
    <w:rPr>
      <w:sz w:val="21"/>
    </w:rPr>
  </w:style>
  <w:style w:type="paragraph" w:styleId="1035" w:customStyle="1">
    <w:name w:val="无间隔1"/>
    <w:uiPriority w:val="1"/>
    <w:qFormat/>
    <w:rPr>
      <w:rFonts w:hint="default" w:ascii="微软雅黑." w:hAnsi="微软雅黑." w:eastAsia="宋体" w:cs="Times New Roman"/>
      <w:sz w:val="22"/>
      <w:szCs w:val="22"/>
      <w:lang w:val="en-US" w:eastAsia="zh-CN" w:bidi="ar-SA"/>
    </w:rPr>
  </w:style>
  <w:style w:type="paragraph" w:styleId="1036" w:customStyle="1">
    <w:name w:val="方案正文"/>
    <w:basedOn w:val="765"/>
    <w:uiPriority w:val="0"/>
    <w:qFormat/>
    <w:pPr>
      <w:spacing w:line="440" w:lineRule="atLeast"/>
    </w:pPr>
  </w:style>
  <w:style w:type="paragraph" w:styleId="1037" w:customStyle="1">
    <w:name w:val="*正文"/>
    <w:basedOn w:val="765"/>
    <w:uiPriority w:val="0"/>
    <w:qFormat/>
    <w:rPr>
      <w:rFonts w:ascii="宋体" w:hAnsi="宋体"/>
      <w:lang w:val="zh-CN"/>
    </w:rPr>
  </w:style>
  <w:style w:type="paragraph" w:styleId="1038" w:customStyle="1">
    <w:name w:val="普通正文"/>
    <w:basedOn w:val="765"/>
    <w:uiPriority w:val="0"/>
    <w:qFormat/>
    <w:pPr>
      <w:ind w:firstLine="480"/>
      <w:spacing w:before="120" w:after="120" w:line="360" w:lineRule="auto"/>
    </w:pPr>
    <w:rPr>
      <w:rFonts w:ascii="Arial" w:hAnsi="Arial" w:cs="Arial"/>
    </w:rPr>
  </w:style>
  <w:style w:type="paragraph" w:styleId="1039" w:customStyle="1">
    <w:name w:val="_Style 7"/>
    <w:basedOn w:val="782"/>
    <w:next w:val="810"/>
    <w:uiPriority w:val="0"/>
    <w:qFormat/>
    <w:pPr>
      <w:ind w:firstLine="420"/>
    </w:pPr>
    <w:rPr>
      <w:rFonts w:ascii="Calibri" w:hAnsi="Calibri"/>
    </w:rPr>
  </w:style>
  <w:style w:type="paragraph" w:styleId="1040" w:customStyle="1">
    <w:name w:val="目录 51"/>
    <w:next w:val="765"/>
    <w:uiPriority w:val="0"/>
    <w:qFormat/>
    <w:pPr>
      <w:ind w:left="1275"/>
      <w:jc w:val="both"/>
    </w:pPr>
    <w:rPr>
      <w:rFonts w:hint="default" w:ascii="Times New Roman" w:hAnsi="Times New Roman" w:eastAsia="宋体" w:cs="Times New Roman"/>
      <w:sz w:val="21"/>
      <w:lang w:val="en-US" w:eastAsia="zh-CN" w:bidi="ar-SA"/>
    </w:rPr>
  </w:style>
  <w:style w:type="paragraph" w:styleId="1041" w:customStyle="1">
    <w:name w:val="列表段落11"/>
    <w:basedOn w:val="765"/>
    <w:uiPriority w:val="34"/>
    <w:qFormat/>
    <w:pPr>
      <w:ind w:firstLine="420"/>
    </w:pPr>
  </w:style>
  <w:style w:type="paragraph" w:styleId="1042" w:customStyle="1">
    <w:name w:val="纯文本4"/>
    <w:basedOn w:val="765"/>
    <w:uiPriority w:val="0"/>
    <w:qFormat/>
    <w:pPr>
      <w:jc w:val="both"/>
      <w:widowControl w:val="off"/>
    </w:pPr>
    <w:rPr>
      <w:rFonts w:ascii="宋体" w:hAnsi="Courier New" w:eastAsia="楷体_GB2312"/>
      <w:sz w:val="26"/>
      <w:szCs w:val="20"/>
    </w:rPr>
  </w:style>
  <w:style w:type="paragraph" w:styleId="1043" w:customStyle="1">
    <w:name w:val="Table Text"/>
    <w:uiPriority w:val="0"/>
    <w:semiHidden/>
    <w:qFormat/>
    <w:rPr>
      <w:rFonts w:hint="default" w:ascii="宋体" w:hAnsi="宋体" w:eastAsia="宋体" w:cs="宋体"/>
      <w:color w:val="000000"/>
      <w:sz w:val="18"/>
      <w:szCs w:val="18"/>
      <w:lang w:val="en-US" w:eastAsia="en-US" w:bidi="ar-SA"/>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9</cp:revision>
  <dcterms:created xsi:type="dcterms:W3CDTF">2025-05-07T01:58:00Z</dcterms:created>
  <dcterms:modified xsi:type="dcterms:W3CDTF">2026-02-26T02:45:16Z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A74A8A9A5A8A42619C1CEE5A5AC3611B_13</vt:lpwstr>
  </property>
  <property fmtid="{D5CDD505-2E9C-101B-9397-08002B2CF9AE}" pid="4" name="KSOTemplateDocerSaveRecord">
    <vt:lpwstr>eyJoZGlkIjoiNWI1MzFhYjQwMzQ3OWQwYzYxMTRhZmIwOThhMjJmYjUiLCJ1c2VySWQiOiI1NTg4NTI5ODUifQ==</vt:lpwstr>
  </property>
</Properties>
</file>