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公开</w:t>
      </w:r>
      <w:r/>
    </w:p>
    <w:p>
      <w:pPr>
        <w:jc w:val="center"/>
        <w:rPr>
          <w:rFonts w:hint="eastAsia"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-113665</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黑体" w:hAnsi="华文中宋" w:eastAsia="黑体"/>
          <w:bCs/>
          <w:color w:val="auto"/>
          <w:spacing w:val="20"/>
          <w:sz w:val="52"/>
          <w:szCs w:val="52"/>
          <w:highlight w:val="none"/>
        </w:rPr>
        <w:t xml:space="preserve">招标文件</w:t>
      </w:r>
      <w:r/>
    </w:p>
    <w:p>
      <w:pPr>
        <w:jc w:val="center"/>
        <w:rPr>
          <w:rFonts w:hint="eastAsia" w:ascii="黑体" w:hAnsi="华文中宋" w:eastAsia="黑体"/>
          <w:bCs/>
          <w:color w:val="auto"/>
          <w:spacing w:val="20"/>
          <w:sz w:val="52"/>
          <w:szCs w:val="52"/>
          <w:highlight w:val="none"/>
          <w:lang w:eastAsia="zh-CN"/>
        </w:rPr>
      </w:pPr>
      <w:r>
        <w:rPr>
          <w:rFonts w:hint="eastAsia" w:ascii="黑体" w:hAnsi="华文中宋" w:eastAsia="黑体"/>
          <w:bCs/>
          <w:color w:val="auto"/>
          <w:spacing w:val="20"/>
          <w:sz w:val="52"/>
          <w:szCs w:val="52"/>
          <w:highlight w:val="none"/>
        </w:rPr>
        <w:t xml:space="preserve">（暗标）</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JSZC-320214-JSZH-G2026-0015</w:t>
      </w:r>
      <w:r/>
    </w:p>
    <w:p>
      <w:pPr>
        <w:ind w:firstLine="9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江溪街道交警中队交通设施维护项目</w:t>
      </w:r>
      <w:r/>
    </w:p>
    <w:p>
      <w:pPr>
        <w:ind w:firstLine="9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jc w:val="left"/>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采购代理机构：江苏智汇锡建工程项目管理有限公司</w:t>
      </w:r>
      <w:r/>
    </w:p>
    <w:p>
      <w:pPr>
        <w:rPr>
          <w:rFonts w:ascii="华文中宋" w:hAnsi="华文中宋" w:eastAsia="华文中宋"/>
          <w:bCs/>
          <w:color w:val="auto"/>
          <w:sz w:val="32"/>
          <w:highlight w:val="none"/>
        </w:rPr>
      </w:pPr>
      <w:r>
        <w:rPr>
          <w:rFonts w:ascii="华文中宋" w:hAnsi="华文中宋" w:eastAsia="华文中宋"/>
          <w:bCs/>
          <w:color w:val="auto"/>
          <w:sz w:val="32"/>
          <w:highlight w:val="none"/>
        </w:rPr>
      </w:r>
      <w:r/>
    </w:p>
    <w:p>
      <w:pPr>
        <w:jc w:val="center"/>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 xml:space="preserve">二〇二</w:t>
      </w:r>
      <w:r>
        <w:rPr>
          <w:rFonts w:hint="eastAsia" w:ascii="黑体" w:hAnsi="华文中宋" w:eastAsia="黑体"/>
          <w:bCs/>
          <w:color w:val="auto"/>
          <w:sz w:val="30"/>
          <w:szCs w:val="30"/>
          <w:highlight w:val="none"/>
          <w:lang w:val="en-US" w:eastAsia="zh-CN"/>
        </w:rPr>
        <w:t xml:space="preserve">六</w:t>
      </w:r>
      <w:r>
        <w:rPr>
          <w:rFonts w:hint="eastAsia" w:ascii="黑体" w:hAnsi="华文中宋" w:eastAsia="黑体"/>
          <w:bCs/>
          <w:color w:val="auto"/>
          <w:sz w:val="30"/>
          <w:szCs w:val="30"/>
          <w:highlight w:val="none"/>
        </w:rPr>
        <w:t xml:space="preserve">年</w:t>
      </w:r>
      <w:r>
        <w:rPr>
          <w:rFonts w:hint="eastAsia" w:ascii="黑体" w:hAnsi="华文中宋" w:eastAsia="黑体"/>
          <w:bCs/>
          <w:color w:val="auto"/>
          <w:sz w:val="30"/>
          <w:szCs w:val="30"/>
          <w:highlight w:val="none"/>
          <w:lang w:val="en-US" w:eastAsia="zh-CN"/>
        </w:rPr>
        <w:t xml:space="preserve">三</w:t>
      </w:r>
      <w:r>
        <w:rPr>
          <w:rFonts w:hint="eastAsia" w:ascii="黑体" w:hAnsi="华文中宋" w:eastAsia="黑体"/>
          <w:bCs/>
          <w:color w:val="auto"/>
          <w:sz w:val="30"/>
          <w:szCs w:val="30"/>
          <w:highlight w:val="none"/>
        </w:rPr>
        <w:t xml:space="preserve">月</w:t>
      </w:r>
      <w:r/>
    </w:p>
    <w:p>
      <w:pPr>
        <w:jc w:val="center"/>
        <w:rPr>
          <w:rStyle w:val="751"/>
          <w:rFonts w:eastAsia="黑体"/>
          <w:bCs/>
          <w:color w:val="auto"/>
          <w:sz w:val="48"/>
          <w:highlight w:val="none"/>
        </w:rPr>
      </w:pPr>
      <w:r>
        <w:rPr>
          <w:rStyle w:val="751"/>
          <w:rFonts w:eastAsia="黑体"/>
          <w:bCs/>
          <w:color w:val="auto"/>
          <w:sz w:val="48"/>
          <w:highlight w:val="none"/>
        </w:rPr>
        <w:br w:type="page" w:clear="all"/>
      </w:r>
      <w:r>
        <w:rPr>
          <w:rStyle w:val="751"/>
          <w:rFonts w:hint="eastAsia" w:eastAsia="黑体"/>
          <w:bCs/>
          <w:color w:val="auto"/>
          <w:sz w:val="48"/>
          <w:highlight w:val="none"/>
        </w:rPr>
        <w:t xml:space="preserve">目录</w:t>
      </w:r>
      <w:r/>
    </w:p>
    <w:p>
      <w:pPr>
        <w:jc w:val="center"/>
        <w:rPr>
          <w:rFonts w:ascii="黑体" w:eastAsia="黑体"/>
          <w:bCs/>
          <w:color w:val="auto"/>
          <w:sz w:val="30"/>
          <w:highlight w:val="none"/>
        </w:rPr>
      </w:pPr>
      <w:r>
        <w:rPr>
          <w:rFonts w:ascii="黑体" w:eastAsia="黑体"/>
          <w:bCs/>
          <w:color w:val="auto"/>
          <w:sz w:val="30"/>
          <w:highlight w:val="none"/>
        </w:rPr>
      </w:r>
      <w:r/>
    </w:p>
    <w:p>
      <w:pPr>
        <w:pStyle w:val="732"/>
        <w:spacing w:line="480" w:lineRule="auto"/>
        <w:tabs>
          <w:tab w:val="right" w:pos="9746" w:leader="dot"/>
        </w:tabs>
        <w:rPr>
          <w:rFonts w:hint="eastAsia" w:ascii="宋体" w:hAnsi="宋体" w:eastAsia="宋体" w:cs="宋体"/>
          <w:b/>
          <w:bCs w:val="0"/>
          <w:sz w:val="32"/>
          <w:szCs w:val="32"/>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TOC \o "1-1" \h \u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sz w:val="32"/>
          <w:szCs w:val="32"/>
          <w:highlight w:val="none"/>
        </w:rPr>
        <w:instrText xml:space="preserve"> HYPERLINK \l _Toc23858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rPr>
        <w:t xml:space="preserve">一</w:t>
      </w:r>
      <w:r>
        <w:rPr>
          <w:rFonts w:hint="eastAsia" w:ascii="宋体" w:hAnsi="宋体" w:eastAsia="宋体" w:cs="宋体"/>
          <w:b/>
          <w:bCs w:val="0"/>
          <w:sz w:val="32"/>
          <w:szCs w:val="32"/>
          <w:highlight w:val="none"/>
          <w:lang w:val="en-US" w:eastAsia="zh-CN"/>
        </w:rPr>
        <w:t xml:space="preserve">.</w:t>
      </w:r>
      <w:r>
        <w:rPr>
          <w:rFonts w:hint="eastAsia" w:ascii="宋体" w:hAnsi="宋体" w:eastAsia="宋体" w:cs="宋体"/>
          <w:b/>
          <w:bCs w:val="0"/>
          <w:sz w:val="32"/>
          <w:szCs w:val="32"/>
          <w:highlight w:val="none"/>
        </w:rPr>
        <w:t xml:space="preserve">投标邀请函</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_Toc23858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3</w:t>
      </w:r>
      <w:r>
        <w:rPr>
          <w:rFonts w:hint="eastAsia" w:ascii="宋体" w:hAnsi="宋体" w:eastAsia="宋体" w:cs="宋体"/>
          <w:b/>
          <w:bCs w:val="0"/>
          <w:sz w:val="32"/>
          <w:szCs w:val="32"/>
        </w:rPr>
        <w:fldChar w:fldCharType="end"/>
      </w:r>
      <w:r>
        <w:rPr>
          <w:rFonts w:hint="eastAsia" w:ascii="宋体" w:hAnsi="宋体" w:eastAsia="宋体" w:cs="宋体"/>
          <w:b/>
          <w:bCs w:val="0"/>
          <w:color w:val="auto"/>
          <w:sz w:val="32"/>
          <w:szCs w:val="32"/>
          <w:highlight w:val="none"/>
        </w:rPr>
        <w:fldChar w:fldCharType="end"/>
      </w:r>
      <w:r/>
    </w:p>
    <w:p>
      <w:pPr>
        <w:pStyle w:val="732"/>
        <w:spacing w:line="480" w:lineRule="auto"/>
        <w:tabs>
          <w:tab w:val="right" w:pos="9746" w:leader="dot"/>
        </w:tabs>
        <w:rPr>
          <w:rFonts w:hint="eastAsia" w:ascii="宋体" w:hAnsi="宋体" w:eastAsia="宋体" w:cs="宋体"/>
          <w:b/>
          <w:bCs w:val="0"/>
          <w:sz w:val="32"/>
          <w:szCs w:val="32"/>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sz w:val="32"/>
          <w:szCs w:val="32"/>
          <w:highlight w:val="none"/>
        </w:rPr>
        <w:instrText xml:space="preserve"> HYPERLINK \l _Toc15843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rPr>
        <w:t xml:space="preserve">二</w:t>
      </w:r>
      <w:r>
        <w:rPr>
          <w:rFonts w:hint="eastAsia" w:ascii="宋体" w:hAnsi="宋体" w:eastAsia="宋体" w:cs="宋体"/>
          <w:b/>
          <w:bCs w:val="0"/>
          <w:sz w:val="32"/>
          <w:szCs w:val="32"/>
          <w:highlight w:val="none"/>
          <w:lang w:val="en-US" w:eastAsia="zh-CN"/>
        </w:rPr>
        <w:t xml:space="preserve">.</w:t>
      </w:r>
      <w:r>
        <w:rPr>
          <w:rFonts w:hint="eastAsia" w:ascii="宋体" w:hAnsi="宋体" w:eastAsia="宋体" w:cs="宋体"/>
          <w:b/>
          <w:bCs w:val="0"/>
          <w:sz w:val="32"/>
          <w:szCs w:val="32"/>
          <w:highlight w:val="none"/>
        </w:rPr>
        <w:t xml:space="preserve">投标人须知</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_Toc15843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7</w:t>
      </w:r>
      <w:r>
        <w:rPr>
          <w:rFonts w:hint="eastAsia" w:ascii="宋体" w:hAnsi="宋体" w:eastAsia="宋体" w:cs="宋体"/>
          <w:b/>
          <w:bCs w:val="0"/>
          <w:sz w:val="32"/>
          <w:szCs w:val="32"/>
        </w:rPr>
        <w:fldChar w:fldCharType="end"/>
      </w:r>
      <w:r>
        <w:rPr>
          <w:rFonts w:hint="eastAsia" w:ascii="宋体" w:hAnsi="宋体" w:eastAsia="宋体" w:cs="宋体"/>
          <w:b/>
          <w:bCs w:val="0"/>
          <w:color w:val="auto"/>
          <w:sz w:val="32"/>
          <w:szCs w:val="32"/>
          <w:highlight w:val="none"/>
        </w:rPr>
        <w:fldChar w:fldCharType="end"/>
      </w:r>
      <w:r/>
    </w:p>
    <w:p>
      <w:pPr>
        <w:pStyle w:val="732"/>
        <w:spacing w:line="480" w:lineRule="auto"/>
        <w:tabs>
          <w:tab w:val="right" w:pos="9746" w:leader="dot"/>
        </w:tabs>
        <w:rPr>
          <w:rFonts w:hint="eastAsia" w:ascii="宋体" w:hAnsi="宋体" w:eastAsia="宋体" w:cs="宋体"/>
          <w:b/>
          <w:bCs w:val="0"/>
          <w:sz w:val="32"/>
          <w:szCs w:val="32"/>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sz w:val="32"/>
          <w:szCs w:val="32"/>
          <w:highlight w:val="none"/>
        </w:rPr>
        <w:instrText xml:space="preserve"> HYPERLINK \l _Toc24273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rPr>
        <w:t xml:space="preserve">三</w:t>
      </w:r>
      <w:r>
        <w:rPr>
          <w:rFonts w:hint="eastAsia" w:ascii="宋体" w:hAnsi="宋体" w:eastAsia="宋体" w:cs="宋体"/>
          <w:b/>
          <w:bCs w:val="0"/>
          <w:sz w:val="32"/>
          <w:szCs w:val="32"/>
          <w:highlight w:val="none"/>
          <w:lang w:val="en-US" w:eastAsia="zh-CN"/>
        </w:rPr>
        <w:t xml:space="preserve">.</w:t>
      </w:r>
      <w:r>
        <w:rPr>
          <w:rFonts w:hint="eastAsia" w:ascii="宋体" w:hAnsi="宋体" w:eastAsia="宋体" w:cs="宋体"/>
          <w:b/>
          <w:bCs w:val="0"/>
          <w:sz w:val="32"/>
          <w:szCs w:val="32"/>
          <w:highlight w:val="none"/>
        </w:rPr>
        <w:t xml:space="preserve">项目技术要求和有关说明</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_Toc24273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19</w:t>
      </w:r>
      <w:r>
        <w:rPr>
          <w:rFonts w:hint="eastAsia" w:ascii="宋体" w:hAnsi="宋体" w:eastAsia="宋体" w:cs="宋体"/>
          <w:b/>
          <w:bCs w:val="0"/>
          <w:sz w:val="32"/>
          <w:szCs w:val="32"/>
        </w:rPr>
        <w:fldChar w:fldCharType="end"/>
      </w:r>
      <w:r>
        <w:rPr>
          <w:rFonts w:hint="eastAsia" w:ascii="宋体" w:hAnsi="宋体" w:eastAsia="宋体" w:cs="宋体"/>
          <w:b/>
          <w:bCs w:val="0"/>
          <w:color w:val="auto"/>
          <w:sz w:val="32"/>
          <w:szCs w:val="32"/>
          <w:highlight w:val="none"/>
        </w:rPr>
        <w:fldChar w:fldCharType="end"/>
      </w:r>
      <w:r/>
    </w:p>
    <w:p>
      <w:pPr>
        <w:pStyle w:val="732"/>
        <w:spacing w:line="480" w:lineRule="auto"/>
        <w:tabs>
          <w:tab w:val="right" w:pos="9746" w:leader="dot"/>
        </w:tabs>
        <w:rPr>
          <w:rFonts w:hint="eastAsia" w:ascii="宋体" w:hAnsi="宋体" w:eastAsia="宋体" w:cs="宋体"/>
          <w:b/>
          <w:bCs w:val="0"/>
          <w:sz w:val="32"/>
          <w:szCs w:val="32"/>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sz w:val="32"/>
          <w:szCs w:val="32"/>
          <w:highlight w:val="none"/>
        </w:rPr>
        <w:instrText xml:space="preserve"> HYPERLINK \l _Toc13749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rPr>
        <w:t xml:space="preserve">四</w:t>
      </w:r>
      <w:r>
        <w:rPr>
          <w:rFonts w:hint="eastAsia" w:ascii="宋体" w:hAnsi="宋体" w:eastAsia="宋体" w:cs="宋体"/>
          <w:b/>
          <w:bCs w:val="0"/>
          <w:sz w:val="32"/>
          <w:szCs w:val="32"/>
          <w:highlight w:val="none"/>
          <w:lang w:val="en-US" w:eastAsia="zh-CN"/>
        </w:rPr>
        <w:t xml:space="preserve">.</w:t>
      </w:r>
      <w:r>
        <w:rPr>
          <w:rFonts w:hint="eastAsia" w:ascii="宋体" w:hAnsi="宋体" w:eastAsia="宋体" w:cs="宋体"/>
          <w:b/>
          <w:bCs w:val="0"/>
          <w:sz w:val="32"/>
          <w:szCs w:val="32"/>
          <w:highlight w:val="none"/>
        </w:rPr>
        <w:t xml:space="preserve">合同书（格式文本）</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_Toc13749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35</w:t>
      </w:r>
      <w:r>
        <w:rPr>
          <w:rFonts w:hint="eastAsia" w:ascii="宋体" w:hAnsi="宋体" w:eastAsia="宋体" w:cs="宋体"/>
          <w:b/>
          <w:bCs w:val="0"/>
          <w:sz w:val="32"/>
          <w:szCs w:val="32"/>
        </w:rPr>
        <w:fldChar w:fldCharType="end"/>
      </w:r>
      <w:r>
        <w:rPr>
          <w:rFonts w:hint="eastAsia" w:ascii="宋体" w:hAnsi="宋体" w:eastAsia="宋体" w:cs="宋体"/>
          <w:b/>
          <w:bCs w:val="0"/>
          <w:color w:val="auto"/>
          <w:sz w:val="32"/>
          <w:szCs w:val="32"/>
          <w:highlight w:val="none"/>
        </w:rPr>
        <w:fldChar w:fldCharType="end"/>
      </w:r>
      <w:r/>
    </w:p>
    <w:p>
      <w:pPr>
        <w:pStyle w:val="732"/>
        <w:spacing w:line="480" w:lineRule="auto"/>
        <w:tabs>
          <w:tab w:val="right" w:pos="9746" w:leader="dot"/>
        </w:tabs>
        <w:rPr>
          <w:rFonts w:hint="eastAsia" w:ascii="宋体" w:hAnsi="宋体" w:eastAsia="宋体" w:cs="宋体"/>
          <w:b/>
          <w:bCs w:val="0"/>
          <w:sz w:val="32"/>
          <w:szCs w:val="32"/>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sz w:val="32"/>
          <w:szCs w:val="32"/>
          <w:highlight w:val="none"/>
        </w:rPr>
        <w:instrText xml:space="preserve"> HYPERLINK \l _Toc15345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rPr>
        <w:t xml:space="preserve">五.合同条款</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_Toc15345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36</w:t>
      </w:r>
      <w:r>
        <w:rPr>
          <w:rFonts w:hint="eastAsia" w:ascii="宋体" w:hAnsi="宋体" w:eastAsia="宋体" w:cs="宋体"/>
          <w:b/>
          <w:bCs w:val="0"/>
          <w:sz w:val="32"/>
          <w:szCs w:val="32"/>
        </w:rPr>
        <w:fldChar w:fldCharType="end"/>
      </w:r>
      <w:r>
        <w:rPr>
          <w:rFonts w:hint="eastAsia" w:ascii="宋体" w:hAnsi="宋体" w:eastAsia="宋体" w:cs="宋体"/>
          <w:b/>
          <w:bCs w:val="0"/>
          <w:color w:val="auto"/>
          <w:sz w:val="32"/>
          <w:szCs w:val="32"/>
          <w:highlight w:val="none"/>
        </w:rPr>
        <w:fldChar w:fldCharType="end"/>
      </w:r>
      <w:r/>
    </w:p>
    <w:p>
      <w:pPr>
        <w:pStyle w:val="732"/>
        <w:spacing w:line="480" w:lineRule="auto"/>
        <w:tabs>
          <w:tab w:val="right" w:pos="9746" w:leader="dot"/>
        </w:tabs>
        <w:rPr>
          <w:rFonts w:hint="eastAsia" w:ascii="宋体" w:hAnsi="宋体" w:eastAsia="宋体" w:cs="宋体"/>
          <w:b/>
          <w:bCs w:val="0"/>
          <w:sz w:val="32"/>
          <w:szCs w:val="32"/>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sz w:val="32"/>
          <w:szCs w:val="32"/>
          <w:highlight w:val="none"/>
        </w:rPr>
        <w:instrText xml:space="preserve"> HYPERLINK \l _Toc8372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rPr>
        <w:t xml:space="preserve">六.附件</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_Toc8372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43</w:t>
      </w:r>
      <w:r>
        <w:rPr>
          <w:rFonts w:hint="eastAsia" w:ascii="宋体" w:hAnsi="宋体" w:eastAsia="宋体" w:cs="宋体"/>
          <w:b/>
          <w:bCs w:val="0"/>
          <w:sz w:val="32"/>
          <w:szCs w:val="32"/>
        </w:rPr>
        <w:fldChar w:fldCharType="end"/>
      </w:r>
      <w:r>
        <w:rPr>
          <w:rFonts w:hint="eastAsia" w:ascii="宋体" w:hAnsi="宋体" w:eastAsia="宋体" w:cs="宋体"/>
          <w:b/>
          <w:bCs w:val="0"/>
          <w:color w:val="auto"/>
          <w:sz w:val="32"/>
          <w:szCs w:val="32"/>
          <w:highlight w:val="none"/>
        </w:rPr>
        <w:fldChar w:fldCharType="end"/>
      </w:r>
      <w:r/>
    </w:p>
    <w:p>
      <w:pPr>
        <w:ind w:firstLine="450"/>
        <w:spacing w:line="480" w:lineRule="auto"/>
        <w:rPr>
          <w:rFonts w:ascii="宋体" w:hAnsi="宋体"/>
          <w:bCs/>
          <w:color w:val="auto"/>
          <w:sz w:val="30"/>
          <w:szCs w:val="30"/>
          <w:highlight w:val="none"/>
        </w:rPr>
      </w:pPr>
      <w:r>
        <w:rPr>
          <w:rFonts w:hint="eastAsia" w:ascii="宋体" w:hAnsi="宋体" w:eastAsia="宋体" w:cs="宋体"/>
          <w:b/>
          <w:bCs w:val="0"/>
          <w:color w:val="auto"/>
          <w:sz w:val="32"/>
          <w:szCs w:val="32"/>
          <w:highlight w:val="none"/>
        </w:rPr>
        <w:fldChar w:fldCharType="end"/>
      </w:r>
      <w:r/>
    </w:p>
    <w:p>
      <w:pPr>
        <w:spacing w:line="720" w:lineRule="auto"/>
        <w:rPr>
          <w:rFonts w:ascii="宋体"/>
          <w:bCs/>
          <w:color w:val="auto"/>
          <w:sz w:val="28"/>
          <w:szCs w:val="28"/>
          <w:highlight w:val="none"/>
        </w:rPr>
      </w:pPr>
      <w:r>
        <w:rPr>
          <w:rFonts w:ascii="宋体"/>
          <w:bCs/>
          <w:color w:val="auto"/>
          <w:sz w:val="28"/>
          <w:szCs w:val="28"/>
          <w:highlight w:val="none"/>
        </w:rPr>
      </w:r>
      <w:r/>
    </w:p>
    <w:p>
      <w:pPr>
        <w:spacing w:line="720" w:lineRule="auto"/>
        <w:rPr>
          <w:rFonts w:ascii="宋体"/>
          <w:bCs/>
          <w:color w:val="auto"/>
          <w:sz w:val="30"/>
          <w:highlight w:val="none"/>
        </w:rPr>
      </w:pPr>
      <w:r>
        <w:rPr>
          <w:rFonts w:ascii="宋体"/>
          <w:bCs/>
          <w:color w:val="auto"/>
          <w:sz w:val="30"/>
          <w:highlight w:val="none"/>
        </w:rPr>
      </w:r>
      <w:r/>
    </w:p>
    <w:p>
      <w:pPr>
        <w:spacing w:line="480" w:lineRule="auto"/>
        <w:rPr>
          <w:rFonts w:ascii="宋体"/>
          <w:bCs/>
          <w:color w:val="auto"/>
          <w:sz w:val="30"/>
          <w:highlight w:val="none"/>
        </w:rPr>
      </w:pPr>
      <w:r>
        <w:rPr>
          <w:rFonts w:ascii="宋体"/>
          <w:bCs/>
          <w:color w:val="auto"/>
          <w:sz w:val="30"/>
          <w:highlight w:val="none"/>
        </w:rPr>
      </w:r>
      <w:r/>
    </w:p>
    <w:p>
      <w:pPr>
        <w:rPr>
          <w:rFonts w:ascii="宋体"/>
          <w:bCs/>
          <w:color w:val="auto"/>
          <w:sz w:val="28"/>
          <w:highlight w:val="none"/>
        </w:rPr>
      </w:pPr>
      <w:r>
        <w:rPr>
          <w:rFonts w:ascii="宋体"/>
          <w:bCs/>
          <w:color w:val="auto"/>
          <w:sz w:val="28"/>
          <w:highlight w:val="none"/>
        </w:rPr>
      </w:r>
      <w:r/>
    </w:p>
    <w:p>
      <w:pPr>
        <w:rPr>
          <w:rFonts w:ascii="宋体"/>
          <w:bCs/>
          <w:color w:val="auto"/>
          <w:sz w:val="32"/>
          <w:highlight w:val="none"/>
        </w:rPr>
      </w:pPr>
      <w:r>
        <w:rPr>
          <w:rFonts w:ascii="宋体"/>
          <w:bCs/>
          <w:color w:val="auto"/>
          <w:sz w:val="32"/>
          <w:highlight w:val="none"/>
        </w:rPr>
      </w:r>
      <w:r/>
    </w:p>
    <w:p>
      <w:pPr>
        <w:rPr>
          <w:rFonts w:ascii="宋体"/>
          <w:bCs/>
          <w:color w:val="auto"/>
          <w:sz w:val="32"/>
          <w:highlight w:val="none"/>
        </w:rPr>
      </w:pPr>
      <w:r>
        <w:rPr>
          <w:rFonts w:ascii="宋体"/>
          <w:bCs/>
          <w:color w:val="auto"/>
          <w:sz w:val="32"/>
          <w:highlight w:val="none"/>
        </w:rPr>
      </w:r>
      <w:r/>
    </w:p>
    <w:p>
      <w:pPr>
        <w:jc w:val="center"/>
        <w:spacing w:line="360" w:lineRule="auto"/>
        <w:rPr>
          <w:rFonts w:ascii="黑体" w:eastAsia="黑体"/>
          <w:bCs/>
          <w:color w:val="auto"/>
          <w:sz w:val="28"/>
          <w:szCs w:val="28"/>
          <w:highlight w:val="none"/>
        </w:rPr>
        <w:outlineLvl w:val="0"/>
      </w:pPr>
      <w:r/>
      <w:bookmarkStart w:id="0" w:name="报价方须知前附表"/>
      <w:r/>
      <w:bookmarkEnd w:id="0"/>
      <w:r>
        <w:rPr>
          <w:rFonts w:ascii="黑体" w:eastAsia="黑体"/>
          <w:bCs/>
          <w:color w:val="auto"/>
          <w:sz w:val="28"/>
          <w:szCs w:val="28"/>
          <w:highlight w:val="none"/>
        </w:rPr>
        <w:br w:type="page" w:clear="all"/>
      </w:r>
      <w:bookmarkStart w:id="1" w:name="_Toc23858"/>
      <w:r>
        <w:rPr>
          <w:rFonts w:hint="eastAsia" w:ascii="黑体" w:eastAsia="黑体"/>
          <w:bCs/>
          <w:color w:val="auto"/>
          <w:sz w:val="28"/>
          <w:szCs w:val="28"/>
          <w:highlight w:val="none"/>
        </w:rPr>
        <w:t xml:space="preserve">一</w:t>
      </w:r>
      <w:r>
        <w:rPr>
          <w:rFonts w:hint="eastAsia" w:ascii="黑体" w:eastAsia="黑体"/>
          <w:bCs/>
          <w:color w:val="auto"/>
          <w:sz w:val="28"/>
          <w:szCs w:val="28"/>
          <w:highlight w:val="none"/>
          <w:lang w:val="en-US" w:eastAsia="zh-CN"/>
        </w:rPr>
        <w:t xml:space="preserve">.</w:t>
      </w:r>
      <w:r>
        <w:rPr>
          <w:rFonts w:hint="eastAsia" w:ascii="黑体" w:eastAsia="黑体"/>
          <w:bCs/>
          <w:color w:val="auto"/>
          <w:sz w:val="28"/>
          <w:szCs w:val="28"/>
          <w:highlight w:val="none"/>
        </w:rPr>
        <w:t xml:space="preserve">投标邀请函</w:t>
      </w:r>
      <w:bookmarkEnd w:id="1"/>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江苏智汇锡建工程项目管理有限公司受无锡市新吴区人民政府江溪街道办事处委托，对</w:t>
      </w:r>
      <w:r>
        <w:rPr>
          <w:rFonts w:hint="eastAsia" w:ascii="宋体" w:hAnsi="宋体"/>
          <w:bCs/>
          <w:color w:val="auto"/>
          <w:sz w:val="24"/>
          <w:szCs w:val="24"/>
          <w:highlight w:val="none"/>
          <w:lang w:eastAsia="zh-CN"/>
        </w:rPr>
        <w:t xml:space="preserve">江溪街道交警中队交通设施维护项目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keepLines w:val="0"/>
        <w:keepNext w:val="0"/>
        <w:pageBreakBefore w:val="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江溪街道交警中队交通设施维护项目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JSZC-320214-JSZH-G2026-0015</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3.合同履行期限：</w:t>
      </w:r>
      <w:r>
        <w:rPr>
          <w:rFonts w:hint="eastAsia" w:ascii="宋体" w:hAnsi="宋体" w:cs="宋体"/>
          <w:color w:val="auto"/>
          <w:sz w:val="24"/>
          <w:szCs w:val="24"/>
          <w:highlight w:val="none"/>
          <w:lang w:eastAsia="zh-CN"/>
        </w:rPr>
        <w:t xml:space="preserve">两年（以合同约定日期为准）</w:t>
      </w:r>
      <w:r>
        <w:rPr>
          <w:rFonts w:hint="eastAsia" w:ascii="宋体" w:hAnsi="宋体" w:cs="宋体"/>
          <w:color w:val="auto"/>
          <w:sz w:val="24"/>
          <w:szCs w:val="24"/>
          <w:highlight w:val="none"/>
        </w:rPr>
        <w:t xml:space="preserve">；</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4.项目预算：</w:t>
      </w:r>
      <w:r>
        <w:rPr>
          <w:rFonts w:hint="eastAsia" w:ascii="宋体" w:hAnsi="宋体" w:cs="宋体"/>
          <w:color w:val="auto"/>
          <w:sz w:val="24"/>
          <w:szCs w:val="24"/>
          <w:highlight w:val="none"/>
          <w:lang w:eastAsia="zh-CN"/>
        </w:rPr>
        <w:t xml:space="preserve">652.676万元</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5.最高限价：</w:t>
      </w:r>
      <w:r>
        <w:rPr>
          <w:rFonts w:hint="eastAsia" w:ascii="宋体" w:hAnsi="宋体" w:cs="宋体"/>
          <w:color w:val="auto"/>
          <w:sz w:val="24"/>
          <w:szCs w:val="24"/>
          <w:highlight w:val="none"/>
          <w:lang w:eastAsia="zh-CN"/>
        </w:rPr>
        <w:t xml:space="preserve">613.51544万元</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7.采购人：无锡市新吴区人民政府江溪街道办事处</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8.本项目标的所属行业：其他未列明行业；</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9.本项目是否专门面向中小企业：是；</w:t>
      </w:r>
      <w:r/>
    </w:p>
    <w:p>
      <w:pPr>
        <w:ind w:firstLine="480"/>
        <w:jc w:val="left"/>
        <w:keepLines w:val="0"/>
        <w:keepNext w:val="0"/>
        <w:pageBreakBefore w:val="0"/>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（1）投标供应商应为中国大陆境内合法注册的独立企（事）业法人单位；（2）未被“信用中国”网站列入失信</w:t>
      </w:r>
      <w:r>
        <w:rPr>
          <w:rFonts w:hint="eastAsia" w:ascii="宋体" w:hAnsi="宋体"/>
          <w:color w:val="auto"/>
          <w:sz w:val="24"/>
          <w:szCs w:val="24"/>
          <w:highlight w:val="none"/>
          <w:lang w:val="en-US" w:eastAsia="zh-CN"/>
        </w:rPr>
        <w:t xml:space="preserve">被</w:t>
      </w:r>
      <w:r>
        <w:rPr>
          <w:rFonts w:hint="eastAsia" w:ascii="宋体" w:hAnsi="宋体"/>
          <w:color w:val="auto"/>
          <w:sz w:val="24"/>
          <w:szCs w:val="24"/>
          <w:highlight w:val="none"/>
        </w:rPr>
        <w:t xml:space="preserve">执行人、重大税收违法案件当事人名单、政府采购严重违法失信行为记录名单；（3）</w:t>
      </w:r>
      <w:r>
        <w:rPr>
          <w:rFonts w:hint="eastAsia" w:ascii="宋体" w:hAnsi="宋体" w:cs="宋体"/>
          <w:color w:val="auto"/>
          <w:sz w:val="24"/>
          <w:szCs w:val="24"/>
          <w:highlight w:val="none"/>
        </w:rPr>
        <w:t xml:space="preserve">投标供应商应具有公路交通工程（公路安全设施分项）专业承包一级资质并具有有效期内的安全生产许可证</w:t>
      </w: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项目负责人</w:t>
      </w:r>
      <w:r>
        <w:rPr>
          <w:rFonts w:hint="eastAsia" w:ascii="宋体" w:hAnsi="宋体" w:cs="宋体"/>
          <w:color w:val="auto"/>
          <w:sz w:val="24"/>
          <w:szCs w:val="24"/>
          <w:highlight w:val="none"/>
        </w:rPr>
        <w:t xml:space="preserve">应</w:t>
      </w:r>
      <w:r>
        <w:rPr>
          <w:rFonts w:hint="eastAsia" w:ascii="宋体" w:hAnsi="宋体" w:cs="宋体"/>
          <w:color w:val="auto"/>
          <w:sz w:val="24"/>
          <w:szCs w:val="24"/>
          <w:highlight w:val="none"/>
          <w:lang w:val="en-US" w:eastAsia="zh-CN"/>
        </w:rPr>
        <w:t xml:space="preserve">具备</w:t>
      </w:r>
      <w:r>
        <w:rPr>
          <w:rFonts w:hint="eastAsia" w:ascii="宋体" w:hAnsi="宋体"/>
          <w:color w:val="auto"/>
          <w:sz w:val="24"/>
          <w:szCs w:val="24"/>
          <w:highlight w:val="none"/>
          <w:lang w:val="en-US" w:eastAsia="zh-CN"/>
        </w:rPr>
        <w:t xml:space="preserve">一级注册建造师（公路工程专业或市政公用工程专业）和有效期内的《施工企业项目负责人安全生产考核合格证书》（B证）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授权委托人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项目负责人</w:t>
      </w:r>
      <w:r>
        <w:rPr>
          <w:rFonts w:hint="eastAsia" w:ascii="宋体" w:hAnsi="宋体"/>
          <w:color w:val="auto"/>
          <w:sz w:val="24"/>
          <w:szCs w:val="24"/>
          <w:highlight w:val="none"/>
        </w:rPr>
        <w:t xml:space="preserve">应为投标供应商企业在职员工；（</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）本项目不接受联合体投标。</w:t>
      </w:r>
      <w:r/>
    </w:p>
    <w:p>
      <w:pPr>
        <w:ind w:firstLine="480"/>
        <w:jc w:val="left"/>
        <w:keepLines w:val="0"/>
        <w:keepNext w:val="0"/>
        <w:pageBreakBefore w:val="0"/>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1.请有意参加本项目采购活动的供应商按以下流程进行操作：</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（2）办理“意源”CA数字证书和“方正”电子签章（办理地址：无锡市滨湖区观山路199号12号楼一楼窗口</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办理指南链接：http://jsxcmm.com/help/help.html。</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（3）CA驱动下载：</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技术服务电话：0510-81827781（服务时间：工作日 9:00-11:30，13:00-17:00）</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2.完成苏采云注册的供应商方可在苏采云中进行CA绑定。登录“江苏省政府采购（苏采云）平台”，插入CA后，点击【账号设置】--【绑定CA】。</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4.如供应商未按上述要求操作，由此所产生的损失及风险由供应商自行承担。具体操作步骤详见《“苏采云”系统供应商操作手册》（以下简称《操作手册》），下载地址：无锡政府采购网</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color w:val="auto"/>
          <w:sz w:val="24"/>
          <w:szCs w:val="24"/>
          <w:highlight w:val="none"/>
        </w:rPr>
        <w:t xml:space="preserve">资料下载</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color w:val="auto"/>
          <w:sz w:val="24"/>
          <w:szCs w:val="24"/>
          <w:highlight w:val="none"/>
        </w:rPr>
        <w:t xml:space="preserve">苏采云</w:t>
      </w:r>
      <w:r>
        <w:rPr>
          <w:rFonts w:hint="eastAsia" w:ascii="宋体" w:hAnsi="宋体" w:eastAsia="宋体" w:cs="Times New Roman"/>
          <w:bCs/>
          <w:color w:val="auto"/>
          <w:sz w:val="24"/>
          <w:szCs w:val="24"/>
          <w:highlight w:val="none"/>
        </w:rPr>
        <w:t xml:space="preserve">--</w:t>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"http://cz.wuxi.gov.cn/doc/2023/10/11/4080287.shtml" \t "_blank" </w:instrText>
      </w:r>
      <w:r>
        <w:rPr>
          <w:rFonts w:hint="default" w:ascii="Times New Roman" w:hAnsi="Times New Roman" w:eastAsia="宋体" w:cs="Times New Roman"/>
          <w:color w:val="auto"/>
          <w:highlight w:val="none"/>
        </w:rPr>
        <w:fldChar w:fldCharType="separate"/>
      </w:r>
      <w:r>
        <w:rPr>
          <w:rFonts w:hint="eastAsia" w:ascii="宋体" w:hAnsi="宋体" w:eastAsia="宋体" w:cs="Times New Roman"/>
          <w:color w:val="auto"/>
          <w:sz w:val="24"/>
          <w:szCs w:val="24"/>
          <w:highlight w:val="none"/>
        </w:rPr>
        <w:t xml:space="preserve">“苏采云”系统供应商操作手册</w:t>
      </w:r>
      <w:r>
        <w:rPr>
          <w:rFonts w:hint="eastAsia" w:ascii="宋体" w:hAnsi="宋体" w:eastAsia="宋体" w:cs="Times New Roman"/>
          <w:color w:val="auto"/>
          <w:sz w:val="24"/>
          <w:szCs w:val="24"/>
          <w:highlight w:val="none"/>
        </w:rPr>
        <w:fldChar w:fldCharType="end"/>
      </w:r>
      <w:r>
        <w:rPr>
          <w:rFonts w:hint="eastAsia" w:ascii="宋体" w:hAnsi="宋体" w:eastAsia="宋体" w:cs="Times New Roman"/>
          <w:color w:val="auto"/>
          <w:sz w:val="24"/>
          <w:szCs w:val="24"/>
          <w:highlight w:val="none"/>
        </w:rPr>
        <w:t xml:space="preserve">。</w:t>
      </w:r>
      <w:r/>
    </w:p>
    <w:p>
      <w:pPr>
        <w:ind w:firstLine="480"/>
        <w:keepLines w:val="0"/>
        <w:keepNext w:val="0"/>
        <w:pageBreakBefore w:val="0"/>
        <w:spacing w:line="360" w:lineRule="auto"/>
        <w:rPr>
          <w:rFonts w:hint="eastAsia" w:ascii="黑体" w:hAnsi="黑体" w:eastAsia="黑体" w:cs="Times New Roman"/>
          <w:bCs/>
          <w:color w:val="auto"/>
          <w:sz w:val="24"/>
          <w:szCs w:val="24"/>
          <w:highlight w:val="none"/>
        </w:rPr>
      </w:pPr>
      <w:r>
        <w:rPr>
          <w:rFonts w:hint="eastAsia" w:ascii="黑体" w:hAnsi="黑体" w:eastAsia="黑体" w:cs="Times New Roman"/>
          <w:bCs/>
          <w:color w:val="auto"/>
          <w:sz w:val="24"/>
          <w:szCs w:val="24"/>
          <w:highlight w:val="none"/>
        </w:rPr>
        <w:t xml:space="preserve">（四）完成项目报名，获取采购文件</w:t>
      </w:r>
      <w:r/>
    </w:p>
    <w:p>
      <w:pPr>
        <w:ind w:firstLine="480"/>
        <w:keepLines w:val="0"/>
        <w:keepNext w:val="0"/>
        <w:pageBreakBefore w:val="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1.潜在投标供应商可在项目招标公告附件中查看公开招标文件，如确定投标，必须在苏采云平台（http://jszfcg.jscz.gov.cn/jszc/l</w:t>
      </w:r>
      <w:r>
        <w:rPr>
          <w:rFonts w:hint="eastAsia" w:ascii="宋体" w:hAnsi="宋体" w:eastAsia="宋体" w:cs="Times New Roman"/>
          <w:bCs/>
          <w:color w:val="auto"/>
          <w:sz w:val="24"/>
          <w:szCs w:val="24"/>
          <w:highlight w:val="none"/>
        </w:rPr>
        <w:t xml:space="preserve">ogin）中免费下载公开招标文件（在“江苏政府采购网”--“苏采云”或“政府采购客户端（苏采云）”中免费下载文件，具体操作：“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keepLines w:val="0"/>
        <w:keepNext w:val="0"/>
        <w:pageBreakBefore w:val="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keepLines w:val="0"/>
        <w:keepNext w:val="0"/>
        <w:pageBreakBefore w:val="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资料下载--“苏采云”栏目下载《“苏采云”系统供应商操作手册》。</w:t>
      </w:r>
      <w:r/>
    </w:p>
    <w:p>
      <w:pPr>
        <w:ind w:firstLine="480"/>
        <w:keepLines w:val="0"/>
        <w:keepNext w:val="0"/>
        <w:pageBreakBefore w:val="0"/>
        <w:spacing w:line="360" w:lineRule="auto"/>
        <w:rPr>
          <w:rFonts w:hint="eastAsia" w:ascii="黑体" w:hAnsi="黑体" w:eastAsia="黑体" w:cs="Times New Roman"/>
          <w:bCs/>
          <w:color w:val="auto"/>
          <w:sz w:val="24"/>
          <w:szCs w:val="24"/>
          <w:highlight w:val="none"/>
        </w:rPr>
      </w:pPr>
      <w:r>
        <w:rPr>
          <w:rFonts w:hint="eastAsia" w:ascii="黑体" w:hAnsi="黑体" w:eastAsia="黑体" w:cs="Times New Roman"/>
          <w:bCs/>
          <w:color w:val="auto"/>
          <w:sz w:val="24"/>
          <w:szCs w:val="24"/>
          <w:highlight w:val="none"/>
        </w:rPr>
        <w:t xml:space="preserve">（五）公开答疑时间、地点</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采购人、</w:t>
      </w:r>
      <w:r>
        <w:rPr>
          <w:rFonts w:hint="eastAsia" w:ascii="宋体" w:hAnsi="宋体" w:eastAsia="宋体" w:cs="Times New Roman"/>
          <w:color w:val="auto"/>
          <w:sz w:val="24"/>
          <w:szCs w:val="24"/>
          <w:highlight w:val="none"/>
        </w:rPr>
        <w:t xml:space="preserve">江苏智汇锡建工程项目管理有限公司</w:t>
      </w:r>
      <w:r>
        <w:rPr>
          <w:rFonts w:hint="eastAsia" w:ascii="宋体" w:hAnsi="宋体" w:eastAsia="宋体" w:cs="Times New Roman"/>
          <w:bCs/>
          <w:color w:val="auto"/>
          <w:sz w:val="24"/>
          <w:szCs w:val="24"/>
          <w:highlight w:val="none"/>
        </w:rPr>
        <w:t xml:space="preserve">将以线上不见面、电话咨询、传真等方式开展线上答疑服务。截至</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日1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00</w:t>
      </w:r>
      <w:r>
        <w:rPr>
          <w:rFonts w:hint="eastAsia" w:ascii="宋体" w:hAnsi="宋体" w:eastAsia="宋体" w:cs="宋体"/>
          <w:color w:val="auto"/>
          <w:sz w:val="24"/>
          <w:szCs w:val="24"/>
          <w:highlight w:val="none"/>
        </w:rPr>
        <w:t xml:space="preserve">，</w:t>
      </w:r>
      <w:r>
        <w:rPr>
          <w:rFonts w:hint="eastAsia" w:ascii="宋体" w:hAnsi="宋体" w:eastAsia="宋体" w:cs="Times New Roman"/>
          <w:bCs/>
          <w:color w:val="auto"/>
          <w:sz w:val="24"/>
          <w:szCs w:val="24"/>
          <w:highlight w:val="none"/>
        </w:rPr>
        <w:t xml:space="preserve">有关单位对于招标文件的相关事项如有疑问可通过上述方式咨询；</w:t>
      </w:r>
      <w:r>
        <w:rPr>
          <w:rFonts w:hint="eastAsia" w:ascii="宋体" w:hAnsi="宋体" w:eastAsia="宋体" w:cs="Times New Roman"/>
          <w:color w:val="auto"/>
          <w:sz w:val="24"/>
          <w:szCs w:val="24"/>
          <w:highlight w:val="none"/>
        </w:rPr>
        <w:t xml:space="preserve">投标人若需对招标文件要求澄清的问题，请以书面形式</w:t>
      </w:r>
      <w:r>
        <w:rPr>
          <w:rFonts w:hint="eastAsia" w:ascii="宋体" w:hAnsi="宋体" w:eastAsia="宋体" w:cs="Times New Roman"/>
          <w:b/>
          <w:bCs/>
          <w:color w:val="auto"/>
          <w:sz w:val="24"/>
          <w:szCs w:val="24"/>
          <w:highlight w:val="none"/>
        </w:rPr>
        <w:t xml:space="preserve">（必须加盖投标人公章，也请务必留下联系方式，以便回复）</w:t>
      </w:r>
      <w:r>
        <w:rPr>
          <w:rFonts w:hint="eastAsia" w:ascii="宋体" w:hAnsi="宋体" w:eastAsia="宋体" w:cs="Times New Roman"/>
          <w:color w:val="auto"/>
          <w:sz w:val="24"/>
          <w:szCs w:val="24"/>
          <w:highlight w:val="none"/>
        </w:rPr>
        <w:t xml:space="preserve">提出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JSZC-320214-JSZH-G2026-0015</w:t>
      </w:r>
      <w:r>
        <w:rPr>
          <w:rFonts w:hint="eastAsia" w:ascii="宋体" w:hAnsi="宋体" w:eastAsia="宋体" w:cs="宋体"/>
          <w:color w:val="auto"/>
          <w:sz w:val="24"/>
          <w:szCs w:val="24"/>
          <w:highlight w:val="none"/>
        </w:rPr>
        <w:t xml:space="preserve">项目需澄清问题”</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并于答疑</w:t>
      </w:r>
      <w:r>
        <w:rPr>
          <w:rFonts w:hint="eastAsia" w:ascii="宋体" w:hAnsi="宋体" w:eastAsia="宋体" w:cs="宋体"/>
          <w:bCs/>
          <w:color w:val="auto"/>
          <w:sz w:val="24"/>
          <w:szCs w:val="24"/>
          <w:highlight w:val="none"/>
        </w:rPr>
        <w:t xml:space="preserve">截止时间前</w:t>
      </w:r>
      <w:r>
        <w:rPr>
          <w:rFonts w:hint="eastAsia" w:ascii="宋体" w:hAnsi="宋体" w:eastAsia="宋体" w:cs="宋体"/>
          <w:color w:val="auto"/>
          <w:sz w:val="24"/>
          <w:szCs w:val="24"/>
          <w:highlight w:val="none"/>
        </w:rPr>
        <w:t xml:space="preserve">传真给项目联</w:t>
      </w:r>
      <w:r>
        <w:rPr>
          <w:rFonts w:hint="eastAsia" w:ascii="宋体" w:hAnsi="宋体" w:eastAsia="宋体" w:cs="Times New Roman"/>
          <w:color w:val="auto"/>
          <w:sz w:val="24"/>
          <w:szCs w:val="24"/>
          <w:highlight w:val="none"/>
        </w:rPr>
        <w:t xml:space="preserve">系人</w:t>
      </w:r>
      <w:r>
        <w:rPr>
          <w:rFonts w:hint="eastAsia" w:ascii="宋体" w:hAnsi="宋体" w:eastAsia="宋体" w:cs="Times New Roman"/>
          <w:bCs/>
          <w:color w:val="auto"/>
          <w:sz w:val="24"/>
          <w:szCs w:val="24"/>
          <w:highlight w:val="none"/>
        </w:rPr>
        <w:t xml:space="preserve">。若未在</w:t>
      </w:r>
      <w:r>
        <w:rPr>
          <w:rFonts w:hint="eastAsia" w:ascii="宋体" w:hAnsi="宋体" w:eastAsia="宋体" w:cs="Times New Roman"/>
          <w:bCs/>
          <w:color w:val="auto"/>
          <w:sz w:val="24"/>
          <w:szCs w:val="24"/>
          <w:highlight w:val="none"/>
          <w:lang w:eastAsia="zh-CN"/>
        </w:rPr>
        <w:t xml:space="preserve">规定</w:t>
      </w:r>
      <w:r>
        <w:rPr>
          <w:rFonts w:hint="eastAsia" w:ascii="宋体" w:hAnsi="宋体" w:eastAsia="宋体" w:cs="Times New Roman"/>
          <w:bCs/>
          <w:color w:val="auto"/>
          <w:sz w:val="24"/>
          <w:szCs w:val="24"/>
          <w:highlight w:val="none"/>
        </w:rPr>
        <w:t xml:space="preserve">时间内提出澄清，由此造成的损失及风险由投标人自行承担。</w:t>
      </w:r>
      <w:r/>
    </w:p>
    <w:p>
      <w:pPr>
        <w:ind w:firstLine="480"/>
        <w:jc w:val="left"/>
        <w:keepLines w:val="0"/>
        <w:keepNext w:val="0"/>
        <w:pageBreakBefore w:val="0"/>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keepLines w:val="0"/>
        <w:keepNext w:val="0"/>
        <w:pageBreakBefore w:val="0"/>
        <w:spacing w:line="360" w:lineRule="auto"/>
        <w:widowControl/>
        <w:rPr>
          <w:rFonts w:hint="eastAsia"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需准备好制作标书的笔记本电脑、CA锁（政务CA），登录苏采云网上开标大厅，等待开标流程进入“解锁环境”，点击“立即解密”进行标书解密，解锁完成后及时关注开标大厅，并在规定时间内登录网上开标大厅参与采购活动（具体操作流程详见《“苏采云”系统供应商操作手册》）。</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网上投标截止时间：202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:30（投标</w:t>
      </w:r>
      <w:r>
        <w:rPr>
          <w:rFonts w:hint="eastAsia" w:ascii="宋体" w:hAnsi="宋体" w:eastAsia="宋体" w:cs="Times New Roman"/>
          <w:color w:val="auto"/>
          <w:sz w:val="24"/>
          <w:szCs w:val="24"/>
          <w:highlight w:val="none"/>
        </w:rPr>
        <w:t xml:space="preserve">截止时间</w:t>
      </w:r>
      <w:r>
        <w:rPr>
          <w:rFonts w:hint="eastAsia" w:ascii="宋体" w:hAnsi="宋体" w:eastAsia="宋体" w:cs="Times New Roman"/>
          <w:color w:val="auto"/>
          <w:sz w:val="24"/>
          <w:szCs w:val="24"/>
          <w:highlight w:val="none"/>
          <w:lang w:eastAsia="zh-CN"/>
        </w:rPr>
        <w:t xml:space="preserve">之后</w:t>
      </w:r>
      <w:r>
        <w:rPr>
          <w:rFonts w:hint="eastAsia" w:ascii="宋体" w:hAnsi="宋体" w:eastAsia="宋体" w:cs="Times New Roman"/>
          <w:color w:val="auto"/>
          <w:sz w:val="24"/>
          <w:szCs w:val="24"/>
          <w:highlight w:val="none"/>
        </w:rPr>
        <w:t xml:space="preserve">的投标文件恕不接受</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网上投标解密时间：202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日开启解密后</w:t>
      </w:r>
      <w:r>
        <w:rPr>
          <w:rFonts w:hint="eastAsia" w:ascii="宋体" w:hAnsi="宋体" w:eastAsia="宋体" w:cs="宋体"/>
          <w:color w:val="auto"/>
          <w:sz w:val="24"/>
          <w:szCs w:val="24"/>
          <w:highlight w:val="none"/>
          <w:lang w:eastAsia="zh-CN"/>
        </w:rPr>
        <w:t xml:space="preserve">的半小时</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投标及开标地点：</w:t>
      </w:r>
      <w:bookmarkStart w:id="2" w:name="_Toc28359007"/>
      <w:r>
        <w:rPr>
          <w:rFonts w:hint="eastAsia" w:ascii="宋体" w:hAnsi="宋体" w:eastAsia="宋体" w:cs="宋体"/>
          <w:color w:val="auto"/>
          <w:sz w:val="24"/>
          <w:szCs w:val="24"/>
          <w:highlight w:val="none"/>
        </w:rPr>
        <w:t xml:space="preserve">“苏采云”系统（网址：http://jszfcg.jsczt.cn/）</w:t>
      </w:r>
      <w:bookmarkEnd w:id="2"/>
      <w:r/>
      <w:r/>
    </w:p>
    <w:p>
      <w:pPr>
        <w:ind w:firstLine="480"/>
        <w:keepLines w:val="0"/>
        <w:keepNext w:val="0"/>
        <w:pageBreakBefore w:val="0"/>
        <w:spacing w:line="360" w:lineRule="auto"/>
        <w:rPr>
          <w:rFonts w:hint="default"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定标时间：评标结束</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Times New Roman"/>
          <w:bCs/>
          <w:color w:val="auto"/>
          <w:sz w:val="24"/>
          <w:szCs w:val="24"/>
          <w:highlight w:val="none"/>
        </w:rPr>
        <w:t xml:space="preserve">定标地点：</w:t>
      </w:r>
      <w:r>
        <w:rPr>
          <w:rFonts w:hint="eastAsia" w:ascii="宋体" w:hAnsi="宋体" w:eastAsia="宋体" w:cs="Times New Roman"/>
          <w:color w:val="auto"/>
          <w:sz w:val="24"/>
          <w:szCs w:val="24"/>
          <w:highlight w:val="none"/>
        </w:rPr>
        <w:t xml:space="preserve">无锡市公共资源交易中心新吴分中心评标室</w:t>
      </w:r>
      <w:r/>
    </w:p>
    <w:p>
      <w:pPr>
        <w:ind w:firstLine="480"/>
        <w:keepLines w:val="0"/>
        <w:keepNext w:val="0"/>
        <w:pageBreakBefore w:val="0"/>
        <w:spacing w:line="360" w:lineRule="auto"/>
        <w:rPr>
          <w:rFonts w:hint="default" w:ascii="宋体" w:hAnsi="Times New Roman" w:eastAsia="宋体" w:cs="Times New Roman"/>
          <w:bCs/>
          <w:color w:val="auto"/>
          <w:sz w:val="24"/>
          <w:szCs w:val="24"/>
          <w:highlight w:val="none"/>
        </w:rPr>
      </w:pPr>
      <w:r>
        <w:rPr>
          <w:rFonts w:hint="eastAsia" w:ascii="黑体" w:hAnsi="黑体" w:eastAsia="黑体" w:cs="Times New Roman"/>
          <w:bCs/>
          <w:color w:val="auto"/>
          <w:sz w:val="24"/>
          <w:szCs w:val="24"/>
          <w:highlight w:val="none"/>
        </w:rPr>
        <w:t xml:space="preserve">（七）投标有效期：</w:t>
      </w:r>
      <w:r>
        <w:rPr>
          <w:rFonts w:hint="eastAsia" w:ascii="宋体" w:hAnsi="宋体" w:eastAsia="宋体" w:cs="Times New Roman"/>
          <w:bCs/>
          <w:color w:val="auto"/>
          <w:sz w:val="24"/>
          <w:szCs w:val="24"/>
          <w:highlight w:val="none"/>
        </w:rPr>
        <w:t xml:space="preserve">开标之日起</w:t>
      </w:r>
      <w:r>
        <w:rPr>
          <w:rFonts w:hint="default" w:ascii="宋体" w:hAnsi="宋体" w:eastAsia="宋体" w:cs="Times New Roman"/>
          <w:bCs/>
          <w:color w:val="auto"/>
          <w:sz w:val="24"/>
          <w:szCs w:val="24"/>
          <w:highlight w:val="none"/>
        </w:rPr>
        <w:t xml:space="preserve">90</w:t>
      </w:r>
      <w:r>
        <w:rPr>
          <w:rFonts w:hint="eastAsia" w:ascii="宋体" w:hAnsi="宋体" w:eastAsia="宋体" w:cs="Times New Roman"/>
          <w:bCs/>
          <w:color w:val="auto"/>
          <w:sz w:val="24"/>
          <w:szCs w:val="24"/>
          <w:highlight w:val="none"/>
        </w:rPr>
        <w:t xml:space="preserve">天</w:t>
      </w:r>
      <w:r/>
    </w:p>
    <w:p>
      <w:pPr>
        <w:ind w:firstLine="480"/>
        <w:keepLines w:val="0"/>
        <w:keepNext w:val="0"/>
        <w:pageBreakBefore w:val="0"/>
        <w:spacing w:line="360" w:lineRule="auto"/>
        <w:rPr>
          <w:rFonts w:hint="eastAsia" w:ascii="黑体" w:hAnsi="黑体" w:eastAsia="黑体" w:cs="Times New Roman"/>
          <w:bCs/>
          <w:color w:val="auto"/>
          <w:sz w:val="24"/>
          <w:szCs w:val="24"/>
          <w:highlight w:val="none"/>
        </w:rPr>
      </w:pPr>
      <w:r>
        <w:rPr>
          <w:rFonts w:hint="eastAsia" w:ascii="黑体" w:hAnsi="黑体" w:eastAsia="黑体" w:cs="Times New Roman"/>
          <w:bCs/>
          <w:color w:val="auto"/>
          <w:sz w:val="24"/>
          <w:szCs w:val="24"/>
          <w:highlight w:val="none"/>
        </w:rPr>
        <w:t xml:space="preserve">（八）采购方法：</w:t>
      </w:r>
      <w:r/>
    </w:p>
    <w:p>
      <w:pPr>
        <w:ind w:firstLine="480"/>
        <w:keepLines w:val="0"/>
        <w:keepNext w:val="0"/>
        <w:pageBreakBefore w:val="0"/>
        <w:spacing w:line="360" w:lineRule="auto"/>
        <w:rPr>
          <w:rFonts w:hint="eastAsia" w:ascii="黑体" w:hAnsi="黑体" w:eastAsia="黑体" w:cs="Times New Roman"/>
          <w:bCs/>
          <w:color w:val="auto"/>
          <w:sz w:val="24"/>
          <w:szCs w:val="24"/>
          <w:highlight w:val="none"/>
        </w:rPr>
      </w:pPr>
      <w:r>
        <w:rPr>
          <w:rFonts w:hint="eastAsia" w:ascii="宋体" w:hAnsi="宋体" w:eastAsia="宋体" w:cs="Times New Roman"/>
          <w:color w:val="auto"/>
          <w:sz w:val="24"/>
          <w:szCs w:val="24"/>
          <w:highlight w:val="none"/>
        </w:rPr>
        <w:t xml:space="preserve">本次采购采用《江苏省政府采购（苏采云）平台》进行招标投标活动，招标、投标、评标和中标结果发布全程电子化。</w:t>
      </w:r>
      <w:r/>
    </w:p>
    <w:p>
      <w:pPr>
        <w:ind w:firstLine="480"/>
        <w:keepLines w:val="0"/>
        <w:keepNext w:val="0"/>
        <w:pageBreakBefore w:val="0"/>
        <w:spacing w:line="360" w:lineRule="auto"/>
        <w:rPr>
          <w:rFonts w:ascii="黑体" w:hAnsi="黑体" w:eastAsia="黑体"/>
          <w:bCs/>
          <w:color w:val="auto"/>
          <w:sz w:val="24"/>
          <w:szCs w:val="24"/>
          <w:highlight w:val="none"/>
        </w:rPr>
      </w:pPr>
      <w:r>
        <w:rPr>
          <w:rFonts w:hint="eastAsia" w:ascii="黑体" w:hAnsi="黑体" w:eastAsia="黑体" w:cs="Times New Roman"/>
          <w:bCs/>
          <w:color w:val="auto"/>
          <w:sz w:val="24"/>
          <w:szCs w:val="24"/>
          <w:highlight w:val="none"/>
        </w:rPr>
        <w:t xml:space="preserve">（九）本次采购联系方式</w:t>
      </w:r>
      <w:r/>
    </w:p>
    <w:p>
      <w:pPr>
        <w:pStyle w:val="742"/>
        <w:ind w:firstLine="480"/>
        <w:keepLines w:val="0"/>
        <w:keepNext w:val="0"/>
        <w:pageBreakBefore w:val="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742"/>
        <w:ind w:firstLine="480"/>
        <w:keepLines w:val="0"/>
        <w:keepNext w:val="0"/>
        <w:pageBreakBefore w:val="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采购人：无锡市新吴区人民政府江溪街道办事处</w:t>
      </w:r>
      <w:r/>
    </w:p>
    <w:p>
      <w:pPr>
        <w:pStyle w:val="742"/>
        <w:ind w:firstLine="480"/>
        <w:keepLines w:val="0"/>
        <w:keepNext w:val="0"/>
        <w:pageBreakBefore w:val="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采购人地址：无锡市新吴区苏巷路1号</w:t>
      </w:r>
      <w:r/>
    </w:p>
    <w:p>
      <w:pPr>
        <w:pStyle w:val="742"/>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联系人：</w:t>
      </w:r>
      <w:r>
        <w:rPr>
          <w:rFonts w:hint="eastAsia" w:cs="宋体"/>
          <w:color w:val="auto"/>
          <w:highlight w:val="none"/>
        </w:rPr>
        <w:t xml:space="preserve">周晓静</w:t>
      </w:r>
      <w:r/>
    </w:p>
    <w:p>
      <w:pPr>
        <w:pStyle w:val="742"/>
        <w:ind w:firstLine="480"/>
        <w:keepLines w:val="0"/>
        <w:keepNext w:val="0"/>
        <w:pageBreakBefore w:val="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联系电话：0510-82110033</w:t>
      </w:r>
      <w:r/>
    </w:p>
    <w:p>
      <w:pPr>
        <w:pStyle w:val="742"/>
        <w:ind w:firstLine="480"/>
        <w:keepLines w:val="0"/>
        <w:keepNext w:val="0"/>
        <w:pageBreakBefore w:val="0"/>
        <w:spacing w:before="0" w:beforeAutospacing="0" w:after="0" w:afterAutospacing="0" w:line="360" w:lineRule="auto"/>
        <w:tabs>
          <w:tab w:val="left" w:pos="0" w:leader="none"/>
        </w:tabs>
        <w:rPr>
          <w:rFonts w:cs="宋体"/>
          <w:color w:val="auto"/>
          <w:highlight w:val="none"/>
          <w:lang w:val="zh-CN"/>
        </w:rPr>
      </w:pPr>
      <w:r>
        <w:rPr>
          <w:rFonts w:cs="宋体"/>
          <w:color w:val="auto"/>
          <w:highlight w:val="none"/>
          <w:lang w:val="zh-CN"/>
        </w:rPr>
      </w:r>
      <w:r/>
    </w:p>
    <w:p>
      <w:pPr>
        <w:pStyle w:val="742"/>
        <w:ind w:firstLine="480"/>
        <w:keepLines w:val="0"/>
        <w:keepNext w:val="0"/>
        <w:pageBreakBefore w:val="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采购代理机构：江苏智汇锡建工程项目管理有限公司</w:t>
      </w:r>
      <w:r/>
    </w:p>
    <w:p>
      <w:pPr>
        <w:pStyle w:val="742"/>
        <w:ind w:firstLine="480"/>
        <w:keepLines w:val="0"/>
        <w:keepNext w:val="0"/>
        <w:pageBreakBefore w:val="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采购代理机构统一社会信用代码：91320214727400523L</w:t>
      </w:r>
      <w:r/>
    </w:p>
    <w:p>
      <w:pPr>
        <w:pStyle w:val="742"/>
        <w:ind w:firstLine="480"/>
        <w:keepLines w:val="0"/>
        <w:keepNext w:val="0"/>
        <w:pageBreakBefore w:val="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联系人：徐丽平、吴雨洁</w:t>
      </w:r>
      <w:r/>
    </w:p>
    <w:p>
      <w:pPr>
        <w:pStyle w:val="742"/>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联系电话：0510-82796055</w:t>
      </w:r>
      <w:r/>
    </w:p>
    <w:p>
      <w:pPr>
        <w:pStyle w:val="742"/>
        <w:ind w:firstLine="480"/>
        <w:keepLines w:val="0"/>
        <w:keepNext w:val="0"/>
        <w:pageBreakBefore w:val="0"/>
        <w:spacing w:before="0" w:beforeAutospacing="0" w:after="0" w:afterAutospacing="0" w:line="360" w:lineRule="auto"/>
        <w:tabs>
          <w:tab w:val="left" w:pos="0" w:leader="none"/>
        </w:tabs>
        <w:rPr>
          <w:rFonts w:hint="eastAsia" w:eastAsia="宋体" w:cs="宋体"/>
          <w:color w:val="auto"/>
          <w:highlight w:val="none"/>
          <w:lang w:val="zh-CN" w:eastAsia="zh-CN"/>
        </w:rPr>
      </w:pPr>
      <w:r>
        <w:rPr>
          <w:rFonts w:hint="eastAsia" w:cs="宋体"/>
          <w:color w:val="auto"/>
          <w:highlight w:val="none"/>
          <w:lang w:val="zh-CN"/>
        </w:rPr>
        <w:t xml:space="preserve">联系地址：</w:t>
      </w:r>
      <w:r>
        <w:rPr>
          <w:rFonts w:hint="eastAsia"/>
          <w:bCs/>
          <w:color w:val="auto"/>
          <w:highlight w:val="none"/>
          <w:lang w:eastAsia="zh-CN"/>
        </w:rPr>
        <w:t xml:space="preserve">无锡市新吴区和风路19号启迪协信中心6号楼9楼</w:t>
      </w:r>
      <w:r/>
    </w:p>
    <w:p>
      <w:pPr>
        <w:pStyle w:val="742"/>
        <w:ind w:firstLine="480"/>
        <w:keepLines w:val="0"/>
        <w:keepNext w:val="0"/>
        <w:pageBreakBefore w:val="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邮政编码：214000</w:t>
      </w:r>
      <w:r/>
    </w:p>
    <w:p>
      <w:pPr>
        <w:pStyle w:val="742"/>
        <w:ind w:firstLine="480"/>
        <w:keepLines w:val="0"/>
        <w:keepNext w:val="0"/>
        <w:pageBreakBefore w:val="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电子邮件地址：jszh009@163.com</w:t>
      </w:r>
      <w:r/>
    </w:p>
    <w:p>
      <w:pPr>
        <w:pStyle w:val="742"/>
        <w:ind w:firstLine="480"/>
        <w:keepLines w:val="0"/>
        <w:keepNext w:val="0"/>
        <w:pageBreakBefore w:val="0"/>
        <w:spacing w:before="0" w:beforeAutospacing="0" w:after="0" w:afterAutospacing="0" w:line="360" w:lineRule="auto"/>
        <w:tabs>
          <w:tab w:val="left" w:pos="0" w:leader="none"/>
        </w:tabs>
        <w:rPr>
          <w:rFonts w:ascii="黑体" w:hAnsi="黑体" w:eastAsia="黑体"/>
          <w:bCs/>
          <w:color w:val="auto"/>
          <w:highlight w:val="none"/>
        </w:rPr>
      </w:pPr>
      <w:r>
        <w:rPr>
          <w:rFonts w:hint="eastAsia" w:ascii="黑体" w:hAnsi="黑体" w:eastAsia="黑体"/>
          <w:bCs/>
          <w:color w:val="auto"/>
          <w:highlight w:val="none"/>
        </w:rPr>
        <w:t xml:space="preserve">（十）</w:t>
      </w:r>
      <w:r>
        <w:rPr>
          <w:rFonts w:hint="eastAsia" w:ascii="黑体" w:hAnsi="黑体" w:eastAsia="黑体"/>
          <w:bCs/>
          <w:color w:val="auto"/>
          <w:highlight w:val="none"/>
          <w:lang w:eastAsia="zh-CN"/>
        </w:rPr>
        <w:t xml:space="preserve">其他</w:t>
      </w:r>
      <w:r/>
    </w:p>
    <w:p>
      <w:pPr>
        <w:ind w:firstLine="480"/>
        <w:jc w:val="left"/>
        <w:keepLines w:val="0"/>
        <w:keepNext w:val="0"/>
        <w:pageBreakBefore w:val="0"/>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keepLines w:val="0"/>
        <w:keepNext w:val="0"/>
        <w:pageBreakBefore w:val="0"/>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keepLines w:val="0"/>
        <w:keepNext w:val="0"/>
        <w:pageBreakBefore w:val="0"/>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纸质投标文件：本项目为不见面开标，报价人无需递交纸质投标文件至现场，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742"/>
        <w:ind w:firstLine="560"/>
        <w:jc w:val="both"/>
        <w:spacing w:before="0" w:beforeAutospacing="0" w:after="0" w:afterAutospacing="0" w:line="460" w:lineRule="exact"/>
        <w:tabs>
          <w:tab w:val="left" w:pos="0" w:leader="none"/>
        </w:tabs>
        <w:rPr>
          <w:rFonts w:ascii="黑体" w:eastAsia="黑体"/>
          <w:bCs/>
          <w:color w:val="auto"/>
          <w:sz w:val="28"/>
          <w:szCs w:val="28"/>
          <w:highlight w:val="none"/>
        </w:rPr>
      </w:pPr>
      <w:r>
        <w:rPr>
          <w:rFonts w:ascii="黑体" w:eastAsia="黑体"/>
          <w:bCs/>
          <w:color w:val="auto"/>
          <w:sz w:val="28"/>
          <w:szCs w:val="28"/>
          <w:highlight w:val="none"/>
        </w:rPr>
      </w:r>
      <w:r/>
    </w:p>
    <w:p>
      <w:pPr>
        <w:pStyle w:val="742"/>
        <w:ind w:firstLine="560"/>
        <w:jc w:val="center"/>
        <w:spacing w:before="0" w:beforeAutospacing="0" w:after="0" w:afterAutospacing="0" w:line="460" w:lineRule="exact"/>
        <w:tabs>
          <w:tab w:val="left" w:pos="0" w:leader="none"/>
        </w:tabs>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3" w:name="_Toc15843"/>
      <w:r>
        <w:rPr>
          <w:rFonts w:hint="eastAsia" w:ascii="黑体" w:eastAsia="黑体"/>
          <w:bCs/>
          <w:color w:val="auto"/>
          <w:sz w:val="28"/>
          <w:szCs w:val="28"/>
          <w:highlight w:val="none"/>
        </w:rPr>
        <w:t xml:space="preserve">二</w:t>
      </w:r>
      <w:r>
        <w:rPr>
          <w:rFonts w:hint="eastAsia" w:ascii="黑体" w:eastAsia="黑体"/>
          <w:bCs/>
          <w:color w:val="auto"/>
          <w:sz w:val="28"/>
          <w:szCs w:val="28"/>
          <w:highlight w:val="none"/>
          <w:lang w:val="en-US" w:eastAsia="zh-CN"/>
        </w:rPr>
        <w:t xml:space="preserve">.</w:t>
      </w:r>
      <w:r>
        <w:rPr>
          <w:rFonts w:hint="eastAsia" w:ascii="黑体" w:eastAsia="黑体"/>
          <w:bCs/>
          <w:color w:val="auto"/>
          <w:sz w:val="28"/>
          <w:szCs w:val="28"/>
          <w:highlight w:val="none"/>
        </w:rPr>
        <w:t xml:space="preserve">投标人须知</w:t>
      </w:r>
      <w:bookmarkEnd w:id="3"/>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3"/>
        </w:numPr>
        <w:ind w:left="0" w:firstLine="523"/>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招标文件中的“法定代表人”是指投标人</w:t>
      </w:r>
      <w:r>
        <w:rPr>
          <w:rFonts w:hint="eastAsia" w:ascii="宋体" w:hAnsi="宋体"/>
          <w:bCs/>
          <w:color w:val="auto"/>
          <w:sz w:val="24"/>
          <w:szCs w:val="24"/>
          <w:highlight w:val="none"/>
          <w:lang w:eastAsia="zh-CN"/>
        </w:rPr>
        <w:t xml:space="preserve">营业执照上</w:t>
      </w:r>
      <w:r>
        <w:rPr>
          <w:rFonts w:hint="eastAsia" w:ascii="宋体" w:hAnsi="宋体"/>
          <w:bCs/>
          <w:color w:val="auto"/>
          <w:sz w:val="24"/>
          <w:szCs w:val="24"/>
          <w:highlight w:val="none"/>
        </w:rPr>
        <w:t xml:space="preserve">的“法定代表人”或相关</w:t>
      </w:r>
      <w:r>
        <w:rPr>
          <w:rFonts w:hint="eastAsia" w:ascii="宋体" w:hAnsi="宋体"/>
          <w:bCs/>
          <w:color w:val="auto"/>
          <w:sz w:val="24"/>
          <w:szCs w:val="24"/>
          <w:highlight w:val="none"/>
          <w:lang w:eastAsia="zh-CN"/>
        </w:rPr>
        <w:t xml:space="preserve">部门</w:t>
      </w:r>
      <w:r>
        <w:rPr>
          <w:rFonts w:hint="eastAsia" w:ascii="宋体" w:hAnsi="宋体"/>
          <w:bCs/>
          <w:color w:val="auto"/>
          <w:sz w:val="24"/>
          <w:szCs w:val="24"/>
          <w:highlight w:val="none"/>
        </w:rPr>
        <w:t xml:space="preserve">登记证明文件中的“负责人”。</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投标供应商应在苏采云平台（http://jszfcg.jscz.gov.cn/jszc/login）下载招标文件及有关资料，按要求制作、上传投标文件，对招标文件各项内容做出实质性响应，否则投标无效。</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1.江苏智汇锡建工程项目管理有限公司可在投标截止时间十五日前对招标文件进行必要的澄清或者修改，不足15日的，将顺延提交投标文件的截止时间。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2.如需对招标文件进行澄清或修正，江苏智汇锡建工程项目管理有限公司将在</w:t>
      </w:r>
      <w:r>
        <w:rPr>
          <w:rFonts w:hint="eastAsia" w:ascii="宋体" w:hAnsi="宋体"/>
          <w:bCs/>
          <w:color w:val="auto"/>
          <w:sz w:val="24"/>
          <w:szCs w:val="24"/>
          <w:highlight w:val="none"/>
          <w:lang w:eastAsia="zh-CN"/>
        </w:rPr>
        <w:t xml:space="preserve">中国政府采购网、江苏政府采购网</w:t>
      </w:r>
      <w:r>
        <w:rPr>
          <w:rFonts w:hint="eastAsia" w:ascii="宋体" w:hAnsi="宋体"/>
          <w:bCs/>
          <w:color w:val="auto"/>
          <w:sz w:val="24"/>
          <w:szCs w:val="24"/>
          <w:highlight w:val="none"/>
        </w:rPr>
        <w:t xml:space="preserve">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答复。投标人在法定质疑期限外送达的质疑函或法定质疑期限内送达的质疑函不符合上述要求的均为无效质疑，江苏智汇锡建工程项目管理有限公司对无效质疑不予受理。</w:t>
      </w:r>
      <w:r/>
    </w:p>
    <w:p>
      <w:pPr>
        <w:ind w:left="1200" w:hanging="72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w:t>
      </w:r>
      <w:r>
        <w:rPr>
          <w:rFonts w:hint="eastAsia" w:ascii="宋体" w:hAnsi="宋体"/>
          <w:bCs/>
          <w:color w:val="auto"/>
          <w:sz w:val="24"/>
          <w:szCs w:val="24"/>
          <w:highlight w:val="none"/>
          <w:lang w:eastAsia="zh-CN"/>
        </w:rPr>
        <w:t xml:space="preserve">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质疑的受理与答复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接收单位：江苏智汇锡建工程项目管理有限公司</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无锡市新吴区和风路19号启迪协信中心6号楼9楼</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联系人：吴雨洁</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电话：0510-82796055</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投诉的提起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969"/>
        <w:numPr>
          <w:ilvl w:val="1"/>
          <w:numId w:val="4"/>
        </w:numPr>
        <w:ind w:left="0" w:firstLine="567"/>
        <w:spacing w:line="360" w:lineRule="auto"/>
        <w:tabs>
          <w:tab w:val="left" w:pos="1276" w:leader="none"/>
        </w:tabs>
        <w:rPr>
          <w:rFonts w:hint="default"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969"/>
        <w:numPr>
          <w:ilvl w:val="1"/>
          <w:numId w:val="4"/>
        </w:numPr>
        <w:ind w:left="0" w:firstLine="567"/>
        <w:spacing w:line="360" w:lineRule="auto"/>
        <w:tabs>
          <w:tab w:val="left" w:pos="1276" w:leader="none"/>
        </w:tabs>
        <w:rPr>
          <w:rFonts w:hint="default"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具有独立承担民事责任能力的投标人营业执照或相关部门的登记证明文件（投标人如</w:t>
      </w:r>
      <w:r>
        <w:rPr>
          <w:rFonts w:hint="eastAsia" w:ascii="宋体" w:hAnsi="宋体" w:cs="宋体"/>
          <w:color w:val="auto"/>
          <w:sz w:val="24"/>
          <w:szCs w:val="24"/>
          <w:highlight w:val="none"/>
        </w:rPr>
        <w:t xml:space="preserve">允许以分支机构身份参加投标的，提供投标人分支机构的营业执照</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投标人法定代表人授权委托书</w:t>
      </w:r>
      <w:r>
        <w:rPr>
          <w:rFonts w:hint="eastAsia" w:ascii="宋体" w:hAnsi="宋体" w:eastAsia="宋体" w:cs="Times New Roman"/>
          <w:color w:val="auto"/>
          <w:sz w:val="24"/>
          <w:szCs w:val="24"/>
          <w:highlight w:val="none"/>
        </w:rPr>
        <w:t xml:space="preserve">（</w:t>
      </w:r>
      <w:r>
        <w:rPr>
          <w:rFonts w:hint="eastAsia" w:ascii="宋体" w:hAnsi="宋体" w:eastAsia="宋体" w:cs="Times New Roman"/>
          <w:b/>
          <w:bCs/>
          <w:color w:val="auto"/>
          <w:sz w:val="24"/>
          <w:szCs w:val="24"/>
          <w:highlight w:val="none"/>
        </w:rPr>
        <w:t xml:space="preserve">格式见附件，法定代表人亲自参加投标的除外</w:t>
      </w:r>
      <w:r>
        <w:rPr>
          <w:rFonts w:hint="eastAsia" w:ascii="宋体" w:hAnsi="宋体" w:eastAsia="宋体" w:cs="Times New Roman"/>
          <w:color w:val="auto"/>
          <w:sz w:val="24"/>
          <w:szCs w:val="24"/>
          <w:highlight w:val="none"/>
        </w:rPr>
        <w:t xml:space="preserve">）（投标人如</w:t>
      </w:r>
      <w:r>
        <w:rPr>
          <w:rFonts w:hint="eastAsia" w:ascii="宋体" w:hAnsi="宋体" w:eastAsia="宋体" w:cs="宋体"/>
          <w:color w:val="auto"/>
          <w:sz w:val="24"/>
          <w:szCs w:val="24"/>
          <w:highlight w:val="none"/>
        </w:rPr>
        <w:t xml:space="preserve">允许以分支机构身份参加投标的，请自行</w:t>
      </w:r>
      <w:r>
        <w:rPr>
          <w:rFonts w:hint="default" w:ascii="宋体" w:hAnsi="宋体" w:eastAsia="宋体" w:cs="宋体"/>
          <w:color w:val="auto"/>
          <w:sz w:val="24"/>
          <w:szCs w:val="24"/>
          <w:highlight w:val="none"/>
        </w:rPr>
        <w:t xml:space="preserve">将“</w:t>
      </w:r>
      <w:r>
        <w:rPr>
          <w:rFonts w:hint="eastAsia" w:ascii="宋体" w:hAnsi="宋体" w:eastAsia="宋体" w:cs="宋体"/>
          <w:color w:val="auto"/>
          <w:sz w:val="24"/>
          <w:szCs w:val="24"/>
          <w:highlight w:val="none"/>
        </w:rPr>
        <w:t xml:space="preserve">法定代表人</w:t>
      </w:r>
      <w:r>
        <w:rPr>
          <w:rFonts w:hint="default"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更改为</w:t>
      </w:r>
      <w:r>
        <w:rPr>
          <w:rFonts w:hint="default"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负责人</w:t>
      </w:r>
      <w:r>
        <w:rPr>
          <w:rFonts w:hint="default"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，分支机构投标</w:t>
      </w:r>
      <w:r>
        <w:rPr>
          <w:rFonts w:hint="default"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rPr>
        <w:t xml:space="preserve">涉及采购文件</w:t>
      </w:r>
      <w:r>
        <w:rPr>
          <w:rFonts w:hint="default"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法定代表人</w:t>
      </w:r>
      <w:r>
        <w:rPr>
          <w:rFonts w:hint="default"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要求的部分</w:t>
      </w:r>
      <w:r>
        <w:rPr>
          <w:rFonts w:hint="default" w:ascii="宋体" w:hAnsi="宋体" w:eastAsia="宋体" w:cs="宋体"/>
          <w:color w:val="auto"/>
          <w:sz w:val="24"/>
          <w:szCs w:val="24"/>
          <w:highlight w:val="none"/>
        </w:rPr>
        <w:t xml:space="preserve">，其</w:t>
      </w:r>
      <w:r>
        <w:rPr>
          <w:rFonts w:hint="eastAsia" w:ascii="宋体" w:hAnsi="宋体" w:eastAsia="宋体" w:cs="宋体"/>
          <w:color w:val="auto"/>
          <w:sz w:val="24"/>
          <w:szCs w:val="24"/>
          <w:highlight w:val="none"/>
        </w:rPr>
        <w:t xml:space="preserve">具体要求</w:t>
      </w:r>
      <w:r>
        <w:rPr>
          <w:rFonts w:hint="default" w:ascii="宋体" w:hAnsi="宋体" w:eastAsia="宋体" w:cs="宋体"/>
          <w:color w:val="auto"/>
          <w:sz w:val="24"/>
          <w:szCs w:val="24"/>
          <w:highlight w:val="none"/>
        </w:rPr>
        <w:t xml:space="preserve">视同本条规定</w:t>
      </w:r>
      <w:r>
        <w:rPr>
          <w:rFonts w:hint="eastAsia" w:ascii="宋体" w:hAnsi="宋体" w:eastAsia="宋体" w:cs="Times New Roman"/>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投标人法定代表人身份证；</w:t>
      </w:r>
      <w:r/>
    </w:p>
    <w:p>
      <w:pPr>
        <w:numPr>
          <w:ilvl w:val="1"/>
          <w:numId w:val="4"/>
        </w:numPr>
        <w:ind w:left="0" w:firstLine="523"/>
        <w:spacing w:line="360" w:lineRule="auto"/>
        <w:tabs>
          <w:tab w:val="left" w:pos="945" w:leader="none"/>
          <w:tab w:val="left" w:pos="1276"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投标人法定代表人授权代表身份证（</w:t>
      </w:r>
      <w:r>
        <w:rPr>
          <w:rFonts w:hint="eastAsia" w:ascii="宋体" w:hAnsi="宋体" w:eastAsia="宋体" w:cs="Times New Roman"/>
          <w:b/>
          <w:bCs/>
          <w:color w:val="auto"/>
          <w:sz w:val="24"/>
          <w:szCs w:val="24"/>
          <w:highlight w:val="none"/>
        </w:rPr>
        <w:t xml:space="preserve">法定代表人亲自参加投标的除外</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投标人近一年中任意一个月份（不含投标当月）为其法定代表人授权代表缴纳社保的证明（</w:t>
      </w:r>
      <w:r>
        <w:rPr>
          <w:rFonts w:hint="eastAsia" w:ascii="宋体" w:hAnsi="宋体" w:eastAsia="宋体" w:cs="Times New Roman"/>
          <w:b/>
          <w:bCs/>
          <w:color w:val="auto"/>
          <w:sz w:val="24"/>
          <w:szCs w:val="24"/>
          <w:highlight w:val="none"/>
        </w:rPr>
        <w:t xml:space="preserve">由相关主管部门出具，新成立公司除外、法定代表人亲自参加投标的除外</w:t>
      </w:r>
      <w:r>
        <w:rPr>
          <w:rFonts w:hint="eastAsia" w:ascii="宋体" w:hAnsi="宋体" w:eastAsia="宋体" w:cs="Times New Roman"/>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投标人近一年中任意一个月份（不含投标当月）的财务状况报告（资产负债表和利润表）或由会计师事务所出具的近两年中（202</w:t>
      </w: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rPr>
        <w:t xml:space="preserve">年或202</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年）任意一个年度的审计报告和所附已审财务报告；</w:t>
      </w:r>
      <w:r/>
    </w:p>
    <w:p>
      <w:pPr>
        <w:numPr>
          <w:ilvl w:val="1"/>
          <w:numId w:val="4"/>
        </w:numPr>
        <w:ind w:left="0" w:firstLine="523"/>
        <w:spacing w:line="360" w:lineRule="auto"/>
        <w:tabs>
          <w:tab w:val="left" w:pos="945" w:leader="none"/>
          <w:tab w:val="left" w:pos="1276"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投标人近一年中任意一个月份（不含投标当月）的依法缴纳税收的相关材料（提供相关主管部门证明或银行代扣证明）；</w:t>
      </w:r>
      <w:r/>
    </w:p>
    <w:p>
      <w:pPr>
        <w:numPr>
          <w:ilvl w:val="1"/>
          <w:numId w:val="4"/>
        </w:numPr>
        <w:ind w:left="0" w:firstLine="523"/>
        <w:spacing w:line="360" w:lineRule="auto"/>
        <w:tabs>
          <w:tab w:val="left" w:pos="945" w:leader="none"/>
          <w:tab w:val="left" w:pos="1276"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投标人近一年中任意一个月份（不含投标当月）的依法缴纳社会保障资金的相关材料（提供相关主管部门证明或银行代扣证明）；</w:t>
      </w:r>
      <w:r/>
    </w:p>
    <w:p>
      <w:pPr>
        <w:numPr>
          <w:ilvl w:val="1"/>
          <w:numId w:val="4"/>
        </w:numPr>
        <w:ind w:left="0" w:firstLine="523"/>
        <w:spacing w:line="360" w:lineRule="auto"/>
        <w:tabs>
          <w:tab w:val="left" w:pos="945" w:leader="none"/>
          <w:tab w:val="left" w:pos="1276" w:leader="none"/>
        </w:tabs>
        <w:rPr>
          <w:rFonts w:hint="default"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rPr>
        <w:t xml:space="preserve">承诺书</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
          <w:bCs/>
          <w:color w:val="auto"/>
          <w:sz w:val="24"/>
          <w:szCs w:val="24"/>
          <w:highlight w:val="none"/>
        </w:rPr>
        <w:t xml:space="preserve">格式见附件</w:t>
      </w:r>
      <w:r>
        <w:rPr>
          <w:rFonts w:hint="eastAsia" w:ascii="宋体" w:hAnsi="宋体" w:eastAsia="宋体" w:cs="Times New Roman"/>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eastAsia="宋体" w:cs="Times New Roman"/>
          <w:bCs/>
          <w:color w:val="auto"/>
          <w:sz w:val="24"/>
          <w:szCs w:val="24"/>
          <w:highlight w:val="none"/>
        </w:rPr>
        <w:t xml:space="preserve">投标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格式见附件）；</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详见“投标邀请函”-“投标人资格要求”之3中要求）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报价明细表（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6.项目人员配备计划表</w:t>
      </w:r>
      <w:r>
        <w:rPr>
          <w:rFonts w:hint="eastAsia" w:ascii="宋体" w:hAnsi="宋体"/>
          <w:bCs/>
          <w:color w:val="auto"/>
          <w:sz w:val="24"/>
          <w:szCs w:val="24"/>
          <w:highlight w:val="none"/>
        </w:rPr>
        <w:t xml:space="preserve">（</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7.</w:t>
      </w:r>
      <w:r>
        <w:rPr>
          <w:rFonts w:hint="eastAsia" w:ascii="宋体" w:hAnsi="宋体"/>
          <w:bCs/>
          <w:color w:val="auto"/>
          <w:sz w:val="24"/>
          <w:szCs w:val="24"/>
          <w:highlight w:val="none"/>
        </w:rPr>
        <w:t xml:space="preserve">项目负责人简历表（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8.</w:t>
      </w:r>
      <w:bookmarkStart w:id="11" w:name="_GoBack"/>
      <w:r>
        <w:rPr>
          <w:rFonts w:hint="eastAsia" w:ascii="宋体" w:hAnsi="宋体"/>
          <w:bCs/>
          <w:color w:val="auto"/>
          <w:sz w:val="24"/>
          <w:szCs w:val="24"/>
          <w:highlight w:val="none"/>
        </w:rPr>
        <w:t xml:space="preserve">投标单位情况表</w:t>
      </w:r>
      <w:bookmarkEnd w:id="11"/>
      <w:r>
        <w:rPr>
          <w:rFonts w:hint="eastAsia" w:ascii="宋体" w:hAnsi="宋体"/>
          <w:bCs/>
          <w:color w:val="auto"/>
          <w:sz w:val="24"/>
          <w:szCs w:val="24"/>
          <w:highlight w:val="none"/>
        </w:rPr>
        <w:t xml:space="preserve">（</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lang w:eastAsia="zh-CN"/>
        </w:rPr>
        <w:t xml:space="preserve">9.</w:t>
      </w:r>
      <w:r>
        <w:rPr>
          <w:rFonts w:hint="eastAsia" w:ascii="宋体" w:hAnsi="宋体"/>
          <w:bCs/>
          <w:color w:val="auto"/>
          <w:sz w:val="24"/>
          <w:szCs w:val="24"/>
          <w:highlight w:val="none"/>
        </w:rPr>
        <w:t xml:space="preserve">技术文件</w:t>
      </w:r>
      <w:r>
        <w:rPr>
          <w:rFonts w:hint="eastAsia" w:ascii="宋体" w:hAnsi="宋体"/>
          <w:b/>
          <w:color w:val="auto"/>
          <w:sz w:val="24"/>
          <w:szCs w:val="24"/>
          <w:highlight w:val="none"/>
        </w:rPr>
        <w:t xml:space="preserve">（暗标，内容参照评标办法）</w:t>
      </w:r>
      <w:r/>
    </w:p>
    <w:p>
      <w:pPr>
        <w:ind w:firstLine="482"/>
        <w:spacing w:line="360" w:lineRule="auto"/>
        <w:rPr>
          <w:rFonts w:hint="eastAsia" w:ascii="宋体" w:hAnsi="宋体"/>
          <w:b/>
          <w:color w:val="auto"/>
          <w:sz w:val="24"/>
          <w:szCs w:val="24"/>
          <w:highlight w:val="none"/>
          <w:u w:val="single"/>
        </w:rPr>
      </w:pPr>
      <w:r>
        <w:rPr>
          <w:rFonts w:hint="eastAsia" w:ascii="宋体" w:hAnsi="宋体"/>
          <w:b/>
          <w:color w:val="auto"/>
          <w:sz w:val="24"/>
          <w:szCs w:val="24"/>
          <w:highlight w:val="none"/>
          <w:u w:val="single"/>
        </w:rPr>
        <w:t xml:space="preserve">特别注意：本项目采用暗标形式，页数不得少于30页，不得多于300页。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u w:val="single"/>
        </w:rPr>
        <w:t xml:space="preserve">排版要求：A4版面，黑色、四号宋体字，如有必要，可配以图片、表格辅助说明（图片内字体不作要求，表格中字体为宋体，字号不作限制），暗标文件中均不得有体现投标人身份。除页码（页码居中，格式为阿拉伯数字小五号，</w:t>
      </w:r>
      <w:r>
        <w:rPr>
          <w:rFonts w:hint="eastAsia" w:ascii="宋体" w:hAnsi="宋体"/>
          <w:b/>
          <w:color w:val="auto"/>
          <w:sz w:val="24"/>
          <w:szCs w:val="24"/>
          <w:highlight w:val="none"/>
          <w:u w:val="single"/>
          <w:lang w:val="en-US" w:eastAsia="zh-CN"/>
        </w:rPr>
        <w:t xml:space="preserve">技术文件部分</w:t>
      </w:r>
      <w:r>
        <w:rPr>
          <w:rFonts w:hint="eastAsia" w:ascii="宋体" w:hAnsi="宋体"/>
          <w:b/>
          <w:color w:val="auto"/>
          <w:sz w:val="24"/>
          <w:szCs w:val="24"/>
          <w:highlight w:val="none"/>
          <w:u w:val="single"/>
        </w:rPr>
        <w:t xml:space="preserve">页码应当连续，不得有空白页）外不得设置其他页眉页脚。</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不得有体现投标人身份的内容是指：</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①技术部分不得出现能够体现投标人身份、名称的相关描述、材料、文件等内容；</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②技术部分不得更改，不得在其中涂改、标注或做任何可以辨认投标人及所属人员身份的名称、印章、商标等标记；</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③技术部分应当版面整洁、字迹清楚、不许批注或进行水印等特殊设置，不得采用任何不符合常规、有别于其他投标人的特殊做法。文本部分不得出现底纹、阴影等标记；</w:t>
      </w:r>
      <w:r/>
    </w:p>
    <w:p>
      <w:pPr>
        <w:ind w:firstLine="482"/>
        <w:spacing w:line="360" w:lineRule="auto"/>
        <w:rPr>
          <w:rFonts w:hint="eastAsia" w:ascii="宋体" w:hAnsi="宋体"/>
          <w:bCs/>
          <w:color w:val="auto"/>
          <w:sz w:val="24"/>
          <w:szCs w:val="24"/>
          <w:highlight w:val="none"/>
        </w:rPr>
      </w:pPr>
      <w:r>
        <w:rPr>
          <w:rFonts w:hint="eastAsia" w:ascii="宋体" w:hAnsi="宋体"/>
          <w:b/>
          <w:color w:val="auto"/>
          <w:sz w:val="24"/>
          <w:szCs w:val="24"/>
          <w:highlight w:val="none"/>
        </w:rPr>
        <w:t xml:space="preserve">④不得有其他体现投标人身份的内容。</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10.</w:t>
      </w:r>
      <w:r>
        <w:rPr>
          <w:rFonts w:hint="eastAsia" w:ascii="宋体" w:hAnsi="宋体"/>
          <w:bCs/>
          <w:color w:val="auto"/>
          <w:sz w:val="24"/>
          <w:szCs w:val="24"/>
          <w:highlight w:val="none"/>
        </w:rPr>
        <w:t xml:space="preserve">评分标准中对应的</w:t>
      </w:r>
      <w:r>
        <w:rPr>
          <w:rFonts w:hint="eastAsia" w:ascii="宋体" w:hAnsi="宋体"/>
          <w:bCs/>
          <w:color w:val="auto"/>
          <w:sz w:val="24"/>
          <w:szCs w:val="24"/>
          <w:highlight w:val="none"/>
          <w:lang w:eastAsia="zh-CN"/>
        </w:rPr>
        <w:t xml:space="preserve">其他所需</w:t>
      </w:r>
      <w:r>
        <w:rPr>
          <w:rFonts w:hint="eastAsia" w:ascii="宋体" w:hAnsi="宋体"/>
          <w:bCs/>
          <w:color w:val="auto"/>
          <w:sz w:val="24"/>
          <w:szCs w:val="24"/>
          <w:highlight w:val="none"/>
        </w:rPr>
        <w:t xml:space="preserve">证明材料（如有自行添加）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11.</w:t>
      </w:r>
      <w:r>
        <w:rPr>
          <w:rFonts w:hint="eastAsia" w:ascii="宋体" w:hAnsi="宋体"/>
          <w:bCs/>
          <w:color w:val="auto"/>
          <w:sz w:val="24"/>
          <w:szCs w:val="24"/>
          <w:highlight w:val="none"/>
        </w:rPr>
        <w:t xml:space="preserve">要求采购人提供的配合（如有自拟并自行添加）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12.其他</w:t>
      </w:r>
      <w:r>
        <w:rPr>
          <w:rFonts w:hint="eastAsia" w:ascii="宋体" w:hAnsi="宋体"/>
          <w:bCs/>
          <w:color w:val="auto"/>
          <w:sz w:val="24"/>
          <w:szCs w:val="24"/>
          <w:highlight w:val="none"/>
        </w:rPr>
        <w:t xml:space="preserve">（报价人认为有必要提供的声明和文件，如有自拟并自行添加）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上述1-</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 xml:space="preserve">其他可以</w:t>
      </w:r>
      <w:r>
        <w:rPr>
          <w:rFonts w:hint="eastAsia" w:ascii="宋体" w:hAnsi="宋体"/>
          <w:bCs/>
          <w:color w:val="auto"/>
          <w:sz w:val="24"/>
          <w:szCs w:val="24"/>
          <w:highlight w:val="none"/>
        </w:rPr>
        <w:t xml:space="preserve">在中国大陆有效居留的许可证明。</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（七）投标文件的制作：</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结算单位为“元”。</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投标供应商应由其法定代表人或法定代表人授权代表在规定的网上投标时间内，凭CA数字证书</w:t>
      </w:r>
      <w:r>
        <w:rPr>
          <w:rFonts w:hint="eastAsia" w:ascii="宋体" w:hAnsi="宋体"/>
          <w:bCs/>
          <w:color w:val="auto"/>
          <w:sz w:val="24"/>
          <w:szCs w:val="24"/>
          <w:highlight w:val="none"/>
          <w:lang w:eastAsia="zh-CN"/>
        </w:rPr>
        <w:t xml:space="preserve">登录</w:t>
      </w:r>
      <w:r>
        <w:rPr>
          <w:rFonts w:hint="eastAsia" w:ascii="宋体" w:hAnsi="宋体"/>
          <w:bCs/>
          <w:color w:val="auto"/>
          <w:sz w:val="24"/>
          <w:szCs w:val="24"/>
          <w:highlight w:val="none"/>
        </w:rPr>
        <w:t xml:space="preserve">苏采云平台获取招标文件，在投标客户端制作投标文件（电子数据），并在投标截止时间之前上传投标文件。</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投标供应商进行网上投标请参照《政府采购项目电子交易管理操作指南-供应商》。</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6"/>
        </w:numPr>
        <w:ind w:left="1" w:firstLine="523"/>
        <w:spacing w:line="360" w:lineRule="auto"/>
        <w:tabs>
          <w:tab w:val="left" w:pos="525" w:leader="none"/>
          <w:tab w:val="left" w:pos="945" w:leader="none"/>
        </w:tabs>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请投标人实时关注评标过程，一旦发现有询标函，请按时回复。如项目设置暗标，询标时无法通过系统以外途径通知投标单位，请投标人密切关注评标过程，因投标人未尽注意义务，而造成的损失及风险（包括但不限于未中标）由投标人自行承担。</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7"/>
        </w:numPr>
        <w:ind w:left="762" w:hanging="210"/>
        <w:spacing w:line="360" w:lineRule="auto"/>
        <w:tabs>
          <w:tab w:val="left" w:pos="945"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未按规定在江苏省政府采购（苏采云）平台注册的；</w:t>
      </w:r>
      <w:r/>
    </w:p>
    <w:p>
      <w:pPr>
        <w:numPr>
          <w:ilvl w:val="0"/>
          <w:numId w:val="7"/>
        </w:numPr>
        <w:ind w:left="1" w:firstLine="523"/>
        <w:spacing w:line="360" w:lineRule="auto"/>
        <w:tabs>
          <w:tab w:val="left" w:pos="945"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电子投标文件未按规定期限投标的，纸质投标文件（如有）未按规定的期限、地点送达的；</w:t>
      </w:r>
      <w:r/>
    </w:p>
    <w:p>
      <w:pPr>
        <w:numPr>
          <w:ilvl w:val="0"/>
          <w:numId w:val="7"/>
        </w:numPr>
        <w:ind w:left="1" w:firstLine="523"/>
        <w:spacing w:line="360" w:lineRule="auto"/>
        <w:tabs>
          <w:tab w:val="left" w:pos="945"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电子投标文件未按招标文件要求签章的；</w:t>
      </w:r>
      <w:r/>
    </w:p>
    <w:p>
      <w:pPr>
        <w:numPr>
          <w:ilvl w:val="0"/>
          <w:numId w:val="7"/>
        </w:numPr>
        <w:ind w:left="1" w:firstLine="523"/>
        <w:spacing w:line="360" w:lineRule="auto"/>
        <w:tabs>
          <w:tab w:val="left" w:pos="945"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投标人未按招标文件要求解密电子投标文件的；</w:t>
      </w:r>
      <w:r/>
    </w:p>
    <w:p>
      <w:pPr>
        <w:numPr>
          <w:ilvl w:val="0"/>
          <w:numId w:val="7"/>
        </w:numPr>
        <w:ind w:left="1" w:firstLine="523"/>
        <w:spacing w:line="360" w:lineRule="auto"/>
        <w:tabs>
          <w:tab w:val="left" w:pos="945"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投标人的法定代表人授权代表，无法定代表人授权委托书的；</w:t>
      </w:r>
      <w:r/>
    </w:p>
    <w:p>
      <w:pPr>
        <w:numPr>
          <w:ilvl w:val="0"/>
          <w:numId w:val="7"/>
        </w:numPr>
        <w:ind w:left="1" w:firstLine="523"/>
        <w:spacing w:line="360" w:lineRule="auto"/>
        <w:tabs>
          <w:tab w:val="left" w:pos="945"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不具备招标文件中规定的资格要求或未按招标文件规定的要求提供资格、资信证明文件的；</w:t>
      </w:r>
      <w:r/>
    </w:p>
    <w:p>
      <w:pPr>
        <w:numPr>
          <w:ilvl w:val="0"/>
          <w:numId w:val="7"/>
        </w:numPr>
        <w:ind w:left="1" w:firstLine="523"/>
        <w:spacing w:line="360" w:lineRule="auto"/>
        <w:tabs>
          <w:tab w:val="left" w:pos="945"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被“信用中国”网站（</w:t>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"http://www.creditchina.gov.cn" </w:instrText>
      </w:r>
      <w:r>
        <w:rPr>
          <w:rFonts w:hint="default" w:ascii="Times New Roman" w:hAnsi="Times New Roman" w:eastAsia="宋体" w:cs="Times New Roman"/>
          <w:color w:val="auto"/>
          <w:highlight w:val="none"/>
        </w:rPr>
        <w:fldChar w:fldCharType="separate"/>
      </w:r>
      <w:r>
        <w:rPr>
          <w:rFonts w:hint="eastAsia" w:ascii="宋体" w:hAnsi="宋体" w:eastAsia="宋体" w:cs="Times New Roman"/>
          <w:color w:val="auto"/>
          <w:sz w:val="24"/>
          <w:szCs w:val="24"/>
          <w:highlight w:val="none"/>
        </w:rPr>
        <w:t xml:space="preserve">www.creditchina.gov.cn</w:t>
      </w:r>
      <w:r>
        <w:rPr>
          <w:rFonts w:hint="eastAsia" w:ascii="宋体" w:hAnsi="宋体" w:eastAsia="宋体" w:cs="Times New Roman"/>
          <w:color w:val="auto"/>
          <w:sz w:val="24"/>
          <w:szCs w:val="24"/>
          <w:highlight w:val="none"/>
        </w:rPr>
        <w:fldChar w:fldCharType="end"/>
      </w:r>
      <w:r>
        <w:rPr>
          <w:rFonts w:hint="eastAsia" w:ascii="宋体" w:hAnsi="宋体" w:eastAsia="宋体" w:cs="Times New Roman"/>
          <w:color w:val="auto"/>
          <w:sz w:val="24"/>
          <w:szCs w:val="24"/>
          <w:highlight w:val="none"/>
        </w:rPr>
        <w:t xml:space="preserve">）、中国政府采购网（www.ccgp.gov.cn）列入失信被执行人、重大税收违法案件当事人名单、政府采购严重违法失信行为记录名单的；</w:t>
      </w:r>
      <w:r/>
    </w:p>
    <w:p>
      <w:pPr>
        <w:numPr>
          <w:ilvl w:val="0"/>
          <w:numId w:val="7"/>
        </w:numPr>
        <w:ind w:left="1" w:firstLine="523"/>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投标文件未按招标文件规定的内容和要求填写的；没有在投标系统指定位置上传对应文件、材料的；</w:t>
      </w:r>
      <w:r/>
    </w:p>
    <w:p>
      <w:pPr>
        <w:numPr>
          <w:ilvl w:val="0"/>
          <w:numId w:val="7"/>
        </w:numPr>
        <w:ind w:left="1" w:firstLine="523"/>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电子投标文件图片、字迹模糊不清、无法辨认的；</w:t>
      </w:r>
      <w:r/>
    </w:p>
    <w:p>
      <w:pPr>
        <w:numPr>
          <w:ilvl w:val="0"/>
          <w:numId w:val="7"/>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rPr>
        <w:t xml:space="preserve">电子投标文件中技术文件暗标部分中出现该报价供应商单位名称、简称、人员姓名、Logo、商标、电话号码等任何标识标记及其他暗示性标志的；</w:t>
      </w:r>
      <w:r/>
    </w:p>
    <w:p>
      <w:pPr>
        <w:numPr>
          <w:ilvl w:val="0"/>
          <w:numId w:val="7"/>
        </w:numPr>
        <w:ind w:left="1" w:firstLine="523"/>
        <w:spacing w:line="360" w:lineRule="auto"/>
        <w:tabs>
          <w:tab w:val="left" w:pos="945" w:leader="none"/>
        </w:tabs>
        <w:rPr>
          <w:rFonts w:hint="default"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rPr>
        <w:t xml:space="preserve">电子投标文件中技术文件暗标部分未按要求编制，编制粗糙、缺漏项、格式混乱、条理不清的</w:t>
      </w:r>
      <w:r>
        <w:rPr>
          <w:rFonts w:hint="eastAsia" w:ascii="宋体" w:hAnsi="Times New Roman" w:eastAsia="宋体" w:cs="Times New Roman"/>
          <w:bCs/>
          <w:color w:val="auto"/>
          <w:sz w:val="24"/>
          <w:szCs w:val="24"/>
          <w:highlight w:val="none"/>
          <w:lang w:eastAsia="zh-CN"/>
        </w:rPr>
        <w:t xml:space="preserve">；</w:t>
      </w:r>
      <w:r/>
    </w:p>
    <w:p>
      <w:pPr>
        <w:numPr>
          <w:ilvl w:val="0"/>
          <w:numId w:val="7"/>
        </w:numPr>
        <w:ind w:left="1" w:firstLine="523"/>
        <w:spacing w:line="360" w:lineRule="auto"/>
        <w:tabs>
          <w:tab w:val="left" w:pos="945"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投标文件中有招标文件未允许提供的选择性内容；</w:t>
      </w:r>
      <w:r/>
    </w:p>
    <w:p>
      <w:pPr>
        <w:numPr>
          <w:ilvl w:val="0"/>
          <w:numId w:val="7"/>
        </w:numPr>
        <w:ind w:left="1" w:firstLine="523"/>
        <w:spacing w:line="360" w:lineRule="auto"/>
        <w:tabs>
          <w:tab w:val="left" w:pos="945"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不同投标人委托同一单位或者个人办理投标事宜的；</w:t>
      </w:r>
      <w:r/>
    </w:p>
    <w:p>
      <w:pPr>
        <w:numPr>
          <w:ilvl w:val="0"/>
          <w:numId w:val="7"/>
        </w:numPr>
        <w:ind w:left="1" w:firstLine="523"/>
        <w:spacing w:line="360" w:lineRule="auto"/>
        <w:tabs>
          <w:tab w:val="left" w:pos="945"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不同投标人的单位负责人为同一人或者存在直接控股、管理关系的；</w:t>
      </w:r>
      <w:r/>
    </w:p>
    <w:p>
      <w:pPr>
        <w:numPr>
          <w:ilvl w:val="0"/>
          <w:numId w:val="7"/>
        </w:numPr>
        <w:ind w:left="1" w:firstLine="523"/>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7"/>
        </w:numPr>
        <w:ind w:left="1" w:firstLine="523"/>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7"/>
        </w:numPr>
        <w:ind w:left="1" w:firstLine="523"/>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7"/>
        </w:numPr>
        <w:ind w:left="1" w:firstLine="523"/>
        <w:spacing w:line="360" w:lineRule="auto"/>
        <w:tabs>
          <w:tab w:val="left" w:pos="945"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项目（标段）投标总价超过本项目（标段）预算或最高限价的；</w:t>
      </w:r>
      <w:r/>
    </w:p>
    <w:p>
      <w:pPr>
        <w:numPr>
          <w:ilvl w:val="0"/>
          <w:numId w:val="7"/>
        </w:numPr>
        <w:ind w:left="1" w:firstLine="523"/>
        <w:spacing w:line="360" w:lineRule="auto"/>
        <w:tabs>
          <w:tab w:val="left" w:pos="945"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提供虚假材料的（包括工商营业执照、财务报表、资格证明文件等）；</w:t>
      </w:r>
      <w:r/>
    </w:p>
    <w:p>
      <w:pPr>
        <w:numPr>
          <w:ilvl w:val="0"/>
          <w:numId w:val="7"/>
        </w:numPr>
        <w:ind w:left="1" w:firstLine="523"/>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投标文件含有采购人不能接受的附加条件的；</w:t>
      </w:r>
      <w:r/>
    </w:p>
    <w:p>
      <w:pPr>
        <w:numPr>
          <w:ilvl w:val="0"/>
          <w:numId w:val="7"/>
        </w:numPr>
        <w:ind w:left="1" w:firstLine="523"/>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评标委员会启动异常低价投标（响应）审查的情形和具体要求，包括：</w:t>
      </w:r>
      <w:r/>
    </w:p>
    <w:p>
      <w:pPr>
        <w:ind w:firstLine="480"/>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（1）评审过程中出现下列情形之一的，评标委员会应当启动异常低价投标（响应）审查程序：</w:t>
      </w:r>
      <w:r/>
    </w:p>
    <w:p>
      <w:pPr>
        <w:ind w:firstLine="480"/>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①投标（响应）报价低于采购项目预算50%的，即投标（响应）报价〈采购项目预算×50%；</w:t>
      </w:r>
      <w:r/>
    </w:p>
    <w:p>
      <w:pPr>
        <w:ind w:firstLine="480"/>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②投标（响应）报价低于采购项目最高限价45%的，即投标（响应）报价〈采购项目最高限价×45%；</w:t>
      </w:r>
      <w:r/>
    </w:p>
    <w:p>
      <w:pPr>
        <w:ind w:firstLine="480"/>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③评标委员会认定的供应商报价过低、有可能影响产品质量或者不能诚信履约的其他情形。</w:t>
      </w:r>
      <w:r/>
    </w:p>
    <w:p>
      <w:pPr>
        <w:ind w:firstLine="480"/>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7"/>
        </w:numPr>
        <w:ind w:left="1" w:firstLine="523"/>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除单一来源采购项目外，为采购项目提供整体设计、规范编制或者项目管理、监理、检测等服务的；</w:t>
      </w:r>
      <w:r/>
    </w:p>
    <w:p>
      <w:pPr>
        <w:numPr>
          <w:ilvl w:val="0"/>
          <w:numId w:val="7"/>
        </w:numPr>
        <w:ind w:left="1" w:firstLine="523"/>
        <w:spacing w:line="360" w:lineRule="auto"/>
        <w:tabs>
          <w:tab w:val="left" w:pos="945" w:leader="none"/>
        </w:tabs>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 xml:space="preserve">技术文件页数少于30页，多于300页的；</w:t>
      </w:r>
      <w:r/>
    </w:p>
    <w:p>
      <w:pPr>
        <w:numPr>
          <w:ilvl w:val="0"/>
          <w:numId w:val="7"/>
        </w:numPr>
        <w:ind w:left="1" w:firstLine="523"/>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投标文件内容不全或不符合招标文件中规定的其他实质性要求的；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rPr>
        <w:t xml:space="preserve">法律法规和招标文件规定的其他无效情形。</w:t>
      </w:r>
      <w:r/>
    </w:p>
    <w:p>
      <w:pPr>
        <w:ind w:firstLine="480"/>
        <w:spacing w:line="360" w:lineRule="auto"/>
        <w:tabs>
          <w:tab w:val="left" w:pos="945" w:leader="none"/>
        </w:tabs>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（十）开标、评标：</w:t>
      </w:r>
      <w:r/>
    </w:p>
    <w:p>
      <w:pPr>
        <w:numPr>
          <w:ilvl w:val="1"/>
          <w:numId w:val="8"/>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8"/>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投标人未参加开标的，视同认可开标结果。</w:t>
      </w:r>
      <w:r/>
    </w:p>
    <w:p>
      <w:pPr>
        <w:numPr>
          <w:ilvl w:val="1"/>
          <w:numId w:val="8"/>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评标工作由江苏智汇锡建工程项目管理有限公司负责组织，具体评标事务由依法组建的评标委员会负责。</w:t>
      </w:r>
      <w:r/>
    </w:p>
    <w:p>
      <w:pPr>
        <w:numPr>
          <w:ilvl w:val="0"/>
          <w:numId w:val="9"/>
        </w:numPr>
        <w:ind w:left="0" w:firstLine="523"/>
        <w:spacing w:line="360" w:lineRule="auto"/>
        <w:tabs>
          <w:tab w:val="left" w:pos="630"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投标文件初审。初审分为资格性检查和符合性检查。</w:t>
      </w:r>
      <w:r/>
    </w:p>
    <w:p>
      <w:pPr>
        <w:numPr>
          <w:ilvl w:val="0"/>
          <w:numId w:val="10"/>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w:t>
      </w:r>
      <w:r>
        <w:rPr>
          <w:rFonts w:hint="eastAsia" w:ascii="宋体" w:hAnsi="宋体" w:cs="宋体"/>
          <w:bCs/>
          <w:color w:val="auto"/>
          <w:sz w:val="24"/>
          <w:szCs w:val="24"/>
          <w:highlight w:val="none"/>
          <w:lang w:val="en-US" w:eastAsia="zh-CN"/>
        </w:rPr>
        <w:t xml:space="preserve">代表</w:t>
      </w:r>
      <w:r>
        <w:rPr>
          <w:rFonts w:hint="eastAsia" w:ascii="宋体" w:hAnsi="宋体" w:cs="宋体"/>
          <w:bCs/>
          <w:color w:val="auto"/>
          <w:sz w:val="24"/>
          <w:szCs w:val="24"/>
          <w:highlight w:val="none"/>
        </w:rPr>
        <w:t xml:space="preserve">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10"/>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9"/>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9"/>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8"/>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（十一）定标：</w:t>
      </w:r>
      <w:r/>
    </w:p>
    <w:p>
      <w:pPr>
        <w:numPr>
          <w:ilvl w:val="0"/>
          <w:numId w:val="11"/>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outlineLvl w:val="9"/>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评标委员会根据招标文件规定的评标方法和评标标准进行评审，按招标文件的要求依法确定中标供应商。江苏智汇锡建工程项目管理有限公司将在</w:t>
      </w:r>
      <w:r>
        <w:rPr>
          <w:rFonts w:hint="eastAsia" w:ascii="宋体" w:hAnsi="宋体"/>
          <w:bCs/>
          <w:color w:val="auto"/>
          <w:sz w:val="24"/>
          <w:szCs w:val="24"/>
          <w:highlight w:val="none"/>
          <w:lang w:eastAsia="zh-CN"/>
        </w:rPr>
        <w:t xml:space="preserve">中国政府采购网、江苏政府采购网</w:t>
      </w:r>
      <w:r>
        <w:rPr>
          <w:rFonts w:hint="eastAsia" w:ascii="宋体" w:hAnsi="宋体"/>
          <w:bCs/>
          <w:color w:val="auto"/>
          <w:sz w:val="24"/>
          <w:szCs w:val="24"/>
          <w:highlight w:val="none"/>
        </w:rPr>
        <w:t xml:space="preserve">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11"/>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outlineLvl w:val="9"/>
      </w:pPr>
      <w:r>
        <w:rPr>
          <w:rFonts w:hint="eastAsia" w:ascii="宋体" w:hAnsi="宋体"/>
          <w:bCs/>
          <w:color w:val="auto"/>
          <w:sz w:val="24"/>
          <w:szCs w:val="24"/>
          <w:highlight w:val="none"/>
        </w:rPr>
        <w:t xml:space="preserve">江苏智汇锡建工程项目管理有限公司向中标供应商</w:t>
      </w:r>
      <w:r>
        <w:rPr>
          <w:rFonts w:hint="eastAsia" w:ascii="宋体" w:hAnsi="宋体"/>
          <w:bCs/>
          <w:color w:val="auto"/>
          <w:sz w:val="24"/>
          <w:szCs w:val="24"/>
          <w:highlight w:val="none"/>
          <w:lang w:eastAsia="zh-CN"/>
        </w:rPr>
        <w:t xml:space="preserve">发出</w:t>
      </w:r>
      <w:r>
        <w:rPr>
          <w:rFonts w:hint="eastAsia" w:ascii="宋体" w:hAnsi="宋体"/>
          <w:bCs/>
          <w:color w:val="auto"/>
          <w:sz w:val="24"/>
          <w:szCs w:val="24"/>
          <w:highlight w:val="none"/>
        </w:rPr>
        <w:t xml:space="preserve">中标通知书。</w:t>
      </w:r>
      <w:r/>
    </w:p>
    <w:p>
      <w:pPr>
        <w:numPr>
          <w:ilvl w:val="0"/>
          <w:numId w:val="11"/>
        </w:numPr>
        <w:ind w:left="0" w:firstLine="523"/>
        <w:spacing w:line="360" w:lineRule="auto"/>
        <w:tabs>
          <w:tab w:val="left" w:pos="525" w:leader="none"/>
          <w:tab w:val="left" w:pos="945" w:leader="none"/>
          <w:tab w:val="left" w:pos="1155"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（十二）废标的确认：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2"/>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12"/>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2"/>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12"/>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（十三）中标无效的确认：</w:t>
      </w:r>
      <w:r/>
    </w:p>
    <w:p>
      <w:pPr>
        <w:numPr>
          <w:ilvl w:val="0"/>
          <w:numId w:val="13"/>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3"/>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采取不正当手段诋毁、排挤其他投标人的；</w:t>
      </w:r>
      <w:r/>
    </w:p>
    <w:p>
      <w:pPr>
        <w:numPr>
          <w:ilvl w:val="0"/>
          <w:numId w:val="13"/>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与招标采购单位、其他投标人恶意串通的；</w:t>
      </w:r>
      <w:r/>
    </w:p>
    <w:p>
      <w:pPr>
        <w:numPr>
          <w:ilvl w:val="2"/>
          <w:numId w:val="8"/>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2"/>
          <w:numId w:val="8"/>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8"/>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4"/>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rPr>
        <w:t xml:space="preserve">江苏智汇锡建工程项目管理有限公司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 xml:space="preserve">江苏智汇锡建工程项目管理有限公司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p>
    <w:p>
      <w:pPr>
        <w:numPr>
          <w:ilvl w:val="0"/>
          <w:numId w:val="14"/>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江苏智汇锡建工程项目管理有限公司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8"/>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8"/>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8"/>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spacing w:line="360" w:lineRule="auto"/>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ascii="宋体" w:hAnsi="宋体"/>
          <w:bCs/>
          <w:color w:val="auto"/>
          <w:sz w:val="24"/>
          <w:highlight w:val="none"/>
        </w:rPr>
      </w:pPr>
      <w:r>
        <w:rPr>
          <w:rFonts w:hint="eastAsia" w:ascii="宋体" w:hAnsi="宋体"/>
          <w:color w:val="auto"/>
          <w:sz w:val="24"/>
          <w:highlight w:val="none"/>
        </w:rPr>
        <w:t xml:space="preserve">1.本项目招标代理服务费以中标金额为计费基础，按差额定率累进法计算：</w:t>
      </w:r>
      <w:r>
        <w:rPr>
          <w:rFonts w:ascii="宋体" w:hAnsi="宋体"/>
          <w:color w:val="auto"/>
          <w:sz w:val="24"/>
          <w:highlight w:val="none"/>
        </w:rPr>
        <w:t xml:space="preserve">100万以下费率为1.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100万－500万</w:t>
      </w:r>
      <w:r>
        <w:rPr>
          <w:rFonts w:ascii="宋体" w:hAnsi="宋体"/>
          <w:color w:val="auto"/>
          <w:sz w:val="24"/>
          <w:highlight w:val="none"/>
        </w:rPr>
        <w:t xml:space="preserve">费率为</w:t>
      </w:r>
      <w:r>
        <w:rPr>
          <w:rFonts w:hint="eastAsia" w:ascii="宋体" w:hAnsi="宋体"/>
          <w:color w:val="auto"/>
          <w:sz w:val="24"/>
          <w:highlight w:val="none"/>
        </w:rPr>
        <w:t xml:space="preserve">0.8</w:t>
      </w:r>
      <w:r>
        <w:rPr>
          <w:rFonts w:ascii="宋体" w:hAnsi="宋体"/>
          <w:color w:val="auto"/>
          <w:sz w:val="24"/>
          <w:highlight w:val="none"/>
        </w:rPr>
        <w:t xml:space="preserve">%</w:t>
      </w:r>
      <w:r>
        <w:rPr>
          <w:rFonts w:hint="eastAsia" w:ascii="宋体" w:hAnsi="宋体"/>
          <w:bCs/>
          <w:color w:val="auto"/>
          <w:sz w:val="24"/>
          <w:highlight w:val="none"/>
        </w:rPr>
        <w:t xml:space="preserve">；在此基础上打七折计取。</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2.领取中标通知书时由中标供应商向采购代理机构一次性付清。</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采购代理机构将保留诉讼的权利。</w:t>
      </w:r>
      <w:r/>
    </w:p>
    <w:p>
      <w:pPr>
        <w:ind w:firstLine="480"/>
        <w:spacing w:line="360" w:lineRule="auto"/>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1.中标、成交供应商可采用合同融资形式，中标人可凭政府采购合同办理融资贷款，详见无锡政府采购网“政采贷”专栏。</w:t>
      </w:r>
      <w:r/>
    </w:p>
    <w:p>
      <w:pPr>
        <w:ind w:firstLine="480"/>
        <w:spacing w:line="360" w:lineRule="auto"/>
        <w:tabs>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rPr>
        <w:t xml:space="preserve">中标、成交供应商可以采用电子履约保函形式，具体操作可登录江苏政府采购网的保险保函模块进行办理，也可通过无锡政府采购网、“苏采云”系统链接访问（首次使用需注册）。</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rPr>
          <w:rFonts w:ascii="黑体" w:eastAsia="黑体"/>
          <w:bCs/>
          <w:color w:val="auto"/>
          <w:sz w:val="30"/>
          <w:szCs w:val="30"/>
          <w:highlight w:val="none"/>
        </w:rPr>
        <w:outlineLvl w:val="0"/>
      </w:pPr>
      <w:r>
        <w:rPr>
          <w:rFonts w:ascii="黑体" w:eastAsia="黑体"/>
          <w:bCs/>
          <w:color w:val="auto"/>
          <w:sz w:val="30"/>
          <w:szCs w:val="30"/>
          <w:highlight w:val="none"/>
        </w:rPr>
        <w:br w:type="page" w:clear="all"/>
      </w:r>
      <w:bookmarkStart w:id="4" w:name="_Toc24273"/>
      <w:r>
        <w:rPr>
          <w:rFonts w:hint="eastAsia" w:ascii="黑体" w:eastAsia="黑体"/>
          <w:bCs/>
          <w:color w:val="auto"/>
          <w:sz w:val="30"/>
          <w:szCs w:val="30"/>
          <w:highlight w:val="none"/>
        </w:rPr>
        <w:t xml:space="preserve">三</w:t>
      </w:r>
      <w:r>
        <w:rPr>
          <w:rFonts w:hint="eastAsia" w:ascii="黑体" w:eastAsia="黑体"/>
          <w:bCs/>
          <w:color w:val="auto"/>
          <w:sz w:val="30"/>
          <w:szCs w:val="30"/>
          <w:highlight w:val="none"/>
          <w:lang w:val="en-US" w:eastAsia="zh-CN"/>
        </w:rPr>
        <w:t xml:space="preserve">.</w:t>
      </w:r>
      <w:r>
        <w:rPr>
          <w:rFonts w:hint="eastAsia" w:ascii="黑体" w:eastAsia="黑体"/>
          <w:b/>
          <w:color w:val="auto"/>
          <w:sz w:val="30"/>
          <w:szCs w:val="30"/>
          <w:highlight w:val="none"/>
        </w:rPr>
        <w:t xml:space="preserve">项目技术要求和有关说明</w:t>
      </w:r>
      <w:bookmarkEnd w:id="4"/>
      <w:r/>
      <w:r/>
    </w:p>
    <w:p>
      <w:pPr>
        <w:ind w:firstLine="482"/>
        <w:keepLines w:val="0"/>
        <w:keepNext w:val="0"/>
        <w:pageBreakBefore w:val="0"/>
        <w:spacing w:line="440" w:lineRule="exact"/>
        <w:rPr>
          <w:rFonts w:hint="eastAsia" w:ascii="宋体" w:hAnsi="宋体" w:eastAsia="宋体" w:cs="宋体"/>
          <w:b/>
          <w:color w:val="auto"/>
          <w:sz w:val="24"/>
          <w:szCs w:val="24"/>
          <w:highlight w:val="none"/>
          <w:u w:val="none"/>
        </w:rPr>
        <w:outlineLvl w:val="1"/>
      </w:pPr>
      <w:r>
        <w:rPr>
          <w:rFonts w:hint="eastAsia" w:ascii="宋体" w:hAnsi="宋体" w:eastAsia="宋体" w:cs="宋体"/>
          <w:b/>
          <w:color w:val="auto"/>
          <w:sz w:val="24"/>
          <w:szCs w:val="24"/>
          <w:highlight w:val="none"/>
          <w:u w:val="none"/>
          <w:lang w:bidi="ar"/>
        </w:rPr>
        <w:t xml:space="preserve">一、采购标的需实现的功能或者目标，以及为落实政府采购政策需满足的要求。</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bidi="ar"/>
        </w:rPr>
        <w:t xml:space="preserve">1.采购标的需实现的功能或目标：</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bidi="ar"/>
        </w:rPr>
        <w:t xml:space="preserve">通过维护施工，及时整修、调整、完善损坏缺失的交通设施，保证江溪街道辖区内道路交通设施醒目、齐全、完好、规范。对照城市道路交通管理评价指标体系中交通管理设施一等标准，以及各类创建活动关于交通设施的评定要求，达到以下目标：</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bidi="ar"/>
        </w:rPr>
        <w:t xml:space="preserve">（一）</w:t>
      </w:r>
      <w:r>
        <w:rPr>
          <w:rFonts w:hint="eastAsia" w:ascii="宋体" w:hAnsi="宋体" w:eastAsia="宋体" w:cs="宋体"/>
          <w:color w:val="auto"/>
          <w:sz w:val="24"/>
          <w:szCs w:val="24"/>
          <w:highlight w:val="none"/>
          <w:u w:val="none"/>
          <w:lang w:bidi="ar"/>
        </w:rPr>
        <w:t xml:space="preserve">交通设施维护</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bidi="ar"/>
        </w:rPr>
        <w:t xml:space="preserve">（1）道路交通标线清晰、规范。</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bidi="ar"/>
        </w:rPr>
        <w:t xml:space="preserve">（2）各类道路交通隔离设施完好、整齐、美观。</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bidi="ar"/>
        </w:rPr>
        <w:t xml:space="preserve">（3）各类标志做到：1）准确、清晰；2）符合国标；3）道路信息连续、一致；4）位置适当、无遮挡；5）主要路口的指路标志无缺失。</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bidi="ar"/>
        </w:rPr>
        <w:t xml:space="preserve">（4）按照规定，在未设信号灯路口，设置让行标志标线。</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bidi="ar"/>
        </w:rPr>
        <w:t xml:space="preserve">（5）学校周边道路安全设施齐全、完好。</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bidi="ar"/>
        </w:rPr>
        <w:t xml:space="preserve">（6）整体交通设施完好率达到96%以上。</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bidi="ar"/>
        </w:rPr>
        <w:t xml:space="preserve">2.为落实政府采购政策需满足的要求：</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bidi="ar"/>
        </w:rPr>
        <w:t xml:space="preserve">（1）专门面向中小企业：是（或监狱企业、残疾人福利性单位）。</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bidi="ar"/>
        </w:rPr>
        <w:t xml:space="preserve">（2）优先和强制采购节能产品。属于财政部、国家发展改革委《节能产品政府采购清单》有效期内产品的优先采购，属于节能产品清单中强制采购的产品强制采购。优先采购环保产品。属于财政部、</w:t>
      </w:r>
      <w:r>
        <w:rPr>
          <w:rFonts w:hint="eastAsia" w:ascii="宋体" w:hAnsi="宋体" w:eastAsia="宋体" w:cs="宋体"/>
          <w:color w:val="auto"/>
          <w:sz w:val="24"/>
          <w:szCs w:val="24"/>
          <w:highlight w:val="none"/>
          <w:u w:val="none"/>
          <w:lang w:val="en-US" w:eastAsia="zh-CN" w:bidi="ar"/>
        </w:rPr>
        <w:t xml:space="preserve">生态环境部‌</w:t>
      </w:r>
      <w:r>
        <w:rPr>
          <w:rFonts w:hint="eastAsia" w:ascii="宋体" w:hAnsi="宋体" w:eastAsia="宋体" w:cs="宋体"/>
          <w:color w:val="auto"/>
          <w:sz w:val="24"/>
          <w:szCs w:val="24"/>
          <w:highlight w:val="none"/>
          <w:u w:val="none"/>
          <w:lang w:bidi="ar"/>
        </w:rPr>
        <w:t xml:space="preserve">《环境标志产品政府采购清单》有效期内产品的优先采购。</w:t>
      </w:r>
      <w:r/>
    </w:p>
    <w:p>
      <w:pPr>
        <w:ind w:firstLine="361"/>
        <w:keepLines w:val="0"/>
        <w:keepNext w:val="0"/>
        <w:pageBreakBefore w:val="0"/>
        <w:spacing w:line="440" w:lineRule="exact"/>
        <w:rPr>
          <w:rFonts w:hint="eastAsia" w:ascii="宋体" w:hAnsi="宋体" w:eastAsia="宋体" w:cs="宋体"/>
          <w:b/>
          <w:color w:val="auto"/>
          <w:sz w:val="24"/>
          <w:szCs w:val="24"/>
          <w:highlight w:val="none"/>
          <w:u w:val="none"/>
        </w:rPr>
        <w:outlineLvl w:val="1"/>
      </w:pPr>
      <w:r>
        <w:rPr>
          <w:rFonts w:hint="eastAsia" w:ascii="宋体" w:hAnsi="宋体" w:eastAsia="宋体" w:cs="宋体"/>
          <w:b/>
          <w:color w:val="auto"/>
          <w:sz w:val="24"/>
          <w:szCs w:val="24"/>
          <w:highlight w:val="none"/>
          <w:u w:val="none"/>
          <w:lang w:bidi="ar"/>
        </w:rPr>
        <w:t xml:space="preserve">二、采购标的需执行的国家相关标准、行业标准、地方标准或者其他标准、规范。</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bidi="ar"/>
        </w:rPr>
        <w:t xml:space="preserve">施工维护单位要严格按照《中华人民共和国国家标准</w:t>
      </w:r>
      <w:r>
        <w:rPr>
          <w:rFonts w:hint="eastAsia" w:ascii="宋体" w:hAnsi="宋体" w:eastAsia="宋体" w:cs="宋体"/>
          <w:color w:val="auto"/>
          <w:sz w:val="24"/>
          <w:szCs w:val="24"/>
          <w:highlight w:val="none"/>
          <w:u w:val="none"/>
          <w:lang w:eastAsia="zh-CN" w:bidi="ar"/>
        </w:rPr>
        <w:t xml:space="preserve"> 道路交通</w:t>
      </w:r>
      <w:r>
        <w:rPr>
          <w:rFonts w:hint="eastAsia" w:ascii="宋体" w:hAnsi="宋体" w:eastAsia="宋体" w:cs="宋体"/>
          <w:color w:val="auto"/>
          <w:sz w:val="24"/>
          <w:szCs w:val="24"/>
          <w:highlight w:val="none"/>
          <w:u w:val="none"/>
          <w:lang w:bidi="ar"/>
        </w:rPr>
        <w:t xml:space="preserve">标志标线》</w:t>
      </w:r>
      <w:r>
        <w:rPr>
          <w:rFonts w:hint="eastAsia" w:ascii="宋体" w:hAnsi="宋体" w:eastAsia="宋体" w:cs="宋体"/>
          <w:color w:val="auto"/>
          <w:sz w:val="24"/>
          <w:szCs w:val="24"/>
          <w:highlight w:val="none"/>
          <w:u w:val="none"/>
          <w:lang w:eastAsia="zh-CN" w:bidi="ar"/>
        </w:rPr>
        <w:t xml:space="preserve">（GB 5768</w:t>
      </w:r>
      <w:r>
        <w:rPr>
          <w:rFonts w:hint="eastAsia" w:ascii="宋体" w:hAnsi="宋体" w:eastAsia="宋体" w:cs="宋体"/>
          <w:color w:val="auto"/>
          <w:sz w:val="24"/>
          <w:szCs w:val="24"/>
          <w:highlight w:val="none"/>
          <w:u w:val="none"/>
          <w:lang w:bidi="ar"/>
        </w:rPr>
        <w:t xml:space="preserve">.2</w:t>
      </w:r>
      <w:r>
        <w:rPr>
          <w:rFonts w:hint="eastAsia" w:ascii="宋体" w:hAnsi="宋体" w:eastAsia="宋体" w:cs="宋体"/>
          <w:color w:val="auto"/>
          <w:sz w:val="24"/>
          <w:szCs w:val="24"/>
          <w:highlight w:val="none"/>
          <w:u w:val="none"/>
          <w:lang w:eastAsia="zh-CN" w:bidi="ar"/>
        </w:rPr>
        <w:t xml:space="preserve">-</w:t>
      </w:r>
      <w:r>
        <w:rPr>
          <w:rFonts w:hint="eastAsia" w:ascii="宋体" w:hAnsi="宋体" w:eastAsia="宋体" w:cs="宋体"/>
          <w:color w:val="auto"/>
          <w:sz w:val="24"/>
          <w:szCs w:val="24"/>
          <w:highlight w:val="none"/>
          <w:u w:val="none"/>
          <w:lang w:bidi="ar"/>
        </w:rPr>
        <w:t xml:space="preserve">2022</w:t>
      </w:r>
      <w:r>
        <w:rPr>
          <w:rFonts w:hint="eastAsia" w:ascii="宋体" w:hAnsi="宋体" w:eastAsia="宋体" w:cs="宋体"/>
          <w:color w:val="auto"/>
          <w:sz w:val="24"/>
          <w:szCs w:val="24"/>
          <w:highlight w:val="none"/>
          <w:u w:val="none"/>
          <w:lang w:eastAsia="zh-CN" w:bidi="ar"/>
        </w:rPr>
        <w:t xml:space="preserve">）</w:t>
      </w:r>
      <w:r>
        <w:rPr>
          <w:rFonts w:hint="eastAsia" w:ascii="宋体" w:hAnsi="宋体" w:eastAsia="宋体" w:cs="宋体"/>
          <w:color w:val="auto"/>
          <w:sz w:val="24"/>
          <w:szCs w:val="24"/>
          <w:highlight w:val="none"/>
          <w:u w:val="none"/>
          <w:lang w:bidi="ar"/>
        </w:rPr>
        <w:t xml:space="preserve">、《道路交通信号灯》GB14887</w:t>
      </w:r>
      <w:r>
        <w:rPr>
          <w:rFonts w:hint="eastAsia" w:ascii="宋体" w:hAnsi="宋体" w:eastAsia="宋体" w:cs="宋体"/>
          <w:color w:val="auto"/>
          <w:sz w:val="24"/>
          <w:szCs w:val="24"/>
          <w:highlight w:val="none"/>
          <w:u w:val="none"/>
          <w:lang w:eastAsia="zh-CN" w:bidi="ar"/>
        </w:rPr>
        <w:t xml:space="preserve">-</w:t>
      </w:r>
      <w:r>
        <w:rPr>
          <w:rFonts w:hint="eastAsia" w:ascii="宋体" w:hAnsi="宋体" w:eastAsia="宋体" w:cs="宋体"/>
          <w:color w:val="auto"/>
          <w:sz w:val="24"/>
          <w:szCs w:val="24"/>
          <w:highlight w:val="none"/>
          <w:u w:val="none"/>
          <w:lang w:bidi="ar"/>
        </w:rPr>
        <w:t xml:space="preserve">2011</w:t>
      </w:r>
      <w:r>
        <w:rPr>
          <w:rFonts w:hint="eastAsia" w:ascii="宋体" w:hAnsi="宋体" w:eastAsia="宋体" w:cs="宋体"/>
          <w:color w:val="auto"/>
          <w:sz w:val="24"/>
          <w:szCs w:val="24"/>
          <w:highlight w:val="none"/>
          <w:u w:val="none"/>
          <w:lang w:eastAsia="zh-CN" w:bidi="ar"/>
        </w:rPr>
        <w:t xml:space="preserve">）、</w:t>
      </w:r>
      <w:r>
        <w:rPr>
          <w:rFonts w:hint="eastAsia" w:ascii="宋体" w:hAnsi="宋体" w:eastAsia="宋体" w:cs="宋体"/>
          <w:color w:val="auto"/>
          <w:sz w:val="24"/>
          <w:szCs w:val="24"/>
          <w:highlight w:val="none"/>
          <w:u w:val="none"/>
          <w:lang w:bidi="ar"/>
        </w:rPr>
        <w:t xml:space="preserve">《中华人民共和国城市道路交通标志和标线设置规范》</w:t>
      </w:r>
      <w:r>
        <w:rPr>
          <w:rFonts w:hint="eastAsia" w:ascii="宋体" w:hAnsi="宋体" w:eastAsia="宋体" w:cs="宋体"/>
          <w:color w:val="auto"/>
          <w:sz w:val="24"/>
          <w:szCs w:val="24"/>
          <w:highlight w:val="none"/>
          <w:u w:val="none"/>
          <w:lang w:eastAsia="zh-CN" w:bidi="ar"/>
        </w:rPr>
        <w:t xml:space="preserve">（</w:t>
      </w:r>
      <w:r>
        <w:rPr>
          <w:rFonts w:hint="eastAsia" w:ascii="宋体" w:hAnsi="宋体" w:eastAsia="宋体" w:cs="宋体"/>
          <w:color w:val="auto"/>
          <w:sz w:val="24"/>
          <w:szCs w:val="24"/>
          <w:highlight w:val="none"/>
          <w:u w:val="none"/>
          <w:lang w:bidi="ar"/>
        </w:rPr>
        <w:t xml:space="preserve">GB51038</w:t>
      </w:r>
      <w:r>
        <w:rPr>
          <w:rFonts w:hint="eastAsia" w:ascii="宋体" w:hAnsi="宋体" w:eastAsia="宋体" w:cs="宋体"/>
          <w:color w:val="auto"/>
          <w:sz w:val="24"/>
          <w:szCs w:val="24"/>
          <w:highlight w:val="none"/>
          <w:u w:val="none"/>
          <w:lang w:eastAsia="zh-CN" w:bidi="ar"/>
        </w:rPr>
        <w:t xml:space="preserve">-</w:t>
      </w:r>
      <w:r>
        <w:rPr>
          <w:rFonts w:hint="eastAsia" w:ascii="宋体" w:hAnsi="宋体" w:eastAsia="宋体" w:cs="宋体"/>
          <w:color w:val="auto"/>
          <w:sz w:val="24"/>
          <w:szCs w:val="24"/>
          <w:highlight w:val="none"/>
          <w:u w:val="none"/>
          <w:lang w:bidi="ar"/>
        </w:rPr>
        <w:t xml:space="preserve">2015</w:t>
      </w:r>
      <w:r>
        <w:rPr>
          <w:rFonts w:hint="eastAsia" w:ascii="宋体" w:hAnsi="宋体" w:eastAsia="宋体" w:cs="宋体"/>
          <w:color w:val="auto"/>
          <w:sz w:val="24"/>
          <w:szCs w:val="24"/>
          <w:highlight w:val="none"/>
          <w:u w:val="none"/>
          <w:lang w:eastAsia="zh-CN" w:bidi="ar"/>
        </w:rPr>
        <w:t xml:space="preserve">）</w:t>
      </w:r>
      <w:r>
        <w:rPr>
          <w:rFonts w:hint="eastAsia" w:ascii="宋体" w:hAnsi="宋体" w:eastAsia="宋体" w:cs="宋体"/>
          <w:color w:val="auto"/>
          <w:sz w:val="24"/>
          <w:szCs w:val="24"/>
          <w:highlight w:val="none"/>
          <w:u w:val="none"/>
          <w:lang w:bidi="ar"/>
        </w:rPr>
        <w:t xml:space="preserve">和锡公发</w:t>
      </w:r>
      <w:r>
        <w:rPr>
          <w:rFonts w:hint="eastAsia" w:ascii="宋体" w:hAnsi="宋体" w:eastAsia="宋体" w:cs="宋体"/>
          <w:color w:val="auto"/>
          <w:sz w:val="24"/>
          <w:szCs w:val="24"/>
          <w:highlight w:val="none"/>
          <w:u w:val="none"/>
          <w:lang w:eastAsia="zh-CN" w:bidi="ar"/>
        </w:rPr>
        <w:t xml:space="preserve">〔2022〕73号</w:t>
      </w:r>
      <w:r>
        <w:rPr>
          <w:rFonts w:hint="eastAsia" w:ascii="宋体" w:hAnsi="宋体" w:eastAsia="宋体" w:cs="宋体"/>
          <w:color w:val="auto"/>
          <w:sz w:val="24"/>
          <w:szCs w:val="24"/>
          <w:highlight w:val="none"/>
          <w:u w:val="none"/>
          <w:lang w:bidi="ar"/>
        </w:rPr>
        <w:t xml:space="preserve">《无锡市道路交通安全和管理设施设置细则（试行）</w:t>
      </w:r>
      <w:r>
        <w:rPr>
          <w:rFonts w:hint="eastAsia" w:ascii="宋体" w:hAnsi="宋体" w:eastAsia="宋体" w:cs="宋体"/>
          <w:color w:val="auto"/>
          <w:sz w:val="24"/>
          <w:szCs w:val="24"/>
          <w:highlight w:val="none"/>
          <w:u w:val="none"/>
          <w:lang w:eastAsia="zh-CN" w:bidi="ar"/>
        </w:rPr>
        <w:t xml:space="preserve">》等</w:t>
      </w:r>
      <w:r>
        <w:rPr>
          <w:rFonts w:hint="eastAsia" w:ascii="宋体" w:hAnsi="宋体" w:eastAsia="宋体" w:cs="宋体"/>
          <w:color w:val="auto"/>
          <w:sz w:val="24"/>
          <w:szCs w:val="24"/>
          <w:highlight w:val="none"/>
          <w:u w:val="none"/>
          <w:lang w:bidi="ar"/>
        </w:rPr>
        <w:t xml:space="preserve">规定进行施工。</w:t>
      </w:r>
      <w:r/>
    </w:p>
    <w:p>
      <w:pPr>
        <w:ind w:firstLine="361"/>
        <w:keepLines w:val="0"/>
        <w:keepNext w:val="0"/>
        <w:pageBreakBefore w:val="0"/>
        <w:spacing w:line="440" w:lineRule="exact"/>
        <w:rPr>
          <w:rFonts w:hint="eastAsia" w:ascii="宋体" w:hAnsi="宋体" w:eastAsia="宋体" w:cs="宋体"/>
          <w:b/>
          <w:color w:val="auto"/>
          <w:sz w:val="24"/>
          <w:szCs w:val="24"/>
          <w:highlight w:val="none"/>
          <w:u w:val="none"/>
        </w:rPr>
        <w:outlineLvl w:val="1"/>
      </w:pPr>
      <w:r>
        <w:rPr>
          <w:rFonts w:hint="eastAsia" w:ascii="宋体" w:hAnsi="宋体" w:eastAsia="宋体" w:cs="宋体"/>
          <w:b/>
          <w:color w:val="auto"/>
          <w:sz w:val="24"/>
          <w:szCs w:val="24"/>
          <w:highlight w:val="none"/>
          <w:u w:val="none"/>
          <w:lang w:bidi="ar"/>
        </w:rPr>
        <w:t xml:space="preserve">三、采购标的需满足的质量、安全、技术规格、物理特性等要求。</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bidi="ar"/>
        </w:rPr>
        <w:t xml:space="preserve">交通设施维护项目有：标线、标志及杆件、护栏、太阳能标志系列、警示桩、反光道钉、轮廓标、交通凸面镜、交通锥形筒、防撞桶、防眩板、活动标志撑牌、现有设施整理、杆件油漆、标志基础移位、标志基础加固、其他维护人工等，具体要求如下：</w:t>
      </w:r>
      <w:r/>
    </w:p>
    <w:p>
      <w:pPr>
        <w:ind w:firstLine="482"/>
        <w:keepLines w:val="0"/>
        <w:keepNext w:val="0"/>
        <w:pageBreakBefore w:val="0"/>
        <w:spacing w:line="440" w:lineRule="exact"/>
        <w:rPr>
          <w:rFonts w:hint="eastAsia" w:ascii="宋体" w:hAnsi="宋体" w:eastAsia="宋体" w:cs="宋体"/>
          <w:b/>
          <w:color w:val="auto"/>
          <w:sz w:val="24"/>
          <w:szCs w:val="24"/>
          <w:highlight w:val="none"/>
          <w:u w:val="none"/>
          <w:lang w:bidi="ar"/>
        </w:rPr>
        <w:outlineLvl w:val="9"/>
      </w:pPr>
      <w:r>
        <w:rPr>
          <w:rFonts w:hint="eastAsia" w:ascii="宋体" w:hAnsi="宋体" w:eastAsia="宋体" w:cs="宋体"/>
          <w:b/>
          <w:color w:val="auto"/>
          <w:sz w:val="24"/>
          <w:szCs w:val="24"/>
          <w:highlight w:val="none"/>
          <w:u w:val="none"/>
          <w:lang w:bidi="ar"/>
        </w:rPr>
        <w:t xml:space="preserve">（一）标线规格材料及质量标准</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①标线材料要符合中华人民共和国交通行业标准JT/T280</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2022《路面标线涂料》的标准，产品有国家交通安全设施质量监督检验中心出具的合格证书。</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②漆划工艺程序要求：a、到达现场拍照；b、采取安全措施；c、清扫路面；d、放样；e、涂敷；f、整修；g、完成，拍照，完全恢复交通。</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③漆划的标线杜绝以下质量问题：a、涂膜纵向有长的起筋或拉槽；b、涂膜表面有气泡和小沟；c、裂纹；d、夜间反光不良；e、剥落；f、变色；g、在涂膜上出现凹坑。</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④在保证期内，发现标线有严重磨损（标线表面能见到沥青路面的）、剥落、裂纹等情况，必须重新漆划，但漆划标线的费用不再结算。</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eastAsia="zh-CN" w:bidi="ar"/>
        </w:rPr>
        <w:t xml:space="preserve">1.</w:t>
      </w:r>
      <w:r>
        <w:rPr>
          <w:rFonts w:hint="eastAsia" w:ascii="宋体" w:hAnsi="宋体" w:eastAsia="宋体" w:cs="宋体"/>
          <w:b w:val="0"/>
          <w:bCs/>
          <w:color w:val="auto"/>
          <w:sz w:val="24"/>
          <w:szCs w:val="24"/>
          <w:highlight w:val="none"/>
          <w:u w:val="none"/>
          <w:lang w:bidi="ar"/>
        </w:rPr>
        <w:t xml:space="preserve">标线清洗：采用高压水射流法，清理标线上污渍、轮胎印记、溶剂等杂物，使标线清晰可辨。</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eastAsia="zh-CN" w:bidi="ar"/>
        </w:rPr>
        <w:t xml:space="preserve">2.</w:t>
      </w:r>
      <w:r>
        <w:rPr>
          <w:rFonts w:hint="eastAsia" w:ascii="宋体" w:hAnsi="宋体" w:eastAsia="宋体" w:cs="宋体"/>
          <w:b w:val="0"/>
          <w:bCs/>
          <w:color w:val="auto"/>
          <w:sz w:val="24"/>
          <w:szCs w:val="24"/>
          <w:highlight w:val="none"/>
          <w:u w:val="none"/>
          <w:lang w:bidi="ar"/>
        </w:rPr>
        <w:t xml:space="preserve">常温标线：材料使用路面丙烯酸常温涂料，厚度0.2mm</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0.3mm，使用时间3个月。</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eastAsia="zh-CN" w:bidi="ar"/>
        </w:rPr>
        <w:t xml:space="preserve">3.</w:t>
      </w:r>
      <w:r>
        <w:rPr>
          <w:rFonts w:hint="eastAsia" w:ascii="宋体" w:hAnsi="宋体" w:eastAsia="宋体" w:cs="宋体"/>
          <w:b w:val="0"/>
          <w:bCs/>
          <w:color w:val="auto"/>
          <w:sz w:val="24"/>
          <w:szCs w:val="24"/>
          <w:highlight w:val="none"/>
          <w:u w:val="none"/>
          <w:lang w:bidi="ar"/>
        </w:rPr>
        <w:t xml:space="preserve">热熔标线：Ⅰ型反光标线（普亮级），材料使用热熔型反光涂料，厚度1.8mm以上，白色标线初始逆反射系数RL≥150，黄色标线初始逆反射系数RL≥100，繁忙路段12个月，较繁忙路段18个月，一般路段24个月。</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eastAsia="zh-CN" w:bidi="ar"/>
        </w:rPr>
        <w:t xml:space="preserve">4.</w:t>
      </w:r>
      <w:r>
        <w:rPr>
          <w:rFonts w:hint="eastAsia" w:ascii="宋体" w:hAnsi="宋体" w:eastAsia="宋体" w:cs="宋体"/>
          <w:b w:val="0"/>
          <w:bCs/>
          <w:color w:val="auto"/>
          <w:sz w:val="24"/>
          <w:szCs w:val="24"/>
          <w:highlight w:val="none"/>
          <w:u w:val="none"/>
          <w:lang w:bidi="ar"/>
        </w:rPr>
        <w:t xml:space="preserve">振动标线：振动标线宽度：15cm，20cm，30cm，底漆1.2mm，</w:t>
      </w:r>
      <w:r>
        <w:rPr>
          <w:rFonts w:hint="eastAsia" w:ascii="宋体" w:hAnsi="宋体" w:eastAsia="宋体" w:cs="宋体"/>
          <w:b w:val="0"/>
          <w:bCs/>
          <w:color w:val="auto"/>
          <w:sz w:val="24"/>
          <w:szCs w:val="24"/>
          <w:highlight w:val="none"/>
          <w:u w:val="none"/>
          <w:lang w:eastAsia="zh-CN" w:bidi="ar"/>
        </w:rPr>
        <w:t xml:space="preserve">凸起</w:t>
      </w:r>
      <w:r>
        <w:rPr>
          <w:rFonts w:hint="eastAsia" w:ascii="宋体" w:hAnsi="宋体" w:eastAsia="宋体" w:cs="宋体"/>
          <w:b w:val="0"/>
          <w:bCs/>
          <w:color w:val="auto"/>
          <w:sz w:val="24"/>
          <w:szCs w:val="24"/>
          <w:highlight w:val="none"/>
          <w:u w:val="none"/>
          <w:lang w:bidi="ar"/>
        </w:rPr>
        <w:t xml:space="preserve">部分为8mm左右，</w:t>
      </w:r>
      <w:r>
        <w:rPr>
          <w:rFonts w:hint="eastAsia" w:ascii="宋体" w:hAnsi="宋体" w:eastAsia="宋体" w:cs="宋体"/>
          <w:b w:val="0"/>
          <w:bCs/>
          <w:color w:val="auto"/>
          <w:sz w:val="24"/>
          <w:szCs w:val="24"/>
          <w:highlight w:val="none"/>
          <w:u w:val="none"/>
          <w:lang w:eastAsia="zh-CN" w:bidi="ar"/>
        </w:rPr>
        <w:t xml:space="preserve">凸起</w:t>
      </w:r>
      <w:r>
        <w:rPr>
          <w:rFonts w:hint="eastAsia" w:ascii="宋体" w:hAnsi="宋体" w:eastAsia="宋体" w:cs="宋体"/>
          <w:b w:val="0"/>
          <w:bCs/>
          <w:color w:val="auto"/>
          <w:sz w:val="24"/>
          <w:szCs w:val="24"/>
          <w:highlight w:val="none"/>
          <w:u w:val="none"/>
          <w:lang w:bidi="ar"/>
        </w:rPr>
        <w:t xml:space="preserve">部分间隔可调节</w:t>
      </w:r>
      <w:r>
        <w:rPr>
          <w:rFonts w:hint="eastAsia" w:ascii="宋体" w:hAnsi="宋体" w:eastAsia="宋体" w:cs="宋体"/>
          <w:b w:val="0"/>
          <w:bCs/>
          <w:color w:val="auto"/>
          <w:sz w:val="24"/>
          <w:szCs w:val="24"/>
          <w:highlight w:val="none"/>
          <w:u w:val="none"/>
          <w:lang w:eastAsia="zh-CN" w:bidi="ar"/>
        </w:rPr>
        <w:t xml:space="preserve">至约</w:t>
      </w:r>
      <w:r>
        <w:rPr>
          <w:rFonts w:hint="eastAsia" w:ascii="宋体" w:hAnsi="宋体" w:eastAsia="宋体" w:cs="宋体"/>
          <w:b w:val="0"/>
          <w:bCs/>
          <w:color w:val="auto"/>
          <w:sz w:val="24"/>
          <w:szCs w:val="24"/>
          <w:highlight w:val="none"/>
          <w:u w:val="none"/>
          <w:lang w:bidi="ar"/>
        </w:rPr>
        <w:t xml:space="preserve">5cm</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8cm，振动漆材料为高品质热熔涂料，使用期为12个月，白度和黄度要符合标准，并有良好的反光效果。</w:t>
      </w:r>
      <w:r/>
    </w:p>
    <w:p>
      <w:pPr>
        <w:ind w:firstLine="482"/>
        <w:keepLines w:val="0"/>
        <w:keepNext w:val="0"/>
        <w:pageBreakBefore w:val="0"/>
        <w:spacing w:line="440" w:lineRule="exact"/>
        <w:rPr>
          <w:rFonts w:hint="eastAsia" w:ascii="宋体" w:hAnsi="宋体" w:eastAsia="宋体" w:cs="宋体"/>
          <w:b/>
          <w:color w:val="auto"/>
          <w:sz w:val="24"/>
          <w:szCs w:val="24"/>
          <w:highlight w:val="none"/>
          <w:u w:val="none"/>
          <w:lang w:bidi="ar"/>
        </w:rPr>
        <w:outlineLvl w:val="9"/>
      </w:pPr>
      <w:r>
        <w:rPr>
          <w:rFonts w:hint="eastAsia" w:ascii="宋体" w:hAnsi="宋体" w:eastAsia="宋体" w:cs="宋体"/>
          <w:b/>
          <w:color w:val="auto"/>
          <w:sz w:val="24"/>
          <w:szCs w:val="24"/>
          <w:highlight w:val="none"/>
          <w:u w:val="none"/>
          <w:lang w:bidi="ar"/>
        </w:rPr>
        <w:t xml:space="preserve">（二）高压水除线施工标准</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高压水除线是经过具有微孔的喷发装置转换为高速高压的微细的水射流，具有数百个大气压以上，将旧标线剔除干净。具有清洗速度快，不损坏路面，无旧标线残留，清洁环保等优点，标线清除后要及时清理路面残留物。</w:t>
      </w:r>
      <w:r/>
    </w:p>
    <w:p>
      <w:pPr>
        <w:ind w:firstLine="482"/>
        <w:keepLines w:val="0"/>
        <w:keepNext w:val="0"/>
        <w:pageBreakBefore w:val="0"/>
        <w:spacing w:line="440" w:lineRule="exact"/>
        <w:rPr>
          <w:rFonts w:hint="eastAsia" w:ascii="宋体" w:hAnsi="宋体" w:eastAsia="宋体" w:cs="宋体"/>
          <w:b/>
          <w:color w:val="auto"/>
          <w:sz w:val="24"/>
          <w:szCs w:val="24"/>
          <w:highlight w:val="none"/>
          <w:u w:val="none"/>
          <w:lang w:bidi="ar"/>
        </w:rPr>
        <w:outlineLvl w:val="9"/>
      </w:pPr>
      <w:r>
        <w:rPr>
          <w:rFonts w:hint="eastAsia" w:ascii="宋体" w:hAnsi="宋体" w:eastAsia="宋体" w:cs="宋体"/>
          <w:b/>
          <w:color w:val="auto"/>
          <w:sz w:val="24"/>
          <w:szCs w:val="24"/>
          <w:highlight w:val="none"/>
          <w:u w:val="none"/>
          <w:lang w:bidi="ar"/>
        </w:rPr>
        <w:t xml:space="preserve">（三）标志规格材料及质量标准</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根据无锡市城市道路建设的要求，标志牌版面应采用3004型铝合金板厚度为2mm铝板，滑动槽采用2024型铝合金型材，反光膜采用3M公司超强级反光膜，抱箍滑动螺栓螺母采用45号钢制作，立柱横梁法兰采用Q235钢制作。</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各种标志的具体要求：</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eastAsia="zh-CN" w:bidi="ar"/>
        </w:rPr>
        <w:t xml:space="preserve">1.</w:t>
      </w:r>
      <w:r>
        <w:rPr>
          <w:rFonts w:hint="eastAsia" w:ascii="宋体" w:hAnsi="宋体" w:eastAsia="宋体" w:cs="宋体"/>
          <w:b w:val="0"/>
          <w:bCs/>
          <w:color w:val="auto"/>
          <w:sz w:val="24"/>
          <w:szCs w:val="24"/>
          <w:highlight w:val="none"/>
          <w:u w:val="none"/>
          <w:lang w:bidi="ar"/>
        </w:rPr>
        <w:t xml:space="preserve">禁令标志φ800mm：标志牌版面应采用3004型铝合金板，厚度为2mm，滑动槽采用2024型铝合金型材，反光膜采用超强级反光膜，抱箍滑动螺栓螺母采用45号钢制作，立柱横梁法兰采用Q235钢制作。</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eastAsia="zh-CN" w:bidi="ar"/>
        </w:rPr>
        <w:t xml:space="preserve">2.</w:t>
      </w:r>
      <w:r>
        <w:rPr>
          <w:rFonts w:hint="eastAsia" w:ascii="宋体" w:hAnsi="宋体" w:eastAsia="宋体" w:cs="宋体"/>
          <w:b w:val="0"/>
          <w:bCs/>
          <w:color w:val="auto"/>
          <w:sz w:val="24"/>
          <w:szCs w:val="24"/>
          <w:highlight w:val="none"/>
          <w:u w:val="none"/>
          <w:lang w:bidi="ar"/>
        </w:rPr>
        <w:t xml:space="preserve">警告标志△900mm：标志牌版面应采用3004型铝合金板，厚度为2mm，滑动槽采用2024型铝合金型材，反光膜采用超强级反光膜，抱箍滑动螺栓螺母采用45号钢制作，立柱横梁法兰采用Q235钢制作。</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eastAsia="zh-CN" w:bidi="ar"/>
        </w:rPr>
        <w:t xml:space="preserve">3.</w:t>
      </w:r>
      <w:r>
        <w:rPr>
          <w:rFonts w:hint="eastAsia" w:ascii="宋体" w:hAnsi="宋体" w:eastAsia="宋体" w:cs="宋体"/>
          <w:b w:val="0"/>
          <w:bCs/>
          <w:color w:val="auto"/>
          <w:sz w:val="24"/>
          <w:szCs w:val="24"/>
          <w:highlight w:val="none"/>
          <w:u w:val="none"/>
          <w:lang w:bidi="ar"/>
        </w:rPr>
        <w:t xml:space="preserve">活动撑牌800*1000mm：活动撑牌规格800*1000mm</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版面应采用3004型铝合金板，厚度为2mm，反光膜采用超强级反光膜</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框架采用25*25*2mm镀锌方管，滑撑支撑，折叠后厚度30mm。</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eastAsia="zh-CN" w:bidi="ar"/>
        </w:rPr>
        <w:t xml:space="preserve">4.</w:t>
      </w:r>
      <w:r>
        <w:rPr>
          <w:rFonts w:hint="eastAsia" w:ascii="宋体" w:hAnsi="宋体" w:eastAsia="宋体" w:cs="宋体"/>
          <w:b w:val="0"/>
          <w:bCs/>
          <w:color w:val="auto"/>
          <w:sz w:val="24"/>
          <w:szCs w:val="24"/>
          <w:highlight w:val="none"/>
          <w:u w:val="none"/>
          <w:lang w:bidi="ar"/>
        </w:rPr>
        <w:t xml:space="preserve">单杆立柱φ76*3500mm：采用φ76*4mm焊接钢管，长度3500mm，下部200</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300mm处焊长300mm圆铁二根做基础固定用，整体镀锌。基础规格：C25砼400*400*500mm计0.08 m3，版面可用φ800mm或△900mm三角等，3M超强级反光膜。</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eastAsia="zh-CN" w:bidi="ar"/>
        </w:rPr>
        <w:t xml:space="preserve">5.</w:t>
      </w:r>
      <w:r>
        <w:rPr>
          <w:rFonts w:hint="eastAsia" w:ascii="宋体" w:hAnsi="宋体" w:eastAsia="宋体" w:cs="宋体"/>
          <w:b w:val="0"/>
          <w:bCs/>
          <w:color w:val="auto"/>
          <w:sz w:val="24"/>
          <w:szCs w:val="24"/>
          <w:highlight w:val="none"/>
          <w:u w:val="none"/>
          <w:lang w:bidi="ar"/>
        </w:rPr>
        <w:t xml:space="preserve">单杆立柱φ76*4500mm：单杆立柱采用φ76*3mm焊接钢管，长度4500mm，下部200</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300mm处焊长300mm圆铁二根做基础固定用，整体镀锌。基础规格：C30砼400*400*500mm计0.08m3，版面可用 φ800mm或△900mm三角等，3M超强级反光膜。</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eastAsia="zh-CN" w:bidi="ar"/>
        </w:rPr>
        <w:t xml:space="preserve">6.</w:t>
      </w:r>
      <w:r>
        <w:rPr>
          <w:rFonts w:hint="eastAsia" w:ascii="宋体" w:hAnsi="宋体" w:eastAsia="宋体" w:cs="宋体"/>
          <w:b w:val="0"/>
          <w:bCs/>
          <w:color w:val="auto"/>
          <w:sz w:val="24"/>
          <w:szCs w:val="24"/>
          <w:highlight w:val="none"/>
          <w:u w:val="none"/>
          <w:lang w:bidi="ar"/>
        </w:rPr>
        <w:t xml:space="preserve">悬臂式标志杆159*6500mm：悬臂式标志杆φ159mm。采用φ159*6*6300mm焊接钢管，横杆采用φ89*4.5mm焊接钢管，底板用20mm铁板，撑板用10mm铁板，整体热镀锌。基础规格：C30砼 800*800*1200mm计0.768 m3，基础法兰400*20mm，地脚螺栓M24*800mm，数量8支，钢筋笼φ6.5</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20各规格钢筋总重不低于25KG</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版面可用 φ800mm △900mm或其他，3M超强级反光膜。</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eastAsia="zh-CN" w:bidi="ar"/>
        </w:rPr>
        <w:t xml:space="preserve">7.</w:t>
      </w:r>
      <w:r>
        <w:rPr>
          <w:rFonts w:hint="eastAsia" w:ascii="宋体" w:hAnsi="宋体" w:eastAsia="宋体" w:cs="宋体"/>
          <w:b w:val="0"/>
          <w:bCs/>
          <w:color w:val="auto"/>
          <w:sz w:val="24"/>
          <w:szCs w:val="24"/>
          <w:highlight w:val="none"/>
          <w:u w:val="none"/>
          <w:lang w:bidi="ar"/>
        </w:rPr>
        <w:t xml:space="preserve">悬臂式标志杆219*7000mm。悬臂式标志杆φ219mm。采用φ219*10*7000mm无缝钢管立柱，横杆用φ114*6mm无缝管，底板用20mm铁板，撑板用10mm铁板，整体热镀锌。基础规格：C30砼 1000*1000*1500 mm计1.5m3，基础法兰400*20mm，地脚螺栓M24*1000mm，数量8支，钢筋笼φ8</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20各规格钢筋总重不低于50KG。版面3500*1500*2mmmm铝板，3M超强级反光膜。</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eastAsia="zh-CN" w:bidi="ar"/>
        </w:rPr>
        <w:t xml:space="preserve">8.</w:t>
      </w:r>
      <w:r>
        <w:rPr>
          <w:rFonts w:hint="eastAsia" w:ascii="宋体" w:hAnsi="宋体" w:eastAsia="宋体" w:cs="宋体"/>
          <w:b w:val="0"/>
          <w:bCs/>
          <w:color w:val="auto"/>
          <w:sz w:val="24"/>
          <w:szCs w:val="24"/>
          <w:highlight w:val="none"/>
          <w:u w:val="none"/>
          <w:lang w:bidi="ar"/>
        </w:rPr>
        <w:t xml:space="preserve">悬臂式标志杆299*8170mm。悬臂式标志杆φ299mm。采用φ299*10*8170mm无缝钢管立柱，横杆用φ140*10mm无缝管，底板用20mm铁板，撑板用10mm铁板，整体热镀锌。基础规格：C30砼 1500*1500*2000 mm计4.5m3，基础法兰550*20mm，地脚螺栓M33*1350mm，数量8支，钢筋笼φ8</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20各规格钢筋总重不低于110KG</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版面2400*4000*3mm铝板，3M超强级反光膜。</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eastAsia="zh-CN" w:bidi="ar"/>
        </w:rPr>
        <w:t xml:space="preserve">9.</w:t>
      </w:r>
      <w:r>
        <w:rPr>
          <w:rFonts w:hint="eastAsia" w:ascii="宋体" w:hAnsi="宋体" w:eastAsia="宋体" w:cs="宋体"/>
          <w:b w:val="0"/>
          <w:bCs/>
          <w:color w:val="auto"/>
          <w:sz w:val="24"/>
          <w:szCs w:val="24"/>
          <w:highlight w:val="none"/>
          <w:u w:val="none"/>
          <w:lang w:bidi="ar"/>
        </w:rPr>
        <w:t xml:space="preserve">标志牌：铝板厚度2mm，10m²以上的标志牌可采用3mm厚的铝合金板，标志牌φ800mm边缘压制20mm加强，标志牌△900mm边缘压制10mm加强，标志牌4000*2400mm边缘20*25mm折边加强；滑动槽采用2024铝合金型材，滑动槽同铝板通过铝合金铆钉连接，版面铆钉头应打磨光滑。抱箍及滑动螺栓螺母采用45钢制作，表面热镀锌处理，镀锌量350g/㎡；标志板粘贴3M超强级反光膜，反光膜的逆反射系数色品坐标耐候性应符合GB/T18833</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2012的规定；标志板净空要求单柱式净空2.2米，悬空式净空5.5米。标志牌φ800mm和△900mm单独报价。</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eastAsia="zh-CN" w:bidi="ar"/>
        </w:rPr>
        <w:t xml:space="preserve">10.</w:t>
      </w:r>
      <w:r>
        <w:rPr>
          <w:rFonts w:hint="eastAsia" w:ascii="宋体" w:hAnsi="宋体" w:eastAsia="宋体" w:cs="宋体"/>
          <w:b w:val="0"/>
          <w:bCs/>
          <w:color w:val="auto"/>
          <w:sz w:val="24"/>
          <w:szCs w:val="24"/>
          <w:highlight w:val="none"/>
          <w:u w:val="none"/>
          <w:lang w:bidi="ar"/>
        </w:rPr>
        <w:t xml:space="preserve">新型右侧行驶标志：整体高1200mm，最宽处600mm，铝板厚度2mm，中心图案使用超强级反光膜，下侧使用钻石级荧光黄反光膜，版面边缘U型封边条包封，单立柱固定于路面，标志下缘距离地面300mm。</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eastAsia="zh-CN" w:bidi="ar"/>
        </w:rPr>
        <w:t xml:space="preserve">11.</w:t>
      </w:r>
      <w:r>
        <w:rPr>
          <w:rFonts w:hint="eastAsia" w:ascii="宋体" w:hAnsi="宋体" w:eastAsia="宋体" w:cs="宋体"/>
          <w:b w:val="0"/>
          <w:bCs/>
          <w:color w:val="auto"/>
          <w:sz w:val="24"/>
          <w:szCs w:val="24"/>
          <w:highlight w:val="none"/>
          <w:u w:val="none"/>
          <w:lang w:bidi="ar"/>
        </w:rPr>
        <w:t xml:space="preserve">活动撑牌800mm*1000mm：活动撑牌规格800*1000mm</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版面应采用3004型铝合金板，厚度为2mm，反光膜采用超强级反光膜</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框架采用25*25*2mm镀锌方管，滑撑支撑，折叠后厚度30mm。</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eastAsia="zh-CN" w:bidi="ar"/>
        </w:rPr>
        <w:t xml:space="preserve">12.</w:t>
      </w:r>
      <w:r>
        <w:rPr>
          <w:rFonts w:hint="eastAsia" w:ascii="宋体" w:hAnsi="宋体" w:eastAsia="宋体" w:cs="宋体"/>
          <w:b w:val="0"/>
          <w:bCs/>
          <w:color w:val="auto"/>
          <w:sz w:val="24"/>
          <w:szCs w:val="24"/>
          <w:highlight w:val="none"/>
          <w:u w:val="none"/>
          <w:lang w:bidi="ar"/>
        </w:rPr>
        <w:t xml:space="preserve">标志杆油漆。先铲除旧油漆，再进行防锈处理，再漆底漆、面漆，面漆颜色交通灰，色号7042，确保二年不生锈。</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eastAsia="zh-CN" w:bidi="ar"/>
        </w:rPr>
        <w:t xml:space="preserve">13.</w:t>
      </w:r>
      <w:r>
        <w:rPr>
          <w:rFonts w:hint="eastAsia" w:ascii="宋体" w:hAnsi="宋体" w:eastAsia="宋体" w:cs="宋体"/>
          <w:b w:val="0"/>
          <w:bCs/>
          <w:color w:val="auto"/>
          <w:sz w:val="24"/>
          <w:szCs w:val="24"/>
          <w:highlight w:val="none"/>
          <w:u w:val="none"/>
          <w:lang w:bidi="ar"/>
        </w:rPr>
        <w:t xml:space="preserve">标志版面更改内容。铲除旧反光膜，稀释剂清洗版面，粘贴反光膜，安装。</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eastAsia="zh-CN" w:bidi="ar"/>
        </w:rPr>
        <w:t xml:space="preserve">14.</w:t>
      </w:r>
      <w:r>
        <w:rPr>
          <w:rFonts w:hint="eastAsia" w:ascii="宋体" w:hAnsi="宋体" w:eastAsia="宋体" w:cs="宋体"/>
          <w:b w:val="0"/>
          <w:bCs/>
          <w:color w:val="auto"/>
          <w:sz w:val="24"/>
          <w:szCs w:val="24"/>
          <w:highlight w:val="none"/>
          <w:u w:val="none"/>
          <w:lang w:bidi="ar"/>
        </w:rPr>
        <w:t xml:space="preserve">新建φ159标志牌基础：基础采用C30砼现浇制作，基础顶面应预埋底座法兰盘及地脚螺栓，在浇筑混凝土时</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应注意使底座法兰盘与基础对中，同时保持其顶面水平，基础需下沉地面25cm，基础施工完毕，地脚螺栓外露长度宜控制在80</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130mm以内</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并对外露螺纹部分加以妥善保护，基础埋设时必须考虑立杆或立柱附着标志其侧向净空应符合国标（GB5768）的规定。基础规格：800*800*1200mm计0.768 m3，基础法兰400*20mm，地脚螺栓M24*800mm，数量8支，钢筋笼φ6.5</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20各规格钢筋总重不低于25KG。</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eastAsia="zh-CN" w:bidi="ar"/>
        </w:rPr>
        <w:t xml:space="preserve">15.</w:t>
      </w:r>
      <w:r>
        <w:rPr>
          <w:rFonts w:hint="eastAsia" w:ascii="宋体" w:hAnsi="宋体" w:eastAsia="宋体" w:cs="宋体"/>
          <w:b w:val="0"/>
          <w:bCs/>
          <w:color w:val="auto"/>
          <w:sz w:val="24"/>
          <w:szCs w:val="24"/>
          <w:highlight w:val="none"/>
          <w:u w:val="none"/>
          <w:lang w:bidi="ar"/>
        </w:rPr>
        <w:t xml:space="preserve">新建φ219标志牌基础：基础采用C30砼现浇制作，基础顶面应预埋底座法兰盘及地脚螺栓</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在浇筑混凝土时</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应注意使底座法兰盘与基础对中，同时保持其顶面水平</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基础需下沉地面25cm</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基础施工完毕，地脚螺栓外露长度宜控制在80</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130mm以内</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并对外露螺纹部分加以妥善保护</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基础埋设时必须考虑立杆或立柱附着标志其侧向净空应符合国标（GB5768）的规定。基础规格：1000*1000*1500 mm计1.5m3，基础法兰400*20mm，地脚螺栓M24*1000mm，数量8支，钢筋笼φ8</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20各规格钢筋总重不低于50KG。</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eastAsia="zh-CN" w:bidi="ar"/>
        </w:rPr>
        <w:t xml:space="preserve">16.</w:t>
      </w:r>
      <w:r>
        <w:rPr>
          <w:rFonts w:hint="eastAsia" w:ascii="宋体" w:hAnsi="宋体" w:eastAsia="宋体" w:cs="宋体"/>
          <w:b w:val="0"/>
          <w:bCs/>
          <w:color w:val="auto"/>
          <w:sz w:val="24"/>
          <w:szCs w:val="24"/>
          <w:highlight w:val="none"/>
          <w:u w:val="none"/>
          <w:lang w:bidi="ar"/>
        </w:rPr>
        <w:t xml:space="preserve">新建φ299标志牌基础：基础采用C30砼现浇制作，基础顶面应预埋底座法兰盘及地脚螺栓，在浇筑混凝土时</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应注意使底座法兰盘与基础对中，同时保持其顶面水平，基础需下沉地面25cm，基础施工完毕，地脚螺栓外露长度宜控制在80</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130mm以内</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并对外露螺纹部分加以妥善保护，基础埋设时必须考虑立杆或立柱附着标志其侧向净空应符合国标（GB5768）的规定。基础规格：1500*1500*2000 mm计4.5m3，基础法兰550*20mm，地脚螺栓M33*1350mm，数量8支，钢筋笼φ8</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20各规格钢筋总重不低于110KG。</w:t>
      </w:r>
      <w:r/>
    </w:p>
    <w:p>
      <w:pPr>
        <w:ind w:firstLine="482"/>
        <w:keepLines w:val="0"/>
        <w:keepNext w:val="0"/>
        <w:pageBreakBefore w:val="0"/>
        <w:spacing w:line="440" w:lineRule="exact"/>
        <w:rPr>
          <w:rFonts w:hint="eastAsia" w:ascii="宋体" w:hAnsi="宋体" w:eastAsia="宋体" w:cs="宋体"/>
          <w:b/>
          <w:color w:val="auto"/>
          <w:sz w:val="24"/>
          <w:szCs w:val="24"/>
          <w:highlight w:val="none"/>
          <w:u w:val="none"/>
          <w:lang w:bidi="ar"/>
        </w:rPr>
        <w:outlineLvl w:val="9"/>
      </w:pPr>
      <w:r>
        <w:rPr>
          <w:rFonts w:hint="eastAsia" w:ascii="宋体" w:hAnsi="宋体" w:eastAsia="宋体" w:cs="宋体"/>
          <w:b/>
          <w:color w:val="auto"/>
          <w:sz w:val="24"/>
          <w:szCs w:val="24"/>
          <w:highlight w:val="none"/>
          <w:u w:val="none"/>
          <w:lang w:bidi="ar"/>
        </w:rPr>
        <w:t xml:space="preserve">（四）护栏规格质量要求：</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维护更新要求：更换护栏时要按照新装标准更换到位，并对临近护栏做整理，严禁用铁丝捆绑或错位拼接。安装有底座的护栏要打地钉，护栏两端及中间采取警示桩隔挡（警示桩高度与护栏齐平）。安装所有护栏要做到牢固、安全、美观。</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根据无锡市城市建设发展和交通管理的要求，目前市区道路采用的护栏一般有新泽西护栏、三杆异型立柱护栏（含不锈钢）、中分隔离护栏、竖杆异型护栏、波形护栏、新型护栏等。</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除图纸规定的技术标准外，要求做到二年不生锈、不脱皮、不变色，三年内不褪光泽。</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（1）新泽西护栏：新泽西护栏（2000*800*500mm）</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重量1吨，内部用φ8mm钢筋13公斤制作骨架，C30砼。</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（2）三杆异型护栏：三杆异型立柱护栏。材料：护栏立柱：160*100*3mm椭圆管，护栏横管：φ42*2mm 热镀锌焊管，横管连接件：铸铁件，装饰帽盖：冲压制成，护栏整体采用7042交通灰喷涂。</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（3）不锈钢三杆异型护栏：三杆异型立柱护栏。材料：护栏立柱：160*100*3mm椭圆管，护栏横管：φ42*2mm 不锈钢管，横管连接件：不锈钢铸件，装饰帽盖：冲压制成。</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（4）中分隔离护栏：中分带绿化隔离护栏。规格：高度1600mm，立柱中心距2460mm；材料：立柱100*100*3mm方管，护栏横管40*40*2mm的方管，竖管25*25*2mm的方管；底部采用150*200*10mm预埋件。</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（5）竖杆异型护栏</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H400mm</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含墩子</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：竖杆异型护栏（片高：A型H400mm）。材料：护栏均为钢管材质、表面工艺采用先整体镀锌后纯</w:t>
      </w:r>
      <w:r>
        <w:rPr>
          <w:rFonts w:hint="eastAsia" w:ascii="宋体" w:hAnsi="宋体" w:eastAsia="宋体" w:cs="宋体"/>
          <w:b w:val="0"/>
          <w:bCs/>
          <w:color w:val="auto"/>
          <w:sz w:val="24"/>
          <w:szCs w:val="24"/>
          <w:highlight w:val="none"/>
          <w:u w:val="none"/>
          <w:lang w:eastAsia="zh-CN" w:bidi="ar"/>
        </w:rPr>
        <w:t xml:space="preserve">聚酯</w:t>
      </w:r>
      <w:r>
        <w:rPr>
          <w:rFonts w:hint="eastAsia" w:ascii="宋体" w:hAnsi="宋体" w:eastAsia="宋体" w:cs="宋体"/>
          <w:b w:val="0"/>
          <w:bCs/>
          <w:color w:val="auto"/>
          <w:sz w:val="24"/>
          <w:szCs w:val="24"/>
          <w:highlight w:val="none"/>
          <w:u w:val="none"/>
          <w:lang w:bidi="ar"/>
        </w:rPr>
        <w:t xml:space="preserve">高压静电粉末喷涂工艺；涂层厚度为≥75um ，立柱采用80*80*2.0mm方管，横管采用55*40*1.2mm异形管，纵杆采用50*30*1.0mm异形管，底座为镀锌钢板填砼底座，为300*400*150mm，底座重量为20公斤，采用外部镀锌钢板压制成型，板材表面采用户外彩色粉末喷涂，内部砼填充，立柱附反光轮廓标。</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（6）竖杆异型护栏</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H700mm</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含墩子</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：竖杆异型护栏（片高：B型H700mm ）。材料：护栏均为钢管材质、表面工艺采用先整体镀锌后纯</w:t>
      </w:r>
      <w:r>
        <w:rPr>
          <w:rFonts w:hint="eastAsia" w:ascii="宋体" w:hAnsi="宋体" w:eastAsia="宋体" w:cs="宋体"/>
          <w:b w:val="0"/>
          <w:bCs/>
          <w:color w:val="auto"/>
          <w:sz w:val="24"/>
          <w:szCs w:val="24"/>
          <w:highlight w:val="none"/>
          <w:u w:val="none"/>
          <w:lang w:eastAsia="zh-CN" w:bidi="ar"/>
        </w:rPr>
        <w:t xml:space="preserve">聚酯</w:t>
      </w:r>
      <w:r>
        <w:rPr>
          <w:rFonts w:hint="eastAsia" w:ascii="宋体" w:hAnsi="宋体" w:eastAsia="宋体" w:cs="宋体"/>
          <w:b w:val="0"/>
          <w:bCs/>
          <w:color w:val="auto"/>
          <w:sz w:val="24"/>
          <w:szCs w:val="24"/>
          <w:highlight w:val="none"/>
          <w:u w:val="none"/>
          <w:lang w:bidi="ar"/>
        </w:rPr>
        <w:t xml:space="preserve">高压静电粉末喷涂工艺；涂层厚度为≥75um ，立柱采用80*80*2.0mm方管，横管采用55*40*1.2mm异形管，纵杆采用50*30*1.0mm异形管，底座为镀锌钢板填砼底座，为300*400*150mm，底座重量为20公斤，采用外部镀锌钢板压制成型，板材表面采用户外彩色粉末喷涂，内部砼填充，立柱附反光轮廓标。</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（7）新型护栏</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中心隔离护栏</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中心护栏。护栏尺寸：片子高度750mm，整体高1050mm，中心距3000mm；原材料立柱采用120*120*2.0、上横杆采用异型管70*80*2.0、下横杆50*50*2.0，竖杆30*40*1.5焊接而成，护栏中间焊接玉飞凤图案，立柱与护栏不锈钢螺栓连接。墩子材质为铸铁，尺寸350*250*150，重量不低于25KG。整体表面采用镀锌后再进行纯</w:t>
      </w:r>
      <w:r>
        <w:rPr>
          <w:rFonts w:hint="eastAsia" w:ascii="宋体" w:hAnsi="宋体" w:eastAsia="宋体" w:cs="宋体"/>
          <w:b w:val="0"/>
          <w:bCs/>
          <w:color w:val="auto"/>
          <w:sz w:val="24"/>
          <w:szCs w:val="24"/>
          <w:highlight w:val="none"/>
          <w:u w:val="none"/>
          <w:lang w:eastAsia="zh-CN" w:bidi="ar"/>
        </w:rPr>
        <w:t xml:space="preserve">聚酯</w:t>
      </w:r>
      <w:r>
        <w:rPr>
          <w:rFonts w:hint="eastAsia" w:ascii="宋体" w:hAnsi="宋体" w:eastAsia="宋体" w:cs="宋体"/>
          <w:b w:val="0"/>
          <w:bCs/>
          <w:color w:val="auto"/>
          <w:sz w:val="24"/>
          <w:szCs w:val="24"/>
          <w:highlight w:val="none"/>
          <w:u w:val="none"/>
          <w:lang w:bidi="ar"/>
        </w:rPr>
        <w:t xml:space="preserve">静电喷涂工艺，颜色为交通灰RAL7042，柱帽为卡扣嵌入式灰色钢质柱帽，整体一次性冲压而成，每片机非护栏的迎车面立柱上按L型安装2片白色高光反光片，轮廓标采用镂空卡槽的</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首尾立柱按U型粘贴黄黑反光膜4 片，每片高度150mm。</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（8）新型护栏</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机非护栏</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机非护栏。护栏尺寸：片子高度600mm，整体高900mm，中心距2500mm；原材料立柱采用100*100*2.0、上横杆采用异型管70*80*2.0、下横杆50*50*2.0，竖杆20*40*1.5焊接而成，立柱与护栏不锈钢螺栓连接。墩子材质为铸铁，尺寸350*250*150，重量不低于25KG。整体表面采用镀锌后再进行纯</w:t>
      </w:r>
      <w:r>
        <w:rPr>
          <w:rFonts w:hint="eastAsia" w:ascii="宋体" w:hAnsi="宋体" w:eastAsia="宋体" w:cs="宋体"/>
          <w:b w:val="0"/>
          <w:bCs/>
          <w:color w:val="auto"/>
          <w:sz w:val="24"/>
          <w:szCs w:val="24"/>
          <w:highlight w:val="none"/>
          <w:u w:val="none"/>
          <w:lang w:eastAsia="zh-CN" w:bidi="ar"/>
        </w:rPr>
        <w:t xml:space="preserve">聚酯</w:t>
      </w:r>
      <w:r>
        <w:rPr>
          <w:rFonts w:hint="eastAsia" w:ascii="宋体" w:hAnsi="宋体" w:eastAsia="宋体" w:cs="宋体"/>
          <w:b w:val="0"/>
          <w:bCs/>
          <w:color w:val="auto"/>
          <w:sz w:val="24"/>
          <w:szCs w:val="24"/>
          <w:highlight w:val="none"/>
          <w:u w:val="none"/>
          <w:lang w:bidi="ar"/>
        </w:rPr>
        <w:t xml:space="preserve">静电喷涂工艺，颜色为交通灰RAL7042，柱帽为卡扣嵌入式灰色钢质柱帽，整体一次性冲压而成，每片机非护栏的迎车面立柱上按L型安装2片白色高光反光片，轮廓标采用镂空卡槽的，首尾立柱按U型粘贴黄黑反光膜4 片，每片高度150mm。</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（9）新型护栏</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人非护栏</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：人非护栏。护栏尺寸：高度965mm，中心距2850mm；立柱采用965*75*10mm钢板激光切割表面热镀锌处理、上横杆采用￠60*2.5mm镀锌管、下横杆采用￠48*2mm镀锌管，竖杆采用￠20*1.8mm镀锌管焊接而成，护栏表面</w:t>
      </w:r>
      <w:r>
        <w:rPr>
          <w:rFonts w:hint="eastAsia" w:ascii="宋体" w:hAnsi="宋体" w:eastAsia="宋体" w:cs="宋体"/>
          <w:b w:val="0"/>
          <w:bCs/>
          <w:color w:val="auto"/>
          <w:sz w:val="24"/>
          <w:szCs w:val="24"/>
          <w:highlight w:val="none"/>
          <w:u w:val="none"/>
          <w:lang w:eastAsia="zh-CN" w:bidi="ar"/>
        </w:rPr>
        <w:t xml:space="preserve">聚酯</w:t>
      </w:r>
      <w:r>
        <w:rPr>
          <w:rFonts w:hint="eastAsia" w:ascii="宋体" w:hAnsi="宋体" w:eastAsia="宋体" w:cs="宋体"/>
          <w:b w:val="0"/>
          <w:bCs/>
          <w:color w:val="auto"/>
          <w:sz w:val="24"/>
          <w:szCs w:val="24"/>
          <w:highlight w:val="none"/>
          <w:u w:val="none"/>
          <w:lang w:bidi="ar"/>
        </w:rPr>
        <w:t xml:space="preserve">静电喷涂，颜色为交通灰RAL7042。预埋件为200*150*10mm钢板、并焊接￠12*200螺纹钢，基坑尺寸为300*250*350mm浇注C30砼，预埋件应下沉15mm，混凝土养生期满立柱同预埋件现场焊接，并用水泥砂浆抹平。</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所有护栏做到二年不生锈、不脱皮、不变色，三年内不</w:t>
      </w:r>
      <w:r>
        <w:rPr>
          <w:rFonts w:hint="eastAsia" w:ascii="宋体" w:hAnsi="宋体" w:eastAsia="宋体" w:cs="宋体"/>
          <w:b w:val="0"/>
          <w:bCs/>
          <w:color w:val="auto"/>
          <w:sz w:val="24"/>
          <w:szCs w:val="24"/>
          <w:highlight w:val="none"/>
          <w:u w:val="none"/>
          <w:lang w:eastAsia="zh-CN" w:bidi="ar"/>
        </w:rPr>
        <w:t xml:space="preserve">褪</w:t>
      </w:r>
      <w:r>
        <w:rPr>
          <w:rFonts w:hint="eastAsia" w:ascii="宋体" w:hAnsi="宋体" w:eastAsia="宋体" w:cs="宋体"/>
          <w:b w:val="0"/>
          <w:bCs/>
          <w:color w:val="auto"/>
          <w:sz w:val="24"/>
          <w:szCs w:val="24"/>
          <w:highlight w:val="none"/>
          <w:u w:val="none"/>
          <w:lang w:bidi="ar"/>
        </w:rPr>
        <w:t xml:space="preserve">光泽。</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（10）太阳能黄闪灯：太阳能黄闪灯。规格：φ300mm，外形尺寸：460*460mm。材料：用1.5mm冷压板特殊加工而成，整体防锈处理，采用12V 10W特制滴塑太阳能板，单个LED光强度＞6001cd，使用寿命：平均</w:t>
      </w:r>
      <w:r>
        <w:rPr>
          <w:rFonts w:hint="eastAsia" w:ascii="宋体" w:hAnsi="宋体" w:eastAsia="宋体" w:cs="宋体"/>
          <w:b w:val="0"/>
          <w:bCs/>
          <w:color w:val="auto"/>
          <w:sz w:val="24"/>
          <w:szCs w:val="24"/>
          <w:highlight w:val="none"/>
          <w:u w:val="none"/>
          <w:lang w:eastAsia="zh-CN" w:bidi="ar"/>
        </w:rPr>
        <w:t xml:space="preserve">两年</w:t>
      </w:r>
      <w:r>
        <w:rPr>
          <w:rFonts w:hint="eastAsia" w:ascii="宋体" w:hAnsi="宋体" w:eastAsia="宋体" w:cs="宋体"/>
          <w:b w:val="0"/>
          <w:bCs/>
          <w:color w:val="auto"/>
          <w:sz w:val="24"/>
          <w:szCs w:val="24"/>
          <w:highlight w:val="none"/>
          <w:u w:val="none"/>
          <w:lang w:bidi="ar"/>
        </w:rPr>
        <w:t xml:space="preserve">。</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产品质量稳定可靠，外观美观大方，安装合理、牢固。鉴于无锡市目前道路的实际情况，太阳能发光交通标志主要是太阳能黄闪灯、太阳能爆闪灯等。</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11）防撞桶φ600mm：产品规格为800*600mm，壁厚6mm，采用高强度、高弹性的改性塑料制成，桶身为黄色，贴高强级反光膜，白天和夜间都明显可视。盛水（黄沙）后更具缓冲弹性。注满水后对车辆的撞击具有缓冲弹性，放空水后又可灵活地移动，能够起到隔离警示及防撞的作用。对于车辆发生意外的碰撞起到缓冲的作用，能够有效地减少冲击力，大大降低车与人的损伤。</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（12）凸面广角镜φ800mm：外形尺寸：φ800mm，材质：聚酸碳脂，镜面采用金属镀层，平均使用寿命不少于3年。</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（13）反光道钉：外形尺寸</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102*88*16mm，反射面和底面的夹角为 30°±2°，外壳采用抗冲击的实心玻璃纤维与增强工程塑料，反光片更亮更持久，雨夜行车视认性更好，行车安全，超声焊接更牢固，不易脱落。</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（14）中心警示桩φ114mm：中心警示桩采用φ114mm热镀锌管，高度H950mm，壁厚3mm，警示桩其上部800mm贴2道荧光黄绿（超强级）和2道黑色反光膜，反光膜高度为200mm，采用钻孔埋入地面深度150mm，细石混凝土密实固定。</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（15）机非警示桩φ114mm：机非警示桩采用φ114mm热镀锌管，高度H750mm，壁厚3mm，警示桩其上部600mm贴2道荧光黄绿（超强级）和2道黑色反光膜，反光膜高度为150mm，采用钻孔埋入地面深度150mm，细石混凝土密实固定。</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（16）橡胶警示桩φ80mm：警示桩直径φ80mm，高度800mm采用黑色橡胶材质，上部粘贴晶格反光膜。</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17）新型太阳能荧光黄绿警示桩：1.高亮LED灯珠，红色/黄色&gt;8000mcd/颗，白色&gt;18000mcd/颗光控，晚上同步闪烁，夜间可视距离&gt;1000m；2.太阳能板10W9V；3.储能元件：电池7.4V4.5A锂电池，充满电连续发光时长&gt;120小时；4.质保期1年；5.表面荧光黄绿/黑色反光膜。</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18）登高车台班：采用移动式汽吊，8小时为1台班。根据吊装载荷、额定起重量、最大幅度、最大起升高度合理选用起重机，流动式起重机必须在水平坚硬的地面工作，必要时进行地面耐压力测试，钢丝绳安全系数应符合规定，吊车应定期检验。</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19）吊车台班：采用移动式汽吊，8小时为1台班。根据吊装载荷、额定起重量、最大幅度、最大起升高度合理选用起重机，流动式起重机必须在水平坚硬的地面工作，必要时进行地面耐压力测试，钢丝绳安全系数应符合规定，吊车应定期检验。</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（20）基础加固：基础加固包含杆件垂直度调整、螺母紧固、基础包封加固等。</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（21）整理工时费</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含汽车台班</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维护人工负责市区道路护栏、标志牌、太阳能警示桩、隔离墩等设施的日常整理、加固，同时负责道路交通设施安全隐患的巡查、统计汇总辖区道路交通设施种类和数量，每半年上报支队，并建立工作台账，例如调整护栏线型、标志版面朝向调整，包含每日汽车台班。</w:t>
      </w:r>
      <w:r/>
    </w:p>
    <w:p>
      <w:pPr>
        <w:ind w:firstLine="482"/>
        <w:keepLines w:val="0"/>
        <w:keepNext w:val="0"/>
        <w:pageBreakBefore w:val="0"/>
        <w:spacing w:line="440" w:lineRule="exact"/>
        <w:rPr>
          <w:rFonts w:hint="eastAsia" w:ascii="宋体" w:hAnsi="宋体" w:eastAsia="宋体" w:cs="宋体"/>
          <w:b/>
          <w:color w:val="auto"/>
          <w:sz w:val="24"/>
          <w:szCs w:val="24"/>
          <w:highlight w:val="none"/>
          <w:u w:val="none"/>
          <w:lang w:bidi="ar"/>
        </w:rPr>
        <w:outlineLvl w:val="9"/>
      </w:pPr>
      <w:r>
        <w:rPr>
          <w:rFonts w:hint="eastAsia" w:ascii="宋体" w:hAnsi="宋体" w:eastAsia="宋体" w:cs="宋体"/>
          <w:b/>
          <w:color w:val="auto"/>
          <w:sz w:val="24"/>
          <w:szCs w:val="24"/>
          <w:highlight w:val="none"/>
          <w:u w:val="none"/>
          <w:lang w:eastAsia="zh-CN" w:bidi="ar"/>
        </w:rPr>
        <w:t xml:space="preserve">（五）</w:t>
      </w:r>
      <w:r>
        <w:rPr>
          <w:rFonts w:hint="eastAsia" w:ascii="宋体" w:hAnsi="宋体" w:eastAsia="宋体" w:cs="宋体"/>
          <w:b/>
          <w:color w:val="auto"/>
          <w:sz w:val="24"/>
          <w:szCs w:val="24"/>
          <w:highlight w:val="none"/>
          <w:u w:val="none"/>
          <w:lang w:bidi="ar"/>
        </w:rPr>
        <w:t xml:space="preserve">太阳能系列质量要求</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产品质量稳定可靠，外观美观大方，安装合理、牢固。鉴于江溪街道目前道路的实际情况，太阳能发光交通标志主要是太阳能交通指示、指路、警告、禁令标志，太阳能黄闪灯，太阳能警示桩，太阳能爆闪灯等。免费定期维护二年，如产品质量问题由厂方负责包修；如意外损坏，由辖区交警队负责配件费用，厂方负责修理。</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（1）太阳能箭头警示桩。</w:t>
      </w:r>
      <w:r>
        <w:rPr>
          <w:rFonts w:hint="eastAsia" w:ascii="宋体" w:hAnsi="宋体" w:eastAsia="宋体" w:cs="宋体"/>
          <w:b w:val="0"/>
          <w:bCs/>
          <w:color w:val="auto"/>
          <w:sz w:val="24"/>
          <w:szCs w:val="24"/>
          <w:highlight w:val="none"/>
          <w:u w:val="none"/>
          <w:lang w:bidi="ar"/>
        </w:rPr>
        <w:t xml:space="preserve">外形尺寸：2000×300×140mm。材料：上部用铝合金型材定制，下部用φ140×4镀锌钢管，特殊加工整体防锈处理，5年内不生锈。采用6V/5W太阳能电池，6V/8AH免维护电瓶，13颗黄色高亮度LED拼成靠右行驶箭头，32颗红色高亮度LED布在下部二圈四周智能型光控控制器控制，七年期工程级红、白反光膜使其具有普通警示桩同样的功能。安装调试：以安装位置为中心，预埋4个φ16底脚螺丝或占φ150孔；将本产品底板套入预埋螺丝，或插入孔内垂直调整后，紧固螺母，或用纯水泥封紧；调整太阳能角度试用控制器，直至正常。</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（2）太阳能黄闪灯。规格：φ300mm，外形尺寸：460*460mm。材料：用1.5mm冷压板特殊加工而成，整体防锈处理，采用12V 10W特制滴塑太阳能板，单个LED光强度＞6001cd，使用寿命：平均五年。</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3）太阳能爆闪灯。外形尺寸：440*150mm。材料采用冷轧钢板制作成箱体，经喷锌、喷漆处理，使其5年内不生锈。可视距离达500米以上，太阳能充电，阴雨天可连续工作十五天以上，横装两片，每个发光220*150mm单元红与蓝。</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（4）太阳能双面警示桩。系统配置12V/8W太阳能组件；发光负载采用90颗LED超高发光二极管，颜色分别可供选择为红、白两种；系统配置12V/7Ah太阳能专用铅酸电池，平均使用寿命为2</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3年；外壳采用厚度为1.5mm冷压板镀锌制成，采用防水及抗震、防撞击设计，夜间可视距离＞300米；由控制器光控全自动打开及关闭；闪烁频率为每分钟大于60次，可连续工作15个阴雨天以上。外形尺寸260×260×1750mm。红白反光膜贴面。</w:t>
      </w:r>
      <w:r/>
    </w:p>
    <w:p>
      <w:pPr>
        <w:ind w:firstLine="482"/>
        <w:keepLines w:val="0"/>
        <w:keepNext w:val="0"/>
        <w:pageBreakBefore w:val="0"/>
        <w:spacing w:line="440" w:lineRule="exact"/>
        <w:rPr>
          <w:rFonts w:hint="eastAsia" w:ascii="宋体" w:hAnsi="宋体" w:eastAsia="宋体" w:cs="宋体"/>
          <w:b/>
          <w:color w:val="auto"/>
          <w:sz w:val="24"/>
          <w:szCs w:val="24"/>
          <w:highlight w:val="none"/>
          <w:u w:val="none"/>
          <w:lang w:bidi="ar"/>
        </w:rPr>
        <w:outlineLvl w:val="9"/>
      </w:pPr>
      <w:r>
        <w:rPr>
          <w:rFonts w:hint="eastAsia" w:ascii="宋体" w:hAnsi="宋体" w:eastAsia="宋体" w:cs="宋体"/>
          <w:b/>
          <w:color w:val="auto"/>
          <w:sz w:val="24"/>
          <w:szCs w:val="24"/>
          <w:highlight w:val="none"/>
          <w:u w:val="none"/>
          <w:lang w:eastAsia="zh-CN" w:bidi="ar"/>
        </w:rPr>
        <w:t xml:space="preserve">（六）</w:t>
      </w:r>
      <w:r>
        <w:rPr>
          <w:rFonts w:hint="eastAsia" w:ascii="宋体" w:hAnsi="宋体" w:eastAsia="宋体" w:cs="宋体"/>
          <w:b/>
          <w:color w:val="auto"/>
          <w:sz w:val="24"/>
          <w:szCs w:val="24"/>
          <w:highlight w:val="none"/>
          <w:u w:val="none"/>
          <w:lang w:bidi="ar"/>
        </w:rPr>
        <w:t xml:space="preserve">锥形交通路标H500mm（普通圆锥桶、PVC圆锥筒）</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1）普通圆锥筒：采用塑料或橡胶制作而成。交通锥所使用的塑料、橡胶、反光材料等应符合有关的材料性能要求。交通锥表面应平整光洁、颜色均匀一致，无明显的划痕、变形及其他缺陷。交通锥有安全提示作用的白色反光部分，在正常使用中不会与交通锥剥离脱开。</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（2）PVC圆锥筒：材质为PVC具有良好的柔韧性能够承受车辆碾压，耐候性好，高温65度不变形，低温负30度不开裂，反光效果极强，白天夜间均有良好的警示效果。</w:t>
      </w:r>
      <w:r/>
    </w:p>
    <w:p>
      <w:pPr>
        <w:ind w:firstLine="482"/>
        <w:keepLines w:val="0"/>
        <w:keepNext w:val="0"/>
        <w:pageBreakBefore w:val="0"/>
        <w:spacing w:line="440" w:lineRule="exact"/>
        <w:rPr>
          <w:rFonts w:hint="eastAsia" w:ascii="宋体" w:hAnsi="宋体" w:eastAsia="宋体" w:cs="宋体"/>
          <w:b/>
          <w:color w:val="auto"/>
          <w:sz w:val="24"/>
          <w:szCs w:val="24"/>
          <w:highlight w:val="none"/>
          <w:u w:val="none"/>
          <w:lang w:bidi="ar"/>
        </w:rPr>
        <w:outlineLvl w:val="9"/>
      </w:pPr>
      <w:r>
        <w:rPr>
          <w:rFonts w:hint="eastAsia" w:ascii="宋体" w:hAnsi="宋体" w:eastAsia="宋体" w:cs="宋体"/>
          <w:b/>
          <w:color w:val="auto"/>
          <w:sz w:val="24"/>
          <w:szCs w:val="24"/>
          <w:highlight w:val="none"/>
          <w:u w:val="none"/>
          <w:lang w:eastAsia="zh-CN" w:bidi="ar"/>
        </w:rPr>
        <w:t xml:space="preserve">（七）</w:t>
      </w:r>
      <w:r>
        <w:rPr>
          <w:rFonts w:hint="eastAsia" w:ascii="宋体" w:hAnsi="宋体" w:eastAsia="宋体" w:cs="宋体"/>
          <w:b/>
          <w:color w:val="auto"/>
          <w:sz w:val="24"/>
          <w:szCs w:val="24"/>
          <w:highlight w:val="none"/>
          <w:u w:val="none"/>
          <w:lang w:bidi="ar"/>
        </w:rPr>
        <w:t xml:space="preserve">防撞桶</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产品规格为800*600mm，壁厚6mm，采用高强度、高弹性的改性塑料制成，桶身为黄色，贴高强级反光膜，白天和夜间都明显可视。盛水（黄沙）后更具缓冲弹性。注满水后对车辆的撞击具有缓冲弹性，放空水后又可灵活地移动，能够起到隔离警示及防撞的作用。对与车辆发生意外的碰撞起到缓冲的作用，能够有效地减少冲击力，大大降低车与人的损伤。</w:t>
      </w:r>
      <w:r/>
    </w:p>
    <w:p>
      <w:pPr>
        <w:ind w:firstLine="482"/>
        <w:keepLines w:val="0"/>
        <w:keepNext w:val="0"/>
        <w:pageBreakBefore w:val="0"/>
        <w:spacing w:line="440" w:lineRule="exact"/>
        <w:rPr>
          <w:rFonts w:hint="eastAsia" w:ascii="宋体" w:hAnsi="宋体" w:eastAsia="宋体" w:cs="宋体"/>
          <w:b/>
          <w:color w:val="auto"/>
          <w:sz w:val="24"/>
          <w:szCs w:val="24"/>
          <w:highlight w:val="none"/>
          <w:u w:val="none"/>
          <w:lang w:bidi="ar"/>
        </w:rPr>
        <w:outlineLvl w:val="9"/>
      </w:pPr>
      <w:r>
        <w:rPr>
          <w:rFonts w:hint="eastAsia" w:ascii="宋体" w:hAnsi="宋体" w:eastAsia="宋体" w:cs="宋体"/>
          <w:b/>
          <w:color w:val="auto"/>
          <w:sz w:val="24"/>
          <w:szCs w:val="24"/>
          <w:highlight w:val="none"/>
          <w:u w:val="none"/>
          <w:lang w:eastAsia="zh-CN" w:bidi="ar"/>
        </w:rPr>
        <w:t xml:space="preserve">（八）</w:t>
      </w:r>
      <w:r>
        <w:rPr>
          <w:rFonts w:hint="eastAsia" w:ascii="宋体" w:hAnsi="宋体" w:eastAsia="宋体" w:cs="宋体"/>
          <w:b/>
          <w:color w:val="auto"/>
          <w:sz w:val="24"/>
          <w:szCs w:val="24"/>
          <w:highlight w:val="none"/>
          <w:u w:val="none"/>
          <w:lang w:bidi="ar"/>
        </w:rPr>
        <w:t xml:space="preserve">塑料移动护栏</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外形尺寸：1000*1600mm，材质：PBT，外形黄黑相间，实心底座可360度旋转，平均使用寿命不少于2年。</w:t>
      </w:r>
      <w:r/>
    </w:p>
    <w:p>
      <w:pPr>
        <w:ind w:firstLine="482"/>
        <w:keepLines w:val="0"/>
        <w:keepNext w:val="0"/>
        <w:pageBreakBefore w:val="0"/>
        <w:spacing w:line="440" w:lineRule="exact"/>
        <w:rPr>
          <w:rFonts w:hint="eastAsia" w:ascii="宋体" w:hAnsi="宋体" w:eastAsia="宋体" w:cs="宋体"/>
          <w:b/>
          <w:color w:val="auto"/>
          <w:sz w:val="24"/>
          <w:szCs w:val="24"/>
          <w:highlight w:val="none"/>
          <w:u w:val="none"/>
          <w:lang w:bidi="ar"/>
        </w:rPr>
        <w:outlineLvl w:val="9"/>
      </w:pPr>
      <w:r>
        <w:rPr>
          <w:rFonts w:hint="eastAsia" w:ascii="宋体" w:hAnsi="宋体" w:eastAsia="宋体" w:cs="宋体"/>
          <w:b/>
          <w:color w:val="auto"/>
          <w:sz w:val="24"/>
          <w:szCs w:val="24"/>
          <w:highlight w:val="none"/>
          <w:u w:val="none"/>
          <w:lang w:eastAsia="zh-CN" w:bidi="ar"/>
        </w:rPr>
        <w:t xml:space="preserve">（九）</w:t>
      </w:r>
      <w:r>
        <w:rPr>
          <w:rFonts w:hint="eastAsia" w:ascii="宋体" w:hAnsi="宋体" w:eastAsia="宋体" w:cs="宋体"/>
          <w:b/>
          <w:color w:val="auto"/>
          <w:sz w:val="24"/>
          <w:szCs w:val="24"/>
          <w:highlight w:val="none"/>
          <w:u w:val="none"/>
          <w:lang w:bidi="ar"/>
        </w:rPr>
        <w:t xml:space="preserve">水马</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外形尺寸：700*1300mm，采用高强度、高弹性的改性塑料制成，桶身为黄色，贴高强级反光膜，白天和夜间都明显可视。盛水（黄沙）后更具缓冲弹性。</w:t>
      </w:r>
      <w:r/>
    </w:p>
    <w:p>
      <w:pPr>
        <w:ind w:firstLine="482"/>
        <w:keepLines w:val="0"/>
        <w:keepNext w:val="0"/>
        <w:pageBreakBefore w:val="0"/>
        <w:spacing w:line="440" w:lineRule="exact"/>
        <w:rPr>
          <w:rFonts w:hint="eastAsia" w:ascii="宋体" w:hAnsi="宋体" w:eastAsia="宋体" w:cs="宋体"/>
          <w:b/>
          <w:color w:val="auto"/>
          <w:sz w:val="24"/>
          <w:szCs w:val="24"/>
          <w:highlight w:val="none"/>
          <w:u w:val="none"/>
          <w:lang w:bidi="ar"/>
        </w:rPr>
        <w:outlineLvl w:val="9"/>
      </w:pPr>
      <w:r>
        <w:rPr>
          <w:rFonts w:hint="eastAsia" w:ascii="宋体" w:hAnsi="宋体" w:eastAsia="宋体" w:cs="宋体"/>
          <w:b/>
          <w:color w:val="auto"/>
          <w:sz w:val="24"/>
          <w:szCs w:val="24"/>
          <w:highlight w:val="none"/>
          <w:u w:val="none"/>
          <w:lang w:eastAsia="zh-CN" w:bidi="ar"/>
        </w:rPr>
        <w:t xml:space="preserve">（十）</w:t>
      </w:r>
      <w:r>
        <w:rPr>
          <w:rFonts w:hint="eastAsia" w:ascii="宋体" w:hAnsi="宋体" w:eastAsia="宋体" w:cs="宋体"/>
          <w:b/>
          <w:color w:val="auto"/>
          <w:sz w:val="24"/>
          <w:szCs w:val="24"/>
          <w:highlight w:val="none"/>
          <w:u w:val="none"/>
          <w:lang w:bidi="ar"/>
        </w:rPr>
        <w:t xml:space="preserve">凸面广角镜</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外形尺寸：φ800mm，材质：聚酸碳脂，镜面采用金属镀层，平均使用寿命不少于3年。</w:t>
      </w:r>
      <w:r/>
    </w:p>
    <w:p>
      <w:pPr>
        <w:ind w:firstLine="482"/>
        <w:keepLines w:val="0"/>
        <w:keepNext w:val="0"/>
        <w:pageBreakBefore w:val="0"/>
        <w:spacing w:line="440" w:lineRule="exact"/>
        <w:rPr>
          <w:rFonts w:hint="eastAsia" w:ascii="宋体" w:hAnsi="宋体" w:eastAsia="宋体" w:cs="宋体"/>
          <w:b/>
          <w:color w:val="auto"/>
          <w:sz w:val="24"/>
          <w:szCs w:val="24"/>
          <w:highlight w:val="none"/>
          <w:u w:val="none"/>
          <w:lang w:bidi="ar"/>
        </w:rPr>
        <w:outlineLvl w:val="9"/>
      </w:pPr>
      <w:r>
        <w:rPr>
          <w:rFonts w:hint="eastAsia" w:ascii="宋体" w:hAnsi="宋体" w:eastAsia="宋体" w:cs="宋体"/>
          <w:b/>
          <w:color w:val="auto"/>
          <w:sz w:val="24"/>
          <w:szCs w:val="24"/>
          <w:highlight w:val="none"/>
          <w:u w:val="none"/>
          <w:lang w:eastAsia="zh-CN" w:bidi="ar"/>
        </w:rPr>
        <w:t xml:space="preserve">（十一）</w:t>
      </w:r>
      <w:r>
        <w:rPr>
          <w:rFonts w:hint="eastAsia" w:ascii="宋体" w:hAnsi="宋体" w:eastAsia="宋体" w:cs="宋体"/>
          <w:b/>
          <w:color w:val="auto"/>
          <w:sz w:val="24"/>
          <w:szCs w:val="24"/>
          <w:highlight w:val="none"/>
          <w:u w:val="none"/>
          <w:lang w:bidi="ar"/>
        </w:rPr>
        <w:t xml:space="preserve">交通信号设施</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（1）交通信号灯</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a.执行标准：《道路交通信号灯》GB14887</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2011；</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b.LED芯片采用原装进口芯片，专业的金线封装；</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c.灯体外壳材料：压铸铝全密封；</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d.PCB板三防喷涂；</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e.结构设计：前开门设计，一体化灯芯结构方便日常维护；</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f.额定电压：AC220V±20% ，50±2Hz；</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g.工作温度：</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40℃~+80℃；</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h.多重密封，防尘防水等级：≥IP55；</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i功率：≤8W，功率因素≥0.9</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j.重量：≤12kg；</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（2）交通信号机</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4.2.1 ）设备参数</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a..输入交流功耗≦50W（不含信号灯）</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b.绝缘电阻≥10MΩ</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c.每路灯输出驱动≥400W</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d.通信接口采用RJ</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45标准，数据兼容TCP/IP协议</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e.系统看门狗，系统运行故障时自动恢复。</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f.车辆检测器输入数据和手控状态接口，采集来自检测器的车流量数据和手控信号。</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g.采用GPS精确对时。</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h.在路口发生特殊情况，信号机可转为手动控制，使用手控按钮开关来人为控制交通信号的步进转换。用完后可恢复到信号机自动控制状态。</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i.所有线路板经过“三防”处理</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j.防雷措施：</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220v输入防雷：在电源输入端安装有三级避雷器，可大大减少雷电对设备的影响。在电源板上安装瞬态抑制器、压敏电阻、放电管，通过不同反应速度、不同放电电流的器件组合，达到最佳效果。在每块驱动板220v输入端通过放电管在火</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零、火</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地、零</w:t>
      </w:r>
      <w:r>
        <w:rPr>
          <w:rFonts w:hint="eastAsia" w:ascii="宋体" w:hAnsi="宋体" w:eastAsia="宋体" w:cs="宋体"/>
          <w:b w:val="0"/>
          <w:bCs/>
          <w:color w:val="auto"/>
          <w:sz w:val="24"/>
          <w:szCs w:val="24"/>
          <w:highlight w:val="none"/>
          <w:u w:val="none"/>
          <w:lang w:eastAsia="zh-CN" w:bidi="ar"/>
        </w:rPr>
        <w:t xml:space="preserve">-</w:t>
      </w:r>
      <w:r>
        <w:rPr>
          <w:rFonts w:hint="eastAsia" w:ascii="宋体" w:hAnsi="宋体" w:eastAsia="宋体" w:cs="宋体"/>
          <w:b w:val="0"/>
          <w:bCs/>
          <w:color w:val="auto"/>
          <w:sz w:val="24"/>
          <w:szCs w:val="24"/>
          <w:highlight w:val="none"/>
          <w:u w:val="none"/>
          <w:lang w:bidi="ar"/>
        </w:rPr>
        <w:t xml:space="preserve">地分别做防雷处理。</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220v输出防雷：在每路输出端通过压敏电阻保护雷电对设备的破坏。</w:t>
      </w:r>
      <w:r/>
    </w:p>
    <w:p>
      <w:pPr>
        <w:ind w:firstLine="480"/>
        <w:keepLines w:val="0"/>
        <w:keepNext w:val="0"/>
        <w:pageBreakBefore w:val="0"/>
        <w:spacing w:line="440" w:lineRule="exact"/>
        <w:rPr>
          <w:rFonts w:hint="eastAsia" w:ascii="宋体" w:hAnsi="宋体" w:eastAsia="宋体" w:cs="宋体"/>
          <w:b/>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信号防雷：在232、485、网络上安装瞬态抑制器、0欧姆电阻、气体放电管，防止雷电通过信号线破坏设备。</w:t>
      </w:r>
      <w:r/>
    </w:p>
    <w:p>
      <w:pPr>
        <w:ind w:firstLine="482"/>
        <w:keepLines w:val="0"/>
        <w:keepNext w:val="0"/>
        <w:pageBreakBefore w:val="0"/>
        <w:spacing w:line="440" w:lineRule="exact"/>
        <w:rPr>
          <w:rFonts w:hint="eastAsia" w:ascii="宋体" w:hAnsi="宋体" w:eastAsia="宋体" w:cs="宋体"/>
          <w:b/>
          <w:color w:val="auto"/>
          <w:sz w:val="24"/>
          <w:szCs w:val="24"/>
          <w:highlight w:val="none"/>
          <w:u w:val="none"/>
          <w:lang w:bidi="ar"/>
        </w:rPr>
        <w:outlineLvl w:val="9"/>
      </w:pPr>
      <w:r>
        <w:rPr>
          <w:rFonts w:hint="eastAsia" w:ascii="宋体" w:hAnsi="宋体" w:eastAsia="宋体" w:cs="宋体"/>
          <w:b/>
          <w:color w:val="auto"/>
          <w:sz w:val="24"/>
          <w:szCs w:val="24"/>
          <w:highlight w:val="none"/>
          <w:u w:val="none"/>
          <w:lang w:eastAsia="zh-CN" w:bidi="ar"/>
        </w:rPr>
        <w:t xml:space="preserve">（十二）</w:t>
      </w:r>
      <w:r>
        <w:rPr>
          <w:rFonts w:hint="eastAsia" w:ascii="宋体" w:hAnsi="宋体" w:eastAsia="宋体" w:cs="宋体"/>
          <w:b/>
          <w:color w:val="auto"/>
          <w:sz w:val="24"/>
          <w:szCs w:val="24"/>
          <w:highlight w:val="none"/>
          <w:u w:val="none"/>
          <w:lang w:bidi="ar"/>
        </w:rPr>
        <w:t xml:space="preserve">日常维护人工</w:t>
      </w:r>
      <w:r/>
    </w:p>
    <w:p>
      <w:pPr>
        <w:ind w:firstLine="480"/>
        <w:keepLines w:val="0"/>
        <w:keepNext w:val="0"/>
        <w:pageBreakBefore w:val="0"/>
        <w:spacing w:line="440" w:lineRule="exact"/>
        <w:rPr>
          <w:rFonts w:hint="eastAsia" w:ascii="宋体" w:hAnsi="宋体" w:eastAsia="宋体" w:cs="宋体"/>
          <w:b w:val="0"/>
          <w:bCs/>
          <w:color w:val="auto"/>
          <w:sz w:val="24"/>
          <w:szCs w:val="24"/>
          <w:highlight w:val="none"/>
          <w:u w:val="none"/>
          <w:lang w:bidi="ar"/>
        </w:rPr>
        <w:outlineLvl w:val="9"/>
      </w:pPr>
      <w:r>
        <w:rPr>
          <w:rFonts w:hint="eastAsia" w:ascii="宋体" w:hAnsi="宋体" w:eastAsia="宋体" w:cs="宋体"/>
          <w:b w:val="0"/>
          <w:bCs/>
          <w:color w:val="auto"/>
          <w:sz w:val="24"/>
          <w:szCs w:val="24"/>
          <w:highlight w:val="none"/>
          <w:u w:val="none"/>
          <w:lang w:bidi="ar"/>
        </w:rPr>
        <w:t xml:space="preserve">维护人工负责江溪街道区域道路护栏、标志牌、太阳能警示桩、隔离墩等设施的日常整理、加固，同时负责道路交通设施安全隐患的巡查（如：大型标志基础松动、抱箍生锈等）、统计汇总辖区道路交通设施种类和数量，每半年上报中队，并建立工作台账。</w:t>
      </w:r>
      <w:r/>
    </w:p>
    <w:p>
      <w:pPr>
        <w:ind w:firstLine="482"/>
        <w:keepLines w:val="0"/>
        <w:keepNext w:val="0"/>
        <w:pageBreakBefore w:val="0"/>
        <w:spacing w:line="440" w:lineRule="exact"/>
        <w:rPr>
          <w:rFonts w:hint="eastAsia" w:ascii="宋体" w:hAnsi="宋体" w:eastAsia="宋体" w:cs="宋体"/>
          <w:b/>
          <w:color w:val="auto"/>
          <w:sz w:val="24"/>
          <w:szCs w:val="24"/>
          <w:highlight w:val="none"/>
          <w:u w:val="none"/>
        </w:rPr>
        <w:outlineLvl w:val="1"/>
      </w:pPr>
      <w:r>
        <w:rPr>
          <w:rFonts w:hint="eastAsia" w:ascii="宋体" w:hAnsi="宋体" w:eastAsia="宋体" w:cs="宋体"/>
          <w:b/>
          <w:color w:val="auto"/>
          <w:sz w:val="24"/>
          <w:szCs w:val="24"/>
          <w:highlight w:val="none"/>
          <w:u w:val="none"/>
          <w:lang w:bidi="ar"/>
        </w:rPr>
        <w:t xml:space="preserve">四、采购标的的数量、采购项目交付或者实施的时间和地点。</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bidi="ar"/>
        </w:rPr>
        <w:t xml:space="preserve">此次采购确定的施工维护单位数量为1家，采购的设施品种清单附后。施工维护单位根据中队要求，负责做好江溪街道辖区内道路交通设施的日常维护。</w:t>
      </w:r>
      <w:r/>
    </w:p>
    <w:p>
      <w:pPr>
        <w:ind w:firstLine="482"/>
        <w:keepLines w:val="0"/>
        <w:keepNext w:val="0"/>
        <w:pageBreakBefore w:val="0"/>
        <w:spacing w:line="440" w:lineRule="exact"/>
        <w:rPr>
          <w:rFonts w:hint="eastAsia" w:ascii="宋体" w:hAnsi="宋体" w:eastAsia="宋体" w:cs="宋体"/>
          <w:b/>
          <w:color w:val="auto"/>
          <w:sz w:val="24"/>
          <w:szCs w:val="24"/>
          <w:highlight w:val="none"/>
          <w:u w:val="none"/>
        </w:rPr>
        <w:outlineLvl w:val="1"/>
      </w:pPr>
      <w:r>
        <w:rPr>
          <w:rFonts w:hint="eastAsia" w:ascii="宋体" w:hAnsi="宋体" w:eastAsia="宋体" w:cs="宋体"/>
          <w:b/>
          <w:color w:val="auto"/>
          <w:sz w:val="24"/>
          <w:szCs w:val="24"/>
          <w:highlight w:val="none"/>
          <w:u w:val="none"/>
          <w:lang w:bidi="ar"/>
        </w:rPr>
        <w:t xml:space="preserve">五、采购标的需满足的服务标准、期限、效率等要求。</w:t>
      </w:r>
      <w:r/>
    </w:p>
    <w:p>
      <w:pPr>
        <w:ind w:firstLine="482"/>
        <w:keepLines w:val="0"/>
        <w:keepNext w:val="0"/>
        <w:pageBreakBefore w:val="0"/>
        <w:spacing w:line="440" w:lineRule="exact"/>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lang w:bidi="ar"/>
        </w:rPr>
        <w:t xml:space="preserve">（一）服务要求：</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bidi="ar"/>
        </w:rPr>
        <w:t xml:space="preserve">1.</w:t>
      </w:r>
      <w:r>
        <w:rPr>
          <w:rFonts w:hint="eastAsia" w:ascii="宋体" w:hAnsi="宋体" w:eastAsia="宋体" w:cs="宋体"/>
          <w:color w:val="auto"/>
          <w:sz w:val="24"/>
          <w:szCs w:val="24"/>
          <w:highlight w:val="none"/>
          <w:u w:val="none"/>
          <w:lang w:bidi="ar"/>
        </w:rPr>
        <w:t xml:space="preserve">施工单位应指定项目负责人1名与中队联系协调。</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bidi="ar"/>
        </w:rPr>
        <w:t xml:space="preserve">2.</w:t>
      </w:r>
      <w:r>
        <w:rPr>
          <w:rFonts w:hint="eastAsia" w:ascii="宋体" w:hAnsi="宋体" w:eastAsia="宋体" w:cs="宋体"/>
          <w:color w:val="auto"/>
          <w:sz w:val="24"/>
          <w:szCs w:val="24"/>
          <w:highlight w:val="none"/>
          <w:u w:val="none"/>
          <w:lang w:bidi="ar"/>
        </w:rPr>
        <w:t xml:space="preserve">施工单位应有专门的维护队伍（</w:t>
      </w:r>
      <w:r>
        <w:rPr>
          <w:rFonts w:hint="eastAsia" w:ascii="宋体" w:hAnsi="宋体" w:eastAsia="宋体" w:cs="宋体"/>
          <w:b/>
          <w:bCs/>
          <w:color w:val="auto"/>
          <w:sz w:val="24"/>
          <w:szCs w:val="24"/>
          <w:highlight w:val="none"/>
          <w:u w:val="none"/>
          <w:lang w:bidi="ar"/>
        </w:rPr>
        <w:t xml:space="preserve">4人以上</w:t>
      </w:r>
      <w:r>
        <w:rPr>
          <w:rFonts w:hint="eastAsia" w:ascii="宋体" w:hAnsi="宋体" w:eastAsia="宋体" w:cs="宋体"/>
          <w:color w:val="auto"/>
          <w:sz w:val="24"/>
          <w:szCs w:val="24"/>
          <w:highlight w:val="none"/>
          <w:u w:val="none"/>
          <w:lang w:bidi="ar"/>
        </w:rPr>
        <w:t xml:space="preserve">，维护工程车一辆，携带电焊、打孔机等施工设备，车辆必须具有满足进入无锡市区施工的合法条件），另有1名管理人员负责施工管理和安全技术管理。根据维护实际情况确定每日维护人工。</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bidi="ar"/>
        </w:rPr>
        <w:t xml:space="preserve">3.</w:t>
      </w:r>
      <w:r>
        <w:rPr>
          <w:rFonts w:hint="eastAsia" w:ascii="宋体" w:hAnsi="宋体" w:eastAsia="宋体" w:cs="宋体"/>
          <w:color w:val="auto"/>
          <w:sz w:val="24"/>
          <w:szCs w:val="24"/>
          <w:highlight w:val="none"/>
          <w:u w:val="none"/>
          <w:lang w:bidi="ar"/>
        </w:rPr>
        <w:t xml:space="preserve">施工单位的维护队伍，每天负责对责任区域内道路的交通设施进行检查、维护、整理，消除安全隐患，如因维护不到位所造成的人员伤亡、财产损失的，由施工单位负责处理赔偿。</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bidi="ar"/>
        </w:rPr>
        <w:t xml:space="preserve">4.</w:t>
      </w:r>
      <w:r>
        <w:rPr>
          <w:rFonts w:hint="eastAsia" w:ascii="宋体" w:hAnsi="宋体" w:eastAsia="宋体" w:cs="宋体"/>
          <w:color w:val="auto"/>
          <w:sz w:val="24"/>
          <w:szCs w:val="24"/>
          <w:highlight w:val="none"/>
          <w:u w:val="none"/>
          <w:lang w:bidi="ar"/>
        </w:rPr>
        <w:t xml:space="preserve">施工单位所有项目在施工前要先进行拍照取证，再进行施工，结束后再次进行拍照通过微信上报，作为结算依据。</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bidi="ar"/>
        </w:rPr>
        <w:t xml:space="preserve">5.</w:t>
      </w:r>
      <w:r>
        <w:rPr>
          <w:rFonts w:hint="eastAsia" w:ascii="宋体" w:hAnsi="宋体" w:eastAsia="宋体" w:cs="宋体"/>
          <w:color w:val="auto"/>
          <w:sz w:val="24"/>
          <w:szCs w:val="24"/>
          <w:highlight w:val="none"/>
          <w:u w:val="none"/>
          <w:lang w:bidi="ar"/>
        </w:rPr>
        <w:t xml:space="preserve">施工单位要有较强责任意识，服务意识，创新意识。能根据中队的交通设施维护要求全面细致地做好交通设施维护工作。</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bidi="ar"/>
        </w:rPr>
        <w:t xml:space="preserve">6.</w:t>
      </w:r>
      <w:r>
        <w:rPr>
          <w:rFonts w:hint="eastAsia" w:ascii="宋体" w:hAnsi="宋体" w:eastAsia="宋体" w:cs="宋体"/>
          <w:color w:val="auto"/>
          <w:sz w:val="24"/>
          <w:szCs w:val="24"/>
          <w:highlight w:val="none"/>
          <w:u w:val="none"/>
          <w:lang w:bidi="ar"/>
        </w:rPr>
        <w:t xml:space="preserve">施工单位要服从交警中队安排，在接到任务后，要按时保质保量完成。</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bidi="ar"/>
        </w:rPr>
        <w:t xml:space="preserve">7.</w:t>
      </w:r>
      <w:r>
        <w:rPr>
          <w:rFonts w:hint="eastAsia" w:ascii="宋体" w:hAnsi="宋体" w:eastAsia="宋体" w:cs="宋体"/>
          <w:color w:val="auto"/>
          <w:sz w:val="24"/>
          <w:szCs w:val="24"/>
          <w:highlight w:val="none"/>
          <w:u w:val="none"/>
          <w:lang w:bidi="ar"/>
        </w:rPr>
        <w:t xml:space="preserve">施工单位回收的废旧金属材料，按要求运到中队指定场所堆放，由江溪街道交警中队统一</w:t>
      </w:r>
      <w:r>
        <w:rPr>
          <w:rFonts w:hint="eastAsia" w:ascii="宋体" w:hAnsi="宋体" w:eastAsia="宋体" w:cs="宋体"/>
          <w:color w:val="auto"/>
          <w:sz w:val="24"/>
          <w:szCs w:val="24"/>
          <w:highlight w:val="none"/>
          <w:u w:val="none"/>
          <w:lang w:eastAsia="zh-CN" w:bidi="ar"/>
        </w:rPr>
        <w:t xml:space="preserve">上交</w:t>
      </w:r>
      <w:r>
        <w:rPr>
          <w:rFonts w:hint="eastAsia" w:ascii="宋体" w:hAnsi="宋体" w:eastAsia="宋体" w:cs="宋体"/>
          <w:color w:val="auto"/>
          <w:sz w:val="24"/>
          <w:szCs w:val="24"/>
          <w:highlight w:val="none"/>
          <w:u w:val="none"/>
          <w:lang w:bidi="ar"/>
        </w:rPr>
        <w:t xml:space="preserve">财政处理。</w:t>
      </w:r>
      <w:r/>
    </w:p>
    <w:p>
      <w:pPr>
        <w:ind w:firstLine="482"/>
        <w:keepLines w:val="0"/>
        <w:keepNext w:val="0"/>
        <w:pageBreakBefore w:val="0"/>
        <w:spacing w:line="440" w:lineRule="exact"/>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lang w:bidi="ar"/>
        </w:rPr>
        <w:t xml:space="preserve">（二）施工管理要求：</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bidi="ar"/>
        </w:rPr>
        <w:t xml:space="preserve">1.</w:t>
      </w:r>
      <w:r>
        <w:rPr>
          <w:rFonts w:hint="eastAsia" w:ascii="宋体" w:hAnsi="宋体" w:eastAsia="宋体" w:cs="宋体"/>
          <w:color w:val="auto"/>
          <w:sz w:val="24"/>
          <w:szCs w:val="24"/>
          <w:highlight w:val="none"/>
          <w:u w:val="none"/>
          <w:lang w:bidi="ar"/>
        </w:rPr>
        <w:t xml:space="preserve">施工单位要与江溪街道交警中队保持联系，重大设施维修工程或新增改建工作由双方共同确定最佳施工方案。</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bidi="ar"/>
        </w:rPr>
        <w:t xml:space="preserve">2.</w:t>
      </w:r>
      <w:r>
        <w:rPr>
          <w:rFonts w:hint="eastAsia" w:ascii="宋体" w:hAnsi="宋体" w:eastAsia="宋体" w:cs="宋体"/>
          <w:color w:val="auto"/>
          <w:sz w:val="24"/>
          <w:szCs w:val="24"/>
          <w:highlight w:val="none"/>
          <w:u w:val="none"/>
          <w:lang w:bidi="ar"/>
        </w:rPr>
        <w:t xml:space="preserve">施工单位要定期开展人员业务培训，确保设施维护规范安全，施工人员要统一着醒目的服装上路施工。</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bidi="ar"/>
        </w:rPr>
        <w:t xml:space="preserve">3.</w:t>
      </w:r>
      <w:r>
        <w:rPr>
          <w:rFonts w:hint="eastAsia" w:ascii="宋体" w:hAnsi="宋体" w:eastAsia="宋体" w:cs="宋体"/>
          <w:color w:val="auto"/>
          <w:sz w:val="24"/>
          <w:szCs w:val="24"/>
          <w:highlight w:val="none"/>
          <w:u w:val="none"/>
          <w:lang w:bidi="ar"/>
        </w:rPr>
        <w:t xml:space="preserve">施工单位要重视安全生产，对标线的漆划清除，大型标志的安装维护，护栏拆装油漆整理，安装警示桩等，要按规定采取安全措施，确保施工安全。施工中发生事故由施工单位负责。</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bidi="ar"/>
        </w:rPr>
        <w:t xml:space="preserve">4.</w:t>
      </w:r>
      <w:r>
        <w:rPr>
          <w:rFonts w:hint="eastAsia" w:ascii="宋体" w:hAnsi="宋体" w:eastAsia="宋体" w:cs="宋体"/>
          <w:color w:val="auto"/>
          <w:sz w:val="24"/>
          <w:szCs w:val="24"/>
          <w:highlight w:val="none"/>
          <w:u w:val="none"/>
          <w:lang w:bidi="ar"/>
        </w:rPr>
        <w:t xml:space="preserve">施工单位要文明施工，注意保护好环境，渣土、剥线、绿化等要</w:t>
      </w:r>
      <w:r>
        <w:rPr>
          <w:rFonts w:hint="eastAsia" w:ascii="宋体" w:hAnsi="宋体" w:eastAsia="宋体" w:cs="宋体"/>
          <w:color w:val="auto"/>
          <w:sz w:val="24"/>
          <w:szCs w:val="24"/>
          <w:highlight w:val="none"/>
          <w:u w:val="none"/>
          <w:lang w:eastAsia="zh-CN" w:bidi="ar"/>
        </w:rPr>
        <w:t xml:space="preserve">做好</w:t>
      </w:r>
      <w:r>
        <w:rPr>
          <w:rFonts w:hint="eastAsia" w:ascii="宋体" w:hAnsi="宋体" w:eastAsia="宋体" w:cs="宋体"/>
          <w:color w:val="auto"/>
          <w:sz w:val="24"/>
          <w:szCs w:val="24"/>
          <w:highlight w:val="none"/>
          <w:u w:val="none"/>
          <w:lang w:bidi="ar"/>
        </w:rPr>
        <w:t xml:space="preserve">回收和回填处理。施工完毕后要清扫路面，保持施工场所整洁。</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bidi="ar"/>
        </w:rPr>
        <w:t xml:space="preserve">5.</w:t>
      </w:r>
      <w:r>
        <w:rPr>
          <w:rFonts w:hint="eastAsia" w:ascii="宋体" w:hAnsi="宋体" w:eastAsia="宋体" w:cs="宋体"/>
          <w:color w:val="auto"/>
          <w:sz w:val="24"/>
          <w:szCs w:val="24"/>
          <w:highlight w:val="none"/>
          <w:u w:val="none"/>
          <w:lang w:bidi="ar"/>
        </w:rPr>
        <w:t xml:space="preserve">施工单位在道路施工要避开两高峰，驾驶车辆要遵守交通规则。在进行标线维护时，只允许封闭四分之一至三分之一幅路面，不能发生因施工造成车辆拥堵现象。</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bidi="ar"/>
        </w:rPr>
        <w:t xml:space="preserve">6.</w:t>
      </w:r>
      <w:r>
        <w:rPr>
          <w:rFonts w:hint="eastAsia" w:ascii="宋体" w:hAnsi="宋体" w:eastAsia="宋体" w:cs="宋体"/>
          <w:color w:val="auto"/>
          <w:sz w:val="24"/>
          <w:szCs w:val="24"/>
          <w:highlight w:val="none"/>
          <w:u w:val="none"/>
          <w:lang w:bidi="ar"/>
        </w:rPr>
        <w:t xml:space="preserve">施工单位更改标线严格按照先除后划的程序进行，避免造成交通秩序混乱。</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bidi="ar"/>
        </w:rPr>
        <w:t xml:space="preserve">7.</w:t>
      </w:r>
      <w:r>
        <w:rPr>
          <w:rFonts w:hint="eastAsia" w:ascii="宋体" w:hAnsi="宋体" w:eastAsia="宋体" w:cs="宋体"/>
          <w:color w:val="auto"/>
          <w:sz w:val="24"/>
          <w:szCs w:val="24"/>
          <w:highlight w:val="none"/>
          <w:u w:val="none"/>
          <w:lang w:bidi="ar"/>
        </w:rPr>
        <w:t xml:space="preserve">施工单位要严格按照规定程序和工艺要求进行施工。</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bidi="ar"/>
        </w:rPr>
        <w:t xml:space="preserve">8.</w:t>
      </w:r>
      <w:r>
        <w:rPr>
          <w:rFonts w:hint="eastAsia" w:ascii="宋体" w:hAnsi="宋体" w:eastAsia="宋体" w:cs="宋体"/>
          <w:color w:val="auto"/>
          <w:sz w:val="24"/>
          <w:szCs w:val="24"/>
          <w:highlight w:val="none"/>
          <w:u w:val="none"/>
          <w:lang w:bidi="ar"/>
        </w:rPr>
        <w:t xml:space="preserve">施工单位遇有抢修突击任务时必须在规定时间内做好修复工作。</w:t>
      </w:r>
      <w:r>
        <w:rPr>
          <w:rFonts w:hint="eastAsia" w:ascii="宋体" w:hAnsi="宋体" w:eastAsia="宋体" w:cs="宋体"/>
          <w:color w:val="auto"/>
          <w:sz w:val="24"/>
          <w:szCs w:val="24"/>
          <w:highlight w:val="none"/>
          <w:u w:val="none"/>
          <w:lang w:eastAsia="zh-CN" w:bidi="ar"/>
        </w:rPr>
        <w:t xml:space="preserve">接到</w:t>
      </w:r>
      <w:r>
        <w:rPr>
          <w:rFonts w:hint="eastAsia" w:ascii="宋体" w:hAnsi="宋体" w:eastAsia="宋体" w:cs="宋体"/>
          <w:color w:val="auto"/>
          <w:sz w:val="24"/>
          <w:szCs w:val="24"/>
          <w:highlight w:val="none"/>
          <w:u w:val="none"/>
          <w:lang w:bidi="ar"/>
        </w:rPr>
        <w:t xml:space="preserve">中队报修通知后：护栏、警示桩等2小时完成，单立杆标志24小时完成，标线漆划在3天内完成，大型F杆标志15天内完成（因天气等不可预见原因除外）。</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bidi="ar"/>
        </w:rPr>
        <w:t xml:space="preserve">9.</w:t>
      </w:r>
      <w:r>
        <w:rPr>
          <w:rFonts w:hint="eastAsia" w:ascii="宋体" w:hAnsi="宋体" w:eastAsia="宋体" w:cs="宋体"/>
          <w:color w:val="auto"/>
          <w:sz w:val="24"/>
          <w:szCs w:val="24"/>
          <w:highlight w:val="none"/>
          <w:u w:val="none"/>
          <w:lang w:bidi="ar"/>
        </w:rPr>
        <w:t xml:space="preserve">做好设施维修、新增、改建的安全工作。交通设施的设置、安装和调试等工作，要按相关行业标准规定采取作业施工安全措施，确保施工安全。施工期间中标供应商对施工安全工作负全部责任。</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bidi="ar"/>
        </w:rPr>
        <w:t xml:space="preserve">10.</w:t>
      </w:r>
      <w:r>
        <w:rPr>
          <w:rFonts w:hint="eastAsia" w:ascii="宋体" w:hAnsi="宋体" w:eastAsia="宋体" w:cs="宋体"/>
          <w:color w:val="auto"/>
          <w:sz w:val="24"/>
          <w:szCs w:val="24"/>
          <w:highlight w:val="none"/>
          <w:u w:val="none"/>
          <w:lang w:bidi="ar"/>
        </w:rPr>
        <w:t xml:space="preserve">施工过程中，中标供应商违反施工操作规程引起的施工安全事故或道路交通事故，事故责任及全部损失由中标供应商自行承担。</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bidi="ar"/>
        </w:rPr>
        <w:t xml:space="preserve">11.</w:t>
      </w:r>
      <w:r>
        <w:rPr>
          <w:rFonts w:hint="eastAsia" w:ascii="宋体" w:hAnsi="宋体" w:eastAsia="宋体" w:cs="宋体"/>
          <w:color w:val="auto"/>
          <w:sz w:val="24"/>
          <w:szCs w:val="24"/>
          <w:highlight w:val="none"/>
          <w:u w:val="none"/>
          <w:lang w:bidi="ar"/>
        </w:rPr>
        <w:t xml:space="preserve">遇道路改建、设施调整或更新、故障、设施年久作废等情况拆除的设施，中标供应商要带回定点场所妥善保管以等采购人处理。</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bidi="ar"/>
        </w:rPr>
        <w:t xml:space="preserve">12.</w:t>
      </w:r>
      <w:r>
        <w:rPr>
          <w:rFonts w:hint="eastAsia" w:ascii="宋体" w:hAnsi="宋体" w:eastAsia="宋体" w:cs="宋体"/>
          <w:color w:val="auto"/>
          <w:sz w:val="24"/>
          <w:szCs w:val="24"/>
          <w:highlight w:val="none"/>
          <w:u w:val="none"/>
          <w:lang w:bidi="ar"/>
        </w:rPr>
        <w:t xml:space="preserve">涉及维修或新增改建的设备品牌或型号与原品牌或型号不一致，发生变化的，须提前得到采购人批准，且新设备性能不低于原设备。</w:t>
      </w:r>
      <w:r>
        <w:rPr>
          <w:rFonts w:hint="eastAsia" w:ascii="宋体" w:hAnsi="宋体" w:eastAsia="宋体" w:cs="宋体"/>
          <w:color w:val="0000ff"/>
          <w:sz w:val="24"/>
          <w:szCs w:val="24"/>
          <w:highlight w:val="none"/>
          <w:u w:val="none"/>
          <w:lang w:bidi="ar"/>
        </w:rPr>
        <w:t xml:space="preserve">涉及新设备的单价和其它费用（工作量等）的结算最终按审定价下浮15%执行。</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bidi="ar"/>
        </w:rPr>
        <w:t xml:space="preserve">13.</w:t>
      </w:r>
      <w:r>
        <w:rPr>
          <w:rFonts w:hint="eastAsia" w:ascii="宋体" w:hAnsi="宋体" w:eastAsia="宋体" w:cs="宋体"/>
          <w:color w:val="auto"/>
          <w:sz w:val="24"/>
          <w:szCs w:val="24"/>
          <w:highlight w:val="none"/>
          <w:u w:val="none"/>
          <w:lang w:bidi="ar"/>
        </w:rPr>
        <w:t xml:space="preserve">项目内建设维护工作涉及道路或绿化等</w:t>
      </w:r>
      <w:r>
        <w:rPr>
          <w:rFonts w:hint="eastAsia" w:ascii="宋体" w:hAnsi="宋体" w:eastAsia="宋体" w:cs="宋体"/>
          <w:color w:val="auto"/>
          <w:sz w:val="24"/>
          <w:szCs w:val="24"/>
          <w:highlight w:val="none"/>
          <w:u w:val="none"/>
          <w:lang w:eastAsia="zh-CN" w:bidi="ar"/>
        </w:rPr>
        <w:t xml:space="preserve">其他</w:t>
      </w:r>
      <w:r>
        <w:rPr>
          <w:rFonts w:hint="eastAsia" w:ascii="宋体" w:hAnsi="宋体" w:eastAsia="宋体" w:cs="宋体"/>
          <w:color w:val="auto"/>
          <w:sz w:val="24"/>
          <w:szCs w:val="24"/>
          <w:highlight w:val="none"/>
          <w:u w:val="none"/>
          <w:lang w:bidi="ar"/>
        </w:rPr>
        <w:t xml:space="preserve">部门开挖审批的</w:t>
      </w:r>
      <w:r>
        <w:rPr>
          <w:rFonts w:hint="eastAsia" w:ascii="宋体" w:hAnsi="宋体" w:eastAsia="宋体" w:cs="宋体"/>
          <w:color w:val="auto"/>
          <w:sz w:val="24"/>
          <w:szCs w:val="24"/>
          <w:highlight w:val="none"/>
          <w:u w:val="none"/>
          <w:lang w:eastAsia="zh-CN" w:bidi="ar"/>
        </w:rPr>
        <w:t xml:space="preserve">，由</w:t>
      </w:r>
      <w:r>
        <w:rPr>
          <w:rFonts w:hint="eastAsia" w:ascii="宋体" w:hAnsi="宋体" w:eastAsia="宋体" w:cs="宋体"/>
          <w:color w:val="auto"/>
          <w:sz w:val="24"/>
          <w:szCs w:val="24"/>
          <w:highlight w:val="none"/>
          <w:u w:val="none"/>
          <w:lang w:bidi="ar"/>
        </w:rPr>
        <w:t xml:space="preserve">中标供应商自行协调，并承担所有费用。中标供应商必须得到绿化、道路、管线等部门的批准后</w:t>
      </w:r>
      <w:r>
        <w:rPr>
          <w:rFonts w:hint="eastAsia" w:ascii="宋体" w:hAnsi="宋体" w:eastAsia="宋体" w:cs="宋体"/>
          <w:color w:val="auto"/>
          <w:sz w:val="24"/>
          <w:szCs w:val="24"/>
          <w:highlight w:val="none"/>
          <w:u w:val="none"/>
          <w:lang w:eastAsia="zh-CN" w:bidi="ar"/>
        </w:rPr>
        <w:t xml:space="preserve">才</w:t>
      </w:r>
      <w:r>
        <w:rPr>
          <w:rFonts w:hint="eastAsia" w:ascii="宋体" w:hAnsi="宋体" w:eastAsia="宋体" w:cs="宋体"/>
          <w:color w:val="auto"/>
          <w:sz w:val="24"/>
          <w:szCs w:val="24"/>
          <w:highlight w:val="none"/>
          <w:u w:val="none"/>
          <w:lang w:bidi="ar"/>
        </w:rPr>
        <w:t xml:space="preserve">可以进行施工或占道维护。</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bidi="ar"/>
        </w:rPr>
        <w:t xml:space="preserve">14.</w:t>
      </w:r>
      <w:r>
        <w:rPr>
          <w:rFonts w:hint="eastAsia" w:ascii="宋体" w:hAnsi="宋体" w:eastAsia="宋体" w:cs="宋体"/>
          <w:color w:val="auto"/>
          <w:sz w:val="24"/>
          <w:szCs w:val="24"/>
          <w:highlight w:val="none"/>
          <w:u w:val="none"/>
          <w:lang w:bidi="ar"/>
        </w:rPr>
        <w:t xml:space="preserve">中标供应商在工作期间须严格做好交通安全、生产安全、消防安全等安全保卫工作，杜绝各类安全隐患，如造成人员财产损失的，均由中标供应商承担一切损失及责任。</w:t>
      </w:r>
      <w:r/>
    </w:p>
    <w:p>
      <w:pPr>
        <w:ind w:firstLine="482"/>
        <w:jc w:val="left"/>
        <w:keepLines w:val="0"/>
        <w:keepNext w:val="0"/>
        <w:pageBreakBefore w:val="0"/>
        <w:spacing w:line="440" w:lineRule="exact"/>
        <w:rPr>
          <w:rFonts w:hint="eastAsia" w:ascii="宋体" w:hAnsi="宋体" w:eastAsia="宋体" w:cs="宋体"/>
          <w:b/>
          <w:color w:val="auto"/>
          <w:sz w:val="24"/>
          <w:szCs w:val="24"/>
          <w:highlight w:val="none"/>
          <w:u w:val="none"/>
        </w:rPr>
        <w:outlineLvl w:val="1"/>
      </w:pPr>
      <w:r>
        <w:rPr>
          <w:rFonts w:hint="eastAsia" w:ascii="宋体" w:hAnsi="宋体" w:eastAsia="宋体" w:cs="宋体"/>
          <w:b/>
          <w:color w:val="auto"/>
          <w:sz w:val="24"/>
          <w:szCs w:val="24"/>
          <w:highlight w:val="none"/>
          <w:u w:val="none"/>
          <w:lang w:bidi="ar"/>
        </w:rPr>
        <w:t xml:space="preserve">六、采购项目验收标准</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bidi="ar"/>
        </w:rPr>
        <w:t xml:space="preserve">自觉接受采购人的施工管理和监督，按照采购人的《道路交通安全设施施工（政府采购）考核办法》进行考核。（见合同附件1）</w:t>
      </w:r>
      <w:r/>
    </w:p>
    <w:p>
      <w:pPr>
        <w:ind w:firstLine="482"/>
        <w:jc w:val="left"/>
        <w:keepLines w:val="0"/>
        <w:keepNext w:val="0"/>
        <w:pageBreakBefore w:val="0"/>
        <w:spacing w:line="440" w:lineRule="exact"/>
        <w:rPr>
          <w:rFonts w:hint="eastAsia" w:ascii="宋体" w:hAnsi="宋体" w:eastAsia="宋体" w:cs="宋体"/>
          <w:b/>
          <w:color w:val="auto"/>
          <w:sz w:val="24"/>
          <w:szCs w:val="24"/>
          <w:highlight w:val="none"/>
          <w:u w:val="none"/>
        </w:rPr>
        <w:outlineLvl w:val="1"/>
      </w:pPr>
      <w:r>
        <w:rPr>
          <w:rFonts w:hint="eastAsia" w:ascii="宋体" w:hAnsi="宋体" w:eastAsia="宋体" w:cs="宋体"/>
          <w:b/>
          <w:color w:val="auto"/>
          <w:sz w:val="24"/>
          <w:szCs w:val="24"/>
          <w:highlight w:val="none"/>
          <w:u w:val="none"/>
          <w:lang w:bidi="ar"/>
        </w:rPr>
        <w:t xml:space="preserve">七、付款方式：</w:t>
      </w:r>
      <w:r/>
    </w:p>
    <w:p>
      <w:pPr>
        <w:ind w:firstLine="482"/>
        <w:keepLines w:val="0"/>
        <w:keepNext w:val="0"/>
        <w:pageBreakBefore w:val="0"/>
        <w:spacing w:line="440" w:lineRule="exact"/>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lang w:bidi="ar"/>
        </w:rPr>
        <w:t xml:space="preserve">按照每季度实际完成实际工作量的50%支付工程款，</w:t>
      </w:r>
      <w:r>
        <w:rPr>
          <w:rFonts w:hint="eastAsia" w:ascii="Times New Roman" w:hAnsi="Times New Roman" w:eastAsia="宋体" w:cs="Times New Roman"/>
          <w:b/>
          <w:color w:val="auto"/>
          <w:sz w:val="24"/>
          <w:szCs w:val="20"/>
          <w:highlight w:val="none"/>
          <w:u w:val="none"/>
        </w:rPr>
        <w:t xml:space="preserve">工作量全部进行现场签证（甲乙双方及跟踪审计单位）签字盖章确认后的《确认单》为依据）</w:t>
      </w:r>
      <w:r>
        <w:rPr>
          <w:rFonts w:hint="eastAsia" w:ascii="Times New Roman" w:hAnsi="Times New Roman" w:eastAsia="宋体" w:cs="Times New Roman"/>
          <w:b/>
          <w:color w:val="auto"/>
          <w:sz w:val="24"/>
          <w:szCs w:val="20"/>
          <w:highlight w:val="none"/>
          <w:u w:val="none"/>
          <w:lang w:eastAsia="zh-CN"/>
        </w:rPr>
        <w:t xml:space="preserve">，</w:t>
      </w:r>
      <w:r>
        <w:rPr>
          <w:rFonts w:hint="eastAsia" w:ascii="宋体" w:hAnsi="宋体" w:eastAsia="宋体" w:cs="宋体"/>
          <w:b/>
          <w:bCs/>
          <w:color w:val="auto"/>
          <w:sz w:val="24"/>
          <w:szCs w:val="24"/>
          <w:highlight w:val="none"/>
          <w:u w:val="none"/>
          <w:lang w:bidi="ar"/>
        </w:rPr>
        <w:t xml:space="preserve">合同到期后一个月内完成送审，审计结束付至审定价的80%，余款质保期结束一次性付清。</w:t>
      </w:r>
      <w:r/>
    </w:p>
    <w:p>
      <w:pPr>
        <w:ind w:firstLine="482"/>
        <w:keepLines w:val="0"/>
        <w:keepNext w:val="0"/>
        <w:pageBreakBefore w:val="0"/>
        <w:spacing w:line="440" w:lineRule="exact"/>
        <w:rPr>
          <w:rFonts w:hint="eastAsia" w:ascii="宋体" w:hAnsi="宋体" w:eastAsia="宋体" w:cs="宋体"/>
          <w:b/>
          <w:color w:val="auto"/>
          <w:sz w:val="24"/>
          <w:szCs w:val="24"/>
          <w:highlight w:val="none"/>
          <w:u w:val="none"/>
        </w:rPr>
        <w:outlineLvl w:val="1"/>
      </w:pPr>
      <w:r>
        <w:rPr>
          <w:rFonts w:hint="eastAsia" w:ascii="宋体" w:hAnsi="宋体" w:eastAsia="宋体" w:cs="宋体"/>
          <w:b/>
          <w:color w:val="auto"/>
          <w:sz w:val="24"/>
          <w:szCs w:val="24"/>
          <w:highlight w:val="none"/>
          <w:u w:val="none"/>
          <w:lang w:bidi="ar"/>
        </w:rPr>
        <w:t xml:space="preserve">八、报价及有关说明： </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bidi="ar"/>
        </w:rPr>
        <w:t xml:space="preserve">1.本项目总报价应包括完成该项服务所需的一切费用，包括但不限于完成本项目所需的人员（包括工资和补贴）、设备、运输、安装、调试、培训、办公场所及设施、保险、劳保、管理、各种税费、利润、税金、政策性文件规定及合同包含的所有风险、责任等各项应有费用，任何有选择的报价将不予接受。</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bidi="ar"/>
        </w:rPr>
        <w:t xml:space="preserve">2.除非采购人对采购文件予以修改，投标人应按采购人提供的项目要求，填报单价和合价。投标人未填明细的子目，视为该项目费用已包括在其他有价款的单价或合价内，在实施后，采购人将不另行支付。每一报价明细只允许有一个报价。任何有选择的报价将不予接受。</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bidi="ar"/>
        </w:rPr>
        <w:t xml:space="preserve">3.投标供应商投标报价明显不合理或者低于成本的，将根据政府采购法、《江苏省政府采购供应商监督管理暂行办法》等相关规定进行处理，并予以记录。</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bidi="ar"/>
        </w:rPr>
        <w:t xml:space="preserve">4.服务期限：两年</w:t>
      </w:r>
      <w:r>
        <w:rPr>
          <w:rFonts w:hint="eastAsia" w:ascii="宋体" w:hAnsi="宋体" w:eastAsia="宋体" w:cs="宋体"/>
          <w:color w:val="auto"/>
          <w:sz w:val="24"/>
          <w:szCs w:val="24"/>
          <w:highlight w:val="none"/>
          <w:u w:val="none"/>
          <w:lang w:eastAsia="zh-CN" w:bidi="ar"/>
        </w:rPr>
        <w:t xml:space="preserve">（</w:t>
      </w:r>
      <w:r>
        <w:rPr>
          <w:rFonts w:hint="eastAsia" w:ascii="宋体" w:hAnsi="宋体" w:eastAsia="宋体" w:cs="宋体"/>
          <w:color w:val="auto"/>
          <w:sz w:val="24"/>
          <w:szCs w:val="24"/>
          <w:highlight w:val="none"/>
          <w:u w:val="none"/>
          <w:lang w:val="en-US" w:eastAsia="zh-CN" w:bidi="ar"/>
        </w:rPr>
        <w:t xml:space="preserve">根据合同签订日期</w:t>
      </w:r>
      <w:r>
        <w:rPr>
          <w:rFonts w:hint="eastAsia" w:ascii="宋体" w:hAnsi="宋体" w:eastAsia="宋体" w:cs="宋体"/>
          <w:color w:val="auto"/>
          <w:sz w:val="24"/>
          <w:szCs w:val="24"/>
          <w:highlight w:val="none"/>
          <w:u w:val="none"/>
          <w:lang w:eastAsia="zh-CN" w:bidi="ar"/>
        </w:rPr>
        <w:t xml:space="preserve">）</w:t>
      </w:r>
      <w:r>
        <w:rPr>
          <w:rFonts w:hint="eastAsia" w:ascii="宋体" w:hAnsi="宋体" w:eastAsia="宋体" w:cs="宋体"/>
          <w:color w:val="auto"/>
          <w:sz w:val="24"/>
          <w:szCs w:val="24"/>
          <w:highlight w:val="none"/>
          <w:u w:val="none"/>
          <w:lang w:bidi="ar"/>
        </w:rPr>
        <w:t xml:space="preserve">。</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bidi="ar"/>
        </w:rPr>
        <w:t xml:space="preserve">5.养护范围：无锡市新吴区江溪街道管辖范围内。</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lang w:bidi="ar"/>
        </w:rPr>
      </w:pPr>
      <w:r>
        <w:rPr>
          <w:rFonts w:hint="eastAsia" w:ascii="宋体" w:hAnsi="宋体" w:eastAsia="宋体" w:cs="宋体"/>
          <w:color w:val="auto"/>
          <w:sz w:val="24"/>
          <w:szCs w:val="24"/>
          <w:highlight w:val="none"/>
          <w:u w:val="none"/>
          <w:lang w:bidi="ar"/>
        </w:rPr>
        <w:t xml:space="preserve">6.罚则：①如被上级行政主管部门巡查，发现问题</w:t>
      </w:r>
      <w:r>
        <w:rPr>
          <w:rFonts w:hint="eastAsia" w:ascii="宋体" w:hAnsi="宋体" w:eastAsia="宋体" w:cs="宋体"/>
          <w:color w:val="auto"/>
          <w:sz w:val="24"/>
          <w:szCs w:val="24"/>
          <w:highlight w:val="none"/>
          <w:u w:val="none"/>
          <w:lang w:eastAsia="zh-CN" w:bidi="ar"/>
        </w:rPr>
        <w:t xml:space="preserve">处罚</w:t>
      </w:r>
      <w:r>
        <w:rPr>
          <w:rFonts w:hint="eastAsia" w:ascii="宋体" w:hAnsi="宋体" w:eastAsia="宋体" w:cs="宋体"/>
          <w:color w:val="auto"/>
          <w:sz w:val="24"/>
          <w:szCs w:val="24"/>
          <w:highlight w:val="none"/>
          <w:u w:val="none"/>
          <w:lang w:bidi="ar"/>
        </w:rPr>
        <w:t xml:space="preserve">1000元/个；②养护期内，如巡查有安全隐患的应及时向江溪街道城管部门</w:t>
      </w:r>
      <w:r>
        <w:rPr>
          <w:rFonts w:hint="eastAsia" w:ascii="宋体" w:hAnsi="宋体" w:eastAsia="宋体" w:cs="宋体"/>
          <w:color w:val="auto"/>
          <w:sz w:val="24"/>
          <w:szCs w:val="24"/>
          <w:highlight w:val="none"/>
          <w:u w:val="none"/>
          <w:lang w:eastAsia="zh-CN" w:bidi="ar"/>
        </w:rPr>
        <w:t xml:space="preserve">反映</w:t>
      </w:r>
      <w:r>
        <w:rPr>
          <w:rFonts w:hint="eastAsia" w:ascii="宋体" w:hAnsi="宋体" w:eastAsia="宋体" w:cs="宋体"/>
          <w:color w:val="auto"/>
          <w:sz w:val="24"/>
          <w:szCs w:val="24"/>
          <w:highlight w:val="none"/>
          <w:u w:val="none"/>
          <w:lang w:bidi="ar"/>
        </w:rPr>
        <w:t xml:space="preserve">，由街道决定养护方案；如因未巡查到而引起的安全事故，则由施工单位承担责任。</w:t>
      </w:r>
      <w:r/>
    </w:p>
    <w:p>
      <w:pPr>
        <w:ind w:firstLine="480"/>
        <w:keepLines w:val="0"/>
        <w:keepNext w:val="0"/>
        <w:pageBreakBefore w:val="0"/>
        <w:spacing w:line="440" w:lineRule="exact"/>
        <w:rPr>
          <w:rFonts w:hint="eastAsia" w:ascii="宋体" w:hAnsi="宋体" w:eastAsia="宋体" w:cs="宋体"/>
          <w:color w:val="auto"/>
          <w:sz w:val="24"/>
          <w:szCs w:val="24"/>
          <w:highlight w:val="none"/>
          <w:u w:val="none"/>
          <w:lang w:bidi="ar"/>
        </w:rPr>
      </w:pPr>
      <w:r>
        <w:rPr>
          <w:rFonts w:hint="eastAsia" w:ascii="宋体" w:hAnsi="宋体" w:eastAsia="宋体" w:cs="宋体"/>
          <w:color w:val="auto"/>
          <w:sz w:val="24"/>
          <w:szCs w:val="24"/>
          <w:highlight w:val="none"/>
          <w:u w:val="none"/>
          <w:lang w:bidi="ar"/>
        </w:rPr>
        <w:t xml:space="preserve">7.设施维护清单：</w:t>
      </w:r>
      <w:r/>
    </w:p>
    <w:p>
      <w:pPr>
        <w:ind w:firstLine="420"/>
        <w:jc w:val="center"/>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
        </w:rPr>
        <w:t xml:space="preserve">江溪街道交通设施维护各类品种报价汇总表</w:t>
      </w:r>
      <w:r/>
    </w:p>
    <w:tbl>
      <w:tblPr>
        <w:tblStyle w:val="71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39"/>
        <w:gridCol w:w="5518"/>
        <w:gridCol w:w="1042"/>
        <w:gridCol w:w="2359"/>
      </w:tblGrid>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服务内容</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一年工作量</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（预估）</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400型绿满灯芯</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400型红满灯芯</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400型黄满灯芯</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400型绿箭灯芯</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400型红箭灯芯</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400型黄箭灯芯</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400型三色箭头灯芯</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400型双色人行灯芯</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400型箭头灯信号灯组</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400型满灯信号灯组</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非机动车信号灯组（带左转）</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400型双色人行信号灯组</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带语音提示复合人行信号灯组</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六联一体化立柱式信号灯组</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四联一体化立柱式信号灯组</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双排一体化立柱式信号灯组</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单排一体化立柱式信号灯组</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660"/>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RX400-2-DW（整组）组合式人行信号灯灯壳</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大信号机门</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TSC-2010联网型大信号机</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主控板（信号机内部元件）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驱动板（信号机内部元件）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80"/>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硬件黄闪器ES513-V03 DAWAY TECHNOLOGIES COPYRIGHT 2000</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电源板（信号机内部元件）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底板（信号机内部元件）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机箱（信号机外壳）</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鼠笼（含面板、信号机内部元件）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5V光端机电源（信号机内部元件）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9V光端机电源（信号机内部元件）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CV1000ST/R光纤收发器</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ATX-350SD工控机箱电源</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P3105-220光端机箱专用电源</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SD-6A9230F自动违停抓拍球机</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DH-ITES0804终端管理设备</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P10户外单红色显示屏P10 1R</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CXBG-1-PS-DWLED频闪灯</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CXBG-2-MC-DW闪光灯</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国标KVV 4*1.5控制线缆敷设</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千米</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国标KVV 7*1.5控制线缆敷设</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千米</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国标KVV 2*4控制线缆敷设</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千米</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国标RVV 3*1.5控制线缆敷设</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千米</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国标RVV 2*1控制线缆敷设</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千米</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国标RVV 4*1控制线缆敷设</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千米</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国标RVVP 4*1.5控制线缆敷设</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千米</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国标RVVP 8*0.5控制线缆敷设</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千米</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国标RVV 2*1.5控制线缆敷设</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千米</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国标RVSP 6*0.5控制线缆敷设</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千米</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国标RVSP 4*1控制线缆敷设</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千米</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国标RVSP 4*1.5控制线缆敷设</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千米</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国标RVSP 2*1.5控制线缆敷设</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千米</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￠50PE管敷设（含开挖、恢复）</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千米</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DN50镀锌钢管敷设（含开挖、恢复）</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千米</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7M*3.5M镀锌钢制挑臂杆</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7M*5M镀锌钢制挑臂杆</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7M*8M镀锌钢制挑臂杆</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7M*9M镀锌钢制挑臂杆</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7M*10M镀锌钢制挑臂杆</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3M人行灯杆</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公安砖砌手孔窨井（含圈盖）</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直径0.9米铸铁窨井盖</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信号灯帽檐</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信号灯裙边</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信号灯灯罩</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手控（信号机内部元件）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六脚钮子开关（信号机内部元件）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航空插头（信号机内部元件）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机箱门板</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信号机箱门锁</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信号机箱铰链（小）</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付</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信号机箱铰链（大）</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付</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5A保险丝（信号机内部元件）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10K电阻（信号机内部元件）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JZCI-44/（3TH82）接触器（信号机内部元件）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MY2N继电器（信号机内部元件）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2P空气开关（信号机内部元件）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CR2025主板电池（信号机内部元件）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JZC1接触式继电器（信号机内部元件）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T120电源（信号机内部元件）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D30A电源（信号机内部元件）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S-15电源（信号机内部元件）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S-35电源（信号机内部元件）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24V防水电源（信号机内部元件）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 S-35-55V开关电源（信号机内部元件）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 D-60A12V开关电源（信号机内部元件）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2米5镀锌接地桩</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直径0.9米大工井</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1.0*0.8*0.6米小工井</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基础笼</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0.8*0.6米水泥窨井盖</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常温标线</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热熔标线</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振动标线</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常温型小型车位标线（含停放箭头）</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常温型非机动车位标线（含停放箭头、非机动车图案）</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小型新泽西水泥钢筋护栏</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小型新泽西水泥钢筋护栏配套用钢管</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中分带绿化护栏（1600*2500mm）（钢管材质、电焊网隔离栅）</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防眩护栏（1110*3000mm）（钢管材质）</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片/墩</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机非护栏（1050*3000mm）（钢管材质）</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片/墩</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新型交通灰中心护栏（1050*3000mm）</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新型交通灰机非护栏（900*2500mm）</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新型交通人非护栏（965*2850mm）</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荧光黄绿、黑警示桩（φ75.5mm）</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荧光黄绿、黑警示桩（φ114mm）</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双面太阳能警示桩（行人优先）</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单面太阳能箭头警示桩</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太阳能黄闪灯</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太阳能爆闪灯</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H700mm圆锥筒</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800*600mm防撞桶</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交通凸面镜φ80</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禁令标志φ80</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警告标志△90</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标志牌</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标志牌更改版面</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标志杆油漆</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护栏铸铁底座油漆</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新型右侧行驶标志</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活动撑牌（800*1000）</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单杆立柱（φ76*3500）</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单杆立柱（φ76*4500）</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悬臂式标志杆（φ159*6500）</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悬臂式标志杆（φ219*7000）</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悬臂式标志杆（φ299*8170）</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高压水除线</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1500*450路名牌（含立杆基础）</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付</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102*88*16mm反光道钉</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基础加固（标志基础松动后的加固）</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62"/>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整理工时费（含汽车台班）</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人/天</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4*180</w:t>
            </w:r>
            <w:r/>
          </w:p>
        </w:tc>
      </w:tr>
      <w:tr>
        <w:trPr>
          <w:trHeight w:val="450"/>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登高车台班</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台次</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r>
      <w:tr>
        <w:trPr>
          <w:trHeight w:val="495"/>
        </w:trPr>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w:t>
            </w:r>
            <w:r/>
          </w:p>
        </w:tc>
        <w:tc>
          <w:tcPr>
            <w:shd w:val="clear" w:color="auto" w:fill="auto"/>
            <w:tcW w:w="27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抢修吊车台班</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台次</w:t>
            </w:r>
            <w:r/>
          </w:p>
        </w:tc>
        <w:tc>
          <w:tcPr>
            <w:shd w:val="clear" w:color="auto" w:fill="auto"/>
            <w:tcW w:w="11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bl>
    <w:p>
      <w:pPr>
        <w:keepLines w:val="0"/>
        <w:keepNext w:val="0"/>
        <w:pageBreakBefore w:val="0"/>
        <w:spacing w:before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u w:val="none"/>
          <w:lang w:bidi="ar"/>
        </w:rPr>
        <w:t xml:space="preserve">注：1）招标文件中设定的每年工程量为预估工程量，仅供统一评标设置，在实际维护施工中根据交通管理需要发生变化。最终按实际施工工作量进行结算。</w:t>
      </w:r>
      <w:r/>
    </w:p>
    <w:p>
      <w:pPr>
        <w:ind w:firstLine="480"/>
        <w:keepLines w:val="0"/>
        <w:keepNext w:val="0"/>
        <w:pageBreakBefore w:val="0"/>
        <w:spacing w:line="360" w:lineRule="auto"/>
        <w:widowControl w:val="off"/>
        <w:rPr>
          <w:rFonts w:hint="eastAsia" w:ascii="宋体" w:hAnsi="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 xml:space="preserve">2）以上价格为全费用价格，包括完成该项服务所需的一切费用，包括但不限于完成本项目所需的人员（包括工资和补贴）、设备、运输、安装、调试、检验、验收、办公场所及设施、保险、劳保、管理、各种税费、利润、税金，质保期内的售后服务及政策性文件规定及合同包含的所有风险、责任等各项应有费用。若为拆换则包含拆装及垃圾处理费用</w:t>
      </w:r>
      <w:r>
        <w:rPr>
          <w:rFonts w:hint="eastAsia" w:ascii="宋体" w:hAnsi="宋体" w:cs="宋体"/>
          <w:b/>
          <w:color w:val="auto"/>
          <w:sz w:val="24"/>
          <w:szCs w:val="24"/>
          <w:highlight w:val="none"/>
          <w:lang w:val="en-US" w:eastAsia="zh-CN" w:bidi="ar"/>
        </w:rPr>
        <w:t xml:space="preserve">。</w:t>
      </w:r>
      <w:r/>
    </w:p>
    <w:p>
      <w:pPr>
        <w:ind w:firstLine="480"/>
        <w:keepLines w:val="0"/>
        <w:keepNext w:val="0"/>
        <w:pageBreakBefore w:val="0"/>
        <w:spacing w:line="360" w:lineRule="auto"/>
        <w:widowControl w:val="off"/>
        <w:rPr>
          <w:rFonts w:hint="default" w:ascii="宋体" w:hAnsi="宋体" w:cs="宋体"/>
          <w:b/>
          <w:color w:val="0000ff"/>
          <w:sz w:val="24"/>
          <w:szCs w:val="24"/>
          <w:highlight w:val="yellow"/>
          <w:lang w:val="en-US" w:eastAsia="zh-CN" w:bidi="ar"/>
        </w:rPr>
      </w:pPr>
      <w:r>
        <w:rPr>
          <w:rFonts w:hint="eastAsia" w:ascii="宋体" w:hAnsi="宋体" w:cs="宋体"/>
          <w:b/>
          <w:color w:val="0000ff"/>
          <w:sz w:val="24"/>
          <w:szCs w:val="24"/>
          <w:highlight w:val="yellow"/>
          <w:lang w:val="en-US" w:eastAsia="zh-CN" w:bidi="ar"/>
        </w:rPr>
        <w:t xml:space="preserve">3）涉及维修或新增改建的设备品牌或型号与原品牌或型号不一致，发生变化的，须提前得到采购人批准，且新设备性能不低于原设备。涉及新设备的单价和其它费用（工作量等）的结算最终按审定价下浮15%执行。</w:t>
      </w:r>
      <w:r/>
    </w:p>
    <w:p>
      <w:pPr>
        <w:spacing w:line="360" w:lineRule="auto"/>
        <w:rPr>
          <w:color w:val="auto"/>
          <w:highlight w:val="none"/>
        </w:rPr>
      </w:pPr>
      <w:r>
        <w:rPr>
          <w:rFonts w:hint="eastAsia" w:ascii="宋体" w:hAnsi="宋体"/>
          <w:bCs/>
          <w:color w:val="auto"/>
          <w:sz w:val="24"/>
          <w:highlight w:val="none"/>
        </w:rPr>
        <w:br w:type="page" w:clear="all"/>
      </w:r>
      <w:r/>
    </w:p>
    <w:p>
      <w:pPr>
        <w:ind w:firstLine="560"/>
        <w:jc w:val="center"/>
        <w:spacing w:line="360" w:lineRule="auto"/>
        <w:rPr>
          <w:rFonts w:ascii="黑体" w:hAnsi="宋体" w:eastAsia="黑体"/>
          <w:b/>
          <w:color w:val="auto"/>
          <w:sz w:val="28"/>
          <w:szCs w:val="28"/>
          <w:highlight w:val="none"/>
        </w:rPr>
        <w:outlineLvl w:val="0"/>
      </w:pPr>
      <w:r/>
      <w:bookmarkStart w:id="5" w:name="_Toc13749"/>
      <w:r>
        <w:rPr>
          <w:rFonts w:hint="eastAsia" w:ascii="黑体" w:eastAsia="黑体"/>
          <w:bCs/>
          <w:color w:val="auto"/>
          <w:sz w:val="28"/>
          <w:szCs w:val="28"/>
          <w:highlight w:val="none"/>
        </w:rPr>
        <w:t xml:space="preserve">四</w:t>
      </w:r>
      <w:r>
        <w:rPr>
          <w:rFonts w:hint="eastAsia" w:ascii="黑体" w:eastAsia="黑体"/>
          <w:bCs/>
          <w:color w:val="auto"/>
          <w:sz w:val="28"/>
          <w:szCs w:val="28"/>
          <w:highlight w:val="none"/>
          <w:lang w:val="en-US" w:eastAsia="zh-CN"/>
        </w:rPr>
        <w:t xml:space="preserve">.</w:t>
      </w:r>
      <w:r>
        <w:rPr>
          <w:rFonts w:hint="eastAsia" w:ascii="黑体" w:hAnsi="宋体" w:eastAsia="黑体"/>
          <w:b/>
          <w:color w:val="auto"/>
          <w:sz w:val="28"/>
          <w:szCs w:val="28"/>
          <w:highlight w:val="none"/>
        </w:rPr>
        <w:t xml:space="preserve">合同书（</w:t>
      </w:r>
      <w:r>
        <w:rPr>
          <w:rFonts w:hint="eastAsia" w:ascii="黑体" w:hAnsi="宋体" w:eastAsia="黑体"/>
          <w:color w:val="auto"/>
          <w:sz w:val="28"/>
          <w:szCs w:val="28"/>
          <w:highlight w:val="none"/>
        </w:rPr>
        <w:t xml:space="preserve">格式文本</w:t>
      </w:r>
      <w:r>
        <w:rPr>
          <w:rFonts w:hint="eastAsia" w:ascii="黑体" w:hAnsi="宋体" w:eastAsia="黑体"/>
          <w:b/>
          <w:color w:val="auto"/>
          <w:sz w:val="28"/>
          <w:szCs w:val="28"/>
          <w:highlight w:val="none"/>
        </w:rPr>
        <w:t xml:space="preserve">）</w:t>
      </w:r>
      <w:bookmarkEnd w:id="5"/>
      <w:r/>
      <w:r/>
    </w:p>
    <w:p>
      <w:pPr>
        <w:ind w:firstLine="480"/>
        <w:spacing w:line="360" w:lineRule="auto"/>
        <w:rPr>
          <w:rFonts w:ascii="黑体" w:eastAsia="黑体"/>
          <w:b/>
          <w:color w:val="auto"/>
          <w:sz w:val="28"/>
          <w:szCs w:val="28"/>
          <w:highlight w:val="none"/>
        </w:rPr>
      </w:pPr>
      <w:r>
        <w:rPr>
          <w:rFonts w:hint="eastAsia" w:ascii="宋体" w:hAnsi="宋体"/>
          <w:b/>
          <w:color w:val="auto"/>
          <w:sz w:val="24"/>
          <w:szCs w:val="24"/>
          <w:highlight w:val="none"/>
        </w:rPr>
        <w:t xml:space="preserve">根据《中华人民共和国政府采购法》及相关法规、《中华人民共和国民法典》，遵循平等、自愿、公平和诚实信用的原则，供需双方就</w:t>
      </w:r>
      <w:r>
        <w:rPr>
          <w:rFonts w:hint="eastAsia" w:ascii="宋体" w:hAnsi="宋体"/>
          <w:b/>
          <w:color w:val="auto"/>
          <w:sz w:val="24"/>
          <w:szCs w:val="24"/>
          <w:highlight w:val="none"/>
          <w:u w:val="single"/>
          <w:lang w:val="en-US" w:eastAsia="zh-CN"/>
        </w:rPr>
        <w:t xml:space="preserve">     </w:t>
      </w:r>
      <w:r>
        <w:rPr>
          <w:rFonts w:hint="eastAsia" w:ascii="宋体" w:hAnsi="宋体"/>
          <w:b/>
          <w:color w:val="auto"/>
          <w:sz w:val="24"/>
          <w:szCs w:val="24"/>
          <w:highlight w:val="none"/>
        </w:rPr>
        <w:t xml:space="preserve">项目（项目编号：</w:t>
      </w:r>
      <w:r>
        <w:rPr>
          <w:rFonts w:hint="eastAsia" w:ascii="宋体" w:hAnsi="宋体"/>
          <w:b/>
          <w:color w:val="auto"/>
          <w:sz w:val="24"/>
          <w:szCs w:val="24"/>
          <w:highlight w:val="none"/>
          <w:lang w:val="en-US" w:eastAsia="zh-CN"/>
        </w:rPr>
        <w:t xml:space="preserve">    </w:t>
      </w:r>
      <w:r>
        <w:rPr>
          <w:rFonts w:hint="eastAsia" w:ascii="宋体" w:hAnsi="宋体"/>
          <w:b/>
          <w:color w:val="auto"/>
          <w:sz w:val="24"/>
          <w:szCs w:val="24"/>
          <w:highlight w:val="none"/>
        </w:rPr>
        <w:t xml:space="preserve">）实施及有关事项协商一致，共同达成如下协议：</w:t>
      </w:r>
      <w:r/>
    </w:p>
    <w:p>
      <w:pPr>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ind w:firstLine="480"/>
        <w:spacing w:line="460" w:lineRule="exact"/>
        <w:tabs>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一、政府采购编号：  </w:t>
      </w:r>
      <w:r/>
    </w:p>
    <w:p>
      <w:pPr>
        <w:ind w:firstLine="480"/>
        <w:spacing w:line="460" w:lineRule="exact"/>
        <w:tabs>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二、采购内容：</w:t>
      </w:r>
      <w:bookmarkStart w:id="6" w:name="_Hlk2066327"/>
      <w:r/>
      <w:bookmarkEnd w:id="6"/>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三、中标总金额：</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大写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rPr>
        <w:t xml:space="preserve">小写</w:t>
      </w:r>
      <w:r>
        <w:rPr>
          <w:rFonts w:hint="eastAsia" w:ascii="宋体" w:hAnsi="宋体" w:cs="宋体"/>
          <w:bCs/>
          <w:color w:val="auto"/>
          <w:sz w:val="24"/>
          <w:highlight w:val="none"/>
          <w:lang w:eastAsia="zh-CN"/>
        </w:rPr>
        <w:t xml:space="preserve">）</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四、质量要求及验收标准：</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五、服务期：</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六、服务地点和方式：</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七、服务费支付步骤和办法：</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八、违约责任：</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color w:val="auto"/>
          <w:sz w:val="24"/>
          <w:highlight w:val="none"/>
        </w:rPr>
        <w:t xml:space="preserve">九、解决争议的方式：</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十、</w:t>
      </w:r>
      <w:r>
        <w:rPr>
          <w:rFonts w:hint="eastAsia" w:ascii="宋体" w:hAnsi="宋体" w:cs="宋体"/>
          <w:bCs/>
          <w:color w:val="auto"/>
          <w:sz w:val="24"/>
          <w:highlight w:val="none"/>
          <w:lang w:eastAsia="zh-CN"/>
        </w:rPr>
        <w:t xml:space="preserve">其他</w:t>
      </w:r>
      <w:r>
        <w:rPr>
          <w:rFonts w:hint="eastAsia" w:ascii="宋体" w:hAnsi="宋体" w:cs="宋体"/>
          <w:bCs/>
          <w:color w:val="auto"/>
          <w:sz w:val="24"/>
          <w:highlight w:val="none"/>
        </w:rPr>
        <w:t xml:space="preserve">事项：</w:t>
      </w:r>
      <w:r/>
    </w:p>
    <w:p>
      <w:pPr>
        <w:ind w:firstLine="480"/>
        <w:spacing w:line="460" w:lineRule="exact"/>
        <w:tabs>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十一、合同不可分割部分：招标文件、投标文件、合同条款及中标通知书，供方在投标、评标过程中所作其它有关承诺、声明、书面澄清等均为合同不可分割的部分，与主合同具有同等法律效力。</w:t>
      </w:r>
      <w:r/>
    </w:p>
    <w:p>
      <w:pPr>
        <w:ind w:firstLine="480"/>
        <w:spacing w:line="460" w:lineRule="exact"/>
        <w:tabs>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十二、合同备案：合同一式伍份，供需双方各执贰份，见证方一份。</w:t>
      </w:r>
      <w:r/>
    </w:p>
    <w:p>
      <w:pPr>
        <w:ind w:firstLine="480"/>
        <w:spacing w:line="460" w:lineRule="exact"/>
        <w:tabs>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十三、合同生效：本合同由供需双方签字盖章并经见证后生效。</w:t>
      </w:r>
      <w:r/>
    </w:p>
    <w:p>
      <w:pPr>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p>
    <w:p>
      <w:pPr>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                        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w:t>
      </w:r>
      <w:r/>
    </w:p>
    <w:p>
      <w:pPr>
        <w:ind w:firstLine="840"/>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年  月  日                              年  月  日</w:t>
      </w:r>
      <w:r/>
    </w:p>
    <w:p>
      <w:pPr>
        <w:ind w:firstLine="3240"/>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               供方户名：</w:t>
      </w:r>
      <w:r/>
    </w:p>
    <w:p>
      <w:pPr>
        <w:ind w:firstLine="5040"/>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供方开户银行：</w:t>
      </w:r>
      <w:r/>
    </w:p>
    <w:p>
      <w:pP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                                          供方账号：</w:t>
      </w:r>
      <w:r/>
    </w:p>
    <w:p>
      <w:pPr>
        <w:spacing w:line="460" w:lineRule="exact"/>
        <w:rPr>
          <w:rFonts w:ascii="宋体" w:hAnsi="宋体" w:cs="宋体"/>
          <w:bCs/>
          <w:color w:val="auto"/>
          <w:sz w:val="24"/>
          <w:highlight w:val="none"/>
        </w:rPr>
      </w:pPr>
      <w:r>
        <w:rPr>
          <w:rFonts w:ascii="宋体" w:hAnsi="宋体" w:cs="宋体"/>
          <w:bCs/>
          <w:color w:val="auto"/>
          <w:sz w:val="24"/>
          <w:highlight w:val="none"/>
        </w:rPr>
      </w:r>
      <w:r/>
    </w:p>
    <w:p>
      <w:pP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见证方（公章）：                          日期：</w:t>
      </w:r>
      <w:r/>
    </w:p>
    <w:p>
      <w:pPr>
        <w:jc w:val="center"/>
        <w:spacing w:line="440" w:lineRule="exact"/>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br w:type="page" w:clear="all"/>
      </w:r>
      <w:bookmarkStart w:id="7" w:name="_Toc15345"/>
      <w:r>
        <w:rPr>
          <w:rFonts w:hint="eastAsia" w:ascii="黑体" w:hAnsi="黑体" w:eastAsia="黑体"/>
          <w:bCs/>
          <w:color w:val="auto"/>
          <w:sz w:val="28"/>
          <w:szCs w:val="28"/>
          <w:highlight w:val="none"/>
        </w:rPr>
        <w:t xml:space="preserve">五.合同条款</w:t>
      </w:r>
      <w:bookmarkEnd w:id="7"/>
      <w:r/>
      <w:r/>
    </w:p>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（根据相关法律规定以及采购文件确定事项订立）</w:t>
      </w:r>
      <w:r/>
    </w:p>
    <w:p>
      <w:pPr>
        <w:ind w:firstLine="420"/>
        <w:jc w:val="both"/>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
        </w:rPr>
        <w:t xml:space="preserve">（一） 合同内容：</w:t>
      </w:r>
      <w:r/>
    </w:p>
    <w:p>
      <w:pPr>
        <w:ind w:firstLine="360"/>
        <w:jc w:val="both"/>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
        </w:rPr>
        <w:t xml:space="preserve">1、供方负责的江溪街道交警中队交通设施维护（江溪街道</w:t>
      </w:r>
      <w:r>
        <w:rPr>
          <w:rFonts w:hint="eastAsia" w:ascii="宋体" w:hAnsi="宋体" w:eastAsia="宋体" w:cs="宋体"/>
          <w:color w:val="auto"/>
          <w:sz w:val="24"/>
          <w:szCs w:val="24"/>
          <w:highlight w:val="none"/>
          <w:lang w:val="en-US" w:eastAsia="zh-CN" w:bidi="ar"/>
        </w:rPr>
        <w:t xml:space="preserve">辖区内</w:t>
      </w:r>
      <w:r>
        <w:rPr>
          <w:rFonts w:hint="eastAsia" w:ascii="宋体" w:hAnsi="宋体" w:eastAsia="宋体" w:cs="宋体"/>
          <w:bCs/>
          <w:color w:val="auto"/>
          <w:sz w:val="24"/>
          <w:szCs w:val="24"/>
          <w:highlight w:val="none"/>
          <w:lang w:val="en-US" w:eastAsia="zh-CN" w:bidi="ar"/>
        </w:rPr>
        <w:t xml:space="preserve">道路标志标线、护栏等维护包括设施被盗和损坏后维持原样修复费用等），具体以江溪街道交警中队出具的工作联系通知单为准，供方不得以任何理由或形式拒绝执行。</w:t>
      </w:r>
      <w:r/>
    </w:p>
    <w:p>
      <w:pPr>
        <w:ind w:firstLine="420"/>
        <w:jc w:val="both"/>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
        </w:rPr>
        <w:t xml:space="preserve">2、下列文件为本合同不可分割部分：</w:t>
      </w:r>
      <w:r/>
    </w:p>
    <w:p>
      <w:pPr>
        <w:numPr>
          <w:ilvl w:val="0"/>
          <w:numId w:val="15"/>
        </w:numPr>
        <w:ind w:left="1240" w:hanging="360"/>
        <w:jc w:val="both"/>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
        </w:rPr>
        <w:t xml:space="preserve">中标通知书；</w:t>
      </w:r>
      <w:r/>
    </w:p>
    <w:p>
      <w:pPr>
        <w:numPr>
          <w:ilvl w:val="0"/>
          <w:numId w:val="15"/>
        </w:numPr>
        <w:ind w:left="1240" w:hanging="360"/>
        <w:jc w:val="both"/>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
        </w:rPr>
        <w:t xml:space="preserve">投标书；</w:t>
      </w:r>
      <w:r/>
    </w:p>
    <w:p>
      <w:pPr>
        <w:numPr>
          <w:ilvl w:val="0"/>
          <w:numId w:val="15"/>
        </w:numPr>
        <w:ind w:left="1240" w:hanging="360"/>
        <w:jc w:val="both"/>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
        </w:rPr>
        <w:t xml:space="preserve">供方在招投标过程中所作的其他承诺、声明、书面澄清等；</w:t>
      </w:r>
      <w:r/>
    </w:p>
    <w:p>
      <w:pPr>
        <w:numPr>
          <w:ilvl w:val="0"/>
          <w:numId w:val="15"/>
        </w:numPr>
        <w:ind w:left="1240" w:hanging="360"/>
        <w:jc w:val="both"/>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
        </w:rPr>
        <w:t xml:space="preserve">道路交通安全设施施工（政府采购）考核办法；</w:t>
      </w:r>
      <w:r/>
    </w:p>
    <w:p>
      <w:pPr>
        <w:numPr>
          <w:ilvl w:val="0"/>
          <w:numId w:val="15"/>
        </w:numPr>
        <w:ind w:left="1240" w:hanging="360"/>
        <w:jc w:val="both"/>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
        </w:rPr>
        <w:t xml:space="preserve">安全生产协议书；</w:t>
      </w:r>
      <w:r/>
    </w:p>
    <w:p>
      <w:pPr>
        <w:numPr>
          <w:ilvl w:val="0"/>
          <w:numId w:val="15"/>
        </w:numPr>
        <w:ind w:left="1240" w:hanging="360"/>
        <w:jc w:val="both"/>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
        </w:rPr>
        <w:t xml:space="preserve">招标文件及其附件。</w:t>
      </w:r>
      <w:r/>
    </w:p>
    <w:p>
      <w:pPr>
        <w:ind w:firstLine="480"/>
        <w:spacing w:line="360" w:lineRule="auto"/>
        <w:rPr>
          <w:rFonts w:hint="eastAsia" w:ascii="宋体" w:hAnsi="宋体" w:eastAsia="宋体" w:cs="宋体"/>
          <w:bCs/>
          <w:color w:val="auto"/>
          <w:sz w:val="30"/>
          <w:szCs w:val="30"/>
          <w:highlight w:val="none"/>
          <w:u w:val="single"/>
        </w:rPr>
      </w:pPr>
      <w:r>
        <w:rPr>
          <w:rFonts w:hint="eastAsia" w:ascii="宋体" w:hAnsi="宋体" w:eastAsia="宋体" w:cs="宋体"/>
          <w:bCs/>
          <w:color w:val="auto"/>
          <w:sz w:val="24"/>
          <w:szCs w:val="24"/>
          <w:highlight w:val="none"/>
          <w:lang w:bidi="ar"/>
        </w:rPr>
        <w:t xml:space="preserve">3、养护内容：参照往年预估工作量清单（江溪街道交通设施维护项目汇总表），工作量维护完成时间按投标书工作措施日常养护方案第7条实行。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4、考核标准：道路交通安全设施施工（政府采购）考核办法。</w:t>
      </w:r>
      <w:r/>
    </w:p>
    <w:p>
      <w:pPr>
        <w:ind w:firstLine="540"/>
        <w:jc w:val="both"/>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
        </w:rPr>
        <w:t xml:space="preserve">5、维护服务周期：2年（      年     月   日——    年    月   日）。</w:t>
      </w:r>
      <w:r/>
    </w:p>
    <w:p>
      <w:pPr>
        <w:ind w:firstLine="480"/>
        <w:spacing w:after="156"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（二） 价格及支付：</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1.按此次固定单价执行，合同总标的额为</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 xml:space="preserve">，最终价格以审计结算为准。</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2.付款方式：</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按照每季度实际完成实际工作量的50%支付工程款，工作量全部进行现场签证（甲乙双方及跟踪审计单位）签字盖章确认后的《确认单》为依据），合同到期后一个月内完成送审，审计结束付至审定价的80%，余款质保期结束一次性付清。</w:t>
      </w:r>
      <w:r/>
    </w:p>
    <w:p>
      <w:pPr>
        <w:ind w:firstLine="52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3.结算方式：</w:t>
      </w:r>
      <w:r/>
    </w:p>
    <w:p>
      <w:pPr>
        <w:ind w:firstLine="52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本工程采用固定单价结算。结算方式由施工联系单、工作量确认单上详细的施工事项为主，最终以施工明细进行清算。</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（三）违约责任</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1、甲方未按本协议规定，乙方可依法向甲方要求直接损失经济赔偿；</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2、乙方对本协议规定的义务未履行或履行不力的，甲方可依法向乙方要求经济赔偿，甲方可依本协议规定取消乙方服务资格；</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3、甲、乙双方若有违反本协议规定或其他违纪事项可向相关部门投诉。经相关部门核查，如情况属实将作为有效投诉记录在案，自愿接受相应处罚。</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（四）不可抗力</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1、甲、乙双方如果因不可抗力而导致协议义务的延误或不能履行，不承担误期赔偿或终止协议的责任。</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2、本条所述的“不可抗力”系指下列甲、乙双方无法控制、不可预见的事件，但不包括甲、乙双方的违约或疏忽。这些事件包括：战争、严重火灾、洪水、台风、地震以及其他甲、乙双方商定的事件。</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社会实验室服务义务的协议。</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（五）协议的解除：</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1、甲、乙双方协商一致，可以解除协议。</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2、解除协议的一方，应当在对方违约事实或不可抗力发生之后三十天内书面通知对方提出解除协议，协议在书面通知到达对方时解除。</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3、协议的部分和全部都不得擅自转让。</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4、当乙方出现下列情况之一，甲方可以单方解除协议而不承担任何责任：</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（1）客户对乙方有效投诉记录累计达3次及以上的；</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（2）在协议有效期内，被行业主管部门警告或取消经营资格的；</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（3）在协议有效期内，乙方擅自变更、转让、租借定点资格的；</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（4）未如实反映情况，提供虚假材料的；</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（5）未按承诺的价格提供服务的；</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（6）未能在监测协议书要求的时间内（含同意延长的时间）提交监测报告及数据汇总表和原始记录复印件或受甲方两次书面警告则视为违约，违约达二次的；</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（7）甲方组织的技术考核中乙方存在重大技术问题的；</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（8）报告作假一次的；</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（9）有行为作风问题，行贿一次的；</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（10）响应不足投标承诺达三次的取消委托资格；三次以内响应不足的，每次扣除50%质量保证金。</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（六）争议处置</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在执行本协议中所发生的一切争议，甲、乙双方应通过友好协商的方式进行解决，如协商不能解决的，有关当事方可提请甲方所在地人民法院按司法程序解决。各方因解决争议所产生的各项费用（包括但不限于：诉讼费、律师费、保全保险费、公证费、鉴定费等）均由责任方承担。</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（七）协议生效及其它：</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1、本协议经甲、乙双方签字或盖章后方正式生效。</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2、协议在执行过程中出现的未尽事宜，甲、乙双方在不违背本协议的原则下协商解决，协商结果以书面形式记录在案，作为本协议附件，与本协议具有同等效力。</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（八）本协议</w:t>
      </w:r>
      <w:r>
        <w:rPr>
          <w:rFonts w:hint="eastAsia" w:ascii="宋体" w:hAnsi="宋体" w:eastAsia="宋体" w:cs="宋体"/>
          <w:bCs/>
          <w:color w:val="auto"/>
          <w:sz w:val="24"/>
          <w:highlight w:val="none"/>
        </w:rPr>
        <w:t xml:space="preserve">一式伍份，供需双方各执贰份，见证方壹份</w:t>
      </w:r>
      <w:r>
        <w:rPr>
          <w:rFonts w:hint="eastAsia" w:ascii="宋体" w:hAnsi="宋体" w:eastAsia="宋体" w:cs="宋体"/>
          <w:bCs/>
          <w:color w:val="auto"/>
          <w:sz w:val="24"/>
          <w:szCs w:val="24"/>
          <w:highlight w:val="none"/>
          <w:lang w:bidi="ar"/>
        </w:rPr>
        <w:t xml:space="preserve">。</w:t>
      </w:r>
      <w:r/>
    </w:p>
    <w:p>
      <w:pPr>
        <w:pStyle w:val="972"/>
        <w:rPr>
          <w:rFonts w:hint="eastAsia"/>
          <w:color w:val="auto"/>
          <w:highlight w:val="none"/>
        </w:rPr>
      </w:pPr>
      <w:r>
        <w:rPr>
          <w:rFonts w:hint="eastAsia"/>
          <w:color w:val="auto"/>
          <w:highlight w:val="none"/>
        </w:rPr>
        <w:t xml:space="preserve"> </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合同附件：《道路交通安全设施施工（政府采购）考核办法》</w:t>
      </w:r>
      <w:r/>
    </w:p>
    <w:p>
      <w:pPr>
        <w:ind w:firstLine="1680"/>
        <w:spacing w:line="360" w:lineRule="auto"/>
        <w:rPr>
          <w:rFonts w:hint="default" w:ascii="Times New Roman" w:hAnsi="Times New Roman" w:eastAsia="宋体" w:cs="Times New Roman"/>
          <w:color w:val="auto"/>
          <w:highlight w:val="none"/>
        </w:rPr>
      </w:pPr>
      <w:r>
        <w:rPr>
          <w:rFonts w:hint="eastAsia" w:ascii="宋体" w:hAnsi="宋体" w:eastAsia="宋体" w:cs="宋体"/>
          <w:color w:val="auto"/>
          <w:sz w:val="24"/>
          <w:szCs w:val="24"/>
          <w:highlight w:val="none"/>
          <w:lang w:bidi="ar"/>
        </w:rPr>
        <w:t xml:space="preserve">《安全生产协议书》</w:t>
      </w:r>
      <w:r/>
    </w:p>
    <w:p>
      <w:pPr>
        <w:rPr>
          <w:rFonts w:hint="eastAsia" w:ascii="宋体" w:hAnsi="宋体" w:cs="宋体"/>
          <w:b/>
          <w:color w:val="auto"/>
          <w:spacing w:val="-4"/>
          <w:sz w:val="24"/>
          <w:highlight w:val="none"/>
        </w:rPr>
      </w:pPr>
      <w:r>
        <w:rPr>
          <w:rFonts w:hint="eastAsia" w:ascii="宋体" w:hAnsi="宋体" w:cs="宋体"/>
          <w:b/>
          <w:color w:val="auto"/>
          <w:spacing w:val="-4"/>
          <w:sz w:val="24"/>
          <w:highlight w:val="none"/>
        </w:rPr>
        <w:br w:type="page" w:clear="all"/>
      </w:r>
      <w:r/>
    </w:p>
    <w:p>
      <w:pPr>
        <w:rPr>
          <w:rFonts w:hint="default"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合同附件1：</w:t>
      </w:r>
      <w:r/>
    </w:p>
    <w:p>
      <w:pPr>
        <w:jc w:val="center"/>
        <w:rPr>
          <w:rFonts w:hint="default" w:ascii="Times New Roman" w:hAnsi="Times New Roman" w:eastAsia="宋体" w:cs="Times New Roman"/>
          <w:b/>
          <w:color w:val="auto"/>
          <w:sz w:val="32"/>
          <w:szCs w:val="24"/>
          <w:highlight w:val="none"/>
        </w:rPr>
      </w:pPr>
      <w:r>
        <w:rPr>
          <w:rFonts w:hint="eastAsia" w:ascii="Times New Roman" w:hAnsi="Times New Roman" w:eastAsia="宋体" w:cs="Times New Roman"/>
          <w:b/>
          <w:color w:val="auto"/>
          <w:sz w:val="32"/>
          <w:szCs w:val="24"/>
          <w:highlight w:val="none"/>
        </w:rPr>
        <w:t xml:space="preserve">道路交通安全设施施工（政府采购）考核办法</w:t>
      </w:r>
      <w:r/>
    </w:p>
    <w:p>
      <w:pPr>
        <w:ind w:firstLine="435"/>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为进一步贯彻落实政府采购公开透明、公平竞争、公正和诚实信用的原则，确保江溪街道辖区内道路交通安全、有序和畅通，保证江溪街道辖区内道路交通安全设施维护项目（道路标志、标线、护栏、警示桩、缓冲垫等道路交通安全设施部分）（以下简称本项目）的顺利实施。依据《中华人民共和国道路交通安全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江苏省道路交通安全条例》等法律法规和本项目（政府采购编号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宋体"/>
          <w:color w:val="auto"/>
          <w:sz w:val="24"/>
          <w:szCs w:val="21"/>
          <w:highlight w:val="none"/>
          <w:shd w:val="clear" w:color="auto" w:fill="ffffff"/>
          <w:lang w:eastAsia="zh-CN" w:bidi="ar"/>
        </w:rPr>
        <w:t xml:space="preserve">               </w:t>
      </w:r>
      <w:r>
        <w:rPr>
          <w:rFonts w:hint="eastAsia" w:ascii="宋体" w:hAnsi="宋体" w:eastAsia="宋体" w:cs="Times New Roman"/>
          <w:color w:val="auto"/>
          <w:sz w:val="24"/>
          <w:szCs w:val="24"/>
          <w:highlight w:val="none"/>
        </w:rPr>
        <w:t xml:space="preserve">）公开招标文件的相关规定，制定本考核办法。</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考核对象：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江溪街道交警中队交通设施维护项目（政府采购编号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1"/>
          <w:highlight w:val="none"/>
          <w:shd w:val="clear" w:color="auto" w:fill="ffffff"/>
          <w:lang w:eastAsia="zh-CN" w:bidi="ar"/>
        </w:rPr>
        <w:t xml:space="preserve">               </w:t>
      </w:r>
      <w:r>
        <w:rPr>
          <w:rFonts w:hint="eastAsia" w:ascii="宋体" w:hAnsi="宋体" w:eastAsia="宋体" w:cs="宋体"/>
          <w:color w:val="auto"/>
          <w:sz w:val="24"/>
          <w:szCs w:val="24"/>
          <w:highlight w:val="none"/>
        </w:rPr>
        <w:t xml:space="preserve">），经政府采购公开招标确定的中标人。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奖惩办法：</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一、奖励办法，结合日常的考核，对于严格按照招投标文件，保质保量完成施工任务的中标单位，每月百分考核不低于98分，年终百分考核累计不低于1190分的，发放经发包单位出具的道路交通安全设施维护合格证书。二、惩罚措施，1、书面警告；2、罚款，按当次通知安排的工程量金额，低于5万元（含）的处500元罚款、5万元以上的处该金额的百分之二的罚款。罚款金额在施工工程款里扣除，上缴新吴区财政；3、取消中标单位施工资格，经发包单位集体研究按照招标文件相关规定，取消中标单位施工资格，原合同自动解除，该单</w:t>
      </w:r>
      <w:r>
        <w:rPr>
          <w:rFonts w:hint="eastAsia" w:ascii="宋体" w:hAnsi="宋体" w:eastAsia="宋体" w:cs="Times New Roman"/>
          <w:color w:val="auto"/>
          <w:sz w:val="24"/>
          <w:szCs w:val="24"/>
          <w:highlight w:val="none"/>
        </w:rPr>
        <w:t xml:space="preserve">位及项目负责人列入禁止在新吴区施工的黑名单，5年内不得参加在新吴区范围、涉及交通安全设施的项目招投标。本项目剩余的其他部分按照招标文件相关规定交由第二名中标候选人实施。</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考核办法：</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每月一次由本项目实施单位</w:t>
      </w:r>
      <w:r>
        <w:rPr>
          <w:rFonts w:hint="eastAsia" w:ascii="宋体" w:hAnsi="宋体" w:eastAsia="宋体" w:cs="宋体"/>
          <w:color w:val="auto"/>
          <w:sz w:val="24"/>
          <w:szCs w:val="24"/>
          <w:highlight w:val="none"/>
        </w:rPr>
        <w:t xml:space="preserve">江溪街道交警中队</w:t>
      </w:r>
      <w:r>
        <w:rPr>
          <w:rFonts w:hint="eastAsia" w:ascii="宋体" w:hAnsi="宋体" w:eastAsia="宋体" w:cs="Times New Roman"/>
          <w:color w:val="auto"/>
          <w:sz w:val="24"/>
          <w:szCs w:val="24"/>
          <w:highlight w:val="none"/>
        </w:rPr>
        <w:t xml:space="preserve">对本项目施工单位按照招标文件相关规定进行百分考核，月度满分100分、年终累计满分1200分。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按照招标文件、考核评分细则相关规定进行百分考核，只扣分，不加分。每次对扣分情况以专门表格形式与施工单位见面，注明扣分原因等事项，施工单位负责人或项目经理签字确认，单月累计扣分超过50分（不含）的，取消中标单位施工资格。每月对检查、考核情况进行汇总计算月度得分，通报施工单位负责人或项目经理签字确认。每年度统计汇总考核得分，通报施工单位负责人或项目经理签字确认。年终累计扣分超过300分（不含）的，取消中标单位施工资格。</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br w:type="page" w:clear="all"/>
      </w:r>
      <w:r>
        <w:rPr>
          <w:rFonts w:hint="eastAsia" w:ascii="宋体" w:hAnsi="宋体" w:eastAsia="宋体" w:cs="Times New Roman"/>
          <w:color w:val="auto"/>
          <w:sz w:val="24"/>
          <w:szCs w:val="24"/>
          <w:highlight w:val="none"/>
        </w:rPr>
        <w:t xml:space="preserve">评分细则：</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一、服务响应部分</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1、未按承诺的时间服务响应的，第一次扣5分，书面警告；年内发生第二次扣20分，并处相应金额的罚款；年内发生第三次扣50分，取消中标单位施工资格。</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2、未按规范服务保障承诺的，第一次扣5分，书面警告；年内发生第二次扣20分，并处相应金额的罚款；年内发生第三次扣50分，取消中标单位施工资格。</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因服务响应不及时，致使损坏的道路交通安全设施得不到及时维护，发生二次事故的。①、直接经济损失在5万元（含）以下的，中标施工单位除承担相应责任并负责承担所有应承担的经济赔偿外，第一次扣5分，书面警告；年内发生第二次扣20分，并处相应金额的罚款；年内发生第三次扣50分，取消中标单位施工资格。②、直接经济损失在5万元以上的，中标施工单位除承担相应责任并负责承担所有应承担的经济赔偿外，取消中标单位施工资格。</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4、遇应急抢修、重大保障等紧急情况，中标单位不响应或无能力及时响应的，视为不履行合同，本项目实施单位立即取消中标单位施工资格，委托第二名中标候选人实施。</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二、工程质量部分</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1、未按招标文件要求组织施工，被本项目实施单位</w:t>
      </w:r>
      <w:r>
        <w:rPr>
          <w:rFonts w:hint="eastAsia" w:ascii="宋体" w:hAnsi="宋体" w:eastAsia="宋体" w:cs="宋体"/>
          <w:color w:val="auto"/>
          <w:sz w:val="24"/>
          <w:szCs w:val="24"/>
          <w:highlight w:val="none"/>
        </w:rPr>
        <w:t xml:space="preserve">江溪街道交警中队</w:t>
      </w:r>
      <w:r>
        <w:rPr>
          <w:rFonts w:hint="eastAsia" w:ascii="宋体" w:hAnsi="宋体" w:eastAsia="宋体" w:cs="Times New Roman"/>
          <w:color w:val="auto"/>
          <w:sz w:val="24"/>
          <w:szCs w:val="24"/>
          <w:highlight w:val="none"/>
        </w:rPr>
        <w:t xml:space="preserve">或其他单位和个人发现的工程质量安全隐患，情节轻微未发生后果的，除及时整改，必须承担相关费用外，第一次扣5分，书面警告；年内发生第二次扣20分，并处相应金额的罚款；年内发生第三次扣50分，取消中标单位施工资格。</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2、偷工减料，一经查实消中标单位施工资格。</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本办法最终解释权归</w:t>
      </w:r>
      <w:r>
        <w:rPr>
          <w:rFonts w:hint="eastAsia" w:ascii="宋体" w:hAnsi="宋体" w:eastAsia="宋体" w:cs="宋体"/>
          <w:color w:val="auto"/>
          <w:sz w:val="24"/>
          <w:szCs w:val="24"/>
          <w:highlight w:val="none"/>
        </w:rPr>
        <w:t xml:space="preserve">江溪街道交警中队</w:t>
      </w:r>
      <w:r>
        <w:rPr>
          <w:rFonts w:hint="eastAsia" w:ascii="宋体" w:hAnsi="宋体" w:eastAsia="宋体" w:cs="Times New Roman"/>
          <w:color w:val="auto"/>
          <w:sz w:val="24"/>
          <w:szCs w:val="24"/>
          <w:highlight w:val="none"/>
        </w:rPr>
        <w:t xml:space="preserve">，其他不尽事宜按照相关法律法规执行，施工单位违法的追究相关法律责任。</w:t>
      </w:r>
      <w:r/>
    </w:p>
    <w:p>
      <w:pPr>
        <w:ind w:left="360"/>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合同附件2：安全生产协议书</w:t>
      </w:r>
      <w:r/>
    </w:p>
    <w:p>
      <w:pPr>
        <w:jc w:val="center"/>
        <w:rPr>
          <w:rFonts w:hint="eastAsia" w:ascii="宋体" w:hAnsi="宋体" w:eastAsia="宋体" w:cs="Times New Roman"/>
          <w:b/>
          <w:color w:val="auto"/>
          <w:sz w:val="32"/>
          <w:szCs w:val="24"/>
          <w:highlight w:val="none"/>
        </w:rPr>
      </w:pPr>
      <w:r>
        <w:rPr>
          <w:rFonts w:hint="eastAsia" w:ascii="宋体" w:hAnsi="宋体" w:eastAsia="宋体" w:cs="Times New Roman"/>
          <w:b/>
          <w:color w:val="auto"/>
          <w:sz w:val="32"/>
          <w:szCs w:val="24"/>
          <w:highlight w:val="none"/>
        </w:rPr>
        <w:t xml:space="preserve">安全生产协议书</w:t>
      </w:r>
      <w:r/>
    </w:p>
    <w:p>
      <w:pPr>
        <w:spacing w:line="5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甲方：</w:t>
      </w:r>
      <w:r/>
    </w:p>
    <w:p>
      <w:pPr>
        <w:spacing w:line="5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乙方： </w:t>
      </w:r>
      <w:r/>
    </w:p>
    <w:p>
      <w:pPr>
        <w:ind w:firstLine="480"/>
        <w:keepLines w:val="0"/>
        <w:keepNext w:val="0"/>
        <w:pageBreakBefore w:val="0"/>
        <w:spacing w:line="360" w:lineRule="auto"/>
        <w:widowControl w:val="off"/>
        <w:rPr>
          <w:rFonts w:hint="eastAsia" w:ascii="宋体" w:hAnsi="宋体" w:eastAsia="宋体" w:cs="Times New Roman"/>
          <w:b/>
          <w:color w:val="auto"/>
          <w:sz w:val="24"/>
          <w:szCs w:val="24"/>
          <w:highlight w:val="none"/>
        </w:rPr>
      </w:pPr>
      <w:r>
        <w:rPr>
          <w:rFonts w:hint="eastAsia" w:ascii="宋体" w:hAnsi="宋体" w:eastAsia="宋体" w:cs="宋体"/>
          <w:color w:val="auto"/>
          <w:sz w:val="24"/>
          <w:szCs w:val="24"/>
          <w:highlight w:val="none"/>
        </w:rPr>
        <w:t xml:space="preserve">为了进一步规范</w:t>
      </w:r>
      <w:r>
        <w:rPr>
          <w:rFonts w:hint="eastAsia" w:ascii="Times New Roman" w:hAnsi="宋体" w:eastAsia="宋体" w:cs="Times New Roman"/>
          <w:color w:val="auto"/>
          <w:sz w:val="24"/>
          <w:szCs w:val="24"/>
          <w:highlight w:val="none"/>
        </w:rPr>
        <w:t xml:space="preserve">江溪街道交警中队交通设施维护项目</w:t>
      </w:r>
      <w:r>
        <w:rPr>
          <w:rFonts w:hint="eastAsia" w:ascii="宋体" w:hAnsi="宋体" w:eastAsia="宋体" w:cs="宋体"/>
          <w:color w:val="auto"/>
          <w:sz w:val="24"/>
          <w:szCs w:val="24"/>
          <w:highlight w:val="none"/>
        </w:rPr>
        <w:t xml:space="preserve">施工期间的安全生产管理秩序，切实加强施工现场的安全生产管理工作，明确区分双方安全生产责任，经甲乙双方协商同意，除“施工合同”有关安全生产的条款外，特制定如下安全生产协议：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一、甲方的责任和义务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1、甲方有权对乙方施工期间的安全管理工作（生产安全、防火安全、治安安全）进行监督检查。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2、甲方有责任督促检查乙方对其员工进行的各项规章制度和安全工作的培训教育以及员工的劳动保护情况。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3、如乙方单位或员工有违反安全方面规定的，甲方有权进行批评教育，情节严重的，商请市建筑安全生产监管部门对其进行处罚。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二、乙方的责任及义务：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1、乙方主要负责人（法定代表人）及项目经理应当依法对施工现场的安全生产全面负责。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2、乙方在施工中使用的各种设备设施应当符合国家、行业和地方的安全</w:t>
      </w:r>
      <w:r>
        <w:rPr>
          <w:rFonts w:hint="eastAsia" w:ascii="宋体" w:hAnsi="宋体" w:eastAsia="宋体" w:cs="宋体"/>
          <w:color w:val="auto"/>
          <w:sz w:val="24"/>
          <w:szCs w:val="24"/>
          <w:highlight w:val="none"/>
          <w:lang w:eastAsia="zh-CN"/>
        </w:rPr>
        <w:t xml:space="preserve">实施方案</w:t>
      </w:r>
      <w:r>
        <w:rPr>
          <w:rFonts w:hint="eastAsia" w:ascii="宋体" w:hAnsi="宋体" w:eastAsia="宋体" w:cs="宋体"/>
          <w:color w:val="auto"/>
          <w:sz w:val="24"/>
          <w:szCs w:val="24"/>
          <w:highlight w:val="none"/>
        </w:rPr>
        <w:t xml:space="preserve">和规范要求，并持有相关的检验证明和年检证明材料。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3、乙方应当对施工作业人员进行与其所从事工种有关的安全技术操作规程教育培训，未经安全教育培训的人员不得进场施工。特种作业人员应当取得国家规定的特种作业操作资格证书，并持证上岗。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4、乙方应当按照国家规定为施工作业人员发放符合国家标准或者行业标准的劳动防护用品，并督促和教育作业人员正确使用。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5、乙方应当有健全完善的安全生产管理制度，并有配套的行之有效的贯彻执行制度的措施；乙方施工作业人员应当严格执行安全生产操作规程，杜绝一切违章作业、野蛮施工。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6、乙方应当加强用火、用电、用气的安全管理，不得在禁烟区内动用明火，不得在施工区域内堆放易燃易爆物品。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7、乙方应当接受甲方的安全检查，对发现的</w:t>
      </w:r>
      <w:r>
        <w:rPr>
          <w:rFonts w:hint="eastAsia" w:ascii="宋体" w:hAnsi="宋体" w:eastAsia="宋体" w:cs="宋体"/>
          <w:color w:val="auto"/>
          <w:sz w:val="24"/>
          <w:szCs w:val="24"/>
          <w:highlight w:val="none"/>
          <w:lang w:eastAsia="zh-CN"/>
        </w:rPr>
        <w:t xml:space="preserve">安全隐患</w:t>
      </w:r>
      <w:r>
        <w:rPr>
          <w:rFonts w:hint="eastAsia" w:ascii="宋体" w:hAnsi="宋体" w:eastAsia="宋体" w:cs="宋体"/>
          <w:color w:val="auto"/>
          <w:sz w:val="24"/>
          <w:szCs w:val="24"/>
          <w:highlight w:val="none"/>
        </w:rPr>
        <w:t xml:space="preserve">应及时进行整改。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8、在整个交通设施维护过程中发生的由乙方因素引起的任何安全事故及由此造成的经济损失均由乙方负责，甲方不承担任何责任。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三、此安全协议，自双方签字盖章之日起生效，合同有效期</w:t>
      </w:r>
      <w:r>
        <w:rPr>
          <w:rFonts w:hint="eastAsia" w:ascii="宋体" w:hAnsi="宋体" w:eastAsia="宋体" w:cs="宋体"/>
          <w:color w:val="auto"/>
          <w:sz w:val="24"/>
          <w:szCs w:val="24"/>
          <w:highlight w:val="none"/>
          <w:lang w:eastAsia="zh-CN"/>
        </w:rPr>
        <w:t xml:space="preserve">截止</w:t>
      </w:r>
      <w:r>
        <w:rPr>
          <w:rFonts w:hint="eastAsia" w:ascii="宋体" w:hAnsi="宋体" w:eastAsia="宋体" w:cs="宋体"/>
          <w:color w:val="auto"/>
          <w:sz w:val="24"/>
          <w:szCs w:val="24"/>
          <w:highlight w:val="none"/>
        </w:rPr>
        <w:t xml:space="preserve">时自动失效。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四、此协议书一式贰份，甲乙双方各执一份。</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96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代表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（签字）</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96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（盖章）                    代表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（签字）</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                                             年  月  日</w:t>
      </w:r>
      <w:r/>
    </w:p>
    <w:p>
      <w:pPr>
        <w:jc w:val="center"/>
        <w:rPr>
          <w:rFonts w:ascii="黑体" w:eastAsia="黑体"/>
          <w:bCs/>
          <w:color w:val="auto"/>
          <w:sz w:val="28"/>
          <w:szCs w:val="28"/>
          <w:highlight w:val="none"/>
        </w:rPr>
        <w:outlineLvl w:val="0"/>
      </w:pPr>
      <w:r>
        <w:rPr>
          <w:rFonts w:hint="eastAsia" w:ascii="宋体" w:hAnsi="宋体" w:cs="宋体"/>
          <w:b/>
          <w:color w:val="auto"/>
          <w:spacing w:val="-4"/>
          <w:sz w:val="24"/>
          <w:highlight w:val="none"/>
        </w:rPr>
        <w:br w:type="page" w:clear="all"/>
      </w:r>
      <w:bookmarkStart w:id="8" w:name="_Toc8372"/>
      <w:r>
        <w:rPr>
          <w:rFonts w:hint="eastAsia" w:ascii="黑体" w:eastAsia="黑体"/>
          <w:bCs/>
          <w:color w:val="auto"/>
          <w:sz w:val="28"/>
          <w:szCs w:val="28"/>
          <w:highlight w:val="none"/>
        </w:rPr>
        <w:t xml:space="preserve">六.附件</w:t>
      </w:r>
      <w:bookmarkEnd w:id="8"/>
      <w:r/>
      <w:r/>
    </w:p>
    <w:p>
      <w:pPr>
        <w:ind w:firstLine="480"/>
        <w:jc w:val="left"/>
        <w:spacing w:line="360" w:lineRule="auto"/>
        <w:rPr>
          <w:rFonts w:ascii="黑体" w:eastAsia="黑体"/>
          <w:bCs/>
          <w:color w:val="auto"/>
          <w:sz w:val="24"/>
          <w:szCs w:val="24"/>
          <w:highlight w:val="none"/>
        </w:rPr>
        <w:outlineLvl w:val="1"/>
      </w:pPr>
      <w:r>
        <w:rPr>
          <w:rFonts w:hint="eastAsia" w:ascii="黑体" w:eastAsia="黑体"/>
          <w:bCs/>
          <w:color w:val="auto"/>
          <w:sz w:val="24"/>
          <w:szCs w:val="24"/>
          <w:highlight w:val="none"/>
        </w:rPr>
        <w:t xml:space="preserve">附件一：评分标准</w:t>
      </w:r>
      <w:r/>
    </w:p>
    <w:p>
      <w:pPr>
        <w:ind w:left="0" w:firstLine="482"/>
        <w:keepLines w:val="0"/>
        <w:keepNext w:val="0"/>
        <w:pageBreakBefore w:val="0"/>
        <w:spacing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特别注意：本项目采用暗标形式，投标人须对商务部分和技术部分分别进行制作。其中技术</w:t>
      </w:r>
      <w:r>
        <w:rPr>
          <w:rFonts w:hint="eastAsia" w:ascii="宋体" w:hAnsi="宋体" w:eastAsia="宋体" w:cs="宋体"/>
          <w:b/>
          <w:bCs/>
          <w:color w:val="auto"/>
          <w:sz w:val="24"/>
          <w:highlight w:val="none"/>
          <w:lang w:val="en-US" w:eastAsia="zh-CN"/>
        </w:rPr>
        <w:t xml:space="preserve">文件</w:t>
      </w:r>
      <w:r>
        <w:rPr>
          <w:rFonts w:hint="eastAsia" w:ascii="宋体" w:hAnsi="宋体" w:eastAsia="宋体" w:cs="宋体"/>
          <w:b/>
          <w:bCs/>
          <w:color w:val="auto"/>
          <w:sz w:val="24"/>
          <w:highlight w:val="none"/>
        </w:rPr>
        <w:t xml:space="preserve">部分属于暗标，投标人在制作技术</w:t>
      </w:r>
      <w:r>
        <w:rPr>
          <w:rFonts w:hint="eastAsia" w:ascii="宋体" w:hAnsi="宋体" w:eastAsia="宋体" w:cs="宋体"/>
          <w:b/>
          <w:bCs/>
          <w:color w:val="auto"/>
          <w:sz w:val="24"/>
          <w:highlight w:val="none"/>
          <w:lang w:val="en-US" w:eastAsia="zh-CN"/>
        </w:rPr>
        <w:t xml:space="preserve">文件</w:t>
      </w:r>
      <w:r>
        <w:rPr>
          <w:rFonts w:hint="eastAsia" w:ascii="宋体" w:hAnsi="宋体" w:eastAsia="宋体" w:cs="宋体"/>
          <w:b/>
          <w:bCs/>
          <w:color w:val="auto"/>
          <w:sz w:val="24"/>
          <w:highlight w:val="none"/>
        </w:rPr>
        <w:t xml:space="preserve">部分相关内容时不得有体现投标人身份的内容，否则投标无效。</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评分项目及分值（总分100分）</w:t>
      </w:r>
      <w:r/>
    </w:p>
    <w:p>
      <w:pPr>
        <w:ind w:left="0" w:firstLine="482"/>
        <w:keepLines w:val="0"/>
        <w:keepNext w:val="0"/>
        <w:pageBreakBefore w:val="0"/>
        <w:spacing w:line="36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1</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投标报价            </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                      30分</w:t>
      </w:r>
      <w:r/>
    </w:p>
    <w:p>
      <w:pPr>
        <w:ind w:left="0" w:firstLine="482"/>
        <w:keepLines w:val="0"/>
        <w:keepNext w:val="0"/>
        <w:pageBreakBefore w:val="0"/>
        <w:spacing w:line="360" w:lineRule="auto"/>
        <w:widowControl w:val="off"/>
        <w:rPr>
          <w:rFonts w:ascii="宋体" w:hAnsi="宋体" w:cs="宋体"/>
          <w:b/>
          <w:color w:val="auto"/>
          <w:sz w:val="24"/>
          <w:highlight w:val="none"/>
        </w:rPr>
      </w:pP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投标供应商评价      </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0分</w:t>
      </w:r>
      <w:r/>
    </w:p>
    <w:p>
      <w:pPr>
        <w:ind w:left="0" w:firstLine="482"/>
        <w:keepLines w:val="0"/>
        <w:keepNext w:val="0"/>
        <w:pageBreakBefore w:val="0"/>
        <w:spacing w:line="360" w:lineRule="auto"/>
        <w:widowControl w:val="off"/>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技术文件</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暗标</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0分</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各项目评分标准</w:t>
      </w:r>
      <w:r/>
    </w:p>
    <w:p>
      <w:pPr>
        <w:ind w:left="0" w:firstLine="482"/>
        <w:jc w:val="left"/>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1.投标报价（30分）</w:t>
      </w:r>
      <w:r/>
    </w:p>
    <w:p>
      <w:pPr>
        <w:ind w:left="0" w:firstLine="480"/>
        <w:jc w:val="left"/>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left="0" w:firstLine="480"/>
        <w:jc w:val="left"/>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评标基准价／投标报价</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×价格权值×100。</w:t>
      </w:r>
      <w:r/>
    </w:p>
    <w:p>
      <w:pPr>
        <w:ind w:left="0" w:firstLine="482"/>
        <w:keepLines w:val="0"/>
        <w:keepNext w:val="0"/>
        <w:pageBreakBefore w:val="0"/>
        <w:spacing w:line="360" w:lineRule="auto"/>
        <w:widowControl w:val="off"/>
        <w:tabs>
          <w:tab w:val="left" w:pos="420" w:leader="none"/>
          <w:tab w:val="left" w:pos="945" w:leader="none"/>
          <w:tab w:val="left" w:pos="1155"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2.</w:t>
      </w:r>
      <w:r>
        <w:rPr>
          <w:rFonts w:hint="eastAsia" w:ascii="宋体" w:hAnsi="宋体" w:cs="宋体"/>
          <w:b/>
          <w:bCs/>
          <w:color w:val="auto"/>
          <w:sz w:val="24"/>
          <w:szCs w:val="24"/>
          <w:highlight w:val="none"/>
        </w:rPr>
        <w:t xml:space="preserve">投标供应商评价（</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0分）</w:t>
      </w:r>
      <w:r/>
    </w:p>
    <w:p>
      <w:pPr>
        <w:ind w:left="0" w:firstLine="480"/>
        <w:jc w:val="left"/>
        <w:keepLines w:val="0"/>
        <w:keepNext w:val="0"/>
        <w:pageBreakBefore w:val="0"/>
        <w:spacing w:line="360" w:lineRule="auto"/>
        <w:widowControl w:val="off"/>
        <w:rPr>
          <w:rFonts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投标供应商具有有效的</w:t>
      </w:r>
      <w:r>
        <w:rPr>
          <w:rFonts w:hint="eastAsia" w:ascii="宋体" w:hAnsi="宋体" w:cs="宋体"/>
          <w:bCs/>
          <w:color w:val="auto"/>
          <w:sz w:val="24"/>
          <w:highlight w:val="none"/>
          <w:lang w:val="en-US" w:eastAsia="zh-CN"/>
        </w:rPr>
        <w:t xml:space="preserve">道路</w:t>
      </w:r>
      <w:r>
        <w:rPr>
          <w:rFonts w:hint="eastAsia" w:ascii="宋体" w:hAnsi="宋体" w:cs="宋体"/>
          <w:bCs/>
          <w:color w:val="auto"/>
          <w:sz w:val="24"/>
          <w:highlight w:val="none"/>
        </w:rPr>
        <w:t xml:space="preserve">交通安全管理体系认证证书、应急预案管理能力评价认证证书、安全生产标准化管理体系认证证书，每有1个得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分，本项最高得</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分【证书须通过中国国家认证认可监督管理委员会备案通过的认证机构颁发且在全国认证认可信息公共服务平台（www.cnca.gov.cn）可查询，提供证书扫描件和网页</w:t>
      </w:r>
      <w:r>
        <w:rPr>
          <w:rFonts w:hint="eastAsia" w:ascii="宋体" w:hAnsi="宋体" w:cs="宋体"/>
          <w:bCs/>
          <w:color w:val="auto"/>
          <w:sz w:val="24"/>
          <w:highlight w:val="none"/>
          <w:lang w:val="en-US" w:eastAsia="zh-CN"/>
        </w:rPr>
        <w:t xml:space="preserve">查询</w:t>
      </w:r>
      <w:r>
        <w:rPr>
          <w:rFonts w:hint="eastAsia" w:ascii="宋体" w:hAnsi="宋体" w:cs="宋体"/>
          <w:bCs/>
          <w:color w:val="auto"/>
          <w:sz w:val="24"/>
          <w:highlight w:val="none"/>
        </w:rPr>
        <w:t xml:space="preserve">截图上传至电子投标文件，未按要求提供不得分】</w:t>
      </w:r>
      <w:r/>
    </w:p>
    <w:p>
      <w:pPr>
        <w:ind w:left="0" w:firstLine="480"/>
        <w:jc w:val="left"/>
        <w:keepLines w:val="0"/>
        <w:keepNext w:val="0"/>
        <w:pageBreakBefore w:val="0"/>
        <w:spacing w:line="360" w:lineRule="auto"/>
        <w:widowControl w:val="off"/>
        <w:rPr>
          <w:rFonts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投标供应商自202</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年1月1日以来承担过同类项目的（日期以合同签订日期为准），每有1个得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分，本项最高得</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分【提供合同</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中标通知书</w:t>
      </w:r>
      <w:r>
        <w:rPr>
          <w:rFonts w:hint="eastAsia" w:ascii="宋体" w:hAnsi="宋体" w:cs="宋体"/>
          <w:bCs/>
          <w:color w:val="auto"/>
          <w:sz w:val="24"/>
          <w:highlight w:val="none"/>
        </w:rPr>
        <w:t xml:space="preserve">扫描件上传至电子投标文件，未按要求提供不得分】</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lang w:eastAsia="zh-CN"/>
        </w:rPr>
        <w:t xml:space="preserve">）人员配置情况（10分）：投标供应商拟配备的本项目人员中，具有“公路交通安全设施工”职业证书的，有一个得2分，本项最高得10分。【提供以上人员的相关证书、“国家职业资格证书全国联网查询”网站查询结果截图及投标供应商近一年内任意一个月（不含投标当月）为以上人员缴纳社保的证明，提供上述</w:t>
      </w:r>
      <w:r>
        <w:rPr>
          <w:rFonts w:hint="eastAsia" w:ascii="宋体" w:hAnsi="宋体" w:cs="宋体"/>
          <w:bCs/>
          <w:color w:val="auto"/>
          <w:sz w:val="24"/>
          <w:highlight w:val="none"/>
          <w:lang w:val="en-US" w:eastAsia="zh-CN"/>
        </w:rPr>
        <w:t xml:space="preserve">证明材料</w:t>
      </w:r>
      <w:r>
        <w:rPr>
          <w:rFonts w:hint="eastAsia" w:ascii="宋体" w:hAnsi="宋体" w:cs="宋体"/>
          <w:bCs/>
          <w:color w:val="auto"/>
          <w:sz w:val="24"/>
          <w:highlight w:val="none"/>
          <w:lang w:eastAsia="zh-CN"/>
        </w:rPr>
        <w:t xml:space="preserve">上传至电子投标文件，未按要求提供不得分。拟配备的本项目人员，填列到《项目人员配备计划表》中】</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车辆</w:t>
      </w:r>
      <w:r>
        <w:rPr>
          <w:rFonts w:hint="eastAsia" w:asciiTheme="minorEastAsia" w:hAnsiTheme="minorEastAsia" w:eastAsiaTheme="minorEastAsia" w:cstheme="minorEastAsia"/>
          <w:bCs/>
          <w:color w:val="auto"/>
          <w:sz w:val="24"/>
          <w:highlight w:val="none"/>
        </w:rPr>
        <w:t xml:space="preserve">配备（</w:t>
      </w:r>
      <w:r>
        <w:rPr>
          <w:rFonts w:hint="eastAsia" w:asciiTheme="minorEastAsia" w:hAnsiTheme="minorEastAsia" w:eastAsiaTheme="minorEastAsia" w:cstheme="minorEastAsia"/>
          <w:bCs/>
          <w:color w:val="auto"/>
          <w:sz w:val="24"/>
          <w:highlight w:val="none"/>
          <w:lang w:val="en-US" w:eastAsia="zh-CN"/>
        </w:rPr>
        <w:t xml:space="preserve">3</w:t>
      </w:r>
      <w:r>
        <w:rPr>
          <w:rFonts w:hint="eastAsia" w:asciiTheme="minorEastAsia" w:hAnsiTheme="minorEastAsia" w:eastAsiaTheme="minorEastAsia" w:cstheme="minorEastAsia"/>
          <w:bCs/>
          <w:color w:val="auto"/>
          <w:sz w:val="24"/>
          <w:highlight w:val="none"/>
        </w:rPr>
        <w:t xml:space="preserve">分）：</w:t>
      </w:r>
      <w:r>
        <w:rPr>
          <w:rFonts w:hint="eastAsia" w:ascii="宋体" w:hAnsi="宋体" w:cs="宋体"/>
          <w:bCs/>
          <w:color w:val="auto"/>
          <w:sz w:val="24"/>
          <w:highlight w:val="none"/>
        </w:rPr>
        <w:t xml:space="preserve">①投标供应商配备1辆自有8T（含）以上吊车，得1分；②投标供应商配备1辆自有防撞车，得1分；③投标供应商配备1辆自有登高车（高空作业车）得1分</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本项最高得3分</w:t>
      </w:r>
      <w:r>
        <w:rPr>
          <w:rFonts w:hint="eastAsia" w:ascii="宋体" w:hAnsi="宋体" w:cs="宋体"/>
          <w:bCs/>
          <w:color w:val="auto"/>
          <w:sz w:val="24"/>
          <w:highlight w:val="none"/>
        </w:rPr>
        <w:t xml:space="preserve">【自有车辆提供发票（发票抬头必须与投标供应商名称一致）</w:t>
      </w:r>
      <w:r>
        <w:rPr>
          <w:rFonts w:hint="eastAsia" w:ascii="宋体" w:hAnsi="宋体" w:cs="宋体"/>
          <w:bCs/>
          <w:color w:val="auto"/>
          <w:sz w:val="24"/>
          <w:highlight w:val="none"/>
          <w:lang w:eastAsia="zh-CN"/>
        </w:rPr>
        <w:t xml:space="preserve">，</w:t>
      </w:r>
      <w:r>
        <w:rPr>
          <w:rFonts w:hint="eastAsia" w:ascii="宋体" w:hAnsi="宋体" w:cs="宋体"/>
          <w:bCs/>
          <w:color w:val="000000"/>
          <w:sz w:val="24"/>
          <w:highlight w:val="none"/>
          <w:lang w:val="en-US" w:eastAsia="zh-CN"/>
        </w:rPr>
        <w:t xml:space="preserve">显示车牌号的</w:t>
      </w:r>
      <w:r>
        <w:rPr>
          <w:rFonts w:hint="eastAsia" w:ascii="宋体" w:hAnsi="宋体" w:cs="宋体"/>
          <w:bCs/>
          <w:color w:val="auto"/>
          <w:sz w:val="24"/>
          <w:highlight w:val="none"/>
        </w:rPr>
        <w:t xml:space="preserve">车辆照片</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车辆</w:t>
      </w:r>
      <w:r>
        <w:rPr>
          <w:rFonts w:hint="eastAsia" w:ascii="宋体" w:hAnsi="宋体" w:cs="宋体"/>
          <w:bCs/>
          <w:color w:val="auto"/>
          <w:sz w:val="24"/>
          <w:highlight w:val="none"/>
        </w:rPr>
        <w:t xml:space="preserve">行驶证</w:t>
      </w:r>
      <w:r>
        <w:rPr>
          <w:rFonts w:hint="eastAsia" w:ascii="宋体" w:hAnsi="宋体" w:cs="宋体"/>
          <w:bCs/>
          <w:color w:val="auto"/>
          <w:sz w:val="24"/>
          <w:highlight w:val="none"/>
          <w:lang w:eastAsia="zh-CN"/>
        </w:rPr>
        <w:t xml:space="preserve">，</w:t>
      </w:r>
      <w:r>
        <w:rPr>
          <w:rFonts w:hint="eastAsia" w:ascii="宋体" w:hAnsi="宋体" w:cs="宋体"/>
          <w:bCs/>
          <w:color w:val="000000"/>
          <w:sz w:val="24"/>
          <w:highlight w:val="none"/>
          <w:lang w:eastAsia="zh-CN"/>
        </w:rPr>
        <w:t xml:space="preserve">机动车登记证书</w:t>
      </w:r>
      <w:r>
        <w:rPr>
          <w:rFonts w:hint="eastAsia" w:ascii="宋体" w:hAnsi="宋体" w:cs="宋体"/>
          <w:bCs/>
          <w:color w:val="auto"/>
          <w:sz w:val="24"/>
          <w:highlight w:val="none"/>
        </w:rPr>
        <w:t xml:space="preserve">；租赁车辆提供租赁协议</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发票（发票抬头必须与</w:t>
      </w:r>
      <w:r>
        <w:rPr>
          <w:rFonts w:hint="eastAsia" w:ascii="宋体" w:hAnsi="宋体" w:cs="宋体"/>
          <w:bCs/>
          <w:color w:val="auto"/>
          <w:sz w:val="24"/>
          <w:highlight w:val="none"/>
          <w:lang w:val="en-US" w:eastAsia="zh-CN"/>
        </w:rPr>
        <w:t xml:space="preserve">出租方</w:t>
      </w:r>
      <w:r>
        <w:rPr>
          <w:rFonts w:hint="eastAsia" w:ascii="宋体" w:hAnsi="宋体" w:cs="宋体"/>
          <w:bCs/>
          <w:color w:val="auto"/>
          <w:sz w:val="24"/>
          <w:highlight w:val="none"/>
        </w:rPr>
        <w:t xml:space="preserve">名称一致）</w:t>
      </w:r>
      <w:r>
        <w:rPr>
          <w:rFonts w:hint="eastAsia" w:ascii="宋体" w:hAnsi="宋体" w:cs="宋体"/>
          <w:bCs/>
          <w:color w:val="auto"/>
          <w:sz w:val="24"/>
          <w:highlight w:val="none"/>
          <w:lang w:eastAsia="zh-CN"/>
        </w:rPr>
        <w:t xml:space="preserve">，</w:t>
      </w:r>
      <w:r>
        <w:rPr>
          <w:rFonts w:hint="eastAsia" w:ascii="宋体" w:hAnsi="宋体" w:cs="宋体"/>
          <w:bCs/>
          <w:color w:val="000000"/>
          <w:sz w:val="24"/>
          <w:highlight w:val="none"/>
          <w:lang w:val="en-US" w:eastAsia="zh-CN"/>
        </w:rPr>
        <w:t xml:space="preserve">显示车牌号的</w:t>
      </w:r>
      <w:r>
        <w:rPr>
          <w:rFonts w:hint="eastAsia" w:ascii="宋体" w:hAnsi="宋体" w:cs="宋体"/>
          <w:bCs/>
          <w:color w:val="auto"/>
          <w:sz w:val="24"/>
          <w:highlight w:val="none"/>
        </w:rPr>
        <w:t xml:space="preserve">车辆照片</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车辆</w:t>
      </w:r>
      <w:r>
        <w:rPr>
          <w:rFonts w:hint="eastAsia" w:ascii="宋体" w:hAnsi="宋体" w:cs="宋体"/>
          <w:bCs/>
          <w:color w:val="auto"/>
          <w:sz w:val="24"/>
          <w:highlight w:val="none"/>
        </w:rPr>
        <w:t xml:space="preserve">行驶证</w:t>
      </w:r>
      <w:r>
        <w:rPr>
          <w:rFonts w:hint="eastAsia" w:ascii="宋体" w:hAnsi="宋体" w:cs="宋体"/>
          <w:bCs/>
          <w:color w:val="auto"/>
          <w:sz w:val="24"/>
          <w:highlight w:val="none"/>
          <w:lang w:eastAsia="zh-CN"/>
        </w:rPr>
        <w:t xml:space="preserve">，</w:t>
      </w:r>
      <w:r>
        <w:rPr>
          <w:rFonts w:hint="eastAsia" w:ascii="宋体" w:hAnsi="宋体" w:cs="宋体"/>
          <w:bCs/>
          <w:color w:val="000000"/>
          <w:sz w:val="24"/>
          <w:highlight w:val="none"/>
          <w:lang w:eastAsia="zh-CN"/>
        </w:rPr>
        <w:t xml:space="preserve">机动车登记证书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提供以上证明材料</w:t>
      </w:r>
      <w:r>
        <w:rPr>
          <w:rFonts w:hint="eastAsia" w:ascii="宋体" w:hAnsi="宋体" w:cs="宋体"/>
          <w:bCs/>
          <w:color w:val="auto"/>
          <w:sz w:val="24"/>
          <w:highlight w:val="none"/>
        </w:rPr>
        <w:t xml:space="preserve">扫描件上传至电子投标文件，未按要求提供不得分】</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lang w:eastAsia="zh-CN"/>
        </w:rPr>
        <w:t xml:space="preserve">）产品质量（12分）</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①投标供应商具有有效期内的法定检测机构出具的机非隔离护栏安全性能评价报告，报告中须详细反映汽车碰撞护栏的试验数据、试验结果情况照片且报告中阻挡功能、导向功能、缓冲功能检测结果均合格的得4分【提供评价报告扫描件加盖电子签章上传至电子投标文件，未按要求提供不得分】</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②投标供应商具有有效期内的国家交通安全设施质量监督检验中心出具的交通工程产品（交通标志板、隔离栅）工厂检验合格证书和检验报告的，每有一份检测合格证书得2分，每有一份检验报告得2分，本项最高得8分【提供检验合格证书和检测报告扫描件加盖电子签章上传至电子投标文件，未按要求提供不得分】</w:t>
      </w:r>
      <w:r/>
    </w:p>
    <w:p>
      <w:pPr>
        <w:ind w:left="0" w:firstLine="482"/>
        <w:jc w:val="left"/>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3.技术文件</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暗标</w:t>
      </w:r>
      <w:r>
        <w:rPr>
          <w:rFonts w:hint="eastAsia" w:ascii="宋体" w:hAnsi="宋体" w:cs="宋体"/>
          <w:b/>
          <w:color w:val="auto"/>
          <w:sz w:val="24"/>
          <w:highlight w:val="none"/>
          <w:lang w:eastAsia="zh-CN"/>
        </w:rPr>
        <w:t xml:space="preserve">）</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0分）</w:t>
      </w:r>
      <w:r/>
    </w:p>
    <w:p>
      <w:pPr>
        <w:ind w:left="0" w:firstLine="480"/>
        <w:jc w:val="left"/>
        <w:keepLines w:val="0"/>
        <w:keepNext w:val="0"/>
        <w:pageBreakBefore w:val="0"/>
        <w:spacing w:line="360" w:lineRule="auto"/>
        <w:widowControl w:val="off"/>
        <w:rPr>
          <w:rFonts w:hint="eastAsia" w:ascii="宋体" w:hAnsi="宋体" w:cs="宋体"/>
          <w:b/>
          <w:bCs w:val="0"/>
          <w:color w:val="auto"/>
          <w:sz w:val="24"/>
          <w:szCs w:val="24"/>
          <w:highlight w:val="none"/>
          <w:u w:val="single"/>
          <w:lang w:val="zh-CN"/>
        </w:rPr>
      </w:pPr>
      <w:r>
        <w:rPr>
          <w:rFonts w:hint="eastAsia" w:ascii="宋体" w:hAnsi="宋体" w:cs="宋体"/>
          <w:b/>
          <w:bCs w:val="0"/>
          <w:color w:val="auto"/>
          <w:sz w:val="24"/>
          <w:szCs w:val="24"/>
          <w:highlight w:val="none"/>
          <w:u w:val="single"/>
          <w:lang w:val="zh-CN"/>
        </w:rPr>
        <w:t xml:space="preserve">注：技术文件部分属于暗标，页数不得少于30页，不得多于300页。投标人在制作技术文件部分相关内容时不得有体现投标人身份的内容，否则投标无效。</w:t>
      </w:r>
      <w:r/>
    </w:p>
    <w:p>
      <w:pPr>
        <w:ind w:left="0" w:firstLine="480"/>
        <w:jc w:val="left"/>
        <w:keepLines w:val="0"/>
        <w:keepNext w:val="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zh-CN"/>
        </w:rPr>
        <w:t xml:space="preserve">）质量保证措施（8分）：包括①投标供应商对质量的认知和理解；②针对质量措施的落实和执行方案；③针对质量保证方案的工作人员安排；④针对本项目的创优、创新措施。</w:t>
      </w:r>
      <w:r/>
    </w:p>
    <w:p>
      <w:pPr>
        <w:ind w:left="0" w:firstLine="480"/>
        <w:jc w:val="left"/>
        <w:keepLines w:val="0"/>
        <w:keepNext w:val="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上述内容需方案合理、描述详细、切实可行有效，每有一项内容进行了阐述且满足采购需求的得2分；方案较全面、合理、可行的得1分；方案不够全面、合理、可行的得0.5分；未进行阐述或不满足采购需求的不得分；本项最高得8分。</w:t>
      </w:r>
      <w:r/>
    </w:p>
    <w:p>
      <w:pPr>
        <w:ind w:left="0" w:firstLine="480"/>
        <w:jc w:val="left"/>
        <w:keepLines w:val="0"/>
        <w:keepNext w:val="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zh-CN"/>
        </w:rPr>
        <w:t xml:space="preserve">）安装、调试、验收方案（8分）：包括①安装调试方案；②项目验收方案。</w:t>
      </w:r>
      <w:r/>
    </w:p>
    <w:p>
      <w:pPr>
        <w:ind w:left="0" w:firstLine="480"/>
        <w:jc w:val="left"/>
        <w:keepLines w:val="0"/>
        <w:keepNext w:val="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上述内容需方案合理、描述详细、切实可行有效，每有一项内容进行了阐述且满足采购需求的得4分；方案较全面、合理、可行的得2分；方案不够全面、合理、可行的得1分；未进行阐述或不满足采购需求的不得分；本项最高得8分。</w:t>
      </w:r>
      <w:r/>
    </w:p>
    <w:p>
      <w:pPr>
        <w:ind w:left="0" w:firstLine="480"/>
        <w:jc w:val="left"/>
        <w:keepLines w:val="0"/>
        <w:keepNext w:val="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zh-CN"/>
        </w:rPr>
        <w:t xml:space="preserve">）售后服务方案（8分）：包括①售后响应时间、解决时间，团队组织；②售后方案。</w:t>
      </w:r>
      <w:r/>
    </w:p>
    <w:p>
      <w:pPr>
        <w:ind w:left="0" w:firstLine="480"/>
        <w:jc w:val="left"/>
        <w:keepLines w:val="0"/>
        <w:keepNext w:val="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上述内容需方案合理、描述详细、切实可行有效，每有一项内容进行了阐述且满足采购需求的得4分；方案较全面、合理、可行的得2分；方案不够全面、合理、可行的得1分；未进行阐述或不满足采购需求的不得分；本项最高得8分。</w:t>
      </w:r>
      <w:r/>
    </w:p>
    <w:p>
      <w:pPr>
        <w:ind w:left="0" w:firstLine="480"/>
        <w:jc w:val="left"/>
        <w:keepLines w:val="0"/>
        <w:keepNext w:val="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val="zh-CN"/>
        </w:rPr>
        <w:t xml:space="preserve">）临时突发任务应急措施（8分）：包括①针对会发生临时突发情况的预案进行分析和解读；②针对临时突发情况的措施方案；③针对临时突发情况措施方案的计划安排和落实；④针对临时突发情况的事后控制方案。</w:t>
      </w:r>
      <w:r/>
    </w:p>
    <w:p>
      <w:pPr>
        <w:ind w:left="0" w:firstLine="480"/>
        <w:jc w:val="left"/>
        <w:keepLines w:val="0"/>
        <w:keepNext w:val="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上述内容需方案合理、描述详细、切实可行有效，每有一项内容进行了阐述且满足采购需求的得2分；方案较全面、合理、可行的得1分；方案不够全面、合理、可行的得0.5分；未进行阐述或不满足采购需求的不得分；本项最高得8分。</w:t>
      </w:r>
      <w:r/>
    </w:p>
    <w:p>
      <w:pPr>
        <w:ind w:left="0" w:firstLine="480"/>
        <w:jc w:val="left"/>
        <w:keepLines w:val="0"/>
        <w:keepNext w:val="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val="zh-CN"/>
        </w:rPr>
        <w:t xml:space="preserve">）安全保证及保障措施（8分）：包括①投标供应商对本项目的安全保证方案；②针对本项目安全保障措施计划；③避免出现安全问题的办法和方案；④和交管部门的协调、交通维护方案。</w:t>
      </w:r>
      <w:r/>
    </w:p>
    <w:p>
      <w:pPr>
        <w:ind w:left="0" w:firstLine="480"/>
        <w:jc w:val="left"/>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上述内容需方案合理、描述详细、切实可行有效，每有一项内容进行了阐述且满足采购需求的得2分；方案较全面、合理、可行的得1分；方案不够全面、合理、可行的得0.5分；未进行阐述或不满足采购需求的不得分；本项最高得8分。</w:t>
      </w:r>
      <w:r/>
    </w:p>
    <w:p>
      <w:pPr>
        <w:ind w:left="0" w:firstLine="482"/>
        <w:jc w:val="left"/>
        <w:keepLines w:val="0"/>
        <w:keepNext w:val="0"/>
        <w:pageBreakBefore w:val="0"/>
        <w:spacing w:line="360" w:lineRule="auto"/>
        <w:widowControl w:val="off"/>
        <w:tabs>
          <w:tab w:val="left" w:pos="1401" w:leader="none"/>
        </w:tabs>
        <w:rPr>
          <w:rFonts w:hint="eastAsia" w:ascii="宋体" w:hAnsi="宋体" w:cs="宋体"/>
          <w:b/>
          <w:bCs/>
          <w:color w:val="auto"/>
          <w:sz w:val="24"/>
          <w:szCs w:val="24"/>
          <w:highlight w:val="none"/>
          <w:shd w:val="clear" w:color="auto" w:fill="ffffff"/>
        </w:rPr>
        <w:outlineLvl w:val="9"/>
      </w:pPr>
      <w:r>
        <w:rPr>
          <w:rFonts w:hint="eastAsia" w:ascii="宋体" w:hAnsi="宋体" w:cs="宋体"/>
          <w:b/>
          <w:bCs/>
          <w:color w:val="auto"/>
          <w:sz w:val="24"/>
          <w:szCs w:val="24"/>
          <w:highlight w:val="none"/>
          <w:shd w:val="clear" w:color="auto" w:fill="ffffff"/>
        </w:rPr>
        <w:t xml:space="preserve">未列入本评分细则的其他条件不作为评分内容。</w:t>
      </w:r>
      <w:r/>
    </w:p>
    <w:p>
      <w:pPr>
        <w:ind w:left="0" w:firstLine="482"/>
        <w:jc w:val="left"/>
        <w:keepLines w:val="0"/>
        <w:keepNext w:val="0"/>
        <w:pageBreakBefore w:val="0"/>
        <w:spacing w:line="360" w:lineRule="auto"/>
        <w:widowControl w:val="off"/>
        <w:tabs>
          <w:tab w:val="left" w:pos="1401" w:leader="none"/>
        </w:tabs>
        <w:rPr>
          <w:rFonts w:ascii="黑体" w:eastAsia="黑体"/>
          <w:bCs/>
          <w:color w:val="auto"/>
          <w:sz w:val="24"/>
          <w:szCs w:val="24"/>
          <w:highlight w:val="none"/>
        </w:rPr>
        <w:outlineLvl w:val="1"/>
      </w:pPr>
      <w:r>
        <w:rPr>
          <w:rFonts w:hint="eastAsia" w:ascii="黑体" w:eastAsia="黑体"/>
          <w:bCs/>
          <w:color w:val="auto"/>
          <w:sz w:val="24"/>
          <w:szCs w:val="24"/>
          <w:highlight w:val="none"/>
        </w:rPr>
        <w:br w:type="page" w:clear="all"/>
      </w: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pStyle w:val="763"/>
        <w:rPr>
          <w:rFonts w:ascii="黑体" w:eastAsia="黑体"/>
          <w:bCs/>
          <w:color w:val="auto"/>
          <w:sz w:val="32"/>
          <w:highlight w:val="none"/>
        </w:rPr>
      </w:pPr>
      <w:r>
        <w:rPr>
          <w:rFonts w:ascii="黑体" w:eastAsia="黑体"/>
          <w:bCs/>
          <w:color w:val="auto"/>
          <w:sz w:val="32"/>
          <w:highlight w:val="none"/>
        </w:rPr>
      </w:r>
      <w:r/>
    </w:p>
    <w:p>
      <w:pPr>
        <w:pStyle w:val="763"/>
        <w:rPr>
          <w:rFonts w:ascii="黑体" w:eastAsia="黑体"/>
          <w:bCs/>
          <w:color w:val="auto"/>
          <w:sz w:val="32"/>
          <w:highlight w:val="none"/>
        </w:rPr>
      </w:pPr>
      <w:r>
        <w:rPr>
          <w:rFonts w:ascii="黑体" w:eastAsia="黑体"/>
          <w:bCs/>
          <w:color w:val="auto"/>
          <w:sz w:val="32"/>
          <w:highlight w:val="none"/>
        </w:rPr>
      </w:r>
      <w:r/>
    </w:p>
    <w:p>
      <w:pPr>
        <w:pStyle w:val="763"/>
        <w:rPr>
          <w:rFonts w:ascii="黑体" w:eastAsia="黑体"/>
          <w:bCs/>
          <w:color w:val="auto"/>
          <w:sz w:val="32"/>
          <w:highlight w:val="none"/>
        </w:rPr>
      </w:pPr>
      <w:r>
        <w:rPr>
          <w:rFonts w:ascii="黑体" w:eastAsia="黑体"/>
          <w:bCs/>
          <w:color w:val="auto"/>
          <w:sz w:val="32"/>
          <w:highlight w:val="none"/>
        </w:rPr>
      </w:r>
      <w:r/>
    </w:p>
    <w:p>
      <w:pPr>
        <w:pStyle w:val="763"/>
        <w:rPr>
          <w:rFonts w:ascii="黑体" w:eastAsia="黑体"/>
          <w:bCs/>
          <w:color w:val="auto"/>
          <w:sz w:val="32"/>
          <w:highlight w:val="none"/>
        </w:rPr>
      </w:pPr>
      <w:r>
        <w:rPr>
          <w:rFonts w:ascii="黑体" w:eastAsia="黑体"/>
          <w:bCs/>
          <w:color w:val="auto"/>
          <w:sz w:val="32"/>
          <w:highlight w:val="none"/>
        </w:rPr>
      </w:r>
      <w:r/>
    </w:p>
    <w:p>
      <w:pPr>
        <w:pStyle w:val="763"/>
        <w:rPr>
          <w:rFonts w:ascii="黑体" w:eastAsia="黑体"/>
          <w:bCs/>
          <w:color w:val="auto"/>
          <w:sz w:val="32"/>
          <w:highlight w:val="none"/>
        </w:rPr>
      </w:pPr>
      <w:r>
        <w:rPr>
          <w:rFonts w:ascii="黑体" w:eastAsia="黑体"/>
          <w:bCs/>
          <w:color w:val="auto"/>
          <w:sz w:val="32"/>
          <w:highlight w:val="none"/>
        </w:rPr>
      </w:r>
      <w:r/>
    </w:p>
    <w:p>
      <w:pPr>
        <w:pStyle w:val="763"/>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JSZC-320214-JSZH-G2026-0015</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江溪街道交警中队交通设施维护项目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lang w:eastAsia="zh-CN"/>
        </w:rPr>
        <w:t xml:space="preserve">二〇二</w:t>
      </w:r>
      <w:r>
        <w:rPr>
          <w:rFonts w:hint="eastAsia" w:ascii="黑体" w:eastAsia="黑体"/>
          <w:bCs/>
          <w:color w:val="auto"/>
          <w:sz w:val="36"/>
          <w:szCs w:val="36"/>
          <w:highlight w:val="none"/>
          <w:lang w:val="en-US" w:eastAsia="zh-CN"/>
        </w:rPr>
        <w:t xml:space="preserve">六</w:t>
      </w:r>
      <w:r>
        <w:rPr>
          <w:rFonts w:hint="eastAsia" w:ascii="黑体" w:eastAsia="黑体"/>
          <w:bCs/>
          <w:color w:val="auto"/>
          <w:sz w:val="36"/>
          <w:szCs w:val="36"/>
          <w:highlight w:val="none"/>
        </w:rPr>
        <w:t xml:space="preserve">年</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月</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日</w:t>
      </w:r>
      <w:r/>
    </w:p>
    <w:p>
      <w:pPr>
        <w:rPr>
          <w:rFonts w:hint="eastAsia" w:ascii="黑体" w:hAnsi="宋体" w:eastAsia="黑体"/>
          <w:bCs/>
          <w:color w:val="auto"/>
          <w:sz w:val="24"/>
          <w:szCs w:val="24"/>
          <w:highlight w:val="none"/>
        </w:rPr>
      </w:pPr>
      <w:r/>
      <w:bookmarkStart w:id="9" w:name="一．报价函（格式）"/>
      <w:r/>
      <w:bookmarkEnd w:id="9"/>
      <w:r>
        <w:rPr>
          <w:rFonts w:hint="eastAsia" w:ascii="黑体" w:hAnsi="宋体" w:eastAsia="黑体"/>
          <w:bCs/>
          <w:color w:val="auto"/>
          <w:sz w:val="24"/>
          <w:szCs w:val="24"/>
          <w:highlight w:val="none"/>
        </w:rPr>
        <w:br w:type="page" w:clear="all"/>
      </w:r>
      <w:r/>
    </w:p>
    <w:p>
      <w:pPr>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致无锡市新吴区人民政府江溪街道办事处：</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JSZC-320214-JSZH-G2026-0015</w:t>
      </w:r>
      <w:r>
        <w:rPr>
          <w:rFonts w:hint="eastAsia" w:ascii="宋体" w:hAnsi="宋体"/>
          <w:bCs/>
          <w:color w:val="auto"/>
          <w:sz w:val="24"/>
          <w:szCs w:val="24"/>
          <w:highlight w:val="none"/>
        </w:rPr>
        <w:t xml:space="preserve">招标文件，经仔细阅读和研究，我方决定参加此项目的投标。</w:t>
      </w:r>
      <w:r/>
    </w:p>
    <w:p>
      <w:pPr>
        <w:numPr>
          <w:ilvl w:val="0"/>
          <w:numId w:val="16"/>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752"/>
          <w:bCs/>
          <w:color w:val="auto"/>
          <w:highlight w:val="none"/>
        </w:rPr>
      </w:pPr>
      <w:r>
        <w:rPr>
          <w:rFonts w:hint="eastAsia" w:ascii="宋体" w:hAnsi="宋体"/>
          <w:bCs/>
          <w:color w:val="auto"/>
          <w:sz w:val="24"/>
          <w:szCs w:val="24"/>
          <w:highlight w:val="none"/>
        </w:rPr>
        <w:t xml:space="preserve">我方愿意提供江苏智汇锡建工程项目管理有限公司在招标文件中要求的文件、资料。</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通讯地址：邮编：</w:t>
      </w:r>
      <w:r/>
    </w:p>
    <w:p>
      <w:pPr>
        <w:rPr>
          <w:rFonts w:ascii="黑体" w:eastAsia="黑体"/>
          <w:bCs/>
          <w:color w:val="auto"/>
          <w:sz w:val="28"/>
          <w:szCs w:val="28"/>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outlineLvl w:val="9"/>
      </w:pPr>
      <w:r/>
      <w:bookmarkStart w:id="10" w:name="报价方关于资格的声明函（格式）"/>
      <w:r/>
      <w:bookmarkEnd w:id="10"/>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无锡市新吴区人民政府江溪街道办事处：</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JSZC-320214-JSZH-G2026-0015</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JSZC-320214-JSZH-G2026-0015</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outlineLvl w:val="9"/>
      </w:pPr>
      <w:r>
        <w:rPr>
          <w:rFonts w:hint="eastAsia"/>
          <w:color w:val="auto"/>
          <w:highlight w:val="none"/>
        </w:rPr>
        <w:t xml:space="preserve">备注：上述所称“重大违法记录”</w:t>
      </w:r>
      <w:r>
        <w:rPr>
          <w:rFonts w:hint="eastAsia"/>
          <w:color w:val="auto"/>
          <w:highlight w:val="none"/>
          <w:lang w:eastAsia="zh-CN"/>
        </w:rPr>
        <w:t xml:space="preserve">，</w:t>
      </w:r>
      <w:r>
        <w:rPr>
          <w:rFonts w:hint="eastAsia"/>
          <w:color w:val="auto"/>
          <w:highlight w:val="none"/>
        </w:rPr>
        <w:t xml:space="preserve">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rPr>
          <w:rFonts w:ascii="黑体" w:eastAsia="黑体"/>
          <w:bCs/>
          <w:color w:val="auto"/>
          <w:sz w:val="28"/>
          <w:szCs w:val="28"/>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rPr>
        <w:t xml:space="preserve">无锡市新吴区人民政府江溪街道办事处：</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JSZC-320214-JSZH-G2026-0015</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性别：</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rPr>
          <w:rFonts w:ascii="黑体" w:eastAsia="黑体"/>
          <w:bCs/>
          <w:color w:val="auto"/>
          <w:sz w:val="28"/>
          <w:szCs w:val="28"/>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w:t>
      </w:r>
      <w:r>
        <w:rPr>
          <w:rFonts w:ascii="宋体" w:hAnsi="宋体"/>
          <w:bCs/>
          <w:color w:val="auto"/>
          <w:sz w:val="24"/>
          <w:szCs w:val="24"/>
          <w:highlight w:val="none"/>
          <w:u w:val="non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outlineLvl w:val="9"/>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outlineLvl w:val="9"/>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ascii="黑体" w:hAnsi="宋体" w:eastAsia="黑体"/>
          <w:bCs/>
          <w:color w:val="auto"/>
          <w:sz w:val="24"/>
          <w:szCs w:val="24"/>
          <w:highlight w:val="none"/>
        </w:rPr>
        <w:outlineLvl w:val="9"/>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（六）服务保障承诺书（格式）：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服务保障承诺书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JSZC-320214-JSZH-G2026-0015</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JSZC-320214-JSZH-G2026-0015</w:t>
      </w:r>
      <w:r>
        <w:rPr>
          <w:rFonts w:hint="eastAsia" w:ascii="宋体" w:hAnsi="宋体"/>
          <w:bCs/>
          <w:color w:val="auto"/>
          <w:sz w:val="24"/>
          <w:szCs w:val="24"/>
          <w:highlight w:val="none"/>
        </w:rPr>
        <w:t xml:space="preserve">）所提供的服务符合招标文件要求；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753"/>
          <w:rFonts w:hint="eastAsia" w:ascii="宋体" w:hAnsi="宋体"/>
          <w:bCs/>
          <w:color w:val="auto"/>
          <w:sz w:val="24"/>
          <w:szCs w:val="24"/>
          <w:highlight w:val="none"/>
        </w:rPr>
        <w:t xml:space="preserve">www.creditchina.gov.cn</w:t>
      </w:r>
      <w:r>
        <w:rPr>
          <w:rStyle w:val="753"/>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w:t>
      </w:r>
      <w:r>
        <w:rPr>
          <w:rFonts w:hint="eastAsia" w:ascii="宋体" w:hAnsi="宋体"/>
          <w:bCs/>
          <w:color w:val="auto"/>
          <w:szCs w:val="21"/>
          <w:highlight w:val="none"/>
          <w:lang w:eastAsia="zh-CN"/>
        </w:rPr>
        <w:t xml:space="preserve">要求</w:t>
      </w:r>
      <w:r>
        <w:rPr>
          <w:rFonts w:hint="eastAsia" w:ascii="宋体" w:hAnsi="宋体"/>
          <w:bCs/>
          <w:color w:val="auto"/>
          <w:szCs w:val="21"/>
          <w:highlight w:val="none"/>
        </w:rPr>
        <w:t xml:space="preserve">自行完善。</w:t>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jc w:val="left"/>
        <w:rPr>
          <w:rFonts w:ascii="黑体" w:eastAsia="黑体"/>
          <w:bCs/>
          <w:color w:val="auto"/>
          <w:sz w:val="28"/>
          <w:szCs w:val="28"/>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开标一览表</w:t>
      </w:r>
      <w:r/>
    </w:p>
    <w:p>
      <w:pPr>
        <w:spacing w:line="300" w:lineRule="auto"/>
        <w:rPr>
          <w:rFonts w:ascii="宋体" w:hAnsi="宋体" w:cs="宋体"/>
          <w:color w:val="auto"/>
          <w:highlight w:val="none"/>
        </w:rPr>
      </w:pPr>
      <w:r>
        <w:rPr>
          <w:rFonts w:ascii="宋体" w:hAnsi="宋体" w:cs="宋体"/>
          <w:color w:val="auto"/>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w:t>
      </w:r>
      <w:r>
        <w:rPr>
          <w:rFonts w:hint="eastAsia" w:ascii="黑体" w:eastAsia="黑体"/>
          <w:bCs/>
          <w:color w:val="auto"/>
          <w:sz w:val="24"/>
          <w:szCs w:val="24"/>
          <w:highlight w:val="none"/>
          <w:lang w:val="en-US" w:eastAsia="zh-CN"/>
        </w:rPr>
        <w:t xml:space="preserve">                   </w:t>
      </w: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JSZC-320214-JSZH-G2026-0015</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2"/>
        <w:gridCol w:w="4798"/>
      </w:tblGrid>
      <w:tr>
        <w:trPr>
          <w:cantSplit/>
          <w:jc w:val="center"/>
          <w:trHeight w:val="567"/>
        </w:trPr>
        <w:tc>
          <w:tcPr>
            <w:tcW w:w="5282"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798"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229"/>
        </w:trPr>
        <w:tc>
          <w:tcPr>
            <w:tcW w:w="5282" w:type="dxa"/>
            <w:vAlign w:val="center"/>
            <w:textDirection w:val="lrTb"/>
            <w:noWrap/>
          </w:tcPr>
          <w:p>
            <w:pPr>
              <w:pStyle w:val="954"/>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江溪街道交警中队交通设施维护项目</w:t>
            </w:r>
            <w:r/>
          </w:p>
        </w:tc>
        <w:tc>
          <w:tcPr>
            <w:tcW w:w="4798" w:type="dxa"/>
            <w:vAlign w:val="center"/>
            <w:textDirection w:val="lrTb"/>
            <w:noWrap/>
          </w:tcPr>
          <w:p>
            <w:pPr>
              <w:pStyle w:val="954"/>
              <w:spacing w:line="360" w:lineRule="auto"/>
              <w:rPr>
                <w:rFonts w:hAnsi="宋体"/>
                <w:bCs/>
                <w:color w:val="auto"/>
                <w:szCs w:val="24"/>
                <w:highlight w:val="none"/>
              </w:rPr>
            </w:pPr>
            <w:r>
              <w:rPr>
                <w:rFonts w:hint="eastAsia" w:hAnsi="宋体"/>
                <w:bCs/>
                <w:color w:val="auto"/>
                <w:szCs w:val="24"/>
                <w:highlight w:val="none"/>
              </w:rPr>
              <w:t xml:space="preserve">投标报价（小写）：</w:t>
            </w:r>
            <w:r>
              <w:rPr>
                <w:rFonts w:hint="eastAsia" w:hAnsi="宋体"/>
                <w:bCs/>
                <w:color w:val="auto"/>
                <w:szCs w:val="24"/>
                <w:highlight w:val="none"/>
                <w:lang w:val="en-US" w:eastAsia="zh-CN"/>
              </w:rPr>
              <w:t xml:space="preserve">         </w:t>
            </w:r>
            <w:r>
              <w:rPr>
                <w:rFonts w:hint="eastAsia" w:hAnsi="宋体"/>
                <w:bCs/>
                <w:color w:val="auto"/>
                <w:szCs w:val="24"/>
                <w:highlight w:val="none"/>
              </w:rPr>
              <w:t xml:space="preserve">元　　　        </w:t>
            </w:r>
            <w:r/>
          </w:p>
          <w:p>
            <w:pPr>
              <w:pStyle w:val="954"/>
              <w:spacing w:line="360" w:lineRule="auto"/>
              <w:rPr>
                <w:bCs/>
                <w:color w:val="auto"/>
                <w:highlight w:val="none"/>
              </w:rPr>
            </w:pPr>
            <w:r>
              <w:rPr>
                <w:rFonts w:hint="eastAsia" w:hAnsi="宋体"/>
                <w:bCs/>
                <w:color w:val="auto"/>
                <w:szCs w:val="24"/>
                <w:highlight w:val="none"/>
              </w:rPr>
              <w:t xml:space="preserve">投标报价（大写）：</w:t>
            </w:r>
            <w:r>
              <w:rPr>
                <w:rFonts w:hint="eastAsia" w:hAnsi="宋体"/>
                <w:bCs/>
                <w:color w:val="auto"/>
                <w:szCs w:val="24"/>
                <w:highlight w:val="none"/>
                <w:u w:val="single"/>
              </w:rPr>
              <w:t xml:space="preserve"> 　</w:t>
            </w:r>
            <w:r>
              <w:rPr>
                <w:rFonts w:hint="eastAsia"/>
                <w:bCs/>
                <w:color w:val="auto"/>
                <w:highlight w:val="none"/>
                <w:u w:val="single"/>
              </w:rPr>
              <w:t xml:space="preserve">　　     </w:t>
            </w:r>
            <w:r/>
          </w:p>
        </w:tc>
      </w:tr>
      <w:tr>
        <w:trPr>
          <w:cantSplit/>
          <w:jc w:val="center"/>
          <w:trHeight w:val="641"/>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olor w:val="auto"/>
                <w:sz w:val="24"/>
                <w:highlight w:val="none"/>
              </w:rPr>
              <w:t xml:space="preserve">服务期：</w:t>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服务质量：</w:t>
            </w:r>
            <w:r/>
          </w:p>
        </w:tc>
      </w:tr>
      <w:tr>
        <w:trPr>
          <w:cantSplit/>
          <w:jc w:val="center"/>
          <w:trHeight w:val="788"/>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项目负责人：</w:t>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spacing w:line="500" w:lineRule="exact"/>
        <w:rPr>
          <w:rFonts w:ascii="宋体" w:hAnsi="宋体" w:cs="宋体"/>
          <w:b/>
          <w:color w:val="auto"/>
          <w:sz w:val="24"/>
          <w:highlight w:val="none"/>
        </w:rPr>
      </w:pPr>
      <w:r>
        <w:rPr>
          <w:rFonts w:hint="eastAsia" w:ascii="宋体" w:hAnsi="宋体" w:cs="宋体"/>
          <w:b/>
          <w:bCs/>
          <w:color w:val="auto"/>
          <w:sz w:val="24"/>
          <w:highlight w:val="none"/>
        </w:rPr>
        <w:t xml:space="preserve">2.供应商的投标报价的总额应是供应商在报价文件中提出的各项支付金额的总和，也应是完成投标文件所列采购需求的全部费用。</w:t>
      </w:r>
      <w:r/>
    </w:p>
    <w:p>
      <w:pPr>
        <w:rPr>
          <w:rFonts w:ascii="黑体" w:eastAsia="黑体"/>
          <w:bCs/>
          <w:color w:val="auto"/>
          <w:sz w:val="28"/>
          <w:szCs w:val="28"/>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（八）报价明细表（格式）：</w:t>
      </w:r>
      <w:r/>
    </w:p>
    <w:p>
      <w:pPr>
        <w:jc w:val="center"/>
        <w:spacing w:line="400" w:lineRule="exact"/>
        <w:rPr>
          <w:rFonts w:ascii="宋体" w:hAnsi="宋体"/>
          <w:bCs/>
          <w:color w:val="auto"/>
          <w:sz w:val="28"/>
          <w:szCs w:val="28"/>
          <w:highlight w:val="none"/>
        </w:rPr>
      </w:pPr>
      <w:r>
        <w:rPr>
          <w:rFonts w:hint="eastAsia" w:ascii="宋体" w:hAnsi="宋体"/>
          <w:bCs/>
          <w:color w:val="auto"/>
          <w:sz w:val="28"/>
          <w:szCs w:val="28"/>
          <w:highlight w:val="none"/>
        </w:rPr>
        <w:t xml:space="preserve">报价明细表</w:t>
      </w:r>
      <w:r/>
    </w:p>
    <w:p>
      <w:pPr>
        <w:ind w:firstLine="840"/>
        <w:spacing w:line="400" w:lineRule="exact"/>
        <w:rPr>
          <w:rFonts w:ascii="宋体" w:hAnsi="宋体" w:cs="宋体"/>
          <w:color w:val="auto"/>
          <w:sz w:val="24"/>
          <w:highlight w:val="none"/>
        </w:rPr>
      </w:pPr>
      <w:r>
        <w:rPr>
          <w:rFonts w:ascii="宋体" w:hAnsi="宋体" w:cs="宋体"/>
          <w:color w:val="auto"/>
          <w:sz w:val="24"/>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w:t>
      </w:r>
      <w:r>
        <w:rPr>
          <w:rFonts w:hint="eastAsia" w:ascii="黑体" w:eastAsia="黑体"/>
          <w:bCs/>
          <w:color w:val="auto"/>
          <w:sz w:val="24"/>
          <w:szCs w:val="24"/>
          <w:highlight w:val="none"/>
          <w:lang w:val="en-US" w:eastAsia="zh-CN"/>
        </w:rPr>
        <w:t xml:space="preserve">                   </w:t>
      </w: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JSZC-320214-JSZH-G2026-0015</w:t>
      </w:r>
      <w:r/>
    </w:p>
    <w:tbl>
      <w:tblPr>
        <w:tblStyle w:val="713"/>
        <w:tblW w:w="49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0"/>
        <w:gridCol w:w="4816"/>
        <w:gridCol w:w="784"/>
        <w:gridCol w:w="1539"/>
        <w:gridCol w:w="1052"/>
        <w:gridCol w:w="1003"/>
      </w:tblGrid>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序号</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服务内容</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单位</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一年工作量</w:t>
            </w:r>
            <w:r/>
          </w:p>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（预估）</w:t>
            </w:r>
            <w:r/>
          </w:p>
        </w:tc>
        <w:tc>
          <w:tcPr>
            <w:shd w:val="clear" w:color="auto" w:fill="auto"/>
            <w:tcW w:w="530" w:type="pct"/>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单价（元）</w:t>
            </w:r>
            <w:r/>
          </w:p>
        </w:tc>
        <w:tc>
          <w:tcPr>
            <w:shd w:val="clear" w:color="auto" w:fill="auto"/>
            <w:tcW w:w="503" w:type="pct"/>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总价（元）</w:t>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400型绿满灯芯</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400型红满灯芯</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400型黄满灯芯</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400型绿箭灯芯</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400型红箭灯芯</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400型黄箭灯芯</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400型三色箭头灯芯</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400型双色人行灯芯</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9</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400型箭头灯信号灯组</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400型满灯信号灯组</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非机动车信号灯组（带左转）</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12</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400型双色人行信号灯组</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13</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带语音提示复合人行信号灯组</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14</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六联一体化立柱式信号灯组</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15</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四联一体化立柱式信号灯组</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16</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双排一体化立柱式信号灯组</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17</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单排一体化立柱式信号灯组</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660"/>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18</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RX400-2-DW（整组）组合式人行信号灯灯壳</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19</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大信号机门</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扇</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20</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TSC-2010联网型大信号机</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台</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21</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主控板（信号机内部元件）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22</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驱动板（信号机内部元件）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80"/>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23</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硬件黄闪器ES513-V03 DAWAY TECHNOLOGIES COPYRIGHT 2000</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24</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电源板（信号机内部元件）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25</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底板（信号机内部元件）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26</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机箱（信号机外壳）</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台</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27</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鼠笼（含面板、信号机内部元件）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28</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5V光端机电源（信号机内部元件）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29</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9V光端机电源（信号机内部元件）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30</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CV1000ST/R光纤收发器</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31</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ATX-350SD工控机箱电源</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32</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P3105-220光端机箱专用电源</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33</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SD-6A9230F自动违停抓拍球机</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34</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DH-ITES0804终端管理设备</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35</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P10户外单红色显示屏P10 1R</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36</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CXBG-1-PS-DWLED频闪灯</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37</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CXBG-2-MC-DW闪光灯</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38</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国标KVV 4*1.5控制线缆敷设</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千米</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0.1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39</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国标KVV 7*1.5控制线缆敷设</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千米</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0.1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40</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国标KVV 2*4控制线缆敷设</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千米</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0.1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41</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国标RVV 3*1.5控制线缆敷设</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千米</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0.1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42</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国标RVV 2*1控制线缆敷设</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千米</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0.1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43</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国标RVV 4*1控制线缆敷设</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千米</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0.1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44</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国标RVVP 4*1.5控制线缆敷设</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千米</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0.1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45</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国标RVVP 8*0.5控制线缆敷设</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千米</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0.1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46</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国标RVV 2*1.5控制线缆敷设</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千米</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0.1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47</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国标RVSP 6*0.5控制线缆敷设</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千米</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0.1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48</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国标RVSP 4*1控制线缆敷设</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千米</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0.1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49</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国标RVSP 4*1.5控制线缆敷设</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千米</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0.1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50</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国标RVSP 2*1.5控制线缆敷设</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千米</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0.1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51</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￠50PE管敷设（含开挖、恢复）</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千米</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0.1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52</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DN50镀锌钢管敷设（含开挖、恢复）</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千米</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0.1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53</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7M*3.5M镀锌钢制挑臂杆</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54</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7M*5M镀锌钢制挑臂杆</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55</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7M*8M镀锌钢制挑臂杆</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56</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7M*9M镀锌钢制挑臂杆</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57</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7M*10M镀锌钢制挑臂杆</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58</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3M人行灯杆</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59</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公安砖砌手孔窨井（含圈盖）</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60</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直径0.9米铸铁窨井盖</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61</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信号灯帽檐</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24</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62</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信号灯裙边</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24</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63</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信号灯灯罩</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24</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64</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手控（信号机内部元件）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65</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六脚钮子开关（信号机内部元件）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66</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航空插头（信号机内部元件）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67</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机箱门板</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68</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信号机箱门锁</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69</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信号机箱铰链（小）</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付</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70</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信号机箱铰链（大）</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付</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71</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5A保险丝（信号机内部元件）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72</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10K电阻（信号机内部元件）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73</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JZCI-44/（3TH82）接触器（信号机内部元件）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74</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MY2N继电器（信号机内部元件）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75</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2P空气开关（信号机内部元件）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76</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CR2025主板电池（信号机内部元件）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77</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JZC1接触式继电器（信号机内部元件）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78</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T120电源（信号机内部元件）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79</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D30A电源（信号机内部元件）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80</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S-15电源（信号机内部元件）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81</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S-35电源（信号机内部元件）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82</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24V防水电源（信号机内部元件）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83</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MW S-35-55V开关电源（信号机内部元件）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84</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MW D-60A12V开关电源（信号机内部元件）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85</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2米5镀锌接地桩</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根</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86</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直径0.9米大工井</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87</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1.0*0.8*0.6米小工井</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88</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基础笼</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89</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0.8*0.6米水泥窨井盖</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90</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常温标线</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91</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热熔标线</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19000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92</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振动标线</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2000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93</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常温型小型车位标线（含停放箭头）</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94</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常温型非机动车位标线（含停放箭头、非机动车图案）</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120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95</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小型新泽西水泥钢筋护栏</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96</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小型新泽西水泥钢筋护栏配套用钢管</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米</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97</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中分带绿化护栏（1600*2500mm）（钢管材质、电焊网隔离栅）</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米</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98</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防眩护栏（1110*3000mm）（钢管材质）</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片/墩</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99</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机非护栏（1050*3000mm）（钢管材质）</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片/墩</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100</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新型交通灰中心护栏（1050*3000mm）</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米</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900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101</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新型交通灰机非护栏（900*2500mm）</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米</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900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102</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新型交通人非护栏（965*2850mm）</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米</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103</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荧光黄绿、黑警示桩（φ75.5mm）</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根</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104</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荧光黄绿、黑警示桩（φ114mm）</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根</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105</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双面太阳能警示桩（行人优先）</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106</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单面太阳能箭头警示桩</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107</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太阳能黄闪灯</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108</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太阳能爆闪灯</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109</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H700mm圆锥筒</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110</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800*600mm防撞桶</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111</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交通凸面镜φ80</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112</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禁令标志φ80</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113</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警告标志△90</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114</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标志牌</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200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115</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标志牌更改版面</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150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116</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标志杆油漆</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200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117</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护栏铸铁底座油漆</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500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118</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新型右侧行驶标志</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119</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活动撑牌（800*1000）</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块</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120</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单杆立柱（φ76*3500）</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根</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121</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单杆立柱（φ76*4500）</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根</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122</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悬臂式标志杆（φ159*6500）</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根</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123</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悬臂式标志杆（φ219*7000）</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根</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124</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悬臂式标志杆（φ299*8170）</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根</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125</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高压水除线</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600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126</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1500*450路名牌（含立杆基础）</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付</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127</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102*88*16mm反光道钉</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400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128</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基础加固（标志基础松动后的加固）</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62"/>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129</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整理工时费（含汽车台班）</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人/天</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4*180</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50"/>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130</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登高车台班</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台次</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12</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95"/>
        </w:trPr>
        <w:tc>
          <w:tcPr>
            <w:shd w:val="clear" w:color="auto" w:fill="auto"/>
            <w:tcW w:w="36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131</w:t>
            </w:r>
            <w:r/>
          </w:p>
        </w:tc>
        <w:tc>
          <w:tcPr>
            <w:shd w:val="clear" w:color="auto" w:fill="auto"/>
            <w:tcW w:w="242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抢修吊车台班</w:t>
            </w:r>
            <w:r/>
          </w:p>
        </w:tc>
        <w:tc>
          <w:tcPr>
            <w:shd w:val="clear" w:color="auto" w:fill="auto"/>
            <w:tcW w:w="3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台次</w:t>
            </w:r>
            <w:r/>
          </w:p>
        </w:tc>
        <w:tc>
          <w:tcPr>
            <w:shd w:val="clear" w:color="auto" w:fill="auto"/>
            <w:tcW w:w="77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w:t>
            </w:r>
            <w:r/>
          </w:p>
        </w:tc>
        <w:tc>
          <w:tcPr>
            <w:shd w:val="clear" w:color="auto" w:fill="auto"/>
            <w:tcW w:w="53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5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95"/>
        </w:trPr>
        <w:tc>
          <w:tcPr>
            <w:gridSpan w:val="2"/>
            <w:shd w:val="clear" w:color="auto" w:fill="auto"/>
            <w:tcW w:w="279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合计：一年费用</w:t>
            </w:r>
            <w:r/>
          </w:p>
        </w:tc>
        <w:tc>
          <w:tcPr>
            <w:gridSpan w:val="4"/>
            <w:shd w:val="clear" w:color="auto" w:fill="auto"/>
            <w:tcW w:w="220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495"/>
        </w:trPr>
        <w:tc>
          <w:tcPr>
            <w:gridSpan w:val="2"/>
            <w:shd w:val="clear" w:color="auto" w:fill="auto"/>
            <w:tcW w:w="279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合计：两年费用</w:t>
            </w:r>
            <w:r/>
          </w:p>
        </w:tc>
        <w:tc>
          <w:tcPr>
            <w:gridSpan w:val="4"/>
            <w:shd w:val="clear" w:color="auto" w:fill="auto"/>
            <w:tcW w:w="220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bl>
    <w:p>
      <w:pPr>
        <w:pStyle w:val="715"/>
        <w:ind w:firstLine="480"/>
        <w:rPr>
          <w:rFonts w:ascii="宋体" w:hAnsi="宋体"/>
          <w:color w:val="auto"/>
          <w:sz w:val="24"/>
          <w:highlight w:val="none"/>
        </w:rPr>
      </w:pPr>
      <w:r>
        <w:rPr>
          <w:rFonts w:ascii="宋体" w:hAnsi="宋体"/>
          <w:color w:val="auto"/>
          <w:sz w:val="24"/>
          <w:highlight w:val="none"/>
        </w:rPr>
      </w:r>
      <w:r/>
    </w:p>
    <w:p>
      <w:pPr>
        <w:keepLines w:val="0"/>
        <w:keepNext w:val="0"/>
        <w:pageBreakBefore w:val="0"/>
        <w:spacing w:before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bidi="ar"/>
        </w:rPr>
        <w:t xml:space="preserve">注：1）招标文件中设定的每年工程量为预估工程量，仅供统一评标设置，在实际维护施工中根据交通管理需要发生变化。最终按实际施工工作量进行结算。</w:t>
      </w:r>
      <w:r/>
    </w:p>
    <w:p>
      <w:pPr>
        <w:ind w:firstLine="480"/>
        <w:keepLines w:val="0"/>
        <w:keepNext w:val="0"/>
        <w:pageBreakBefore w:val="0"/>
        <w:spacing w:line="360" w:lineRule="auto"/>
        <w:widowControl w:val="off"/>
        <w:rPr>
          <w:rFonts w:hint="eastAsia" w:ascii="宋体" w:hAnsi="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 xml:space="preserve">2）以上价格为全费用价格，包括完成该项服务所需的一切费用，包括但不限于完成本项目所需的人员（包括工资和补贴）、设备、运输、安装、调试、检验、验收、办公场所及设施、保险、劳保、管理、各种税费、利润、税金，质保期内的售后服务及政策性文件规定及合同包含的所有风险、责任等各项应有费用。若为拆换则包含拆装及垃圾处理费用</w:t>
      </w:r>
      <w:r>
        <w:rPr>
          <w:rFonts w:hint="eastAsia" w:ascii="宋体" w:hAnsi="宋体" w:cs="宋体"/>
          <w:b/>
          <w:color w:val="auto"/>
          <w:sz w:val="24"/>
          <w:szCs w:val="24"/>
          <w:highlight w:val="none"/>
          <w:lang w:val="en-US" w:eastAsia="zh-CN" w:bidi="ar"/>
        </w:rPr>
        <w:t xml:space="preserve">。</w:t>
      </w:r>
      <w:r/>
    </w:p>
    <w:p>
      <w:pPr>
        <w:ind w:firstLine="480"/>
        <w:keepLines w:val="0"/>
        <w:keepNext w:val="0"/>
        <w:pageBreakBefore w:val="0"/>
        <w:spacing w:line="360" w:lineRule="auto"/>
        <w:widowControl w:val="off"/>
        <w:rPr>
          <w:rFonts w:hint="default" w:ascii="宋体" w:hAnsi="宋体" w:cs="宋体"/>
          <w:b/>
          <w:color w:val="0000ff"/>
          <w:sz w:val="24"/>
          <w:szCs w:val="24"/>
          <w:highlight w:val="yellow"/>
          <w:lang w:val="en-US" w:eastAsia="zh-CN" w:bidi="ar"/>
        </w:rPr>
      </w:pPr>
      <w:r>
        <w:rPr>
          <w:rFonts w:hint="eastAsia" w:ascii="宋体" w:hAnsi="宋体" w:cs="宋体"/>
          <w:b/>
          <w:color w:val="0000ff"/>
          <w:sz w:val="24"/>
          <w:szCs w:val="24"/>
          <w:highlight w:val="yellow"/>
          <w:lang w:val="en-US" w:eastAsia="zh-CN" w:bidi="ar"/>
        </w:rPr>
        <w:t xml:space="preserve">3）涉及维修或新增改建的设备品牌或型号与原品牌或型号不一致，发生变化的，须提前得到采购人批准，且新设备性能不低于原设备。涉及新设备的单价和其它费用（工作量等）的结算最终按审定价下浮15%执行。</w:t>
      </w:r>
      <w:r/>
    </w:p>
    <w:p>
      <w:pPr>
        <w:pStyle w:val="715"/>
        <w:ind w:firstLine="480"/>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pStyle w:val="715"/>
        <w:ind w:firstLine="480"/>
        <w:rPr>
          <w:rFonts w:ascii="宋体" w:hAnsi="宋体"/>
          <w:color w:val="auto"/>
          <w:sz w:val="24"/>
          <w:highlight w:val="none"/>
        </w:rPr>
      </w:pPr>
      <w:r>
        <w:rPr>
          <w:rFonts w:ascii="宋体" w:hAnsi="宋体"/>
          <w:color w:val="auto"/>
          <w:sz w:val="24"/>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供应商（盖章）：</w:t>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法定代表人或授权代表签字或盖章：</w:t>
      </w:r>
      <w:r/>
    </w:p>
    <w:p>
      <w:pPr>
        <w:spacing w:line="480" w:lineRule="auto"/>
        <w:rPr>
          <w:rFonts w:hint="eastAsia" w:ascii="宋体" w:hAnsi="宋体"/>
          <w:color w:val="auto"/>
          <w:sz w:val="24"/>
          <w:szCs w:val="24"/>
          <w:highlight w:val="none"/>
        </w:rPr>
      </w:pPr>
      <w:r>
        <w:rPr>
          <w:rFonts w:hint="eastAsia" w:ascii="宋体" w:hAnsi="宋体"/>
          <w:bCs/>
          <w:color w:val="auto"/>
          <w:sz w:val="24"/>
          <w:highlight w:val="none"/>
        </w:rPr>
        <w:t xml:space="preserve">日期：</w:t>
      </w:r>
      <w:r/>
    </w:p>
    <w:p>
      <w:pPr>
        <w:spacing w:line="480" w:lineRule="auto"/>
        <w:rPr>
          <w:rFonts w:ascii="黑体" w:eastAsia="黑体"/>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（九）投标偏离表（格式）：</w:t>
      </w:r>
      <w:r/>
    </w:p>
    <w:p>
      <w:pPr>
        <w:ind w:firstLine="490"/>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9"/>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JSZC-320214-JSZH-G2026-0015</w:t>
      </w:r>
      <w:r/>
    </w:p>
    <w:tbl>
      <w:tblPr>
        <w:tblStyle w:val="713"/>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outlineLvl w:val="9"/>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outlineLvl w:val="9"/>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）如无任何服务偏离，请于本表“偏离说明”中注明“无偏离”；</w:t>
      </w:r>
      <w:r/>
    </w:p>
    <w:p>
      <w:pPr>
        <w:rPr>
          <w:rFonts w:ascii="宋体"/>
          <w:bCs/>
          <w:color w:val="auto"/>
          <w:sz w:val="24"/>
          <w:szCs w:val="24"/>
          <w:highlight w:val="none"/>
        </w:rPr>
        <w:outlineLvl w:val="9"/>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eastAsia="zh-CN"/>
        </w:rPr>
        <w:t xml:space="preserve">项目人员配备计划表（</w:t>
      </w:r>
      <w:r>
        <w:rPr>
          <w:rFonts w:hint="eastAsia" w:ascii="黑体" w:hAnsi="宋体" w:eastAsia="黑体"/>
          <w:bCs/>
          <w:color w:val="auto"/>
          <w:sz w:val="24"/>
          <w:szCs w:val="24"/>
          <w:highlight w:val="none"/>
        </w:rPr>
        <w:t xml:space="preserve">格式</w:t>
      </w:r>
      <w:r>
        <w:rPr>
          <w:rFonts w:hint="eastAsia" w:ascii="黑体" w:hAnsi="宋体" w:eastAsia="黑体"/>
          <w:bCs/>
          <w:color w:val="auto"/>
          <w:sz w:val="24"/>
          <w:szCs w:val="24"/>
          <w:highlight w:val="none"/>
          <w:lang w:eastAsia="zh-CN"/>
        </w:rPr>
        <w:t xml:space="preserve">）</w:t>
      </w:r>
      <w:r/>
    </w:p>
    <w:p>
      <w:pPr>
        <w:jc w:val="center"/>
        <w:rPr>
          <w:rFonts w:ascii="宋体" w:hAnsi="宋体"/>
          <w:bCs/>
          <w:color w:val="auto"/>
          <w:sz w:val="24"/>
          <w:szCs w:val="24"/>
          <w:highlight w:val="none"/>
        </w:rPr>
      </w:pPr>
      <w:r>
        <w:rPr>
          <w:rFonts w:ascii="宋体" w:hAnsi="宋体"/>
          <w:bCs/>
          <w:color w:val="auto"/>
          <w:sz w:val="24"/>
          <w:szCs w:val="24"/>
          <w:highlight w:val="none"/>
        </w:rPr>
      </w:r>
      <w:r/>
    </w:p>
    <w:p>
      <w:pPr>
        <w:jc w:val="cente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项目人员配备计划表</w:t>
      </w:r>
      <w:r/>
    </w:p>
    <w:p>
      <w:pPr>
        <w:pStyle w:val="745"/>
        <w:ind w:firstLine="210"/>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Cs/>
          <w:color w:val="auto"/>
          <w:szCs w:val="21"/>
          <w:highlight w:val="none"/>
        </w:rPr>
      </w:pPr>
      <w:r>
        <w:rPr>
          <w:rFonts w:hint="eastAsia" w:ascii="宋体" w:hAnsi="宋体" w:cs="宋体"/>
          <w:bCs/>
          <w:color w:val="auto"/>
          <w:sz w:val="24"/>
          <w:szCs w:val="24"/>
          <w:highlight w:val="none"/>
        </w:rPr>
        <w:t xml:space="preserve">供应商名称（盖章）                                       项目编号： </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序号</w:t>
            </w:r>
            <w:r/>
          </w:p>
        </w:tc>
        <w:tc>
          <w:tcPr>
            <w:tcW w:w="104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姓名</w:t>
            </w:r>
            <w:r/>
          </w:p>
        </w:tc>
        <w:tc>
          <w:tcPr>
            <w:tcW w:w="730"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性别</w:t>
            </w:r>
            <w:r/>
          </w:p>
        </w:tc>
        <w:tc>
          <w:tcPr>
            <w:tcW w:w="709"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年龄</w:t>
            </w:r>
            <w:r/>
          </w:p>
        </w:tc>
        <w:tc>
          <w:tcPr>
            <w:tcW w:w="147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岗位名称</w:t>
            </w:r>
            <w:r/>
          </w:p>
        </w:tc>
        <w:tc>
          <w:tcPr>
            <w:tcW w:w="1236"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学历</w:t>
            </w:r>
            <w:r/>
          </w:p>
        </w:tc>
        <w:tc>
          <w:tcPr>
            <w:tcW w:w="1236"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职称</w:t>
            </w:r>
            <w:r/>
          </w:p>
        </w:tc>
        <w:tc>
          <w:tcPr>
            <w:tcW w:w="185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主要资历、经验及承担过的项目</w:t>
            </w:r>
            <w:r/>
          </w:p>
        </w:tc>
        <w:tc>
          <w:tcPr>
            <w:tcW w:w="932"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备注</w:t>
            </w:r>
            <w:r/>
          </w:p>
        </w:tc>
      </w:tr>
      <w:tr>
        <w:trPr>
          <w:trHeight w:val="521"/>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7"/>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3"/>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1"/>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03"/>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9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9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0"/>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7"/>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30"/>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8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Cs w:val="21"/>
          <w:highlight w:val="none"/>
        </w:rPr>
      </w:pPr>
      <w:r>
        <w:rPr>
          <w:rFonts w:hint="eastAsia" w:ascii="宋体" w:hAnsi="宋体"/>
          <w:bCs/>
          <w:color w:val="auto"/>
          <w:szCs w:val="21"/>
          <w:highlight w:val="none"/>
        </w:rPr>
        <w:t xml:space="preserve">注：1、上表可自行延长。</w:t>
      </w:r>
      <w:r/>
    </w:p>
    <w:p>
      <w:pPr>
        <w:jc w:val="left"/>
        <w:spacing w:line="460" w:lineRule="exact"/>
        <w:rPr>
          <w:rFonts w:ascii="黑体" w:hAnsi="宋体" w:eastAsia="黑体"/>
          <w:bCs/>
          <w:color w:val="auto"/>
          <w:sz w:val="24"/>
          <w:szCs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（十一）项目负责人简历表（格式）</w:t>
      </w:r>
      <w:r/>
    </w:p>
    <w:p>
      <w:pPr>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项目负责人简历表</w:t>
      </w:r>
      <w:r/>
    </w:p>
    <w:p>
      <w:pPr>
        <w:pStyle w:val="955"/>
        <w:rPr>
          <w:rFonts w:hint="eastAsia" w:ascii="黑体" w:eastAsia="黑体"/>
          <w:bCs w:val="0"/>
          <w:color w:val="auto"/>
          <w:highlight w:val="none"/>
        </w:rPr>
      </w:pPr>
      <w:r>
        <w:rPr>
          <w:rFonts w:hint="eastAsia" w:ascii="黑体" w:eastAsia="黑体"/>
          <w:bCs w:val="0"/>
          <w:color w:val="auto"/>
          <w:highlight w:val="none"/>
        </w:rPr>
      </w:r>
      <w:r/>
    </w:p>
    <w:p>
      <w:pPr>
        <w:pStyle w:val="955"/>
        <w:jc w:val="left"/>
        <w:rPr>
          <w:rFonts w:ascii="黑体" w:eastAsia="黑体"/>
          <w:bCs w:val="0"/>
          <w:color w:val="auto"/>
          <w:highlight w:val="none"/>
        </w:rPr>
      </w:pPr>
      <w:r>
        <w:rPr>
          <w:rFonts w:hint="eastAsia" w:ascii="黑体" w:eastAsia="黑体"/>
          <w:bCs w:val="0"/>
          <w:color w:val="auto"/>
          <w:highlight w:val="none"/>
        </w:rPr>
        <w:t xml:space="preserve">投标供应商名称（盖章）                      采购项目编号：</w:t>
      </w:r>
      <w:r/>
    </w:p>
    <w:tbl>
      <w:tblPr>
        <w:tblStyle w:val="71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851" w:type="dxa"/>
            <w:vAlign w:val="center"/>
            <w:textDirection w:val="lrTb"/>
            <w:noWrap/>
          </w:tcPr>
          <w:p>
            <w:pPr>
              <w:pStyle w:val="715"/>
              <w:ind w:firstLine="0"/>
              <w:jc w:val="center"/>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2394" w:type="dxa"/>
            <w:vAlign w:val="center"/>
            <w:textDirection w:val="lrTb"/>
            <w:noWrap/>
          </w:tcPr>
          <w:p>
            <w:pPr>
              <w:pStyle w:val="715"/>
              <w:ind w:firstLine="480"/>
              <w:jc w:val="center"/>
              <w:rPr>
                <w:rFonts w:ascii="宋体" w:hAnsi="宋体" w:cs="宋体"/>
                <w:color w:val="auto"/>
                <w:sz w:val="24"/>
                <w:highlight w:val="none"/>
              </w:rPr>
            </w:pPr>
            <w:r>
              <w:rPr>
                <w:rFonts w:ascii="宋体" w:hAnsi="宋体" w:cs="宋体"/>
                <w:color w:val="auto"/>
                <w:sz w:val="24"/>
                <w:highlight w:val="none"/>
              </w:rPr>
            </w:r>
            <w:r/>
          </w:p>
        </w:tc>
        <w:tc>
          <w:tcPr>
            <w:tcW w:w="1083" w:type="dxa"/>
            <w:vAlign w:val="center"/>
            <w:textDirection w:val="lrTb"/>
            <w:noWrap/>
          </w:tcPr>
          <w:p>
            <w:pPr>
              <w:pStyle w:val="715"/>
              <w:ind w:firstLine="0"/>
              <w:jc w:val="center"/>
              <w:rPr>
                <w:rFonts w:ascii="宋体" w:hAnsi="宋体" w:cs="宋体"/>
                <w:color w:val="auto"/>
                <w:sz w:val="24"/>
                <w:highlight w:val="none"/>
              </w:rPr>
            </w:pPr>
            <w:r>
              <w:rPr>
                <w:rFonts w:hint="eastAsia" w:ascii="宋体" w:hAnsi="宋体" w:cs="宋体"/>
                <w:color w:val="auto"/>
                <w:sz w:val="24"/>
                <w:highlight w:val="none"/>
              </w:rPr>
              <w:t xml:space="preserve">性别</w:t>
            </w:r>
            <w:r/>
          </w:p>
        </w:tc>
        <w:tc>
          <w:tcPr>
            <w:gridSpan w:val="2"/>
            <w:tcW w:w="3612" w:type="dxa"/>
            <w:vAlign w:val="center"/>
            <w:textDirection w:val="lrTb"/>
            <w:noWrap/>
          </w:tcPr>
          <w:p>
            <w:pPr>
              <w:pStyle w:val="715"/>
              <w:ind w:firstLine="480"/>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64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851" w:type="dxa"/>
            <w:vAlign w:val="center"/>
            <w:textDirection w:val="lrTb"/>
            <w:noWrap/>
          </w:tcPr>
          <w:p>
            <w:pPr>
              <w:pStyle w:val="715"/>
              <w:ind w:firstLine="0"/>
              <w:jc w:val="center"/>
              <w:rPr>
                <w:rFonts w:ascii="宋体" w:hAnsi="宋体" w:cs="宋体"/>
                <w:color w:val="auto"/>
                <w:sz w:val="24"/>
                <w:highlight w:val="none"/>
              </w:rPr>
            </w:pPr>
            <w:r>
              <w:rPr>
                <w:rFonts w:hint="eastAsia" w:ascii="宋体" w:hAnsi="宋体" w:cs="宋体"/>
                <w:color w:val="auto"/>
                <w:sz w:val="24"/>
                <w:highlight w:val="none"/>
              </w:rPr>
              <w:t xml:space="preserve">身份证号码</w:t>
            </w:r>
            <w:r/>
          </w:p>
        </w:tc>
        <w:tc>
          <w:tcPr>
            <w:gridSpan w:val="2"/>
            <w:tcW w:w="3477" w:type="dxa"/>
            <w:vAlign w:val="center"/>
            <w:textDirection w:val="lrTb"/>
            <w:noWrap/>
          </w:tcPr>
          <w:p>
            <w:pPr>
              <w:pStyle w:val="715"/>
              <w:ind w:firstLine="480"/>
              <w:jc w:val="center"/>
              <w:rPr>
                <w:rFonts w:ascii="宋体" w:hAnsi="宋体" w:cs="宋体"/>
                <w:color w:val="auto"/>
                <w:sz w:val="24"/>
                <w:highlight w:val="none"/>
              </w:rPr>
            </w:pPr>
            <w:r>
              <w:rPr>
                <w:rFonts w:ascii="宋体" w:hAnsi="宋体" w:cs="宋体"/>
                <w:color w:val="auto"/>
                <w:sz w:val="24"/>
                <w:highlight w:val="none"/>
              </w:rPr>
            </w:r>
            <w:r/>
          </w:p>
        </w:tc>
        <w:tc>
          <w:tcPr>
            <w:tcW w:w="1254" w:type="dxa"/>
            <w:vAlign w:val="center"/>
            <w:textDirection w:val="lrTb"/>
            <w:noWrap/>
          </w:tcPr>
          <w:p>
            <w:pPr>
              <w:pStyle w:val="715"/>
              <w:ind w:firstLine="0"/>
              <w:jc w:val="center"/>
              <w:rPr>
                <w:rFonts w:ascii="宋体" w:hAnsi="宋体" w:cs="宋体"/>
                <w:color w:val="auto"/>
                <w:sz w:val="24"/>
                <w:highlight w:val="none"/>
              </w:rPr>
            </w:pPr>
            <w:r>
              <w:rPr>
                <w:rFonts w:hint="eastAsia" w:ascii="宋体" w:hAnsi="宋体" w:cs="宋体"/>
                <w:color w:val="auto"/>
                <w:sz w:val="24"/>
                <w:highlight w:val="none"/>
              </w:rPr>
              <w:t xml:space="preserve">出生年月</w:t>
            </w:r>
            <w:r/>
          </w:p>
        </w:tc>
        <w:tc>
          <w:tcPr>
            <w:tcW w:w="2358" w:type="dxa"/>
            <w:vAlign w:val="center"/>
            <w:textDirection w:val="lrTb"/>
            <w:noWrap/>
          </w:tcPr>
          <w:p>
            <w:pPr>
              <w:pStyle w:val="715"/>
              <w:ind w:firstLine="480"/>
              <w:jc w:val="center"/>
              <w:rPr>
                <w:rFonts w:ascii="宋体" w:hAnsi="宋体" w:cs="宋体"/>
                <w:color w:val="auto"/>
                <w:sz w:val="24"/>
                <w:highlight w:val="none"/>
              </w:rPr>
            </w:pPr>
            <w:r>
              <w:rPr>
                <w:rFonts w:hint="eastAsia" w:ascii="宋体" w:hAnsi="宋体" w:cs="宋体"/>
                <w:color w:val="auto"/>
                <w:sz w:val="24"/>
                <w:highlight w:val="none"/>
              </w:rPr>
              <w:t xml:space="preserve">年     月</w:t>
            </w:r>
            <w:r/>
          </w:p>
        </w:tc>
      </w:tr>
      <w:tr>
        <w:trPr>
          <w:cantSplit/>
          <w:jc w:val="center"/>
          <w:trHeight w:val="64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gridSpan w:val="5"/>
            <w:tcW w:w="8940" w:type="dxa"/>
            <w:vAlign w:val="center"/>
            <w:textDirection w:val="lrTb"/>
            <w:noWrap/>
          </w:tcPr>
          <w:p>
            <w:pPr>
              <w:pStyle w:val="715"/>
              <w:ind w:firstLine="480"/>
              <w:jc w:val="left"/>
              <w:rPr>
                <w:rFonts w:ascii="宋体" w:hAnsi="宋体" w:cs="宋体"/>
                <w:color w:val="auto"/>
                <w:sz w:val="24"/>
                <w:highlight w:val="none"/>
              </w:rPr>
            </w:pPr>
            <w:r>
              <w:rPr>
                <w:rFonts w:hint="eastAsia" w:ascii="宋体" w:hAnsi="宋体" w:cs="宋体"/>
                <w:color w:val="auto"/>
                <w:sz w:val="24"/>
                <w:highlight w:val="none"/>
              </w:rPr>
              <w:t xml:space="preserve">联系电话/传真：</w:t>
            </w:r>
            <w:r/>
          </w:p>
        </w:tc>
      </w:tr>
      <w:tr>
        <w:trPr>
          <w:cantSplit/>
          <w:jc w:val="center"/>
          <w:trHeight w:val="1964"/>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w:t>
            </w:r>
            <w:r/>
          </w:p>
        </w:tc>
        <w:tc>
          <w:tcPr>
            <w:gridSpan w:val="5"/>
            <w:tcW w:w="8940" w:type="dxa"/>
            <w:textDirection w:val="lrTb"/>
            <w:noWrap/>
          </w:tcPr>
          <w:p>
            <w:pPr>
              <w:pStyle w:val="715"/>
              <w:ind w:firstLine="480"/>
              <w:jc w:val="left"/>
              <w:rPr>
                <w:rFonts w:ascii="宋体" w:hAnsi="宋体" w:cs="宋体"/>
                <w:color w:val="auto"/>
                <w:sz w:val="24"/>
                <w:highlight w:val="none"/>
              </w:rPr>
            </w:pPr>
            <w:r>
              <w:rPr>
                <w:rFonts w:hint="eastAsia" w:ascii="宋体" w:hAnsi="宋体" w:cs="宋体"/>
                <w:color w:val="auto"/>
                <w:sz w:val="24"/>
                <w:highlight w:val="none"/>
              </w:rPr>
              <w:t xml:space="preserve">从事本项工作时间及工作经历：</w:t>
            </w:r>
            <w:r/>
          </w:p>
        </w:tc>
      </w:tr>
      <w:tr>
        <w:trPr>
          <w:cantSplit/>
          <w:jc w:val="center"/>
          <w:trHeight w:val="62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5</w:t>
            </w:r>
            <w:r/>
          </w:p>
        </w:tc>
        <w:tc>
          <w:tcPr>
            <w:gridSpan w:val="5"/>
            <w:tcW w:w="8940" w:type="dxa"/>
            <w:vAlign w:val="center"/>
            <w:textDirection w:val="lrTb"/>
            <w:noWrap/>
          </w:tcPr>
          <w:p>
            <w:pPr>
              <w:pStyle w:val="715"/>
              <w:ind w:firstLine="480"/>
              <w:jc w:val="left"/>
              <w:rPr>
                <w:rFonts w:ascii="宋体" w:hAnsi="宋体" w:cs="宋体"/>
                <w:color w:val="auto"/>
                <w:sz w:val="24"/>
                <w:highlight w:val="none"/>
              </w:rPr>
            </w:pPr>
            <w:r>
              <w:rPr>
                <w:rFonts w:hint="eastAsia" w:ascii="宋体" w:hAnsi="宋体" w:cs="宋体"/>
                <w:color w:val="auto"/>
                <w:sz w:val="24"/>
                <w:highlight w:val="none"/>
              </w:rPr>
              <w:t xml:space="preserve">拥有关于本项服务方面的职称：</w:t>
            </w:r>
            <w:r/>
          </w:p>
        </w:tc>
      </w:tr>
      <w:tr>
        <w:trPr>
          <w:cantSplit/>
          <w:jc w:val="center"/>
          <w:trHeight w:val="641"/>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6</w:t>
            </w:r>
            <w:r/>
          </w:p>
        </w:tc>
        <w:tc>
          <w:tcPr>
            <w:gridSpan w:val="5"/>
            <w:tcW w:w="8940" w:type="dxa"/>
            <w:vAlign w:val="center"/>
            <w:textDirection w:val="lrTb"/>
            <w:noWrap/>
          </w:tcPr>
          <w:p>
            <w:pPr>
              <w:pStyle w:val="715"/>
              <w:ind w:firstLine="480"/>
              <w:jc w:val="left"/>
              <w:rPr>
                <w:rFonts w:ascii="宋体" w:hAnsi="宋体" w:cs="宋体"/>
                <w:color w:val="auto"/>
                <w:sz w:val="24"/>
                <w:highlight w:val="none"/>
              </w:rPr>
            </w:pPr>
            <w:r>
              <w:rPr>
                <w:rFonts w:hint="eastAsia" w:ascii="宋体" w:hAnsi="宋体" w:cs="宋体"/>
                <w:color w:val="auto"/>
                <w:sz w:val="24"/>
                <w:highlight w:val="none"/>
              </w:rPr>
              <w:t xml:space="preserve">曾</w:t>
            </w:r>
            <w:r>
              <w:rPr>
                <w:rFonts w:hint="eastAsia" w:ascii="宋体" w:hAnsi="宋体" w:cs="宋体"/>
                <w:color w:val="auto"/>
                <w:sz w:val="24"/>
                <w:highlight w:val="none"/>
                <w:lang w:eastAsia="zh-CN"/>
              </w:rPr>
              <w:t xml:space="preserve">获得</w:t>
            </w:r>
            <w:r>
              <w:rPr>
                <w:rFonts w:hint="eastAsia" w:ascii="宋体" w:hAnsi="宋体" w:cs="宋体"/>
                <w:color w:val="auto"/>
                <w:sz w:val="24"/>
                <w:highlight w:val="none"/>
              </w:rPr>
              <w:t xml:space="preserve">关于本项服务方面的奖励情况：</w:t>
            </w:r>
            <w:r/>
          </w:p>
        </w:tc>
      </w:tr>
      <w:tr>
        <w:trPr>
          <w:cantSplit/>
          <w:jc w:val="center"/>
          <w:trHeight w:val="1708"/>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7</w:t>
            </w:r>
            <w:r/>
          </w:p>
        </w:tc>
        <w:tc>
          <w:tcPr>
            <w:gridSpan w:val="5"/>
            <w:tcW w:w="8940" w:type="dxa"/>
            <w:textDirection w:val="lrTb"/>
            <w:noWrap/>
          </w:tcPr>
          <w:p>
            <w:pPr>
              <w:pStyle w:val="715"/>
              <w:ind w:firstLine="480"/>
              <w:jc w:val="left"/>
              <w:rPr>
                <w:rFonts w:ascii="宋体" w:hAnsi="宋体" w:cs="宋体"/>
                <w:color w:val="auto"/>
                <w:sz w:val="24"/>
                <w:highlight w:val="none"/>
              </w:rPr>
            </w:pPr>
            <w:r>
              <w:rPr>
                <w:rFonts w:hint="eastAsia" w:ascii="宋体" w:hAnsi="宋体" w:cs="宋体"/>
                <w:color w:val="auto"/>
                <w:sz w:val="24"/>
                <w:highlight w:val="none"/>
              </w:rPr>
              <w:t xml:space="preserve">近5年内负责的服务项目：</w:t>
            </w:r>
            <w:r/>
          </w:p>
        </w:tc>
      </w:tr>
      <w:tr>
        <w:trPr>
          <w:cantSplit/>
          <w:jc w:val="center"/>
          <w:trHeight w:val="607"/>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8</w:t>
            </w:r>
            <w:r/>
          </w:p>
        </w:tc>
        <w:tc>
          <w:tcPr>
            <w:gridSpan w:val="5"/>
            <w:tcW w:w="8940" w:type="dxa"/>
            <w:vAlign w:val="center"/>
            <w:textDirection w:val="lrTb"/>
            <w:noWrap/>
          </w:tcPr>
          <w:p>
            <w:pPr>
              <w:pStyle w:val="715"/>
              <w:ind w:firstLine="480"/>
              <w:jc w:val="left"/>
              <w:rPr>
                <w:rFonts w:ascii="宋体" w:hAnsi="宋体" w:cs="宋体"/>
                <w:color w:val="auto"/>
                <w:sz w:val="24"/>
                <w:highlight w:val="none"/>
              </w:rPr>
            </w:pPr>
            <w:r>
              <w:rPr>
                <w:rFonts w:hint="eastAsia" w:ascii="宋体" w:hAnsi="宋体" w:cs="宋体"/>
                <w:color w:val="auto"/>
                <w:sz w:val="24"/>
                <w:highlight w:val="none"/>
              </w:rPr>
              <w:t xml:space="preserve">其他需要说明的情况</w:t>
            </w:r>
            <w:r/>
          </w:p>
        </w:tc>
      </w:tr>
    </w:tbl>
    <w:p>
      <w:pPr>
        <w:ind w:firstLine="3120"/>
        <w:spacing w:line="360" w:lineRule="auto"/>
        <w:rPr>
          <w:rFonts w:ascii="宋体" w:hAnsi="宋体" w:cs="宋体"/>
          <w:b/>
          <w:bCs/>
          <w:color w:val="auto"/>
          <w:sz w:val="24"/>
          <w:highlight w:val="none"/>
        </w:rPr>
        <w:outlineLvl w:val="9"/>
      </w:pPr>
      <w:r>
        <w:rPr>
          <w:rFonts w:ascii="宋体" w:hAnsi="宋体" w:cs="宋体"/>
          <w:b/>
          <w:bCs/>
          <w:color w:val="auto"/>
          <w:sz w:val="24"/>
          <w:highlight w:val="none"/>
        </w:rPr>
      </w:r>
      <w:r/>
    </w:p>
    <w:p>
      <w:pPr>
        <w:ind w:firstLine="3600"/>
        <w:spacing w:line="360" w:lineRule="auto"/>
        <w:rPr>
          <w:rFonts w:ascii="宋体" w:hAnsi="宋体" w:cs="宋体"/>
          <w:bCs/>
          <w:color w:val="auto"/>
          <w:szCs w:val="21"/>
          <w:highlight w:val="none"/>
        </w:rPr>
        <w:outlineLvl w:val="9"/>
      </w:pPr>
      <w:r>
        <w:rPr>
          <w:rFonts w:hint="eastAsia" w:ascii="宋体" w:hAnsi="宋体" w:cs="宋体"/>
          <w:b/>
          <w:bCs/>
          <w:color w:val="auto"/>
          <w:sz w:val="24"/>
          <w:highlight w:val="none"/>
        </w:rPr>
        <w:t xml:space="preserve">法定代表人或法定代表人授权代表签字或盖章：</w:t>
      </w:r>
      <w:r/>
    </w:p>
    <w:p>
      <w:pPr>
        <w:ind w:firstLine="240"/>
        <w:spacing w:line="360" w:lineRule="auto"/>
        <w:rPr>
          <w:rFonts w:ascii="宋体" w:hAnsi="宋体" w:cs="宋体"/>
          <w:color w:val="auto"/>
          <w:sz w:val="24"/>
          <w:highlight w:val="none"/>
          <w:lang w:val="zh-CN"/>
        </w:rPr>
      </w:pPr>
      <w:r>
        <w:rPr>
          <w:rFonts w:hint="eastAsia" w:ascii="宋体" w:hAnsi="宋体" w:cs="宋体"/>
          <w:bCs/>
          <w:color w:val="auto"/>
          <w:sz w:val="24"/>
          <w:highlight w:val="none"/>
        </w:rPr>
        <w:t xml:space="preserve">注：请附身份证、相关资格证明（如有）扫描件。</w:t>
      </w:r>
      <w:r/>
    </w:p>
    <w:p>
      <w:pPr>
        <w:jc w:val="left"/>
        <w:spacing w:line="460" w:lineRule="exact"/>
        <w:rPr>
          <w:rFonts w:ascii="黑体" w:hAnsi="宋体" w:eastAsia="黑体"/>
          <w:bCs/>
          <w:color w:val="auto"/>
          <w:sz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（十二）投标人基本情况声明</w:t>
      </w:r>
      <w:r/>
    </w:p>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715"/>
        <w:ind w:firstLine="480"/>
        <w:rPr>
          <w:rFonts w:ascii="宋体" w:hAnsi="宋体"/>
          <w:color w:val="auto"/>
          <w:sz w:val="24"/>
          <w:highlight w:val="none"/>
        </w:rPr>
      </w:pPr>
      <w:r>
        <w:rPr>
          <w:rFonts w:hint="eastAsia" w:ascii="宋体" w:hAnsi="宋体"/>
          <w:color w:val="auto"/>
          <w:sz w:val="24"/>
          <w:highlight w:val="none"/>
        </w:rPr>
        <w:t xml:space="preserve">投标人情况表1</w:t>
      </w:r>
      <w:r/>
    </w:p>
    <w:p>
      <w:pPr>
        <w:pStyle w:val="715"/>
        <w:ind w:firstLine="480"/>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7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法定代表人</w:t>
            </w:r>
            <w:r/>
          </w:p>
        </w:tc>
        <w:tc>
          <w:tcPr>
            <w:gridSpan w:val="2"/>
            <w:tcW w:w="2259" w:type="dxa"/>
            <w:textDirection w:val="lrTb"/>
            <w:noWrap/>
          </w:tcPr>
          <w:p>
            <w:pPr>
              <w:pStyle w:val="715"/>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成立日期</w:t>
            </w:r>
            <w:r/>
          </w:p>
        </w:tc>
        <w:tc>
          <w:tcPr>
            <w:tcW w:w="2601" w:type="dxa"/>
            <w:textDirection w:val="lrTb"/>
            <w:noWrap/>
          </w:tcPr>
          <w:p>
            <w:pPr>
              <w:pStyle w:val="715"/>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510" w:type="dxa"/>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企业地址</w:t>
            </w:r>
            <w:r/>
          </w:p>
        </w:tc>
        <w:tc>
          <w:tcPr>
            <w:gridSpan w:val="2"/>
            <w:tcW w:w="2259" w:type="dxa"/>
            <w:textDirection w:val="lrTb"/>
            <w:noWrap/>
          </w:tcPr>
          <w:p>
            <w:pPr>
              <w:pStyle w:val="715"/>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注册资本</w:t>
            </w:r>
            <w:r/>
          </w:p>
        </w:tc>
        <w:tc>
          <w:tcPr>
            <w:tcW w:w="2601" w:type="dxa"/>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经营范围</w:t>
            </w:r>
            <w:r/>
          </w:p>
        </w:tc>
        <w:tc>
          <w:tcPr>
            <w:gridSpan w:val="4"/>
            <w:tcW w:w="6617" w:type="dxa"/>
            <w:textDirection w:val="lrTb"/>
            <w:noWrap/>
          </w:tcPr>
          <w:p>
            <w:pPr>
              <w:pStyle w:val="715"/>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510" w:type="dxa"/>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职工人数</w:t>
            </w:r>
            <w:r/>
          </w:p>
        </w:tc>
        <w:tc>
          <w:tcPr>
            <w:tcW w:w="2110" w:type="dxa"/>
            <w:textDirection w:val="lrTb"/>
            <w:noWrap/>
          </w:tcPr>
          <w:p>
            <w:pPr>
              <w:pStyle w:val="715"/>
              <w:ind w:firstLine="0"/>
              <w:spacing w:line="400" w:lineRule="exact"/>
              <w:rPr>
                <w:rFonts w:ascii="宋体" w:hAnsi="宋体"/>
                <w:color w:val="auto"/>
                <w:sz w:val="24"/>
                <w:highlight w:val="none"/>
              </w:rPr>
            </w:pPr>
            <w:r>
              <w:rPr>
                <w:rFonts w:ascii="宋体" w:hAnsi="宋体"/>
                <w:color w:val="auto"/>
                <w:sz w:val="24"/>
                <w:highlight w:val="none"/>
              </w:rPr>
            </w:r>
            <w:r/>
          </w:p>
        </w:tc>
        <w:tc>
          <w:tcPr>
            <w:gridSpan w:val="3"/>
            <w:tcW w:w="4507" w:type="dxa"/>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p>
            <w:pPr>
              <w:pStyle w:val="715"/>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中级职称人数、</w:t>
            </w:r>
            <w:r/>
          </w:p>
          <w:p>
            <w:pPr>
              <w:pStyle w:val="715"/>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高级职称人数</w:t>
            </w:r>
            <w:r/>
          </w:p>
        </w:tc>
      </w:tr>
      <w:tr>
        <w:trPr>
          <w:trHeight w:val="566"/>
        </w:trPr>
        <w:tc>
          <w:tcPr>
            <w:tcW w:w="2510" w:type="dxa"/>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年12月资产总额</w:t>
            </w:r>
            <w:r/>
          </w:p>
        </w:tc>
        <w:tc>
          <w:tcPr>
            <w:tcW w:w="2110" w:type="dxa"/>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净资产</w:t>
            </w:r>
            <w:r/>
          </w:p>
        </w:tc>
        <w:tc>
          <w:tcPr>
            <w:tcW w:w="2601" w:type="dxa"/>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年12月股东权益</w:t>
            </w:r>
            <w:r/>
          </w:p>
        </w:tc>
        <w:tc>
          <w:tcPr>
            <w:tcW w:w="2110" w:type="dxa"/>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W w:w="2601" w:type="dxa"/>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年实现利润</w:t>
            </w:r>
            <w:r/>
          </w:p>
        </w:tc>
        <w:tc>
          <w:tcPr>
            <w:tcW w:w="2110" w:type="dxa"/>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c>
          <w:tcPr>
            <w:gridSpan w:val="2"/>
            <w:tcW w:w="1906" w:type="dxa"/>
            <w:textDirection w:val="lrTb"/>
            <w:noWrap/>
          </w:tcPr>
          <w:p>
            <w:pPr>
              <w:pStyle w:val="715"/>
              <w:ind w:firstLine="0"/>
              <w:spacing w:line="400" w:lineRule="exact"/>
              <w:rPr>
                <w:rFonts w:ascii="宋体" w:hAnsi="宋体"/>
                <w:color w:val="auto"/>
                <w:sz w:val="24"/>
                <w:highlight w:val="none"/>
              </w:rPr>
            </w:pPr>
            <w:r>
              <w:rPr>
                <w:rFonts w:ascii="宋体" w:hAnsi="宋体"/>
                <w:color w:val="auto"/>
                <w:sz w:val="24"/>
                <w:highlight w:val="none"/>
              </w:rPr>
            </w:r>
            <w:r/>
          </w:p>
        </w:tc>
        <w:tc>
          <w:tcPr>
            <w:tcW w:w="2601" w:type="dxa"/>
            <w:textDirection w:val="lrTb"/>
            <w:noWrap/>
          </w:tcPr>
          <w:p>
            <w:pPr>
              <w:pStyle w:val="715"/>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510" w:type="dxa"/>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办公面积</w:t>
            </w:r>
            <w:r/>
          </w:p>
          <w:p>
            <w:pPr>
              <w:pStyle w:val="715"/>
              <w:ind w:firstLine="0"/>
              <w:spacing w:line="400" w:lineRule="exact"/>
              <w:rPr>
                <w:rFonts w:ascii="宋体" w:hAnsi="宋体"/>
                <w:color w:val="auto"/>
                <w:sz w:val="24"/>
                <w:highlight w:val="none"/>
              </w:rPr>
            </w:pPr>
            <w:r>
              <w:rPr>
                <w:rFonts w:ascii="宋体" w:hAnsi="宋体"/>
                <w:color w:val="auto"/>
                <w:sz w:val="24"/>
                <w:highlight w:val="none"/>
              </w:rPr>
            </w:r>
            <w:r/>
          </w:p>
        </w:tc>
        <w:tc>
          <w:tcPr>
            <w:tcW w:w="2110" w:type="dxa"/>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平方米</w:t>
            </w:r>
            <w:r/>
          </w:p>
        </w:tc>
        <w:tc>
          <w:tcPr>
            <w:gridSpan w:val="2"/>
            <w:tcW w:w="1906" w:type="dxa"/>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tc>
        <w:tc>
          <w:tcPr>
            <w:tcW w:w="2601" w:type="dxa"/>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rHeight w:val="590"/>
        </w:trPr>
        <w:tc>
          <w:tcPr>
            <w:gridSpan w:val="2"/>
            <w:tcW w:w="4620" w:type="dxa"/>
            <w:vAlign w:val="center"/>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W w:w="4507" w:type="dxa"/>
            <w:textDirection w:val="lrTb"/>
            <w:noWrap/>
          </w:tcPr>
          <w:p>
            <w:pPr>
              <w:pStyle w:val="715"/>
              <w:ind w:firstLine="0"/>
              <w:spacing w:line="400" w:lineRule="exact"/>
              <w:rPr>
                <w:rFonts w:ascii="宋体" w:hAnsi="宋体"/>
                <w:color w:val="auto"/>
                <w:sz w:val="24"/>
                <w:highlight w:val="none"/>
              </w:rPr>
            </w:pPr>
            <w:r>
              <w:rPr>
                <w:rFonts w:ascii="宋体" w:hAnsi="宋体"/>
                <w:color w:val="auto"/>
                <w:sz w:val="24"/>
                <w:highlight w:val="none"/>
              </w:rPr>
            </w:r>
            <w:r/>
          </w:p>
        </w:tc>
      </w:tr>
      <w:tr>
        <w:trPr>
          <w:trHeight w:val="595"/>
        </w:trPr>
        <w:tc>
          <w:tcPr>
            <w:gridSpan w:val="2"/>
            <w:tcW w:w="4620" w:type="dxa"/>
            <w:vAlign w:val="center"/>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3"/>
            <w:tcW w:w="4507" w:type="dxa"/>
            <w:textDirection w:val="lrTb"/>
            <w:noWrap/>
          </w:tcPr>
          <w:p>
            <w:pPr>
              <w:pStyle w:val="715"/>
              <w:ind w:firstLine="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W w:w="4620" w:type="dxa"/>
            <w:vAlign w:val="center"/>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W w:w="4507" w:type="dxa"/>
            <w:textDirection w:val="lrTb"/>
            <w:noWrap/>
          </w:tcPr>
          <w:p>
            <w:pPr>
              <w:pStyle w:val="715"/>
              <w:ind w:firstLine="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W w:w="4620" w:type="dxa"/>
            <w:vAlign w:val="center"/>
            <w:textDirection w:val="lrTb"/>
            <w:noWrap/>
          </w:tcPr>
          <w:p>
            <w:pPr>
              <w:pStyle w:val="715"/>
              <w:ind w:firstLine="0"/>
              <w:spacing w:line="400" w:lineRule="exact"/>
              <w:rPr>
                <w:rFonts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W w:w="4507" w:type="dxa"/>
            <w:textDirection w:val="lrTb"/>
            <w:noWrap/>
          </w:tcPr>
          <w:p>
            <w:pPr>
              <w:pStyle w:val="715"/>
              <w:ind w:firstLine="0"/>
              <w:spacing w:line="400" w:lineRule="exact"/>
              <w:rPr>
                <w:rFonts w:ascii="宋体" w:hAnsi="宋体"/>
                <w:color w:val="auto"/>
                <w:sz w:val="24"/>
                <w:highlight w:val="none"/>
              </w:rPr>
            </w:pPr>
            <w:r>
              <w:rPr>
                <w:rFonts w:ascii="宋体" w:hAnsi="宋体"/>
                <w:color w:val="auto"/>
                <w:sz w:val="24"/>
                <w:highlight w:val="none"/>
              </w:rPr>
            </w:r>
            <w:r/>
          </w:p>
        </w:tc>
      </w:tr>
      <w:tr>
        <w:trPr>
          <w:trHeight w:val="965"/>
        </w:trPr>
        <w:tc>
          <w:tcPr>
            <w:gridSpan w:val="2"/>
            <w:tcW w:w="4620" w:type="dxa"/>
            <w:vAlign w:val="center"/>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w:t>
            </w:r>
            <w:r>
              <w:rPr>
                <w:rFonts w:hint="eastAsia" w:ascii="宋体" w:hAnsi="宋体"/>
                <w:color w:val="auto"/>
                <w:sz w:val="24"/>
                <w:highlight w:val="none"/>
                <w:lang w:eastAsia="zh-CN"/>
              </w:rPr>
              <w:t xml:space="preserve">或</w:t>
            </w:r>
            <w:r>
              <w:rPr>
                <w:rFonts w:ascii="宋体" w:hAnsi="宋体"/>
                <w:color w:val="auto"/>
                <w:sz w:val="24"/>
                <w:highlight w:val="none"/>
              </w:rPr>
              <w:t xml:space="preserve">其他原因被投诉或起诉的情况及说明</w:t>
            </w:r>
            <w:r/>
          </w:p>
        </w:tc>
        <w:tc>
          <w:tcPr>
            <w:gridSpan w:val="3"/>
            <w:tcW w:w="4507" w:type="dxa"/>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trHeight w:val="1004"/>
        </w:trPr>
        <w:tc>
          <w:tcPr>
            <w:gridSpan w:val="2"/>
            <w:tcW w:w="4620" w:type="dxa"/>
            <w:vAlign w:val="center"/>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W w:w="450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747"/>
        </w:trPr>
        <w:tc>
          <w:tcPr>
            <w:gridSpan w:val="2"/>
            <w:tcW w:w="4620" w:type="dxa"/>
            <w:vAlign w:val="center"/>
            <w:textDirection w:val="lrTb"/>
            <w:noWrap/>
          </w:tcPr>
          <w:p>
            <w:pPr>
              <w:pStyle w:val="715"/>
              <w:ind w:firstLine="0"/>
              <w:spacing w:line="400" w:lineRule="exact"/>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W w:w="4507" w:type="dxa"/>
            <w:textDirection w:val="lrTb"/>
            <w:noWrap/>
          </w:tcPr>
          <w:p>
            <w:pPr>
              <w:pStyle w:val="715"/>
              <w:ind w:firstLine="0"/>
              <w:spacing w:line="400" w:lineRule="exact"/>
              <w:rPr>
                <w:rFonts w:ascii="宋体" w:hAnsi="宋体"/>
                <w:color w:val="auto"/>
                <w:sz w:val="24"/>
                <w:highlight w:val="none"/>
              </w:rPr>
            </w:pPr>
            <w:r>
              <w:rPr>
                <w:rFonts w:ascii="宋体" w:hAnsi="宋体"/>
                <w:color w:val="auto"/>
                <w:sz w:val="24"/>
                <w:highlight w:val="none"/>
              </w:rPr>
            </w:r>
            <w:r/>
          </w:p>
        </w:tc>
      </w:tr>
    </w:tbl>
    <w:p>
      <w:pPr>
        <w:pStyle w:val="715"/>
        <w:ind w:firstLine="480"/>
        <w:rPr>
          <w:rFonts w:ascii="宋体" w:hAnsi="宋体"/>
          <w:color w:val="auto"/>
          <w:sz w:val="24"/>
          <w:highlight w:val="none"/>
        </w:rPr>
      </w:pPr>
      <w:r>
        <w:rPr>
          <w:rFonts w:hint="eastAsia" w:ascii="宋体" w:hAnsi="宋体"/>
          <w:color w:val="auto"/>
          <w:sz w:val="24"/>
          <w:highlight w:val="none"/>
        </w:rPr>
        <w:t xml:space="preserve">注：本表可以扩展。</w:t>
      </w:r>
      <w:r/>
    </w:p>
    <w:p>
      <w:pPr>
        <w:ind w:firstLine="480"/>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法定代表人或授权代表签字或盖章：</w:t>
      </w:r>
      <w:r/>
    </w:p>
    <w:p>
      <w:pPr>
        <w:ind w:firstLine="480"/>
        <w:spacing w:line="360" w:lineRule="auto"/>
        <w:rPr>
          <w:rFonts w:ascii="黑体" w:hAnsi="宋体" w:eastAsia="黑体"/>
          <w:color w:val="auto"/>
          <w:sz w:val="24"/>
          <w:szCs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（十三）技术方案（格式自拟）</w:t>
      </w:r>
      <w:r/>
    </w:p>
    <w:p>
      <w:pPr>
        <w:ind w:firstLine="48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953"/>
        <w:ind w:firstLine="0"/>
        <w:rPr>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p>
      <w:pPr>
        <w:pStyle w:val="953"/>
        <w:ind w:firstLine="0"/>
        <w:rPr>
          <w:color w:val="auto"/>
          <w:sz w:val="24"/>
          <w:highlight w:val="none"/>
        </w:rPr>
      </w:pPr>
      <w:r>
        <w:rPr>
          <w:color w:val="auto"/>
          <w:sz w:val="24"/>
          <w:highlight w:val="none"/>
        </w:rPr>
      </w:r>
      <w:r/>
    </w:p>
    <w:p>
      <w:pPr>
        <w:ind w:firstLine="482"/>
        <w:spacing w:line="360" w:lineRule="auto"/>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u w:val="single"/>
        </w:rPr>
        <w:t xml:space="preserve">特别注意：本项目采用暗标形式，页数不得少于30页，不得多于300页。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u w:val="single"/>
        </w:rPr>
        <w:t xml:space="preserve">排版要求：A4版面，黑色、四号宋体字，如有必要，可配以图片、表格辅助说明（图片内字体不作要求，表格中字体为宋体，字号不作限制），暗标文件中均不得有体现投标人身份。除页码（页码居中，格式为阿拉伯数字小五号，</w:t>
      </w:r>
      <w:r>
        <w:rPr>
          <w:rFonts w:hint="eastAsia" w:ascii="宋体" w:hAnsi="宋体" w:eastAsia="宋体"/>
          <w:b/>
          <w:color w:val="auto"/>
          <w:sz w:val="24"/>
          <w:szCs w:val="24"/>
          <w:highlight w:val="none"/>
          <w:u w:val="single"/>
          <w:lang w:val="en-US" w:eastAsia="zh-CN"/>
        </w:rPr>
        <w:t xml:space="preserve">技术文件部分</w:t>
      </w:r>
      <w:r>
        <w:rPr>
          <w:rFonts w:hint="eastAsia" w:ascii="宋体" w:hAnsi="宋体" w:eastAsia="宋体"/>
          <w:b/>
          <w:color w:val="auto"/>
          <w:sz w:val="24"/>
          <w:szCs w:val="24"/>
          <w:highlight w:val="none"/>
          <w:u w:val="single"/>
        </w:rPr>
        <w:t xml:space="preserve">页码应当连续，不得有空白页）外不得设置其他页眉页脚。</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不得有体现投标人身份的内容是指：</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①技术部分不得出现能够体现投标人身份、名称的相关描述、材料、文件等内容；</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②技术部分不得更改，不得在其中涂改、标注或做任何可以辨认投标人及所属人员身份的名称、印章、商标等标记；</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③技术部分应当版面整洁、字迹清楚、不许批注或进行水印等特殊设置，不得采用任何不符合常规、有别于其他投标人的特殊做法。文本部分不得出现底纹、阴影等标记；</w:t>
      </w:r>
      <w:r/>
    </w:p>
    <w:p>
      <w:pPr>
        <w:ind w:firstLine="482"/>
        <w:spacing w:line="360" w:lineRule="auto"/>
        <w:rPr>
          <w:rFonts w:ascii="宋体" w:hAnsi="宋体"/>
          <w:bCs/>
          <w:color w:val="auto"/>
          <w:sz w:val="24"/>
          <w:szCs w:val="24"/>
          <w:highlight w:val="none"/>
        </w:rPr>
      </w:pPr>
      <w:r>
        <w:rPr>
          <w:rFonts w:hint="eastAsia" w:ascii="宋体" w:hAnsi="宋体" w:eastAsia="宋体"/>
          <w:b/>
          <w:color w:val="auto"/>
          <w:sz w:val="24"/>
          <w:szCs w:val="24"/>
          <w:highlight w:val="none"/>
        </w:rPr>
        <w:t xml:space="preserve">④不得有其他体现投标人身份的内容。</w:t>
      </w:r>
      <w:r/>
    </w:p>
    <w:sectPr>
      <w:headerReference w:type="default" r:id="rId9"/>
      <w:headerReference w:type="first" r:id="rId10"/>
      <w:footerReference w:type="default" r:id="rId11"/>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Arial">
    <w:panose1 w:val="020B0604020202020204"/>
  </w:font>
  <w:font w:name="Calibri">
    <w:panose1 w:val="020F0502020204030204"/>
  </w:font>
  <w:font w:name="华文细黑">
    <w:panose1 w:val="02010600040101010101"/>
  </w:font>
  <w:font w:name="Cambria">
    <w:panose1 w:val="02040503050406030204"/>
  </w:font>
  <w:font w:name="Courier New">
    <w:panose1 w:val="02070309020205020404"/>
  </w:font>
  <w:font w:name="黑体">
    <w:panose1 w:val="02010609060101010101"/>
  </w:font>
  <w:font w:name="华文中宋">
    <w:panose1 w:val="02010600040101010101"/>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Pr>
    <w:r>
      <w:rPr>
        <w:rFonts w:hint="eastAsia" w:ascii="宋体" w:hAnsi="宋体"/>
        <w:lang w:eastAsia="zh-CN"/>
      </w:rPr>
      <w:t xml:space="preserve">JSZC-320214-JSZH-G2026-0015</w:t>
    </w:r>
    <w:r>
      <w:rPr>
        <w:rFonts w:hint="eastAsia" w:ascii="宋体" w:hAnsi="宋体"/>
        <w:lang w:val="en-US" w:eastAsia="zh-CN"/>
      </w:rPr>
      <w:t xml:space="preserve">                                </w:t>
    </w:r>
    <w:r>
      <w:rPr>
        <w:rFonts w:hint="eastAsia" w:ascii="宋体" w:hAnsi="宋体"/>
        <w:lang w:eastAsia="zh-CN"/>
      </w:rPr>
      <w:t xml:space="preserve">江溪街道交警中队交通设施维护项目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Pr>
    <w:r>
      <w:rPr>
        <w:rFonts w:hint="eastAsia" w:ascii="宋体" w:hAnsi="宋体"/>
        <w:lang w:eastAsia="zh-CN"/>
      </w:rPr>
      <w:t xml:space="preserve">JSZC-320214-JSZH-G2026-0015江溪街道交警中队交通设施维护项目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4">
    <w:multiLevelType w:val="hybridMultilevel"/>
    <w:lvl w:ilvl="0">
      <w:start w:val="1"/>
      <w:numFmt w:val="bullet"/>
      <w:pStyle w:val="72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upperLetter"/>
      <w:pStyle w:val="711"/>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
      <w:isLgl w:val="false"/>
      <w:suff w:val="tab"/>
      <w:lvlText w:val="%1"/>
      <w:lvlJc w:val="left"/>
      <w:pPr>
        <w:ind w:left="1240" w:hanging="360"/>
        <w:tabs>
          <w:tab w:val="left" w:pos="1240" w:leader="none"/>
        </w:tabs>
      </w:pPr>
      <w:rPr>
        <w:rFonts w:hint="default" w:ascii="Times New Roman" w:hAnsi="Times New Roman" w:cs="Times New Roman"/>
      </w:rPr>
    </w:lvl>
    <w:lvl w:ilvl="1">
      <w:start w:val="1"/>
      <w:numFmt w:val="lowerLetter"/>
      <w:isLgl w:val="false"/>
      <w:suff w:val="tab"/>
      <w:lvlText w:val="%2)"/>
      <w:lvlJc w:val="left"/>
      <w:pPr>
        <w:ind w:left="1720" w:hanging="420"/>
        <w:tabs>
          <w:tab w:val="left" w:pos="1720" w:leader="none"/>
        </w:tabs>
      </w:pPr>
      <w:rPr>
        <w:rFonts w:hint="default" w:ascii="Times New Roman" w:hAnsi="Times New Roman" w:cs="Times New Roman"/>
      </w:rPr>
    </w:lvl>
    <w:lvl w:ilvl="2">
      <w:start w:val="1"/>
      <w:numFmt w:val="lowerRoman"/>
      <w:isLgl w:val="false"/>
      <w:suff w:val="tab"/>
      <w:lvlText w:val="%3."/>
      <w:lvlJc w:val="right"/>
      <w:pPr>
        <w:ind w:left="2140" w:hanging="420"/>
        <w:tabs>
          <w:tab w:val="left" w:pos="2140" w:leader="none"/>
        </w:tabs>
      </w:pPr>
      <w:rPr>
        <w:rFonts w:hint="default" w:ascii="Times New Roman" w:hAnsi="Times New Roman" w:cs="Times New Roman"/>
      </w:rPr>
    </w:lvl>
    <w:lvl w:ilvl="3">
      <w:start w:val="1"/>
      <w:numFmt w:val="decimal"/>
      <w:isLgl w:val="false"/>
      <w:suff w:val="tab"/>
      <w:lvlText w:val="%4."/>
      <w:lvlJc w:val="left"/>
      <w:pPr>
        <w:ind w:left="2560" w:hanging="420"/>
        <w:tabs>
          <w:tab w:val="left" w:pos="2560" w:leader="none"/>
        </w:tabs>
      </w:pPr>
      <w:rPr>
        <w:rFonts w:hint="default" w:ascii="Times New Roman" w:hAnsi="Times New Roman" w:cs="Times New Roman"/>
      </w:rPr>
    </w:lvl>
    <w:lvl w:ilvl="4">
      <w:start w:val="1"/>
      <w:numFmt w:val="lowerLetter"/>
      <w:isLgl w:val="false"/>
      <w:suff w:val="tab"/>
      <w:lvlText w:val="%5)"/>
      <w:lvlJc w:val="left"/>
      <w:pPr>
        <w:ind w:left="2980" w:hanging="420"/>
        <w:tabs>
          <w:tab w:val="left" w:pos="2980" w:leader="none"/>
        </w:tabs>
      </w:pPr>
      <w:rPr>
        <w:rFonts w:hint="default" w:ascii="Times New Roman" w:hAnsi="Times New Roman" w:cs="Times New Roman"/>
      </w:rPr>
    </w:lvl>
    <w:lvl w:ilvl="5">
      <w:start w:val="1"/>
      <w:numFmt w:val="lowerRoman"/>
      <w:isLgl w:val="false"/>
      <w:suff w:val="tab"/>
      <w:lvlText w:val="%6."/>
      <w:lvlJc w:val="right"/>
      <w:pPr>
        <w:ind w:left="3400" w:hanging="420"/>
        <w:tabs>
          <w:tab w:val="left" w:pos="3400" w:leader="none"/>
        </w:tabs>
      </w:pPr>
      <w:rPr>
        <w:rFonts w:hint="default" w:ascii="Times New Roman" w:hAnsi="Times New Roman" w:cs="Times New Roman"/>
      </w:rPr>
    </w:lvl>
    <w:lvl w:ilvl="6">
      <w:start w:val="1"/>
      <w:numFmt w:val="decimal"/>
      <w:isLgl w:val="false"/>
      <w:suff w:val="tab"/>
      <w:lvlText w:val="%7."/>
      <w:lvlJc w:val="left"/>
      <w:pPr>
        <w:ind w:left="3820" w:hanging="420"/>
        <w:tabs>
          <w:tab w:val="left" w:pos="3820" w:leader="none"/>
        </w:tabs>
      </w:pPr>
      <w:rPr>
        <w:rFonts w:hint="default" w:ascii="Times New Roman" w:hAnsi="Times New Roman" w:cs="Times New Roman"/>
      </w:rPr>
    </w:lvl>
    <w:lvl w:ilvl="7">
      <w:start w:val="1"/>
      <w:numFmt w:val="lowerLetter"/>
      <w:isLgl w:val="false"/>
      <w:suff w:val="tab"/>
      <w:lvlText w:val="%8)"/>
      <w:lvlJc w:val="left"/>
      <w:pPr>
        <w:ind w:left="4240" w:hanging="420"/>
        <w:tabs>
          <w:tab w:val="left" w:pos="4240" w:leader="none"/>
        </w:tabs>
      </w:pPr>
      <w:rPr>
        <w:rFonts w:hint="default" w:ascii="Times New Roman" w:hAnsi="Times New Roman" w:cs="Times New Roman"/>
      </w:rPr>
    </w:lvl>
    <w:lvl w:ilvl="8">
      <w:start w:val="1"/>
      <w:numFmt w:val="lowerRoman"/>
      <w:isLgl w:val="false"/>
      <w:suff w:val="tab"/>
      <w:lvlText w:val="%9."/>
      <w:lvlJc w:val="right"/>
      <w:pPr>
        <w:ind w:left="4660" w:hanging="420"/>
        <w:tabs>
          <w:tab w:val="left" w:pos="4660" w:leader="none"/>
        </w:tabs>
      </w:pPr>
      <w:rPr>
        <w:rFonts w:hint="default" w:ascii="Times New Roman" w:hAnsi="Times New Roman" w:cs="Times New Roman"/>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5"/>
  </w:num>
  <w:num w:numId="2">
    <w:abstractNumId w:val="4"/>
  </w:num>
  <w:num w:numId="3">
    <w:abstractNumId w:val="13"/>
  </w:num>
  <w:num w:numId="4">
    <w:abstractNumId w:val="2"/>
  </w:num>
  <w:num w:numId="5">
    <w:abstractNumId w:val="1"/>
  </w:num>
  <w:num w:numId="6">
    <w:abstractNumId w:val="7"/>
  </w:num>
  <w:num w:numId="7">
    <w:abstractNumId w:val="8"/>
  </w:num>
  <w:num w:numId="8">
    <w:abstractNumId w:val="15"/>
  </w:num>
  <w:num w:numId="9">
    <w:abstractNumId w:val="6"/>
  </w:num>
  <w:num w:numId="10">
    <w:abstractNumId w:val="0"/>
  </w:num>
  <w:num w:numId="11">
    <w:abstractNumId w:val="9"/>
  </w:num>
  <w:num w:numId="12">
    <w:abstractNumId w:val="14"/>
  </w:num>
  <w:num w:numId="13">
    <w:abstractNumId w:val="3"/>
  </w:num>
  <w:num w:numId="14">
    <w:abstractNumId w:val="12"/>
  </w:num>
  <w:num w:numId="15">
    <w:abstractNumId w:val="1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07">
    <w:name w:val="Heading 1"/>
    <w:basedOn w:val="706"/>
    <w:next w:val="706"/>
    <w:link w:val="923"/>
    <w:uiPriority w:val="99"/>
    <w:qFormat/>
    <w:pPr>
      <w:jc w:val="center"/>
      <w:keepNext/>
      <w:outlineLvl w:val="0"/>
    </w:pPr>
    <w:rPr>
      <w:rFonts w:ascii="楷体_GB2312" w:eastAsia="楷体_GB2312"/>
      <w:b/>
      <w:sz w:val="28"/>
    </w:rPr>
  </w:style>
  <w:style w:type="paragraph" w:styleId="708">
    <w:name w:val="Heading 2"/>
    <w:basedOn w:val="706"/>
    <w:next w:val="706"/>
    <w:link w:val="924"/>
    <w:uiPriority w:val="99"/>
    <w:qFormat/>
    <w:pPr>
      <w:jc w:val="center"/>
      <w:keepNext/>
      <w:outlineLvl w:val="1"/>
    </w:pPr>
    <w:rPr>
      <w:rFonts w:ascii="楷体_GB2312" w:eastAsia="楷体_GB2312"/>
      <w:b/>
      <w:bCs/>
      <w:sz w:val="18"/>
    </w:rPr>
  </w:style>
  <w:style w:type="paragraph" w:styleId="709">
    <w:name w:val="Heading 3"/>
    <w:basedOn w:val="706"/>
    <w:next w:val="706"/>
    <w:link w:val="925"/>
    <w:uiPriority w:val="99"/>
    <w:qFormat/>
    <w:pPr>
      <w:jc w:val="center"/>
      <w:keepNext/>
      <w:outlineLvl w:val="2"/>
    </w:pPr>
    <w:rPr>
      <w:rFonts w:eastAsia="楷体_GB2312"/>
      <w:b/>
      <w:bCs/>
      <w:sz w:val="15"/>
    </w:rPr>
  </w:style>
  <w:style w:type="paragraph" w:styleId="710">
    <w:name w:val="Heading 4"/>
    <w:basedOn w:val="706"/>
    <w:next w:val="706"/>
    <w:link w:val="926"/>
    <w:uiPriority w:val="99"/>
    <w:qFormat/>
    <w:pPr>
      <w:jc w:val="center"/>
      <w:keepNext/>
      <w:outlineLvl w:val="3"/>
    </w:pPr>
    <w:rPr>
      <w:rFonts w:eastAsia="楷体_GB2312"/>
      <w:b/>
      <w:bCs/>
      <w:sz w:val="13"/>
    </w:rPr>
  </w:style>
  <w:style w:type="paragraph" w:styleId="711">
    <w:name w:val="Heading 5"/>
    <w:basedOn w:val="706"/>
    <w:next w:val="706"/>
    <w:link w:val="927"/>
    <w:uiPriority w:val="99"/>
    <w:qFormat/>
    <w:pPr>
      <w:numPr>
        <w:ilvl w:val="0"/>
        <w:numId w:val="1"/>
      </w:numPr>
      <w:keepNext/>
      <w:outlineLvl w:val="4"/>
    </w:pPr>
    <w:rPr>
      <w:rFonts w:ascii="楷体_GB2312" w:eastAsia="楷体_GB2312"/>
      <w:bCs/>
      <w:sz w:val="28"/>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6"/>
    <w:next w:val="706"/>
    <w:uiPriority w:val="39"/>
    <w:unhideWhenUsed/>
    <w:qFormat/>
    <w:pPr>
      <w:ind w:left="1701"/>
      <w:spacing w:after="57"/>
    </w:pPr>
  </w:style>
  <w:style w:type="paragraph" w:styleId="715">
    <w:name w:val="Normal Indent"/>
    <w:basedOn w:val="706"/>
    <w:link w:val="928"/>
    <w:uiPriority w:val="0"/>
    <w:unhideWhenUsed/>
    <w:qFormat/>
    <w:pPr>
      <w:ind w:firstLine="420"/>
    </w:pPr>
    <w:rPr>
      <w:szCs w:val="24"/>
    </w:rPr>
  </w:style>
  <w:style w:type="paragraph" w:styleId="716">
    <w:name w:val="index 5"/>
    <w:basedOn w:val="706"/>
    <w:next w:val="706"/>
    <w:uiPriority w:val="99"/>
    <w:unhideWhenUsed/>
    <w:qFormat/>
    <w:pPr>
      <w:ind w:left="800"/>
    </w:pPr>
  </w:style>
  <w:style w:type="paragraph" w:styleId="717">
    <w:name w:val="Document Map"/>
    <w:basedOn w:val="706"/>
    <w:next w:val="706"/>
    <w:link w:val="929"/>
    <w:uiPriority w:val="99"/>
    <w:semiHidden/>
    <w:qFormat/>
    <w:pPr>
      <w:shd w:val="clear" w:color="auto" w:fill="000080"/>
    </w:pPr>
    <w:rPr>
      <w:sz w:val="20"/>
    </w:rPr>
  </w:style>
  <w:style w:type="paragraph" w:styleId="718">
    <w:name w:val="annotation text"/>
    <w:basedOn w:val="706"/>
    <w:link w:val="930"/>
    <w:uiPriority w:val="0"/>
    <w:semiHidden/>
    <w:qFormat/>
    <w:pPr>
      <w:jc w:val="left"/>
    </w:pPr>
    <w:rPr>
      <w:sz w:val="20"/>
      <w:szCs w:val="24"/>
    </w:rPr>
  </w:style>
  <w:style w:type="paragraph" w:styleId="719">
    <w:name w:val="Body Text"/>
    <w:basedOn w:val="706"/>
    <w:next w:val="720"/>
    <w:link w:val="931"/>
    <w:uiPriority w:val="99"/>
    <w:qFormat/>
    <w:rPr>
      <w:rFonts w:ascii="华文中宋" w:eastAsia="华文中宋"/>
      <w:bCs/>
      <w:sz w:val="28"/>
    </w:rPr>
  </w:style>
  <w:style w:type="paragraph" w:styleId="720">
    <w:name w:val="List"/>
    <w:basedOn w:val="706"/>
    <w:uiPriority w:val="0"/>
    <w:qFormat/>
    <w:pPr>
      <w:numPr>
        <w:ilvl w:val="0"/>
        <w:numId w:val="2"/>
      </w:numPr>
      <w:spacing w:after="20" w:line="288" w:lineRule="auto"/>
    </w:pPr>
    <w:rPr>
      <w:lang w:val="en-GB"/>
    </w:rPr>
  </w:style>
  <w:style w:type="paragraph" w:styleId="721">
    <w:name w:val="Body Text Indent"/>
    <w:basedOn w:val="706"/>
    <w:next w:val="706"/>
    <w:link w:val="932"/>
    <w:uiPriority w:val="0"/>
    <w:qFormat/>
    <w:pPr>
      <w:ind w:firstLine="576"/>
    </w:pPr>
    <w:rPr>
      <w:b/>
      <w:sz w:val="30"/>
    </w:rPr>
  </w:style>
  <w:style w:type="paragraph" w:styleId="722">
    <w:name w:val="toc 5"/>
    <w:basedOn w:val="706"/>
    <w:next w:val="706"/>
    <w:uiPriority w:val="39"/>
    <w:unhideWhenUsed/>
    <w:qFormat/>
    <w:pPr>
      <w:ind w:left="1134"/>
      <w:spacing w:after="57"/>
    </w:pPr>
  </w:style>
  <w:style w:type="paragraph" w:styleId="723">
    <w:name w:val="toc 3"/>
    <w:basedOn w:val="706"/>
    <w:next w:val="706"/>
    <w:uiPriority w:val="39"/>
    <w:unhideWhenUsed/>
    <w:qFormat/>
    <w:pPr>
      <w:ind w:left="567"/>
      <w:spacing w:after="57"/>
    </w:pPr>
  </w:style>
  <w:style w:type="paragraph" w:styleId="724">
    <w:name w:val="Plain Text"/>
    <w:basedOn w:val="706"/>
    <w:link w:val="933"/>
    <w:uiPriority w:val="0"/>
    <w:qFormat/>
    <w:rPr>
      <w:rFonts w:ascii="宋体" w:hAnsi="Courier New"/>
      <w:szCs w:val="21"/>
    </w:rPr>
  </w:style>
  <w:style w:type="paragraph" w:styleId="725">
    <w:name w:val="toc 8"/>
    <w:basedOn w:val="706"/>
    <w:next w:val="706"/>
    <w:uiPriority w:val="39"/>
    <w:unhideWhenUsed/>
    <w:qFormat/>
    <w:pPr>
      <w:ind w:left="1984"/>
      <w:spacing w:after="57"/>
    </w:pPr>
  </w:style>
  <w:style w:type="paragraph" w:styleId="726">
    <w:name w:val="Date"/>
    <w:basedOn w:val="706"/>
    <w:next w:val="706"/>
    <w:link w:val="934"/>
    <w:uiPriority w:val="99"/>
    <w:qFormat/>
    <w:rPr>
      <w:rFonts w:eastAsia="黑体"/>
      <w:b/>
      <w:sz w:val="36"/>
    </w:rPr>
  </w:style>
  <w:style w:type="paragraph" w:styleId="727">
    <w:name w:val="Body Text Indent 2"/>
    <w:basedOn w:val="706"/>
    <w:link w:val="935"/>
    <w:uiPriority w:val="99"/>
    <w:qFormat/>
    <w:pPr>
      <w:ind w:left="900"/>
    </w:pPr>
    <w:rPr>
      <w:rFonts w:ascii="楷体_GB2312" w:eastAsia="楷体_GB2312"/>
      <w:b/>
      <w:sz w:val="28"/>
    </w:rPr>
  </w:style>
  <w:style w:type="paragraph" w:styleId="728">
    <w:name w:val="endnote text"/>
    <w:basedOn w:val="706"/>
    <w:link w:val="921"/>
    <w:uiPriority w:val="99"/>
    <w:semiHidden/>
    <w:unhideWhenUsed/>
    <w:qFormat/>
    <w:rPr>
      <w:sz w:val="20"/>
    </w:rPr>
  </w:style>
  <w:style w:type="paragraph" w:styleId="729">
    <w:name w:val="Balloon Text"/>
    <w:basedOn w:val="706"/>
    <w:link w:val="936"/>
    <w:uiPriority w:val="99"/>
    <w:unhideWhenUsed/>
    <w:qFormat/>
    <w:rPr>
      <w:sz w:val="18"/>
      <w:szCs w:val="18"/>
    </w:rPr>
  </w:style>
  <w:style w:type="paragraph" w:styleId="730">
    <w:name w:val="Footer"/>
    <w:basedOn w:val="706"/>
    <w:link w:val="937"/>
    <w:uiPriority w:val="99"/>
    <w:unhideWhenUsed/>
    <w:qFormat/>
    <w:pPr>
      <w:jc w:val="left"/>
      <w:tabs>
        <w:tab w:val="center" w:pos="4153" w:leader="none"/>
        <w:tab w:val="right" w:pos="8306" w:leader="none"/>
      </w:tabs>
    </w:pPr>
    <w:rPr>
      <w:sz w:val="18"/>
      <w:szCs w:val="18"/>
    </w:rPr>
  </w:style>
  <w:style w:type="paragraph" w:styleId="731">
    <w:name w:val="Header"/>
    <w:basedOn w:val="706"/>
    <w:link w:val="938"/>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732">
    <w:name w:val="toc 1"/>
    <w:basedOn w:val="706"/>
    <w:next w:val="706"/>
    <w:uiPriority w:val="39"/>
    <w:unhideWhenUsed/>
    <w:qFormat/>
    <w:pPr>
      <w:spacing w:after="57"/>
    </w:pPr>
  </w:style>
  <w:style w:type="paragraph" w:styleId="733">
    <w:name w:val="toc 4"/>
    <w:basedOn w:val="706"/>
    <w:next w:val="706"/>
    <w:uiPriority w:val="39"/>
    <w:unhideWhenUsed/>
    <w:qFormat/>
    <w:pPr>
      <w:ind w:left="850"/>
      <w:spacing w:after="57"/>
    </w:pPr>
  </w:style>
  <w:style w:type="paragraph" w:styleId="734">
    <w:name w:val="Subtitle"/>
    <w:basedOn w:val="706"/>
    <w:next w:val="706"/>
    <w:link w:val="784"/>
    <w:uiPriority w:val="11"/>
    <w:qFormat/>
    <w:pPr>
      <w:spacing w:before="200" w:after="200"/>
    </w:pPr>
    <w:rPr>
      <w:sz w:val="24"/>
      <w:szCs w:val="24"/>
    </w:rPr>
  </w:style>
  <w:style w:type="paragraph" w:styleId="735">
    <w:name w:val="footnote text"/>
    <w:basedOn w:val="706"/>
    <w:next w:val="716"/>
    <w:link w:val="939"/>
    <w:uiPriority w:val="0"/>
    <w:qFormat/>
    <w:pPr>
      <w:ind w:firstLine="425"/>
      <w:jc w:val="left"/>
      <w:spacing w:before="120" w:line="360" w:lineRule="auto"/>
    </w:pPr>
    <w:rPr>
      <w:sz w:val="18"/>
    </w:rPr>
  </w:style>
  <w:style w:type="paragraph" w:styleId="736">
    <w:name w:val="toc 6"/>
    <w:basedOn w:val="706"/>
    <w:next w:val="706"/>
    <w:uiPriority w:val="39"/>
    <w:unhideWhenUsed/>
    <w:qFormat/>
    <w:pPr>
      <w:ind w:left="1417"/>
      <w:spacing w:after="57"/>
    </w:pPr>
  </w:style>
  <w:style w:type="paragraph" w:styleId="737">
    <w:name w:val="Body Text Indent 3"/>
    <w:basedOn w:val="706"/>
    <w:link w:val="940"/>
    <w:uiPriority w:val="99"/>
    <w:qFormat/>
    <w:pPr>
      <w:ind w:left="359" w:firstLine="359"/>
    </w:pPr>
    <w:rPr>
      <w:sz w:val="20"/>
    </w:rPr>
  </w:style>
  <w:style w:type="paragraph" w:styleId="738">
    <w:name w:val="table of figures"/>
    <w:basedOn w:val="706"/>
    <w:next w:val="706"/>
    <w:uiPriority w:val="99"/>
    <w:unhideWhenUsed/>
    <w:qFormat/>
  </w:style>
  <w:style w:type="paragraph" w:styleId="739">
    <w:name w:val="toc 2"/>
    <w:basedOn w:val="706"/>
    <w:next w:val="706"/>
    <w:uiPriority w:val="39"/>
    <w:unhideWhenUsed/>
    <w:qFormat/>
    <w:pPr>
      <w:ind w:left="283"/>
      <w:spacing w:after="57"/>
    </w:pPr>
  </w:style>
  <w:style w:type="paragraph" w:styleId="740">
    <w:name w:val="toc 9"/>
    <w:basedOn w:val="706"/>
    <w:next w:val="706"/>
    <w:uiPriority w:val="39"/>
    <w:unhideWhenUsed/>
    <w:qFormat/>
    <w:pPr>
      <w:ind w:left="2268"/>
      <w:spacing w:after="57"/>
    </w:pPr>
  </w:style>
  <w:style w:type="paragraph" w:styleId="741">
    <w:name w:val="Body Text 2"/>
    <w:basedOn w:val="706"/>
    <w:link w:val="941"/>
    <w:uiPriority w:val="99"/>
    <w:qFormat/>
    <w:pPr>
      <w:spacing w:after="120" w:line="480" w:lineRule="auto"/>
    </w:pPr>
    <w:rPr>
      <w:sz w:val="20"/>
    </w:rPr>
  </w:style>
  <w:style w:type="paragraph" w:styleId="742">
    <w:name w:val="Normal (Web)"/>
    <w:basedOn w:val="706"/>
    <w:link w:val="942"/>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43">
    <w:name w:val="Title"/>
    <w:basedOn w:val="706"/>
    <w:next w:val="706"/>
    <w:link w:val="783"/>
    <w:uiPriority w:val="10"/>
    <w:qFormat/>
    <w:pPr>
      <w:contextualSpacing/>
      <w:spacing w:before="300" w:after="200"/>
    </w:pPr>
    <w:rPr>
      <w:sz w:val="48"/>
      <w:szCs w:val="48"/>
    </w:rPr>
  </w:style>
  <w:style w:type="paragraph" w:styleId="744">
    <w:name w:val="annotation subject"/>
    <w:basedOn w:val="718"/>
    <w:next w:val="718"/>
    <w:link w:val="943"/>
    <w:uiPriority w:val="0"/>
    <w:semiHidden/>
    <w:qFormat/>
    <w:rPr>
      <w:b/>
      <w:bCs/>
    </w:rPr>
  </w:style>
  <w:style w:type="paragraph" w:styleId="745">
    <w:name w:val="Body Text First Indent"/>
    <w:basedOn w:val="706"/>
    <w:link w:val="944"/>
    <w:uiPriority w:val="99"/>
    <w:unhideWhenUsed/>
    <w:qFormat/>
    <w:pPr>
      <w:ind w:firstLine="420"/>
      <w:spacing w:after="120"/>
    </w:pPr>
    <w:rPr>
      <w:rFonts w:eastAsia="华文中宋"/>
    </w:rPr>
  </w:style>
  <w:style w:type="paragraph" w:styleId="746">
    <w:name w:val="Body Text First Indent 2"/>
    <w:basedOn w:val="721"/>
    <w:uiPriority w:val="0"/>
    <w:qFormat/>
    <w:pPr>
      <w:ind w:left="420" w:firstLine="420"/>
      <w:spacing w:after="120"/>
    </w:pPr>
    <w:rPr>
      <w:rFonts w:ascii="Cambria" w:hAnsi="Cambria" w:eastAsia="华文细黑"/>
      <w:sz w:val="21"/>
    </w:rPr>
  </w:style>
  <w:style w:type="table" w:styleId="7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Strong"/>
    <w:uiPriority w:val="99"/>
    <w:qFormat/>
    <w:rPr>
      <w:rFonts w:cs="Times New Roman"/>
      <w:b/>
      <w:bCs/>
    </w:rPr>
  </w:style>
  <w:style w:type="character" w:styleId="749">
    <w:name w:val="endnote reference"/>
    <w:uiPriority w:val="99"/>
    <w:semiHidden/>
    <w:unhideWhenUsed/>
    <w:qFormat/>
    <w:rPr>
      <w:vertAlign w:val="superscript"/>
    </w:rPr>
  </w:style>
  <w:style w:type="character" w:styleId="750">
    <w:name w:val="page number"/>
    <w:uiPriority w:val="0"/>
    <w:qFormat/>
    <w:rPr>
      <w:rFonts w:cs="Times New Roman"/>
    </w:rPr>
  </w:style>
  <w:style w:type="character" w:styleId="751">
    <w:name w:val="FollowedHyperlink"/>
    <w:uiPriority w:val="99"/>
    <w:qFormat/>
    <w:rPr>
      <w:rFonts w:cs="Times New Roman"/>
      <w:color w:val="000000"/>
      <w:u w:val="none"/>
    </w:rPr>
  </w:style>
  <w:style w:type="character" w:styleId="752">
    <w:name w:val="HTML Typewriter"/>
    <w:uiPriority w:val="99"/>
    <w:qFormat/>
    <w:rPr>
      <w:rFonts w:ascii="宋体" w:hAnsi="宋体" w:eastAsia="宋体" w:cs="宋体"/>
      <w:sz w:val="24"/>
      <w:szCs w:val="24"/>
    </w:rPr>
  </w:style>
  <w:style w:type="character" w:styleId="753">
    <w:name w:val="Hyperlink"/>
    <w:uiPriority w:val="0"/>
    <w:qFormat/>
    <w:rPr>
      <w:color w:val="000000"/>
      <w:u w:val="none"/>
    </w:rPr>
  </w:style>
  <w:style w:type="character" w:styleId="754">
    <w:name w:val="annotation reference"/>
    <w:uiPriority w:val="0"/>
    <w:unhideWhenUsed/>
    <w:qFormat/>
    <w:rPr>
      <w:sz w:val="21"/>
      <w:szCs w:val="21"/>
    </w:rPr>
  </w:style>
  <w:style w:type="character" w:styleId="755">
    <w:name w:val="footnote reference"/>
    <w:uiPriority w:val="99"/>
    <w:unhideWhenUsed/>
    <w:qFormat/>
    <w:rPr>
      <w:vertAlign w:val="superscript"/>
    </w:rPr>
  </w:style>
  <w:style w:type="paragraph" w:styleId="756" w:customStyle="1">
    <w:name w:val="_Style 1"/>
    <w:uiPriority w:val="0"/>
    <w:qFormat/>
    <w:pPr>
      <w:ind w:firstLine="420"/>
      <w:jc w:val="both"/>
      <w:widowControl w:val="off"/>
    </w:pPr>
    <w:rPr>
      <w:rFonts w:ascii="Calibri" w:hAnsi="Calibri" w:eastAsia="宋体" w:cs="Calibri"/>
      <w:sz w:val="34"/>
      <w:szCs w:val="34"/>
      <w:lang w:val="en-US" w:eastAsia="zh-CN" w:bidi="ar-SA"/>
    </w:rPr>
  </w:style>
  <w:style w:type="character" w:styleId="757" w:customStyle="1">
    <w:name w:val="Title Char"/>
    <w:basedOn w:val="712"/>
    <w:uiPriority w:val="10"/>
    <w:qFormat/>
    <w:rPr>
      <w:sz w:val="48"/>
      <w:szCs w:val="48"/>
    </w:rPr>
  </w:style>
  <w:style w:type="character" w:styleId="758" w:customStyle="1">
    <w:name w:val="Subtitle Char"/>
    <w:basedOn w:val="712"/>
    <w:uiPriority w:val="11"/>
    <w:qFormat/>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character" w:styleId="761" w:customStyle="1">
    <w:name w:val="Endnote Text Char"/>
    <w:uiPriority w:val="99"/>
    <w:qFormat/>
    <w:rPr>
      <w:sz w:val="20"/>
    </w:rPr>
  </w:style>
  <w:style w:type="paragraph" w:styleId="762" w:customStyle="1">
    <w:name w:val="TOC Heading"/>
    <w:uiPriority w:val="39"/>
    <w:unhideWhenUsed/>
    <w:qFormat/>
    <w:rPr>
      <w:rFonts w:hint="default" w:ascii="Times New Roman" w:hAnsi="Times New Roman" w:eastAsia="宋体" w:cs="Times New Roman"/>
    </w:rPr>
  </w:style>
  <w:style w:type="paragraph" w:styleId="763" w:customStyle="1">
    <w:name w:val="正文文本1"/>
    <w:basedOn w:val="706"/>
    <w:uiPriority w:val="0"/>
    <w:qFormat/>
    <w:rPr>
      <w:rFonts w:ascii="华文中宋" w:eastAsia="华文中宋"/>
      <w:bCs/>
      <w:sz w:val="28"/>
    </w:rPr>
  </w:style>
  <w:style w:type="paragraph" w:styleId="764" w:customStyle="1">
    <w:name w:val="Heading 1"/>
    <w:basedOn w:val="706"/>
    <w:next w:val="706"/>
    <w:link w:val="765"/>
    <w:uiPriority w:val="9"/>
    <w:qFormat/>
    <w:pPr>
      <w:keepLines/>
      <w:keepNext/>
      <w:spacing w:before="480" w:after="200"/>
      <w:outlineLvl w:val="0"/>
    </w:pPr>
    <w:rPr>
      <w:rFonts w:ascii="Arial" w:hAnsi="Arial" w:eastAsia="Arial" w:cs="Arial"/>
      <w:sz w:val="40"/>
      <w:szCs w:val="40"/>
    </w:rPr>
  </w:style>
  <w:style w:type="character" w:styleId="765" w:customStyle="1">
    <w:name w:val="Heading 1 Char"/>
    <w:link w:val="764"/>
    <w:uiPriority w:val="9"/>
    <w:qFormat/>
    <w:rPr>
      <w:rFonts w:ascii="Arial" w:hAnsi="Arial" w:eastAsia="Arial" w:cs="Arial"/>
      <w:sz w:val="40"/>
      <w:szCs w:val="40"/>
    </w:rPr>
  </w:style>
  <w:style w:type="paragraph" w:styleId="766" w:customStyle="1">
    <w:name w:val="Heading 2"/>
    <w:basedOn w:val="706"/>
    <w:next w:val="706"/>
    <w:link w:val="767"/>
    <w:uiPriority w:val="9"/>
    <w:unhideWhenUsed/>
    <w:qFormat/>
    <w:pPr>
      <w:keepLines/>
      <w:keepNext/>
      <w:spacing w:before="360" w:after="200"/>
      <w:outlineLvl w:val="1"/>
    </w:pPr>
    <w:rPr>
      <w:rFonts w:ascii="Arial" w:hAnsi="Arial" w:eastAsia="Arial" w:cs="Arial"/>
      <w:sz w:val="34"/>
    </w:rPr>
  </w:style>
  <w:style w:type="character" w:styleId="767" w:customStyle="1">
    <w:name w:val="Heading 2 Char"/>
    <w:link w:val="766"/>
    <w:uiPriority w:val="9"/>
    <w:qFormat/>
    <w:rPr>
      <w:rFonts w:ascii="Arial" w:hAnsi="Arial" w:eastAsia="Arial" w:cs="Arial"/>
      <w:sz w:val="34"/>
    </w:rPr>
  </w:style>
  <w:style w:type="paragraph" w:styleId="768" w:customStyle="1">
    <w:name w:val="Heading 3"/>
    <w:basedOn w:val="706"/>
    <w:next w:val="706"/>
    <w:link w:val="769"/>
    <w:uiPriority w:val="9"/>
    <w:unhideWhenUsed/>
    <w:qFormat/>
    <w:pPr>
      <w:keepLines/>
      <w:keepNext/>
      <w:spacing w:before="320" w:after="200"/>
      <w:outlineLvl w:val="2"/>
    </w:pPr>
    <w:rPr>
      <w:rFonts w:ascii="Arial" w:hAnsi="Arial" w:eastAsia="Arial" w:cs="Arial"/>
      <w:sz w:val="30"/>
      <w:szCs w:val="30"/>
    </w:rPr>
  </w:style>
  <w:style w:type="character" w:styleId="769" w:customStyle="1">
    <w:name w:val="Heading 3 Char"/>
    <w:link w:val="768"/>
    <w:uiPriority w:val="9"/>
    <w:qFormat/>
    <w:rPr>
      <w:rFonts w:ascii="Arial" w:hAnsi="Arial" w:eastAsia="Arial" w:cs="Arial"/>
      <w:sz w:val="30"/>
      <w:szCs w:val="30"/>
    </w:rPr>
  </w:style>
  <w:style w:type="paragraph" w:styleId="770" w:customStyle="1">
    <w:name w:val="Heading 4"/>
    <w:basedOn w:val="706"/>
    <w:next w:val="706"/>
    <w:link w:val="771"/>
    <w:uiPriority w:val="9"/>
    <w:unhideWhenUsed/>
    <w:qFormat/>
    <w:pPr>
      <w:keepLines/>
      <w:keepNext/>
      <w:spacing w:before="320" w:after="200"/>
      <w:outlineLvl w:val="3"/>
    </w:pPr>
    <w:rPr>
      <w:rFonts w:ascii="Arial" w:hAnsi="Arial" w:eastAsia="Arial" w:cs="Arial"/>
      <w:b/>
      <w:bCs/>
      <w:sz w:val="26"/>
      <w:szCs w:val="26"/>
    </w:rPr>
  </w:style>
  <w:style w:type="character" w:styleId="771" w:customStyle="1">
    <w:name w:val="Heading 4 Char"/>
    <w:link w:val="770"/>
    <w:uiPriority w:val="9"/>
    <w:qFormat/>
    <w:rPr>
      <w:rFonts w:ascii="Arial" w:hAnsi="Arial" w:eastAsia="Arial" w:cs="Arial"/>
      <w:b/>
      <w:bCs/>
      <w:sz w:val="26"/>
      <w:szCs w:val="26"/>
    </w:rPr>
  </w:style>
  <w:style w:type="paragraph" w:styleId="772" w:customStyle="1">
    <w:name w:val="Heading 5"/>
    <w:basedOn w:val="706"/>
    <w:next w:val="706"/>
    <w:link w:val="773"/>
    <w:uiPriority w:val="9"/>
    <w:unhideWhenUsed/>
    <w:qFormat/>
    <w:pPr>
      <w:keepLines/>
      <w:keepNext/>
      <w:spacing w:before="320" w:after="200"/>
      <w:outlineLvl w:val="4"/>
    </w:pPr>
    <w:rPr>
      <w:rFonts w:ascii="Arial" w:hAnsi="Arial" w:eastAsia="Arial" w:cs="Arial"/>
      <w:b/>
      <w:bCs/>
      <w:sz w:val="24"/>
      <w:szCs w:val="24"/>
    </w:rPr>
  </w:style>
  <w:style w:type="character" w:styleId="773" w:customStyle="1">
    <w:name w:val="Heading 5 Char"/>
    <w:link w:val="772"/>
    <w:uiPriority w:val="9"/>
    <w:qFormat/>
    <w:rPr>
      <w:rFonts w:ascii="Arial" w:hAnsi="Arial" w:eastAsia="Arial" w:cs="Arial"/>
      <w:b/>
      <w:bCs/>
      <w:sz w:val="24"/>
      <w:szCs w:val="24"/>
    </w:rPr>
  </w:style>
  <w:style w:type="paragraph" w:styleId="774" w:customStyle="1">
    <w:name w:val="Heading 6"/>
    <w:basedOn w:val="706"/>
    <w:next w:val="706"/>
    <w:link w:val="775"/>
    <w:uiPriority w:val="9"/>
    <w:unhideWhenUsed/>
    <w:qFormat/>
    <w:pPr>
      <w:keepLines/>
      <w:keepNext/>
      <w:spacing w:before="320" w:after="200"/>
      <w:outlineLvl w:val="5"/>
    </w:pPr>
    <w:rPr>
      <w:rFonts w:ascii="Arial" w:hAnsi="Arial" w:eastAsia="Arial" w:cs="Arial"/>
      <w:b/>
      <w:bCs/>
      <w:sz w:val="22"/>
      <w:szCs w:val="22"/>
    </w:rPr>
  </w:style>
  <w:style w:type="character" w:styleId="775" w:customStyle="1">
    <w:name w:val="Heading 6 Char"/>
    <w:link w:val="774"/>
    <w:uiPriority w:val="9"/>
    <w:qFormat/>
    <w:rPr>
      <w:rFonts w:ascii="Arial" w:hAnsi="Arial" w:eastAsia="Arial" w:cs="Arial"/>
      <w:b/>
      <w:bCs/>
      <w:sz w:val="22"/>
      <w:szCs w:val="22"/>
    </w:rPr>
  </w:style>
  <w:style w:type="paragraph" w:styleId="776" w:customStyle="1">
    <w:name w:val="Heading 7"/>
    <w:basedOn w:val="706"/>
    <w:next w:val="706"/>
    <w:link w:val="777"/>
    <w:uiPriority w:val="9"/>
    <w:unhideWhenUsed/>
    <w:qFormat/>
    <w:pPr>
      <w:keepLines/>
      <w:keepNext/>
      <w:spacing w:before="320" w:after="200"/>
      <w:outlineLvl w:val="6"/>
    </w:pPr>
    <w:rPr>
      <w:rFonts w:ascii="Arial" w:hAnsi="Arial" w:eastAsia="Arial" w:cs="Arial"/>
      <w:b/>
      <w:bCs/>
      <w:i/>
      <w:iCs/>
      <w:sz w:val="22"/>
      <w:szCs w:val="22"/>
    </w:rPr>
  </w:style>
  <w:style w:type="character" w:styleId="777" w:customStyle="1">
    <w:name w:val="Heading 7 Char"/>
    <w:link w:val="776"/>
    <w:uiPriority w:val="9"/>
    <w:qFormat/>
    <w:rPr>
      <w:rFonts w:ascii="Arial" w:hAnsi="Arial" w:eastAsia="Arial" w:cs="Arial"/>
      <w:b/>
      <w:bCs/>
      <w:i/>
      <w:iCs/>
      <w:sz w:val="22"/>
      <w:szCs w:val="22"/>
    </w:rPr>
  </w:style>
  <w:style w:type="paragraph" w:styleId="778" w:customStyle="1">
    <w:name w:val="Heading 8"/>
    <w:basedOn w:val="706"/>
    <w:next w:val="706"/>
    <w:link w:val="779"/>
    <w:uiPriority w:val="9"/>
    <w:unhideWhenUsed/>
    <w:qFormat/>
    <w:pPr>
      <w:keepLines/>
      <w:keepNext/>
      <w:spacing w:before="320" w:after="200"/>
      <w:outlineLvl w:val="7"/>
    </w:pPr>
    <w:rPr>
      <w:rFonts w:ascii="Arial" w:hAnsi="Arial" w:eastAsia="Arial" w:cs="Arial"/>
      <w:i/>
      <w:iCs/>
      <w:sz w:val="22"/>
      <w:szCs w:val="22"/>
    </w:rPr>
  </w:style>
  <w:style w:type="character" w:styleId="779" w:customStyle="1">
    <w:name w:val="Heading 8 Char"/>
    <w:link w:val="778"/>
    <w:uiPriority w:val="9"/>
    <w:qFormat/>
    <w:rPr>
      <w:rFonts w:ascii="Arial" w:hAnsi="Arial" w:eastAsia="Arial" w:cs="Arial"/>
      <w:i/>
      <w:iCs/>
      <w:sz w:val="22"/>
      <w:szCs w:val="22"/>
    </w:rPr>
  </w:style>
  <w:style w:type="paragraph" w:styleId="780" w:customStyle="1">
    <w:name w:val="Heading 9"/>
    <w:basedOn w:val="706"/>
    <w:next w:val="706"/>
    <w:link w:val="781"/>
    <w:uiPriority w:val="9"/>
    <w:unhideWhenUsed/>
    <w:qFormat/>
    <w:pPr>
      <w:keepLines/>
      <w:keepNext/>
      <w:spacing w:before="320" w:after="200"/>
      <w:outlineLvl w:val="8"/>
    </w:pPr>
    <w:rPr>
      <w:rFonts w:ascii="Arial" w:hAnsi="Arial" w:eastAsia="Arial" w:cs="Arial"/>
      <w:i/>
      <w:iCs/>
      <w:szCs w:val="21"/>
    </w:rPr>
  </w:style>
  <w:style w:type="character" w:styleId="781" w:customStyle="1">
    <w:name w:val="Heading 9 Char"/>
    <w:link w:val="780"/>
    <w:uiPriority w:val="9"/>
    <w:qFormat/>
    <w:rPr>
      <w:rFonts w:ascii="Arial" w:hAnsi="Arial" w:eastAsia="Arial" w:cs="Arial"/>
      <w:i/>
      <w:iCs/>
      <w:sz w:val="21"/>
      <w:szCs w:val="21"/>
    </w:rPr>
  </w:style>
  <w:style w:type="paragraph" w:styleId="782">
    <w:name w:val="No Spacing"/>
    <w:uiPriority w:val="1"/>
    <w:qFormat/>
    <w:rPr>
      <w:rFonts w:hint="default" w:ascii="Times New Roman" w:hAnsi="Times New Roman" w:eastAsia="宋体" w:cs="Times New Roman"/>
      <w:lang w:val="en-US" w:eastAsia="zh-CN" w:bidi="ar-SA"/>
    </w:rPr>
  </w:style>
  <w:style w:type="character" w:styleId="783" w:customStyle="1">
    <w:name w:val="标题 Char"/>
    <w:link w:val="743"/>
    <w:uiPriority w:val="10"/>
    <w:qFormat/>
    <w:rPr>
      <w:sz w:val="48"/>
      <w:szCs w:val="48"/>
    </w:rPr>
  </w:style>
  <w:style w:type="character" w:styleId="784" w:customStyle="1">
    <w:name w:val="副标题 Char"/>
    <w:link w:val="734"/>
    <w:uiPriority w:val="11"/>
    <w:qFormat/>
    <w:rPr>
      <w:sz w:val="24"/>
      <w:szCs w:val="24"/>
    </w:rPr>
  </w:style>
  <w:style w:type="paragraph" w:styleId="785">
    <w:name w:val="Quote"/>
    <w:basedOn w:val="706"/>
    <w:next w:val="706"/>
    <w:link w:val="786"/>
    <w:uiPriority w:val="29"/>
    <w:qFormat/>
    <w:pPr>
      <w:ind w:left="720" w:right="720"/>
    </w:pPr>
    <w:rPr>
      <w:i/>
    </w:rPr>
  </w:style>
  <w:style w:type="character" w:styleId="786" w:customStyle="1">
    <w:name w:val="引用 Char"/>
    <w:link w:val="785"/>
    <w:uiPriority w:val="29"/>
    <w:qFormat/>
    <w:rPr>
      <w:i/>
    </w:rPr>
  </w:style>
  <w:style w:type="paragraph" w:styleId="787">
    <w:name w:val="Intense Quote"/>
    <w:basedOn w:val="706"/>
    <w:next w:val="706"/>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明显引用 Char"/>
    <w:link w:val="787"/>
    <w:uiPriority w:val="30"/>
    <w:qFormat/>
    <w:rPr>
      <w:i/>
    </w:rPr>
  </w:style>
  <w:style w:type="paragraph" w:styleId="789" w:customStyle="1">
    <w:name w:val="Header"/>
    <w:basedOn w:val="706"/>
    <w:link w:val="790"/>
    <w:uiPriority w:val="99"/>
    <w:unhideWhenUsed/>
    <w:qFormat/>
    <w:pPr>
      <w:tabs>
        <w:tab w:val="center" w:pos="7143" w:leader="none"/>
        <w:tab w:val="right" w:pos="14287" w:leader="none"/>
      </w:tabs>
    </w:pPr>
  </w:style>
  <w:style w:type="character" w:styleId="790" w:customStyle="1">
    <w:name w:val="Header Char"/>
    <w:link w:val="789"/>
    <w:uiPriority w:val="99"/>
    <w:qFormat/>
  </w:style>
  <w:style w:type="paragraph" w:styleId="791" w:customStyle="1">
    <w:name w:val="Footer"/>
    <w:basedOn w:val="706"/>
    <w:link w:val="794"/>
    <w:uiPriority w:val="99"/>
    <w:unhideWhenUsed/>
    <w:qFormat/>
    <w:pPr>
      <w:tabs>
        <w:tab w:val="center" w:pos="7143" w:leader="none"/>
        <w:tab w:val="right" w:pos="14287" w:leader="none"/>
      </w:tabs>
    </w:pPr>
  </w:style>
  <w:style w:type="character" w:styleId="792" w:customStyle="1">
    <w:name w:val="Footer Char"/>
    <w:link w:val="791"/>
    <w:uiPriority w:val="99"/>
    <w:qFormat/>
  </w:style>
  <w:style w:type="paragraph" w:styleId="793" w:customStyle="1">
    <w:name w:val="Caption"/>
    <w:basedOn w:val="706"/>
    <w:next w:val="706"/>
    <w:uiPriority w:val="35"/>
    <w:semiHidden/>
    <w:unhideWhenUsed/>
    <w:qFormat/>
    <w:pPr>
      <w:spacing w:line="276" w:lineRule="auto"/>
    </w:pPr>
    <w:rPr>
      <w:b/>
      <w:bCs/>
      <w:color w:val="4f81bd" w:themeColor="accent1"/>
      <w:sz w:val="18"/>
      <w:szCs w:val="18"/>
    </w:rPr>
  </w:style>
  <w:style w:type="character" w:styleId="794" w:customStyle="1">
    <w:name w:val="Caption Char"/>
    <w:link w:val="791"/>
    <w:uiPriority w:val="99"/>
    <w:qFormat/>
  </w:style>
  <w:style w:type="table" w:styleId="79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4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Footnote Text Char"/>
    <w:link w:val="735"/>
    <w:uiPriority w:val="99"/>
    <w:qFormat/>
    <w:rPr>
      <w:sz w:val="18"/>
    </w:rPr>
  </w:style>
  <w:style w:type="character" w:styleId="921" w:customStyle="1">
    <w:name w:val="尾注文本 Char"/>
    <w:link w:val="728"/>
    <w:uiPriority w:val="99"/>
    <w:qFormat/>
    <w:rPr>
      <w:sz w:val="20"/>
    </w:rPr>
  </w:style>
  <w:style w:type="paragraph" w:styleId="922" w:customStyle="1">
    <w:name w:val="TOC 标题1"/>
    <w:uiPriority w:val="39"/>
    <w:unhideWhenUsed/>
    <w:qFormat/>
    <w:rPr>
      <w:rFonts w:hint="default" w:ascii="Times New Roman" w:hAnsi="Times New Roman" w:eastAsia="宋体" w:cs="Times New Roman"/>
      <w:lang w:val="en-US" w:eastAsia="zh-CN" w:bidi="ar-SA"/>
    </w:rPr>
  </w:style>
  <w:style w:type="character" w:styleId="923" w:customStyle="1">
    <w:name w:val="标题 1 Char"/>
    <w:link w:val="707"/>
    <w:uiPriority w:val="99"/>
    <w:qFormat/>
    <w:rPr>
      <w:rFonts w:ascii="楷体_GB2312" w:hAnsi="Times New Roman" w:eastAsia="楷体_GB2312" w:cs="Times New Roman"/>
      <w:b/>
      <w:sz w:val="28"/>
      <w:szCs w:val="20"/>
    </w:rPr>
  </w:style>
  <w:style w:type="character" w:styleId="924" w:customStyle="1">
    <w:name w:val="标题 2 Char"/>
    <w:link w:val="708"/>
    <w:uiPriority w:val="99"/>
    <w:qFormat/>
    <w:rPr>
      <w:rFonts w:ascii="楷体_GB2312" w:hAnsi="Times New Roman" w:eastAsia="楷体_GB2312" w:cs="Times New Roman"/>
      <w:b/>
      <w:bCs/>
      <w:sz w:val="18"/>
      <w:szCs w:val="20"/>
    </w:rPr>
  </w:style>
  <w:style w:type="character" w:styleId="925" w:customStyle="1">
    <w:name w:val="标题 3 Char"/>
    <w:link w:val="709"/>
    <w:uiPriority w:val="99"/>
    <w:qFormat/>
    <w:rPr>
      <w:rFonts w:ascii="Times New Roman" w:hAnsi="Times New Roman" w:eastAsia="楷体_GB2312" w:cs="Times New Roman"/>
      <w:b/>
      <w:bCs/>
      <w:sz w:val="15"/>
      <w:szCs w:val="20"/>
    </w:rPr>
  </w:style>
  <w:style w:type="character" w:styleId="926" w:customStyle="1">
    <w:name w:val="标题 4 Char"/>
    <w:link w:val="710"/>
    <w:uiPriority w:val="99"/>
    <w:qFormat/>
    <w:rPr>
      <w:rFonts w:ascii="Times New Roman" w:hAnsi="Times New Roman" w:eastAsia="楷体_GB2312" w:cs="Times New Roman"/>
      <w:b/>
      <w:bCs/>
      <w:sz w:val="13"/>
      <w:szCs w:val="20"/>
    </w:rPr>
  </w:style>
  <w:style w:type="character" w:styleId="927" w:customStyle="1">
    <w:name w:val="标题 5 Char"/>
    <w:link w:val="711"/>
    <w:uiPriority w:val="99"/>
    <w:qFormat/>
    <w:rPr>
      <w:rFonts w:ascii="楷体_GB2312" w:hAnsi="Times New Roman" w:eastAsia="楷体_GB2312" w:cs="Times New Roman"/>
      <w:bCs/>
      <w:sz w:val="28"/>
      <w:szCs w:val="20"/>
    </w:rPr>
  </w:style>
  <w:style w:type="character" w:styleId="928" w:customStyle="1">
    <w:name w:val="正文缩进 Char"/>
    <w:link w:val="715"/>
    <w:uiPriority w:val="0"/>
    <w:qFormat/>
    <w:rPr>
      <w:rFonts w:ascii="Times New Roman" w:hAnsi="Times New Roman"/>
      <w:sz w:val="21"/>
      <w:szCs w:val="24"/>
    </w:rPr>
  </w:style>
  <w:style w:type="character" w:styleId="929" w:customStyle="1">
    <w:name w:val="文档结构图 Char"/>
    <w:link w:val="717"/>
    <w:uiPriority w:val="99"/>
    <w:semiHidden/>
    <w:qFormat/>
    <w:rPr>
      <w:rFonts w:ascii="Times New Roman" w:hAnsi="Times New Roman" w:eastAsia="宋体" w:cs="Times New Roman"/>
      <w:szCs w:val="20"/>
      <w:shd w:val="clear" w:color="auto" w:fill="000080"/>
    </w:rPr>
  </w:style>
  <w:style w:type="character" w:styleId="930" w:customStyle="1">
    <w:name w:val="批注文字 Char"/>
    <w:link w:val="718"/>
    <w:uiPriority w:val="0"/>
    <w:semiHidden/>
    <w:qFormat/>
    <w:rPr>
      <w:rFonts w:ascii="Times New Roman" w:hAnsi="Times New Roman" w:eastAsia="宋体" w:cs="Times New Roman"/>
      <w:szCs w:val="24"/>
    </w:rPr>
  </w:style>
  <w:style w:type="character" w:styleId="931" w:customStyle="1">
    <w:name w:val="正文文本 Char"/>
    <w:link w:val="719"/>
    <w:uiPriority w:val="99"/>
    <w:qFormat/>
    <w:rPr>
      <w:rFonts w:ascii="华文中宋" w:hAnsi="Times New Roman" w:eastAsia="华文中宋" w:cs="Times New Roman"/>
      <w:bCs/>
      <w:sz w:val="28"/>
      <w:szCs w:val="20"/>
    </w:rPr>
  </w:style>
  <w:style w:type="character" w:styleId="932" w:customStyle="1">
    <w:name w:val="正文文本缩进 Char"/>
    <w:link w:val="721"/>
    <w:uiPriority w:val="0"/>
    <w:qFormat/>
    <w:rPr>
      <w:rFonts w:ascii="Times New Roman" w:hAnsi="Times New Roman" w:eastAsia="宋体" w:cs="Times New Roman"/>
      <w:b/>
      <w:sz w:val="30"/>
      <w:szCs w:val="20"/>
    </w:rPr>
  </w:style>
  <w:style w:type="character" w:styleId="933" w:customStyle="1">
    <w:name w:val="纯文本 Char"/>
    <w:link w:val="724"/>
    <w:uiPriority w:val="0"/>
    <w:qFormat/>
    <w:rPr>
      <w:rFonts w:ascii="宋体" w:hAnsi="Courier New"/>
      <w:sz w:val="21"/>
      <w:szCs w:val="21"/>
    </w:rPr>
  </w:style>
  <w:style w:type="character" w:styleId="934" w:customStyle="1">
    <w:name w:val="日期 Char"/>
    <w:link w:val="726"/>
    <w:uiPriority w:val="99"/>
    <w:qFormat/>
    <w:rPr>
      <w:rFonts w:ascii="Times New Roman" w:hAnsi="Times New Roman" w:eastAsia="黑体" w:cs="Times New Roman"/>
      <w:b/>
      <w:sz w:val="36"/>
      <w:szCs w:val="20"/>
    </w:rPr>
  </w:style>
  <w:style w:type="character" w:styleId="935" w:customStyle="1">
    <w:name w:val="正文文本缩进 2 Char"/>
    <w:link w:val="727"/>
    <w:uiPriority w:val="99"/>
    <w:qFormat/>
    <w:rPr>
      <w:rFonts w:ascii="楷体_GB2312" w:hAnsi="Times New Roman" w:eastAsia="楷体_GB2312" w:cs="Times New Roman"/>
      <w:b/>
      <w:sz w:val="28"/>
      <w:szCs w:val="20"/>
    </w:rPr>
  </w:style>
  <w:style w:type="character" w:styleId="936" w:customStyle="1">
    <w:name w:val="批注框文本 Char"/>
    <w:link w:val="729"/>
    <w:uiPriority w:val="99"/>
    <w:semiHidden/>
    <w:qFormat/>
    <w:rPr>
      <w:rFonts w:ascii="Times New Roman" w:hAnsi="Times New Roman" w:eastAsia="宋体" w:cs="Times New Roman"/>
      <w:sz w:val="18"/>
      <w:szCs w:val="18"/>
    </w:rPr>
  </w:style>
  <w:style w:type="character" w:styleId="937" w:customStyle="1">
    <w:name w:val="页脚 Char"/>
    <w:link w:val="730"/>
    <w:uiPriority w:val="99"/>
    <w:qFormat/>
    <w:rPr>
      <w:sz w:val="18"/>
      <w:szCs w:val="18"/>
    </w:rPr>
  </w:style>
  <w:style w:type="character" w:styleId="938" w:customStyle="1">
    <w:name w:val="页眉 Char"/>
    <w:link w:val="731"/>
    <w:uiPriority w:val="0"/>
    <w:qFormat/>
    <w:rPr>
      <w:sz w:val="18"/>
      <w:szCs w:val="18"/>
    </w:rPr>
  </w:style>
  <w:style w:type="character" w:styleId="939" w:customStyle="1">
    <w:name w:val="脚注文本 Char"/>
    <w:link w:val="735"/>
    <w:uiPriority w:val="0"/>
    <w:qFormat/>
    <w:rPr>
      <w:rFonts w:ascii="Times New Roman" w:hAnsi="Times New Roman"/>
      <w:sz w:val="18"/>
    </w:rPr>
  </w:style>
  <w:style w:type="character" w:styleId="940" w:customStyle="1">
    <w:name w:val="正文文本缩进 3 Char"/>
    <w:link w:val="737"/>
    <w:uiPriority w:val="99"/>
    <w:qFormat/>
    <w:rPr>
      <w:rFonts w:ascii="Times New Roman" w:hAnsi="Times New Roman" w:eastAsia="宋体" w:cs="Times New Roman"/>
      <w:szCs w:val="20"/>
    </w:rPr>
  </w:style>
  <w:style w:type="character" w:styleId="941" w:customStyle="1">
    <w:name w:val="正文文本 2 Char"/>
    <w:link w:val="741"/>
    <w:uiPriority w:val="99"/>
    <w:qFormat/>
    <w:rPr>
      <w:rFonts w:ascii="Times New Roman" w:hAnsi="Times New Roman" w:eastAsia="宋体" w:cs="Times New Roman"/>
      <w:szCs w:val="20"/>
    </w:rPr>
  </w:style>
  <w:style w:type="character" w:styleId="942" w:customStyle="1">
    <w:name w:val="普通(网站) Char"/>
    <w:link w:val="742"/>
    <w:uiPriority w:val="0"/>
    <w:qFormat/>
    <w:rPr>
      <w:rFonts w:ascii="宋体" w:hAnsi="宋体"/>
      <w:sz w:val="24"/>
      <w:szCs w:val="24"/>
    </w:rPr>
  </w:style>
  <w:style w:type="character" w:styleId="943" w:customStyle="1">
    <w:name w:val="批注主题 Char"/>
    <w:link w:val="744"/>
    <w:uiPriority w:val="0"/>
    <w:semiHidden/>
    <w:qFormat/>
    <w:rPr>
      <w:rFonts w:ascii="Times New Roman" w:hAnsi="Times New Roman" w:eastAsia="宋体" w:cs="Times New Roman"/>
      <w:b/>
      <w:bCs/>
      <w:szCs w:val="24"/>
    </w:rPr>
  </w:style>
  <w:style w:type="character" w:styleId="944" w:customStyle="1">
    <w:name w:val="正文首行缩进 Char"/>
    <w:link w:val="745"/>
    <w:uiPriority w:val="99"/>
    <w:semiHidden/>
    <w:qFormat/>
    <w:rPr>
      <w:rFonts w:ascii="Times New Roman" w:hAnsi="Times New Roman" w:eastAsia="华文中宋" w:cs="Times New Roman"/>
      <w:sz w:val="21"/>
      <w:szCs w:val="20"/>
    </w:rPr>
  </w:style>
  <w:style w:type="character" w:styleId="945" w:customStyle="1">
    <w:name w:val="批注框文本 Char1"/>
    <w:uiPriority w:val="99"/>
    <w:semiHidden/>
    <w:qFormat/>
    <w:rPr>
      <w:rFonts w:ascii="Times New Roman" w:hAnsi="Times New Roman" w:eastAsia="宋体" w:cs="Times New Roman"/>
      <w:sz w:val="18"/>
      <w:szCs w:val="18"/>
    </w:rPr>
  </w:style>
  <w:style w:type="character" w:styleId="946" w:customStyle="1">
    <w:name w:val="正文文本 2 Char1"/>
    <w:uiPriority w:val="99"/>
    <w:semiHidden/>
    <w:qFormat/>
    <w:rPr>
      <w:rFonts w:ascii="Times New Roman" w:hAnsi="Times New Roman" w:eastAsia="宋体" w:cs="Times New Roman"/>
      <w:szCs w:val="20"/>
    </w:rPr>
  </w:style>
  <w:style w:type="character" w:styleId="947" w:customStyle="1">
    <w:name w:val="文档结构图 Char1"/>
    <w:uiPriority w:val="99"/>
    <w:semiHidden/>
    <w:qFormat/>
    <w:rPr>
      <w:rFonts w:ascii="宋体" w:hAnsi="Times New Roman" w:eastAsia="宋体" w:cs="Times New Roman"/>
      <w:sz w:val="18"/>
      <w:szCs w:val="18"/>
    </w:rPr>
  </w:style>
  <w:style w:type="character" w:styleId="948" w:customStyle="1">
    <w:name w:val="正文文本缩进 Char1"/>
    <w:uiPriority w:val="99"/>
    <w:semiHidden/>
    <w:qFormat/>
    <w:rPr>
      <w:rFonts w:ascii="Times New Roman" w:hAnsi="Times New Roman" w:eastAsia="宋体" w:cs="Times New Roman"/>
      <w:szCs w:val="20"/>
    </w:rPr>
  </w:style>
  <w:style w:type="character" w:styleId="949" w:customStyle="1">
    <w:name w:val="15"/>
    <w:uiPriority w:val="0"/>
    <w:qFormat/>
    <w:rPr>
      <w:rFonts w:ascii="Times New Roman" w:hAnsi="Times New Roman" w:cs="Times New Roman"/>
    </w:rPr>
  </w:style>
  <w:style w:type="character" w:styleId="950" w:customStyle="1">
    <w:name w:val="正文文本缩进 2 Char1"/>
    <w:uiPriority w:val="99"/>
    <w:semiHidden/>
    <w:qFormat/>
    <w:rPr>
      <w:rFonts w:ascii="Times New Roman" w:hAnsi="Times New Roman" w:eastAsia="宋体" w:cs="Times New Roman"/>
      <w:szCs w:val="20"/>
    </w:rPr>
  </w:style>
  <w:style w:type="character" w:styleId="951" w:customStyle="1">
    <w:name w:val="日期 Char1"/>
    <w:uiPriority w:val="99"/>
    <w:semiHidden/>
    <w:qFormat/>
    <w:rPr>
      <w:rFonts w:ascii="Times New Roman" w:hAnsi="Times New Roman" w:eastAsia="宋体" w:cs="Times New Roman"/>
      <w:szCs w:val="20"/>
    </w:rPr>
  </w:style>
  <w:style w:type="character" w:styleId="952" w:customStyle="1">
    <w:name w:val="正文文本缩进 3 Char1"/>
    <w:uiPriority w:val="99"/>
    <w:semiHidden/>
    <w:qFormat/>
    <w:rPr>
      <w:rFonts w:ascii="Times New Roman" w:hAnsi="Times New Roman" w:eastAsia="宋体" w:cs="Times New Roman"/>
      <w:sz w:val="16"/>
      <w:szCs w:val="16"/>
    </w:rPr>
  </w:style>
  <w:style w:type="paragraph" w:styleId="953">
    <w:name w:val="List Paragraph"/>
    <w:basedOn w:val="706"/>
    <w:uiPriority w:val="0"/>
    <w:qFormat/>
    <w:pPr>
      <w:ind w:firstLine="420"/>
    </w:pPr>
    <w:rPr>
      <w:szCs w:val="21"/>
    </w:rPr>
  </w:style>
  <w:style w:type="paragraph" w:styleId="954" w:customStyle="1">
    <w:name w:val="普通文字"/>
    <w:basedOn w:val="706"/>
    <w:next w:val="706"/>
    <w:uiPriority w:val="0"/>
    <w:qFormat/>
    <w:rPr>
      <w:rFonts w:ascii="宋体"/>
      <w:sz w:val="24"/>
    </w:rPr>
  </w:style>
  <w:style w:type="paragraph" w:styleId="955" w:customStyle="1">
    <w:name w:val="样式 小四 段前: 5 磅 段后: 5 磅 首行缩进:  2 字符"/>
    <w:basedOn w:val="706"/>
    <w:uiPriority w:val="0"/>
    <w:qFormat/>
    <w:pPr>
      <w:jc w:val="center"/>
      <w:spacing w:line="360" w:lineRule="auto"/>
    </w:pPr>
    <w:rPr>
      <w:rFonts w:ascii="宋体" w:hAnsi="宋体"/>
      <w:bCs/>
      <w:color w:val="ff0000"/>
      <w:sz w:val="24"/>
      <w:szCs w:val="24"/>
    </w:rPr>
  </w:style>
  <w:style w:type="paragraph" w:styleId="956" w:customStyle="1">
    <w:name w:val="列出段落1"/>
    <w:basedOn w:val="706"/>
    <w:uiPriority w:val="0"/>
    <w:qFormat/>
    <w:pPr>
      <w:ind w:firstLine="420"/>
    </w:pPr>
    <w:rPr>
      <w:szCs w:val="24"/>
    </w:rPr>
  </w:style>
  <w:style w:type="paragraph" w:styleId="957" w:customStyle="1">
    <w:name w:val="段"/>
    <w:next w:val="706"/>
    <w:uiPriority w:val="0"/>
    <w:qFormat/>
    <w:pPr>
      <w:ind w:firstLine="200"/>
      <w:jc w:val="both"/>
    </w:pPr>
    <w:rPr>
      <w:rFonts w:hint="default" w:ascii="宋体" w:hAnsi="Times New Roman" w:eastAsia="宋体" w:cs="Times New Roman"/>
      <w:sz w:val="21"/>
      <w:lang w:val="en-US" w:eastAsia="zh-CN" w:bidi="ar-SA"/>
    </w:rPr>
  </w:style>
  <w:style w:type="paragraph" w:styleId="95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59"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960" w:customStyle="1">
    <w:name w:val="Other|1"/>
    <w:basedOn w:val="706"/>
    <w:uiPriority w:val="0"/>
    <w:qFormat/>
    <w:pPr>
      <w:ind w:firstLine="220"/>
    </w:pPr>
    <w:rPr>
      <w:rFonts w:ascii="宋体" w:hAnsi="宋体" w:cs="宋体"/>
      <w:sz w:val="20"/>
      <w:lang w:val="zh-TW" w:eastAsia="zh-TW" w:bidi="zh-TW"/>
    </w:rPr>
  </w:style>
  <w:style w:type="character" w:styleId="961" w:customStyle="1">
    <w:name w:val="font11"/>
    <w:uiPriority w:val="0"/>
    <w:qFormat/>
    <w:rPr>
      <w:rFonts w:hint="eastAsia" w:ascii="宋体" w:hAnsi="宋体" w:eastAsia="宋体" w:cs="宋体"/>
      <w:color w:val="333333"/>
      <w:sz w:val="20"/>
      <w:szCs w:val="20"/>
      <w:u w:val="none"/>
    </w:rPr>
  </w:style>
  <w:style w:type="paragraph" w:styleId="962" w:customStyle="1">
    <w:name w:val="纯文本1"/>
    <w:basedOn w:val="706"/>
    <w:uiPriority w:val="0"/>
    <w:qFormat/>
    <w:rPr>
      <w:rFonts w:ascii="宋体" w:hAnsi="Courier New" w:eastAsia="楷体_GB2312"/>
      <w:sz w:val="26"/>
    </w:rPr>
  </w:style>
  <w:style w:type="character" w:styleId="963" w:customStyle="1">
    <w:name w:val="font21"/>
    <w:uiPriority w:val="0"/>
    <w:qFormat/>
    <w:rPr>
      <w:rFonts w:hint="eastAsia" w:ascii="宋体" w:hAnsi="宋体" w:eastAsia="宋体" w:cs="宋体"/>
      <w:color w:val="000000"/>
      <w:sz w:val="20"/>
      <w:szCs w:val="20"/>
      <w:u w:val="none"/>
    </w:rPr>
  </w:style>
  <w:style w:type="character" w:styleId="964" w:customStyle="1">
    <w:name w:val="font01"/>
    <w:uiPriority w:val="0"/>
    <w:qFormat/>
    <w:rPr>
      <w:rFonts w:ascii="Tahoma" w:hAnsi="Tahoma" w:eastAsia="Tahoma" w:cs="Tahoma"/>
      <w:color w:val="333333"/>
      <w:sz w:val="20"/>
      <w:szCs w:val="20"/>
      <w:u w:val="none"/>
    </w:rPr>
  </w:style>
  <w:style w:type="paragraph" w:styleId="965" w:customStyle="1">
    <w:name w:val="列出段落2"/>
    <w:basedOn w:val="706"/>
    <w:uiPriority w:val="34"/>
    <w:qFormat/>
    <w:pPr>
      <w:ind w:firstLine="420"/>
    </w:pPr>
  </w:style>
  <w:style w:type="paragraph" w:styleId="966" w:customStyle="1">
    <w:name w:val="正文文本2"/>
    <w:basedOn w:val="706"/>
    <w:next w:val="967"/>
    <w:uiPriority w:val="0"/>
    <w:qFormat/>
    <w:rPr>
      <w:rFonts w:ascii="华文中宋" w:eastAsia="华文中宋"/>
      <w:bCs/>
      <w:sz w:val="28"/>
    </w:rPr>
  </w:style>
  <w:style w:type="paragraph" w:styleId="967" w:customStyle="1">
    <w:name w:val="列表项目符号 51"/>
    <w:basedOn w:val="706"/>
    <w:uiPriority w:val="0"/>
    <w:qFormat/>
    <w:pPr>
      <w:ind w:left="2040" w:hanging="360"/>
      <w:spacing w:line="360" w:lineRule="exact"/>
      <w:widowControl/>
      <w:tabs>
        <w:tab w:val="left" w:pos="2040" w:leader="none"/>
      </w:tabs>
    </w:pPr>
    <w:rPr>
      <w:rFonts w:eastAsia="楷体_GB2312"/>
      <w:sz w:val="24"/>
    </w:rPr>
  </w:style>
  <w:style w:type="paragraph" w:styleId="968" w:customStyle="1">
    <w:name w:val="页脚1"/>
    <w:basedOn w:val="706"/>
    <w:next w:val="706"/>
    <w:uiPriority w:val="99"/>
    <w:unhideWhenUsed/>
    <w:qFormat/>
    <w:pPr>
      <w:jc w:val="left"/>
      <w:tabs>
        <w:tab w:val="center" w:pos="4153" w:leader="none"/>
        <w:tab w:val="right" w:pos="8306" w:leader="none"/>
      </w:tabs>
    </w:pPr>
    <w:rPr>
      <w:sz w:val="18"/>
      <w:szCs w:val="18"/>
    </w:rPr>
  </w:style>
  <w:style w:type="paragraph" w:styleId="969" w:customStyle="1">
    <w:name w:val="列出段落"/>
    <w:uiPriority w:val="0"/>
    <w:qFormat/>
    <w:pPr>
      <w:ind w:firstLine="420"/>
      <w:jc w:val="both"/>
      <w:widowControl w:val="off"/>
    </w:pPr>
    <w:rPr>
      <w:rFonts w:ascii="Times New Roman" w:hAnsi="Times New Roman" w:eastAsia="宋体" w:cs="Times New Roman"/>
      <w:sz w:val="21"/>
      <w:szCs w:val="21"/>
      <w:lang w:val="en-US" w:eastAsia="zh-CN" w:bidi="ar-SA"/>
    </w:rPr>
  </w:style>
  <w:style w:type="paragraph" w:styleId="970" w:customStyle="1">
    <w:name w:val="普通(网站)1"/>
    <w:uiPriority w:val="99"/>
    <w:qFormat/>
    <w:pPr>
      <w:jc w:val="left"/>
      <w:spacing w:before="100" w:beforeAutospacing="1" w:after="100" w:afterAutospacing="1" w:line="300" w:lineRule="atLeast"/>
      <w:widowControl/>
    </w:pPr>
    <w:rPr>
      <w:rFonts w:hint="default" w:ascii="宋体" w:hAnsi="宋体" w:eastAsia="宋体" w:cs="宋体"/>
      <w:sz w:val="24"/>
      <w:szCs w:val="24"/>
    </w:rPr>
  </w:style>
  <w:style w:type="paragraph" w:styleId="971" w:customStyle="1">
    <w:name w:val="正文文本缩进1"/>
    <w:uiPriority w:val="99"/>
    <w:qFormat/>
    <w:pPr>
      <w:ind w:firstLine="576"/>
      <w:jc w:val="left"/>
      <w:spacing w:after="200" w:line="300" w:lineRule="atLeast"/>
      <w:widowControl/>
    </w:pPr>
    <w:rPr>
      <w:rFonts w:hint="default" w:ascii="Calibri" w:hAnsi="Calibri" w:eastAsia="宋体" w:cs="宋体"/>
      <w:b/>
      <w:sz w:val="30"/>
      <w:szCs w:val="22"/>
    </w:rPr>
  </w:style>
  <w:style w:type="paragraph" w:styleId="972" w:customStyle="1">
    <w:name w:val="TOC Heading1"/>
    <w:uiPriority w:val="0"/>
    <w:qFormat/>
    <w:pPr>
      <w:ind w:left="0" w:right="0"/>
      <w:jc w:val="left"/>
      <w:spacing w:before="0" w:beforeAutospacing="0" w:after="0" w:afterAutospacing="0" w:line="240" w:lineRule="auto"/>
      <w:widowControl/>
    </w:pPr>
    <w:rPr>
      <w:rFonts w:hint="default" w:ascii="Times New Roman" w:hAnsi="Times New Roman" w:eastAsia="宋体" w:cs="Times New Roman"/>
      <w:sz w:val="32"/>
      <w:szCs w:val="32"/>
      <w:lang w:val="en-US" w:eastAsia="zh-CN" w:bidi="ar"/>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47709643-2e78-4836-9fea-4a8cff88e06c</errorID>
      <errorWord>。，</errorWord>
      <group>L1_Punc</group>
      <groupName>标点问题</groupName>
      <ability>L2_Punc</ability>
      <abilityName>标点符号检查</abilityName>
      <candidateList>
        <item>。</item>
      </candidateList>
      <explain/>
      <paraID>3766EDA0</paraID>
      <start>52</start>
      <end>53</end>
      <status>modified</status>
      <modifiedWord>。</modifiedWord>
      <trackRevisions>false</trackRevisions>
    </reviewItem>
    <reviewItem>
      <errorID>f2cf49ab-fcdb-44fb-9027-a639d68fb4e2</errorID>
      <errorWord>（</errorWord>
      <group>L1_Punc</group>
      <groupName>标点问题</groupName>
      <ability>L2_Punc</ability>
      <abilityName>标点符号检查</abilityName>
      <candidateList/>
      <explain>同一形式括号套用。</explain>
      <paraID> 298F3BA</paraID>
      <start>119</start>
      <end>120</end>
      <status>unmodified</status>
      <modifiedWord/>
      <trackRevisions>false</trackRevisions>
    </reviewItem>
    <reviewItem>
      <errorID>e59e096b-31df-420b-ba3d-926371b848d0</errorID>
      <errorWord>）</errorWord>
      <group>L1_Punc</group>
      <groupName>标点问题</groupName>
      <ability>L2_Punc</ability>
      <abilityName>标点符号检查</abilityName>
      <candidateList/>
      <explain>同一形式括号套用。</explain>
      <paraID> 298F3BA</paraID>
      <start>123</start>
      <end>124</end>
      <status>unmodified</status>
      <modifiedWord/>
      <trackRevisions>false</trackRevisions>
    </reviewItem>
    <reviewItem>
      <errorID>8096f9f9-97ec-4de3-96d4-0551562a622d</errorID>
      <errorWord>《</errorWord>
      <group>L1_AI</group>
      <groupName>深度校对</groupName>
      <ability>L2_AI_Punc</ability>
      <abilityName>标点纠错</abilityName>
      <candidateList>
        <item/>
      </candidateList>
      <explain/>
      <paraID>6F48D8EC</paraID>
      <start>6</start>
      <end>7</end>
      <status>unmodified</status>
      <modifiedWord/>
      <trackRevisions>false</trackRevisions>
    </reviewItem>
    <reviewItem>
      <errorID>fbee16f7-33a9-4f69-b25d-043643992b97</errorID>
      <errorWord>》</errorWord>
      <group>L1_AI</group>
      <groupName>深度校对</groupName>
      <ability>L2_AI_Punc</ability>
      <abilityName>标点纠错</abilityName>
      <candidateList>
        <item/>
      </candidateList>
      <explain/>
      <paraID>6F48D8EC</paraID>
      <start>21</start>
      <end>22</end>
      <status>unmodified</status>
      <modifiedWord/>
      <trackRevisions>false</trackRevisions>
    </reviewItem>
    <reviewItem>
      <errorID>62ce75c1-1630-4612-a4ab-6eb50224b317</errorID>
      <errorWord>、二副</errorWord>
      <group>L1_AI</group>
      <groupName>深度校对</groupName>
      <ability>L2_AI_Word</ability>
      <abilityName>字词纠错</abilityName>
      <candidateList>
        <item>两副</item>
      </candidateList>
      <explain/>
      <paraID>4A167630</paraID>
      <start>77</start>
      <end>80</end>
      <status>unmodified</status>
      <modifiedWord/>
      <trackRevisions>false</trackRevisions>
    </reviewItem>
    <reviewItem>
      <errorID>a4fbf1af-000e-4535-9b68-bb0bd6ecc88b</errorID>
      <errorWord> </errorWord>
      <group>L1_AI</group>
      <groupName>深度校对</groupName>
      <ability>L2_AI_Punc</ability>
      <abilityName>标点纠错</abilityName>
      <candidateList>
        <item/>
      </candidateList>
      <explain>此处空格冗余，建议删除。</explain>
      <paraID>59ED79E8</paraID>
      <start>0</start>
      <end>1</end>
      <status>unmodified</status>
      <modifiedWord/>
      <trackRevisions>false</trackRevisions>
    </reviewItem>
    <reviewItem>
      <errorID>8d3a6eec-a6bf-4cb4-b383-a1bf97e3b55b</errorID>
      <errorWord>：</errorWord>
      <group>L1_AI</group>
      <groupName>深度校对</groupName>
      <ability>L2_AI_Punc</ability>
      <abilityName>标点纠错</abilityName>
      <candidateList>
        <item/>
      </candidateList>
      <explain/>
      <paraID>12850734</paraID>
      <start>10</start>
      <end>11</end>
      <status>unmodified</status>
      <modifiedWord/>
      <trackRevisions>false</trackRevisions>
    </reviewItem>
    <reviewItem>
      <errorID>ec480e28-0c98-47f7-be3e-4976983fa00b</errorID>
      <errorWord> </errorWord>
      <group>L1_AI</group>
      <groupName>深度校对</groupName>
      <ability>L2_AI_Punc</ability>
      <abilityName>标点纠错</abilityName>
      <candidateList>
        <item/>
      </candidateList>
      <explain>此处空格冗余，建议删除。</explain>
      <paraID>4AFACA8B</paraID>
      <start>3</start>
      <end>4</end>
      <status>unmodified</status>
      <modifiedWord/>
      <trackRevisions>false</trackRevisions>
    </reviewItem>
    <reviewItem>
      <errorID>c7ae87d6-02a6-4b47-a327-f31a0c0cd1b2</errorID>
      <errorWord>：</errorWord>
      <group>L1_AI</group>
      <groupName>深度校对</groupName>
      <ability>L2_AI_Punc</ability>
      <abilityName>标点纠错</abilityName>
      <candidateList>
        <item/>
      </candidateList>
      <explain/>
      <paraID>4AFACA8B</paraID>
      <start>14</start>
      <end>15</end>
      <status>unmodified</status>
      <modifiedWord/>
      <trackRevisions>false</trackRevisions>
    </reviewItem>
    <reviewItem>
      <errorID>c01db70e-c9df-4a00-98a8-5ffa227149e1</errorID>
      <errorWord>江苏</errorWord>
      <group>L1_AI</group>
      <groupName>深度校对</groupName>
      <ability>L2_AI_Word</ability>
      <abilityName>字词纠错</abilityName>
      <candidateList>
        <item> 江苏</item>
      </candidateList>
      <explain/>
      <paraID>135A81E7</paraID>
      <start>2</start>
      <end>4</end>
      <status>unmodified</status>
      <modifiedWord/>
      <trackRevisions>false</trackRevisions>
    </reviewItem>
    <reviewItem>
      <errorID>7c59a009-83bc-44d0-8cbf-3729025316b5</errorID>
      <errorWord>供应商</errorWord>
      <group>L1_AI</group>
      <groupName>深度校对</groupName>
      <ability>L2_AI_Word</ability>
      <abilityName>字词纠错</abilityName>
      <candidateList>
        <item> 供应商</item>
      </candidateList>
      <explain/>
      <paraID>4D891A82</paraID>
      <start>2</start>
      <end>5</end>
      <status>unmodified</status>
      <modifiedWord/>
      <trackRevisions>false</trackRevisions>
    </reviewItem>
    <reviewItem>
      <errorID>385060a0-d251-4634-b32c-acca6405ad9b</errorID>
      <errorWord>不得有</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743388DC</paraID>
      <start>70</start>
      <end>73</end>
      <status>unmodified</status>
      <modifiedWord/>
      <trackRevisions>false</trackRevisions>
    </reviewItem>
    <reviewItem>
      <errorID>9199b7ff-f128-4fb6-a33f-bde59ed59a73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47490A9E</paraID>
      <start>31</start>
      <end>32</end>
      <status>unmodified</status>
      <modifiedWord/>
      <trackRevisions>false</trackRevisions>
    </reviewItem>
    <reviewItem>
      <errorID>967d2bf3-3d8c-4f25-a505-fc8dd66d8b8f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582924E4</paraID>
      <start>33</start>
      <end>34</end>
      <status>unmodified</status>
      <modifiedWord/>
      <trackRevisions>false</trackRevisions>
    </reviewItem>
    <reviewItem>
      <errorID>376cf7fd-a52a-498f-8bd2-fc8e883fa3f3</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ECE5DBB</paraID>
      <start>48</start>
      <end>57</end>
      <status>unmodified</status>
      <modifiedWord/>
      <trackRevisions>false</trackRevisions>
    </reviewItem>
    <reviewItem>
      <errorID>b469a39f-9624-49a4-808b-662e475a5f16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4595977B</paraID>
      <start>28</start>
      <end>29</end>
      <status>unmodified</status>
      <modifiedWord/>
      <trackRevisions>false</trackRevisions>
    </reviewItem>
    <reviewItem>
      <errorID>2129607c-78d3-4b17-9945-1ec9cc378a3e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79F9CB37</paraID>
      <start>62</start>
      <end>63</end>
      <status>unmodified</status>
      <modifiedWord/>
      <trackRevisions>false</trackRevisions>
    </reviewItem>
    <reviewItem>
      <errorID>043b4a2a-2d6b-49ae-8976-69fa4d62b584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32A12479</paraID>
      <start>45</start>
      <end>46</end>
      <status>unmodified</status>
      <modifiedWord/>
      <trackRevisions>false</trackRevisions>
    </reviewItem>
    <reviewItem>
      <errorID>9d10407c-cc94-4d08-a304-776c23869ff3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4402F75C</paraID>
      <start>49</start>
      <end>50</end>
      <status>unmodified</status>
      <modifiedWord/>
      <trackRevisions>false</trackRevisions>
    </reviewItem>
    <reviewItem>
      <errorID>38ac735d-baca-4657-97cc-41663a8f7502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5DCA410B</paraID>
      <start>112</start>
      <end>113</end>
      <status>unmodified</status>
      <modifiedWord/>
      <trackRevisions>false</trackRevisions>
    </reviewItem>
    <reviewItem>
      <errorID>6e6ff444-62c2-4e0b-8448-8eb86f5db6eb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4F16C3A5</paraID>
      <start>112</start>
      <end>113</end>
      <status>unmodified</status>
      <modifiedWord/>
      <trackRevisions>false</trackRevisions>
    </reviewItem>
    <reviewItem>
      <errorID>ff959d67-25b1-46bf-a0cf-300691002e80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5E440976</paraID>
      <start>112</start>
      <end>113</end>
      <status>unmodified</status>
      <modifiedWord/>
      <trackRevisions>false</trackRevisions>
    </reviewItem>
    <reviewItem>
      <errorID>b577ccb6-cdd4-4a94-8d43-e11036dc5e54</errorID>
      <errorWord>临近</errorWord>
      <group>L1_Word</group>
      <groupName>字词问题</groupName>
      <ability>L2_Typo</ability>
      <abilityName>字词错误</abilityName>
      <candidateList>
        <item>邻近</item>
      </candidateList>
      <explain>存在发音相同字词的误用。</explain>
      <paraID>75F55105</paraID>
      <start>26</start>
      <end>28</end>
      <status>unmodified</status>
      <modifiedWord/>
      <trackRevisions>false</trackRevisions>
    </reviewItem>
    <reviewItem>
      <errorID>746d6b89-3e23-4a4b-8ad9-4d56fda08d48</errorID>
      <errorWord>对与</errorWord>
      <group>L1_Word</group>
      <groupName>字词问题</groupName>
      <ability>L2_Typo</ability>
      <abilityName>字词错误</abilityName>
      <candidateList>
        <item>对于</item>
      </candidateList>
      <explain>存在发音相同字词的误用。</explain>
      <paraID>59265BA3</paraID>
      <start>121</start>
      <end>123</end>
      <status>unmodified</status>
      <modifiedWord/>
      <trackRevisions>false</trackRevisions>
    </reviewItem>
    <reviewItem>
      <errorID>fbb01e93-d487-4f89-aaaf-3e250bef942f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61403BA7</paraID>
      <start>6</start>
      <end>7</end>
      <status>unmodified</status>
      <modifiedWord/>
      <trackRevisions>false</trackRevisions>
    </reviewItem>
    <reviewItem>
      <errorID>382035c2-0df5-418d-987b-7a6f3931ef55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68054810</paraID>
      <start>64</start>
      <end>65</end>
      <status>unmodified</status>
      <modifiedWord/>
      <trackRevisions>false</trackRevisions>
    </reviewItem>
    <reviewItem>
      <errorID>273df802-703f-4b1d-acf2-052c82777c57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56A8DA97</paraID>
      <start>0</start>
      <end>2</end>
      <status>unmodified</status>
      <modifiedWord/>
      <trackRevisions>false</trackRevisions>
    </reviewItem>
    <reviewItem>
      <errorID>7e63397e-7cf1-4075-85f9-929ae0900337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14BA085D</paraID>
      <start>0</start>
      <end>2</end>
      <status>unmodified</status>
      <modifiedWord/>
      <trackRevisions>false</trackRevisions>
    </reviewItem>
    <reviewItem>
      <errorID>5c945e80-6b8c-41ed-9f8e-75acaf4931ba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2A21D42E</paraID>
      <start>0</start>
      <end>2</end>
      <status>unmodified</status>
      <modifiedWord/>
      <trackRevisions>false</trackRevisions>
    </reviewItem>
    <reviewItem>
      <errorID>9de3f754-230a-4cf7-89ef-d331fef978dd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3A6BB11A</paraID>
      <start>0</start>
      <end>2</end>
      <status>unmodified</status>
      <modifiedWord/>
      <trackRevisions>false</trackRevisions>
    </reviewItem>
    <reviewItem>
      <errorID>87db4287-38b9-4aa0-809b-6d4f978db033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2E410082</paraID>
      <start>0</start>
      <end>2</end>
      <status>unmodified</status>
      <modifiedWord/>
      <trackRevisions>false</trackRevisions>
    </reviewItem>
    <reviewItem>
      <errorID>6ee9b795-63b6-4571-9c02-87d887150fcf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5E57C286</paraID>
      <start>64</start>
      <end>65</end>
      <status>unmodified</status>
      <modifiedWord/>
      <trackRevisions>false</trackRevisions>
    </reviewItem>
    <reviewItem>
      <errorID>ace24cbf-42ba-4dbc-849a-0adfee61b091</errorID>
      <errorWord>束</errorWord>
      <group>L1_Word</group>
      <groupName>字词问题</groupName>
      <ability>L2_Typo</ability>
      <abilityName>字词错误</abilityName>
      <candidateList>
        <item>束后</item>
      </candidateList>
      <explain/>
      <paraID>5E57C286</paraID>
      <start>100</start>
      <end>101</end>
      <status>unmodified</status>
      <modifiedWord/>
      <trackRevisions>false</trackRevisions>
    </reviewItem>
    <reviewItem>
      <errorID>c378ba78-6d64-4ee8-bf3b-7dbb93c319d2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6E15F02</paraID>
      <start>0</start>
      <end>2</end>
      <status>unmodified</status>
      <modifiedWord/>
      <trackRevisions>false</trackRevisions>
    </reviewItem>
    <reviewItem>
      <errorID>c3789dec-1b86-4f03-9683-053f76b122e4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3939590B</paraID>
      <start>0</start>
      <end>2</end>
      <status>unmodified</status>
      <modifiedWord/>
      <trackRevisions>false</trackRevisions>
    </reviewItem>
    <reviewItem>
      <errorID>5f7b519e-9f94-4989-9437-6b4775e5dffa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147A66D1</paraID>
      <start>0</start>
      <end>2</end>
      <status>unmodified</status>
      <modifiedWord/>
      <trackRevisions>false</trackRevisions>
    </reviewItem>
    <reviewItem>
      <errorID>c58ed077-748d-456d-8e23-42f55caa4aa6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1E0A4210</paraID>
      <start>0</start>
      <end>2</end>
      <status>unmodified</status>
      <modifiedWord/>
      <trackRevisions>false</trackRevisions>
    </reviewItem>
    <reviewItem>
      <errorID>2012938c-b662-4dfd-b2e5-5baf78c8fca8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756C18C6</paraID>
      <start>0</start>
      <end>2</end>
      <status>unmodified</status>
      <modifiedWord/>
      <trackRevisions>false</trackRevisions>
    </reviewItem>
    <reviewItem>
      <errorID>a0a80762-edef-441e-8e7d-02af63ddd3d1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35C7D449</paraID>
      <start>0</start>
      <end>2</end>
      <status>unmodified</status>
      <modifiedWord/>
      <trackRevisions>false</trackRevisions>
    </reviewItem>
    <reviewItem>
      <errorID>3e246f9f-49c3-4d94-b35c-a440f59af930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27B57BB8</paraID>
      <start>0</start>
      <end>2</end>
      <status>unmodified</status>
      <modifiedWord/>
      <trackRevisions>false</trackRevisions>
    </reviewItem>
    <reviewItem>
      <errorID>49adae40-eb41-4d18-8215-99e91a284925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4D08154E</paraID>
      <start>0</start>
      <end>2</end>
      <status>unmodified</status>
      <modifiedWord/>
      <trackRevisions>false</trackRevisions>
    </reviewItem>
    <reviewItem>
      <errorID>e496821d-279d-4775-a333-c5a27a803606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72BCD3C4</paraID>
      <start>0</start>
      <end>2</end>
      <status>unmodified</status>
      <modifiedWord/>
      <trackRevisions>false</trackRevisions>
    </reviewItem>
    <reviewItem>
      <errorID>4373cb8f-49aa-4e94-bbf1-cdf2a79a1aa4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D11554</paraID>
      <start>0</start>
      <end>2</end>
      <status>unmodified</status>
      <modifiedWord/>
      <trackRevisions>false</trackRevisions>
    </reviewItem>
    <reviewItem>
      <errorID>75923d1b-3d34-45a1-836e-f5bd957088bb</errorID>
      <errorWord>受</errorWord>
      <group>L1_Word</group>
      <groupName>字词问题</groupName>
      <ability>L2_Typo</ability>
      <abilityName>字词错误</abilityName>
      <candidateList>
        <item>受到</item>
      </candidateList>
      <explain/>
      <paraID>597B1B05</paraID>
      <start>48</start>
      <end>49</end>
      <status>unmodified</status>
      <modifiedWord/>
      <trackRevisions>false</trackRevisions>
    </reviewItem>
    <reviewItem>
      <errorID>5850d875-6599-4ff7-827b-efe347ce831a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2193F6C2</paraID>
      <start>0</start>
      <end>2</end>
      <status>unmodified</status>
      <modifiedWord/>
      <trackRevisions>false</trackRevisions>
    </reviewItem>
    <reviewItem>
      <errorID>7f8edebb-8075-4541-92e7-0276a4d40f16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7FCE03BF</paraID>
      <start>0</start>
      <end>2</end>
      <status>unmodified</status>
      <modifiedWord/>
      <trackRevisions>false</trackRevisions>
    </reviewItem>
    <reviewItem>
      <errorID>5b441453-7c58-4466-a308-8cd01fcc92fa</errorID>
      <errorWord>里</errorWord>
      <group>L1_Word</group>
      <groupName>字词问题</groupName>
      <ability>L2_Typo</ability>
      <abilityName>字词错误</abilityName>
      <candidateList>
        <item>中</item>
      </candidateList>
      <explain>存在字形相近字词的误用。</explain>
      <paraID>14EA5C5A</paraID>
      <start>178</start>
      <end>179</end>
      <status>unmodified</status>
      <modifiedWord/>
      <trackRevisions>false</trackRevisions>
    </reviewItem>
    <reviewItem>
      <errorID>d28c4038-5c23-4940-8f8d-f8e15ea2d85d</errorID>
      <errorWord>围</errorWord>
      <group>L1_Word</group>
      <groupName>字词问题</groupName>
      <ability>L2_Typo</ability>
      <abilityName>字词错误</abilityName>
      <candidateList>
        <item>围内</item>
      </candidateList>
      <explain/>
      <paraID>14EA5C5A</paraID>
      <start>278</start>
      <end>279</end>
      <status>unmodified</status>
      <modifiedWord/>
      <trackRevisions>false</trackRevisions>
    </reviewItem>
    <reviewItem>
      <errorID>91ef8d20-2436-46e2-b51f-ddc6e1458ea1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4ACD172F</paraID>
      <start>0</start>
      <end>2</end>
      <status>unmodified</status>
      <modifiedWord/>
      <trackRevisions>false</trackRevisions>
    </reviewItem>
    <reviewItem>
      <errorID>a46871fb-a859-4921-ad34-c8784d17cc59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3607D774</paraID>
      <start>0</start>
      <end>2</end>
      <status>unmodified</status>
      <modifiedWord/>
      <trackRevisions>false</trackRevisions>
    </reviewItem>
    <reviewItem>
      <errorID>b23ca8ca-22ae-42e3-a51b-46432c09c3fe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2544D768</paraID>
      <start>0</start>
      <end>2</end>
      <status>unmodified</status>
      <modifiedWord/>
      <trackRevisions>false</trackRevisions>
    </reviewItem>
    <reviewItem>
      <errorID>20b9d9e2-e9ee-43ba-a18a-b526729b5e35</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2544D768</paraID>
      <start>40</start>
      <end>42</end>
      <status>unmodified</status>
      <modifiedWord/>
      <trackRevisions>false</trackRevisions>
    </reviewItem>
    <reviewItem>
      <errorID>d066c9e9-5545-4bbe-a405-7567ba2c9900</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2544D768</paraID>
      <start>146</start>
      <end>148</end>
      <status>unmodified</status>
      <modifiedWord/>
      <trackRevisions>false</trackRevisions>
    </reviewItem>
    <reviewItem>
      <errorID>57bc63a4-62d6-4f7b-9f75-d149909aeed3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3B8A808</paraID>
      <start>0</start>
      <end>2</end>
      <status>unmodified</status>
      <modifiedWord/>
      <trackRevisions>false</trackRevisions>
    </reviewItem>
    <reviewItem>
      <errorID>868eb05b-e5f0-4966-b35e-80e933607070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5A94EE3E</paraID>
      <start>0</start>
      <end>2</end>
      <status>unmodified</status>
      <modifiedWord/>
      <trackRevisions>false</trackRevisions>
    </reviewItem>
    <reviewItem>
      <errorID>1ffba873-7979-4aee-8fe3-21bac2769934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788AB821</paraID>
      <start>0</start>
      <end>2</end>
      <status>unmodified</status>
      <modifiedWord/>
      <trackRevisions>false</trackRevisions>
    </reviewItem>
    <reviewItem>
      <errorID>97e4900c-ccaa-4be6-92f7-cee69cd7ebb3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32342CEE</paraID>
      <start>0</start>
      <end>2</end>
      <status>unmodified</status>
      <modifiedWord/>
      <trackRevisions>false</trackRevisions>
    </reviewItem>
    <reviewItem>
      <errorID>9ef4f787-aca3-44e9-84f0-d959be3888ff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75A1474</paraID>
      <start>0</start>
      <end>2</end>
      <status>unmodified</status>
      <modifiedWord/>
      <trackRevisions>false</trackRevisions>
    </reviewItem>
    <reviewItem>
      <errorID>8bb1d03c-3cca-40f6-9c15-c68031dfdc26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53F01C9C</paraID>
      <start>0</start>
      <end>2</end>
      <status>unmodified</status>
      <modifiedWord/>
      <trackRevisions>false</trackRevisions>
    </reviewItem>
    <reviewItem>
      <errorID>ff933f17-f513-4cb3-b960-de1117214cc4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68B4B05C</paraID>
      <start>0</start>
      <end>2</end>
      <status>unmodified</status>
      <modifiedWord/>
      <trackRevisions>false</trackRevisions>
    </reviewItem>
    <reviewItem>
      <errorID>f785b620-0422-444e-80b0-76aa5d2bca2e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4536149B</paraID>
      <start>0</start>
      <end>2</end>
      <status>unmodified</status>
      <modifiedWord/>
      <trackRevisions>false</trackRevisions>
    </reviewItem>
    <reviewItem>
      <errorID>11d85ffb-38b4-46ea-a953-11962a4630ec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3CABE9A9</paraID>
      <start>0</start>
      <end>2</end>
      <status>unmodified</status>
      <modifiedWord/>
      <trackRevisions>false</trackRevisions>
    </reviewItem>
    <reviewItem>
      <errorID>27e242ea-0e4e-4d0d-92f1-77dbf56248ff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180A99D2</paraID>
      <start>0</start>
      <end>2</end>
      <status>unmodified</status>
      <modifiedWord/>
      <trackRevisions>false</trackRevisions>
    </reviewItem>
    <reviewItem>
      <errorID>095bd8c1-c836-4e67-9a7c-532ef5db7a0d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671948E8</paraID>
      <start>0</start>
      <end>2</end>
      <status>unmodified</status>
      <modifiedWord/>
      <trackRevisions>false</trackRevisions>
    </reviewItem>
    <reviewItem>
      <errorID>77a6358f-bd0a-4c93-ae7b-9c097e75b02b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22CEEDBE</paraID>
      <start>0</start>
      <end>2</end>
      <status>unmodified</status>
      <modifiedWord/>
      <trackRevisions>false</trackRevisions>
    </reviewItem>
    <reviewItem>
      <errorID>810b3062-61a3-477e-b795-ad2ee7b1da8b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1EA8379F</paraID>
      <start>0</start>
      <end>2</end>
      <status>unmodified</status>
      <modifiedWord/>
      <trackRevisions>false</trackRevisions>
    </reviewItem>
    <reviewItem>
      <errorID>3e84d247-27da-4df7-bb05-0753427efa5c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4EF206BF</paraID>
      <start>0</start>
      <end>2</end>
      <status>unmodified</status>
      <modifiedWord/>
      <trackRevisions>false</trackRevisions>
    </reviewItem>
    <reviewItem>
      <errorID>4a3db859-907d-4a61-8579-8ae6821c275e</errorID>
      <errorWord>(</errorWord>
      <group>L1_Format</group>
      <groupName>格式问题</groupName>
      <ability>L2_HalfPunc</ability>
      <abilityName>全半角检查</abilityName>
      <candidateList>
        <item>（</item>
      </candidateList>
      <explain>文本全半角错误。</explain>
      <paraID>5C53122A</paraID>
      <start>8</start>
      <end>9</end>
      <status>modified</status>
      <modifiedWord>（</modifiedWord>
      <trackRevisions>false</trackRevisions>
    </reviewItem>
    <reviewItem>
      <errorID>8596891e-0094-45db-b149-630459d48f9f</errorID>
      <errorWord>不须</errorWord>
      <group>L1_Word</group>
      <groupName>字词问题</groupName>
      <ability>L2_Typo</ability>
      <abilityName>字词错误</abilityName>
      <candidateList>
        <item>无需</item>
      </candidateList>
      <explain>同“无须”。</explain>
      <paraID>105085D7</paraID>
      <start>42</start>
      <end>44</end>
      <status>unmodified</status>
      <modifiedWord/>
      <trackRevisions>false</trackRevisions>
    </reviewItem>
    <reviewItem>
      <errorID>4c4922e4-f781-4c74-86d9-6d584bbba9c4</errorID>
      <errorWord>不得有</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726DFBBC</paraID>
      <start>70</start>
      <end>73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00645000-CDE9-4AE2-9A0B-44E7472813A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8</cp:revision>
  <dcterms:created xsi:type="dcterms:W3CDTF">2024-06-03T00:57:00Z</dcterms:created>
  <dcterms:modified xsi:type="dcterms:W3CDTF">2026-03-18T08:04:13Z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278E8E160A0A4BDCABA80EAC3031C91E_12</vt:lpwstr>
  </property>
  <property fmtid="{D5CDD505-2E9C-101B-9397-08002B2CF9AE}" pid="4" name="KSOTemplateDocerSaveRecord">
    <vt:lpwstr>eyJoZGlkIjoiZGRiZWYzNTkzYmEwYTZmYjk3ZGQ3OGQwNTA0ZmI1YWIiLCJ1c2VySWQiOiIxMDI1MzcwNjcwIn0=</vt:lpwstr>
  </property>
</Properties>
</file>