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left="1606" w:hanging="1606"/>
        <w:spacing w:before="240" w:after="24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val="en-US" w:eastAsia="zh-CN"/>
        </w:rPr>
        <w:t xml:space="preserve">扬州市大数据管理中心2026年度数字政府一体化安全保障能力提升</w:t>
      </w:r>
      <w:r>
        <w:rPr>
          <w:rFonts w:ascii="宋体" w:hAnsi="宋体" w:cs="宋体"/>
          <w:b/>
          <w:color w:val="000000"/>
          <w:sz w:val="32"/>
        </w:rPr>
        <w:t xml:space="preserve">项目</w:t>
      </w:r>
      <w:r>
        <w:rPr>
          <w:rFonts w:hint="eastAsia" w:ascii="宋体" w:hAnsi="宋体" w:cs="宋体"/>
          <w:b/>
          <w:color w:val="000000"/>
          <w:sz w:val="32"/>
          <w:lang w:eastAsia="zh-CN"/>
        </w:rPr>
        <w:t xml:space="preserve">（</w:t>
      </w:r>
      <w:r>
        <w:rPr>
          <w:rFonts w:hint="eastAsia" w:ascii="宋体" w:hAnsi="宋体" w:cs="宋体"/>
          <w:b/>
          <w:color w:val="000000"/>
          <w:sz w:val="32"/>
          <w:lang w:val="en-US" w:eastAsia="zh-CN"/>
        </w:rPr>
        <w:t xml:space="preserve">包一安全服务</w:t>
      </w:r>
      <w:r>
        <w:rPr>
          <w:rFonts w:hint="eastAsia" w:ascii="宋体" w:hAnsi="宋体" w:cs="宋体"/>
          <w:b/>
          <w:color w:val="000000"/>
          <w:sz w:val="32"/>
          <w:lang w:eastAsia="zh-CN"/>
        </w:rPr>
        <w:t xml:space="preserve">）</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宋体" w:hAnsi="宋体" w:cs="宋体"/>
          <w:b/>
          <w:color w:val="000000" w:themeColor="text1"/>
          <w:sz w:val="32"/>
          <w14:textFill>
            <w14:solidFill>
              <w14:schemeClr w14:val="tx1"/>
            </w14:solidFill>
          </w14:textFill>
        </w:rPr>
        <w:t xml:space="preserve">JSZC-321000-JZCG-G202</w:t>
      </w:r>
      <w:r>
        <w:rPr>
          <w:rFonts w:hint="eastAsia" w:ascii="宋体" w:hAnsi="宋体" w:cs="宋体"/>
          <w:b/>
          <w:color w:val="000000" w:themeColor="text1"/>
          <w:sz w:val="32"/>
          <w:lang w:val="en-US" w:eastAsia="zh-CN"/>
          <w14:textFill>
            <w14:solidFill>
              <w14:schemeClr w14:val="tx1"/>
            </w14:solidFill>
          </w14:textFill>
        </w:rPr>
        <w:t xml:space="preserve">6</w:t>
      </w:r>
      <w:r>
        <w:rPr>
          <w:rFonts w:ascii="宋体" w:hAnsi="宋体" w:cs="宋体"/>
          <w:b/>
          <w:color w:val="000000" w:themeColor="text1"/>
          <w:sz w:val="32"/>
          <w14:textFill>
            <w14:solidFill>
              <w14:schemeClr w14:val="tx1"/>
            </w14:solidFill>
          </w14:textFill>
        </w:rPr>
        <w:t xml:space="preserve">-</w:t>
      </w:r>
      <w:r>
        <w:rPr>
          <w:rFonts w:hint="eastAsia" w:ascii="宋体" w:hAnsi="宋体" w:cs="宋体"/>
          <w:b/>
          <w:color w:val="000000" w:themeColor="text1"/>
          <w:sz w:val="32"/>
          <w:lang w:val="en-US" w:eastAsia="zh-CN"/>
          <w14:textFill>
            <w14:solidFill>
              <w14:schemeClr w14:val="tx1"/>
            </w14:solidFill>
          </w14:textFill>
        </w:rPr>
        <w:t xml:space="preserve">0020 </w:t>
      </w:r>
      <w:r>
        <w:rPr>
          <w:rFonts w:ascii="宋体" w:hAnsi="宋体" w:cs="宋体"/>
          <w:b/>
          <w:color w:val="000000" w:themeColor="text1"/>
          <w:sz w:val="24"/>
          <w14:textFill>
            <w14:solidFill>
              <w14:schemeClr w14:val="tx1"/>
            </w14:solidFill>
          </w14:textFill>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u w:val="single"/>
          <w14:textFill>
            <w14:solidFill>
              <w14:schemeClr w14:val="tx1"/>
            </w14:solidFill>
          </w14:textFill>
        </w:rPr>
        <w:t xml:space="preserve">202</w:t>
      </w:r>
      <w:r>
        <w:rPr>
          <w:rFonts w:hint="eastAsia" w:ascii="宋体" w:hAnsi="宋体" w:cs="宋体"/>
          <w:b/>
          <w:color w:val="000000" w:themeColor="text1"/>
          <w:sz w:val="32"/>
          <w:u w:val="single"/>
          <w:lang w:val="en-US" w:eastAsia="zh-CN"/>
          <w14:textFill>
            <w14:solidFill>
              <w14:schemeClr w14:val="tx1"/>
            </w14:solidFill>
          </w14:textFill>
        </w:rPr>
        <w:t xml:space="preserve">6</w:t>
      </w:r>
      <w:r>
        <w:rPr>
          <w:rFonts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02</w:t>
      </w:r>
      <w:r>
        <w:rPr>
          <w:rFonts w:ascii="宋体" w:hAnsi="宋体" w:cs="宋体"/>
          <w:b/>
          <w:color w:val="000000" w:themeColor="text1"/>
          <w:sz w:val="32"/>
          <w14:textFill>
            <w14:solidFill>
              <w14:schemeClr w14:val="tx1"/>
            </w14:solidFill>
          </w14:textFill>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评标方法与评标标准………………………34</w:t>
      </w:r>
      <w:r/>
    </w:p>
    <w:p>
      <w:pPr>
        <w:numPr>
          <w:ilvl w:val="0"/>
          <w:numId w:val="4"/>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投标文件格式………………………………38</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657"/>
        <w:rPr>
          <w:rFonts w:hint="eastAsia"/>
        </w:rPr>
      </w:pPr>
      <w:r>
        <w:rPr>
          <w:rStyle w:val="899"/>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themeColor="text1"/>
          <w:sz w:val="24"/>
          <w:lang w:val="en-US" w:eastAsia="zh-CN"/>
          <w14:textFill>
            <w14:solidFill>
              <w14:schemeClr w14:val="tx1"/>
            </w14:solidFill>
          </w14:textFill>
        </w:rPr>
        <w:t xml:space="preserve">扬州市大数据管理中心</w:t>
      </w:r>
      <w:r>
        <w:rPr>
          <w:rFonts w:ascii="宋体" w:hAnsi="宋体" w:cs="宋体"/>
          <w:color w:val="000000"/>
          <w:sz w:val="24"/>
        </w:rPr>
        <w:t xml:space="preserve">的委托，扬州市公共资源交易中心就</w:t>
      </w:r>
      <w:r>
        <w:rPr>
          <w:rFonts w:hint="eastAsia" w:ascii="宋体" w:hAnsi="宋体" w:cs="宋体"/>
          <w:color w:val="000000" w:themeColor="text1"/>
          <w:sz w:val="24"/>
          <w:lang w:val="en-US" w:eastAsia="zh-CN"/>
          <w14:textFill>
            <w14:solidFill>
              <w14:schemeClr w14:val="tx1"/>
            </w14:solidFill>
          </w14:textFill>
        </w:rPr>
        <w:t xml:space="preserve">扬州市大数据管理中心2026年度数字政府一体化安全保障能力提升</w:t>
      </w:r>
      <w:r>
        <w:rPr>
          <w:rFonts w:ascii="宋体" w:hAnsi="宋体" w:cs="宋体"/>
          <w:color w:val="000000" w:themeColor="text1"/>
          <w:sz w:val="24"/>
          <w14:textFill>
            <w14:solidFill>
              <w14:schemeClr w14:val="tx1"/>
            </w14:solidFill>
          </w14:textFill>
        </w:rPr>
        <w:t xml:space="preserve">项目</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包一安全服务</w:t>
      </w:r>
      <w:r>
        <w:rPr>
          <w:rFonts w:hint="eastAsia" w:ascii="宋体" w:hAnsi="宋体" w:cs="宋体"/>
          <w:color w:val="000000" w:themeColor="text1"/>
          <w:sz w:val="24"/>
          <w:lang w:eastAsia="zh-CN"/>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w:t>
      </w:r>
      <w:r>
        <w:rPr>
          <w:rFonts w:ascii="宋体" w:hAnsi="宋体" w:cs="宋体"/>
          <w:color w:val="000000"/>
          <w:sz w:val="24"/>
        </w:rPr>
        <w:t xml:space="preserve">项目编号：</w:t>
      </w:r>
      <w:r>
        <w:rPr>
          <w:rFonts w:ascii="宋体" w:hAnsi="宋体" w:cs="宋体"/>
          <w:color w:val="000000" w:themeColor="text1"/>
          <w:sz w:val="24"/>
          <w14:textFill>
            <w14:solidFill>
              <w14:schemeClr w14:val="tx1"/>
            </w14:solidFill>
          </w14:textFill>
        </w:rPr>
        <w:t xml:space="preserve">JSZC-321000-JZCG-G202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0020 </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4"/>
          <w:lang w:val="en-US" w:eastAsia="zh-CN"/>
          <w14:textFill>
            <w14:solidFill>
              <w14:schemeClr w14:val="tx1"/>
            </w14:solidFill>
          </w14:textFill>
        </w:rPr>
        <w:t xml:space="preserve">扬州市大数据管理中心2026年度数字政府一体化安全保障能力提升</w:t>
      </w:r>
      <w:r>
        <w:rPr>
          <w:rFonts w:ascii="宋体" w:hAnsi="宋体" w:cs="宋体"/>
          <w:color w:val="000000" w:themeColor="text1"/>
          <w:sz w:val="24"/>
          <w14:textFill>
            <w14:solidFill>
              <w14:schemeClr w14:val="tx1"/>
            </w14:solidFill>
          </w14:textFill>
        </w:rPr>
        <w:t xml:space="preserve">项目</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包一安全服务</w:t>
      </w:r>
      <w:r>
        <w:rPr>
          <w:rFonts w:hint="eastAsia" w:ascii="宋体" w:hAnsi="宋体" w:cs="宋体"/>
          <w:color w:val="000000" w:themeColor="text1"/>
          <w:sz w:val="24"/>
          <w:lang w:eastAsia="zh-CN"/>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的</w:t>
      </w:r>
      <w:r>
        <w:rPr>
          <w:rFonts w:ascii="宋体" w:hAnsi="宋体" w:cs="宋体"/>
          <w:color w:val="000000"/>
          <w:sz w:val="24"/>
        </w:rPr>
        <w:t xml:space="preserve">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cs="宋体"/>
          <w:color w:val="000000" w:themeColor="text1"/>
          <w:sz w:val="24"/>
          <w:u w:val="single"/>
          <w14:textFill>
            <w14:solidFill>
              <w14:schemeClr w14:val="tx1"/>
            </w14:solidFill>
          </w14:textFill>
        </w:rPr>
        <w:t xml:space="preserve">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宋体" w:hAnsi="宋体" w:cs="宋体"/>
          <w:color w:val="000000" w:themeColor="text1"/>
          <w:sz w:val="24"/>
          <w14:textFill>
            <w14:solidFill>
              <w14:schemeClr w14:val="tx1"/>
            </w14:solidFill>
          </w14:textFill>
        </w:rPr>
        <w:t xml:space="preserve">JSZC-321000-JZCG-G202</w:t>
      </w:r>
      <w:r>
        <w:rPr>
          <w:rFonts w:hint="eastAsia" w:ascii="宋体" w:hAnsi="宋体" w:cs="宋体"/>
          <w:color w:val="000000" w:themeColor="text1"/>
          <w:sz w:val="24"/>
          <w:lang w:val="en-US" w:eastAsia="zh-CN"/>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0020</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2.项目名称</w:t>
      </w:r>
      <w:r>
        <w:rPr>
          <w:rFonts w:ascii="宋体" w:hAnsi="宋体" w:cs="宋体"/>
          <w:color w:val="000000"/>
          <w:sz w:val="24"/>
        </w:rPr>
        <w:t xml:space="preserve">：</w:t>
      </w:r>
      <w:r>
        <w:rPr>
          <w:rFonts w:hint="eastAsia" w:ascii="宋体" w:hAnsi="宋体" w:cs="宋体"/>
          <w:color w:val="000000" w:themeColor="text1"/>
          <w:sz w:val="24"/>
          <w:lang w:val="en-US" w:eastAsia="zh-CN"/>
          <w14:textFill>
            <w14:solidFill>
              <w14:schemeClr w14:val="tx1"/>
            </w14:solidFill>
          </w14:textFill>
        </w:rPr>
        <w:t xml:space="preserve">扬州市大数据管理中心2026年度数字政府一体化安全保障能力提升</w:t>
      </w:r>
      <w:r>
        <w:rPr>
          <w:rFonts w:ascii="宋体" w:hAnsi="宋体" w:cs="宋体"/>
          <w:color w:val="000000" w:themeColor="text1"/>
          <w:sz w:val="24"/>
          <w14:textFill>
            <w14:solidFill>
              <w14:schemeClr w14:val="tx1"/>
            </w14:solidFill>
          </w14:textFill>
        </w:rPr>
        <w:t xml:space="preserve">项目</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包一安全服务</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1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723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2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301.12</w:t>
            </w:r>
            <w:r>
              <w:rPr>
                <w:rFonts w:ascii="宋体" w:hAnsi="宋体" w:cs="宋体"/>
                <w:color w:val="000000"/>
                <w:sz w:val="24"/>
              </w:rPr>
              <w:t xml:space="preserve">万元</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1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1"/>
        <w:gridCol w:w="3261"/>
        <w:gridCol w:w="3969"/>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2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9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301.12</w:t>
            </w:r>
            <w:r>
              <w:rPr>
                <w:rFonts w:ascii="宋体" w:hAnsi="宋体" w:cs="宋体"/>
                <w:color w:val="000000"/>
                <w:sz w:val="24"/>
              </w:rPr>
              <w:t xml:space="preserve">万元</w:t>
            </w:r>
            <w:r/>
          </w:p>
        </w:tc>
      </w:tr>
    </w:tbl>
    <w:p>
      <w:pPr>
        <w:ind w:firstLine="480"/>
        <w:spacing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rPr>
          <w:rFonts w:ascii="宋体" w:hAnsi="宋体" w:eastAsia="宋体" w:cs="宋体"/>
          <w:color w:val="000000"/>
          <w:sz w:val="24"/>
        </w:rPr>
        <w:t xml:space="preserve">：</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度</w:t>
      </w:r>
      <w:r>
        <w:rPr>
          <w:rFonts w:hint="eastAsia" w:ascii="宋体" w:hAnsi="宋体" w:eastAsia="宋体" w:cs="宋体"/>
          <w:color w:val="000000"/>
          <w:sz w:val="24"/>
          <w:szCs w:val="24"/>
        </w:rPr>
        <w:t xml:space="preserve">数字政府一体化安全保障能力提升项目</w:t>
      </w:r>
      <w:r>
        <w:rPr>
          <w:rFonts w:hint="eastAsia" w:ascii="宋体" w:hAnsi="宋体" w:eastAsia="宋体" w:cs="宋体"/>
          <w:color w:val="000000"/>
          <w:sz w:val="24"/>
          <w:szCs w:val="24"/>
        </w:rPr>
        <w:t xml:space="preserve">，本期项目的服务建设内容包含强化安全管理、强化安全技术、强化安全运营三个方面，强化安全管理的建设任务包含威胁情报及风险管理、安全咨询、安全风险闭环管理；强化安全技术的建设任务主要为以服务的形式提供各类技术平台辅助安全运营，包含信息资产管理系统、网络安全态势感知平台、API安全监测与分析管理平台、网站云监测平台、网站安全云防护平台。强化安全运营的建设任务为通过驻场及二线服务人员常态化开展信息资产管理、安全应急响应、周期性渗透测试、上线安全检测、重要时期安全保障、安全监测、高级专家安全评估、区县安全检测等服务。</w:t>
      </w:r>
      <w:r/>
    </w:p>
    <w:p>
      <w:pPr>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（详细内容见本招标文件第四章）</w:t>
      </w:r>
      <w:r/>
    </w:p>
    <w:p>
      <w:pPr>
        <w:ind w:firstLine="480"/>
        <w:spacing w:line="400" w:lineRule="atLeast"/>
        <w:rPr>
          <w:rFonts w:cs="Courier New"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lang w:val="en-US" w:eastAsia="zh-CN"/>
        </w:rPr>
        <w:t xml:space="preserve">2026年度</w:t>
      </w:r>
      <w:r>
        <w:rPr>
          <w:rFonts w:hint="eastAsia" w:asciiTheme="minorEastAsia" w:hAnsiTheme="minorEastAsia" w:eastAsiaTheme="minorEastAsia" w:cstheme="minorEastAsia"/>
          <w:sz w:val="24"/>
          <w:szCs w:val="24"/>
          <w:highlight w:val="non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w:t>
      </w:r>
      <w:r>
        <w:rPr>
          <w:rFonts w:hint="eastAsia" w:ascii="宋体" w:hAnsi="宋体" w:cs="宋体"/>
          <w:color w:val="000000"/>
          <w:sz w:val="24"/>
          <w:lang w:val="en-US" w:eastAsia="zh-CN"/>
        </w:rPr>
        <w:t xml:space="preserve">2024</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hint="eastAsia" w:ascii="宋体" w:hAnsi="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hint="eastAsia" w:ascii="宋体" w:hAnsi="宋体" w:cs="宋体"/>
          <w:color w:val="000000" w:themeColor="text1"/>
          <w:sz w:val="24"/>
          <w:lang w:val="en-US" w:eastAsia="zh-CN"/>
          <w14:textFill>
            <w14:solidFill>
              <w14:schemeClr w14:val="tx1"/>
            </w14:solidFill>
          </w14:textFill>
        </w:rPr>
        <w:t xml:space="preserve">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3544"/>
        <w:gridCol w:w="3827"/>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4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54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82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4" w:type="dxa"/>
            <w:textDirection w:val="lrTb"/>
            <w:noWrap w:val="false"/>
          </w:tcPr>
          <w:p>
            <w:pPr>
              <w:jc w:val="center"/>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27" w:type="dxa"/>
            <w:textDirection w:val="lrTb"/>
            <w:noWrap w:val="false"/>
          </w:tcPr>
          <w:p>
            <w:pPr>
              <w:jc w:val="center"/>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8"/>
        <w:gridCol w:w="6521"/>
      </w:tblGrid>
      <w:tr>
        <w:trPr>
          <w:trHeight w:val="372"/>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52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2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645"/>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6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645" w:type="dxa"/>
            <w:textDirection w:val="lrTb"/>
            <w:noWrap w:val="false"/>
          </w:tcPr>
          <w:p>
            <w:pPr>
              <w:ind w:firstLine="480"/>
              <w:jc w:val="center"/>
              <w:spacing w:line="360" w:lineRule="auto"/>
              <w:rPr>
                <w:rFonts w:hint="eastAsia" w:asciiTheme="minorEastAsia" w:hAnsiTheme="minorEastAsia" w:eastAsiaTheme="minorEastAsia"/>
                <w:bCs/>
                <w:iCs/>
                <w:color w:val="000000"/>
                <w:sz w:val="24"/>
                <w:szCs w:val="24"/>
                <w:lang w:eastAsia="zh-CN"/>
              </w:rPr>
            </w:pPr>
            <w:r>
              <w:rPr>
                <w:rFonts w:hint="eastAsia" w:ascii="宋体" w:hAnsi="宋体" w:cs="宋体" w:eastAsiaTheme="minorEastAsia"/>
                <w:iCs/>
                <w:sz w:val="24"/>
                <w:szCs w:val="24"/>
                <w:lang w:val="en-US" w:eastAsia="zh-CN"/>
              </w:rPr>
              <w:t xml:space="preserve">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themeColor="text1"/>
          <w:sz w:val="24"/>
          <w:u w:val="single"/>
          <w14:textFill>
            <w14:solidFill>
              <w14:schemeClr w14:val="tx1"/>
            </w14:solidFill>
          </w14:textFill>
        </w:rPr>
        <w:t xml:space="preserve"> 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cs="宋体"/>
          <w:color w:val="000000" w:themeColor="text1"/>
          <w:sz w:val="24"/>
          <w:u w:val="single"/>
          <w14:textFill>
            <w14:solidFill>
              <w14:schemeClr w14:val="tx1"/>
            </w14:solidFill>
          </w14:textFill>
        </w:rPr>
        <w:t xml:space="preserve">日 09点 30分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bookmarkStart w:id="4" w:name="_GoBack"/>
      <w:r/>
      <w:bookmarkEnd w:id="4"/>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名称：</w:t>
      </w:r>
      <w:r>
        <w:rPr>
          <w:rFonts w:hint="eastAsia" w:ascii="宋体" w:hAnsi="宋体" w:cs="宋体"/>
          <w:color w:val="000000"/>
          <w:sz w:val="24"/>
          <w:u w:val="single"/>
        </w:rPr>
        <w:t xml:space="preserve">扬州市</w:t>
      </w:r>
      <w:r>
        <w:rPr>
          <w:rFonts w:hint="eastAsia" w:ascii="宋体" w:hAnsi="宋体" w:cs="宋体"/>
          <w:color w:val="000000"/>
          <w:sz w:val="24"/>
          <w:u w:val="single"/>
          <w:lang w:val="en-US" w:eastAsia="zh-CN"/>
        </w:rPr>
        <w:t xml:space="preserve">大数据管理中心</w:t>
      </w:r>
      <w:r/>
    </w:p>
    <w:p>
      <w:pPr>
        <w:ind w:left="709"/>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w:t>
      </w:r>
      <w:r>
        <w:rPr>
          <w:rFonts w:hint="eastAsia" w:ascii="宋体" w:hAnsi="宋体" w:eastAsia="宋体" w:cs="宋体"/>
          <w:sz w:val="24"/>
          <w:szCs w:val="24"/>
          <w:u w:val="single"/>
        </w:rPr>
        <w:t xml:space="preserve">江苏信息服务产业基地（扬州）二期11号楼C座</w:t>
      </w:r>
      <w:r/>
    </w:p>
    <w:p>
      <w:pPr>
        <w:ind w:left="709"/>
        <w:spacing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color w:val="000000"/>
          <w:sz w:val="24"/>
          <w:u w:val="single"/>
          <w:lang w:val="en-US" w:eastAsia="zh-CN"/>
        </w:rPr>
        <w:t xml:space="preserve">朱先生</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color w:val="000000"/>
          <w:sz w:val="24"/>
          <w:u w:val="single"/>
        </w:rPr>
        <w:t xml:space="preserve">0514-</w:t>
      </w:r>
      <w:r>
        <w:rPr>
          <w:rFonts w:hint="eastAsia" w:ascii="宋体" w:hAnsi="宋体" w:eastAsia="宋体" w:cs="宋体"/>
          <w:sz w:val="24"/>
          <w:szCs w:val="24"/>
          <w:u w:val="single"/>
        </w:rPr>
        <w:t xml:space="preserve">80901108</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w:t>
      </w:r>
      <w:r/>
    </w:p>
    <w:p>
      <w:pPr>
        <w:ind w:firstLine="72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扬州市文昌东路9号广陵新城市民中心1号楼5楼1530室</w:t>
      </w:r>
      <w:r/>
    </w:p>
    <w:p>
      <w:pPr>
        <w:ind w:firstLine="72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720"/>
        <w:jc w:val="left"/>
        <w:spacing w:line="360" w:lineRule="auto"/>
        <w:widowControl/>
        <w:rPr>
          <w:rFonts w:ascii="宋体" w:hAnsi="宋体" w:cs="宋体"/>
          <w:sz w:val="24"/>
          <w:szCs w:val="24"/>
        </w:rPr>
      </w:pPr>
      <w:r>
        <w:rPr>
          <w:rFonts w:hint="eastAsia" w:ascii="宋体" w:hAnsi="宋体" w:cs="宋体"/>
          <w:sz w:val="24"/>
          <w:szCs w:val="24"/>
        </w:rPr>
        <w:t xml:space="preserve">联系方式：</w:t>
      </w:r>
      <w:bookmarkStart w:id="0" w:name="_Toc28359010"/>
      <w:r/>
      <w:bookmarkStart w:id="1" w:name="_Toc28359087"/>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65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ff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ff0000"/>
          <w:sz w:val="24"/>
          <w:szCs w:val="21"/>
          <w:highlight w:val="none"/>
          <w:lang w:val="en-US" w:eastAsia="zh-CN"/>
        </w:rPr>
        <w:t xml:space="preserve">25.1.10.1</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ff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ff0000"/>
          <w:sz w:val="24"/>
          <w:szCs w:val="21"/>
          <w:highlight w:val="none"/>
          <w:lang w:val="en-US" w:eastAsia="zh-CN"/>
        </w:rPr>
        <w:t xml:space="preserve">25.1.10.2</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lang w:val="en-US" w:eastAsia="zh-CN"/>
        </w:rPr>
        <w:t xml:space="preserve">25.1.10.3</w:t>
      </w:r>
      <w:r>
        <w:rPr>
          <w:rFonts w:hint="eastAsia" w:ascii="宋体" w:hAnsi="宋体"/>
          <w:bCs/>
          <w:color w:val="ff0000"/>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ff0000"/>
          <w:sz w:val="24"/>
          <w:szCs w:val="21"/>
          <w:highlight w:val="none"/>
        </w:rPr>
      </w:pPr>
      <w:r>
        <w:rPr>
          <w:rFonts w:hint="eastAsia" w:ascii="宋体" w:hAnsi="宋体"/>
          <w:color w:val="ff0000"/>
          <w:sz w:val="24"/>
          <w:szCs w:val="24"/>
          <w:highlight w:val="none"/>
        </w:rPr>
        <w:t xml:space="preserve">2</w:t>
      </w:r>
      <w:r>
        <w:rPr>
          <w:rFonts w:hint="eastAsia" w:ascii="宋体" w:hAnsi="宋体"/>
          <w:color w:val="ff0000"/>
          <w:sz w:val="24"/>
          <w:szCs w:val="24"/>
          <w:highlight w:val="none"/>
          <w:lang w:val="en-US" w:eastAsia="zh-CN"/>
        </w:rPr>
        <w:t xml:space="preserve">5</w:t>
      </w:r>
      <w:r>
        <w:rPr>
          <w:rFonts w:hint="eastAsia" w:ascii="宋体" w:hAnsi="宋体"/>
          <w:color w:val="ff0000"/>
          <w:sz w:val="24"/>
          <w:szCs w:val="24"/>
          <w:highlight w:val="none"/>
        </w:rPr>
        <w:t xml:space="preserve">.1.10.</w:t>
      </w:r>
      <w:r>
        <w:rPr>
          <w:rFonts w:hint="eastAsia" w:ascii="宋体" w:hAnsi="宋体"/>
          <w:color w:val="ff0000"/>
          <w:sz w:val="24"/>
          <w:szCs w:val="24"/>
          <w:highlight w:val="none"/>
          <w:lang w:val="en-US" w:eastAsia="zh-CN"/>
        </w:rPr>
        <w:t xml:space="preserve">4</w:t>
      </w:r>
      <w:r>
        <w:rPr>
          <w:rFonts w:hint="eastAsia" w:ascii="宋体" w:hAnsi="宋体"/>
          <w:bCs/>
          <w:color w:val="ff0000"/>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color w:val="ff0000"/>
          <w:sz w:val="24"/>
          <w:szCs w:val="24"/>
          <w:highlight w:val="none"/>
        </w:rPr>
        <w:t xml:space="preserve">2</w:t>
      </w:r>
      <w:r>
        <w:rPr>
          <w:rFonts w:hint="eastAsia" w:ascii="宋体" w:hAnsi="宋体"/>
          <w:color w:val="ff0000"/>
          <w:sz w:val="24"/>
          <w:szCs w:val="24"/>
          <w:highlight w:val="none"/>
          <w:lang w:val="en-US" w:eastAsia="zh-CN"/>
        </w:rPr>
        <w:t xml:space="preserve">5</w:t>
      </w:r>
      <w:r>
        <w:rPr>
          <w:rFonts w:hint="eastAsia" w:ascii="宋体" w:hAnsi="宋体"/>
          <w:color w:val="ff0000"/>
          <w:sz w:val="24"/>
          <w:szCs w:val="24"/>
          <w:highlight w:val="none"/>
        </w:rPr>
        <w:t xml:space="preserve">.1.10.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ff0000"/>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60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rPr>
          <w:rFonts w:eastAsia="Times New Roma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65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第三章 合同文本</w:t>
      </w:r>
      <w:r/>
    </w:p>
    <w:p>
      <w:pPr>
        <w:jc w:val="center"/>
        <w:spacing w:before="145" w:after="145"/>
        <w:rPr>
          <w:rFonts w:ascii="宋体" w:hAnsi="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rPr>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00" w:themeColor="text1"/>
          <w:sz w:val="24"/>
          <w:u w:val="single"/>
          <w14:textFill>
            <w14:solidFill>
              <w14:schemeClr w14:val="tx1"/>
            </w14:solidFill>
          </w14:textFill>
        </w:rPr>
        <w:t xml:space="preserve">零</w:t>
      </w:r>
      <w:r>
        <w:rPr>
          <w:rFonts w:ascii="宋体" w:hAnsi="宋体" w:cs="宋体"/>
          <w:color w:val="000000" w:themeColor="text1"/>
          <w:sz w:val="24"/>
          <w14:textFill>
            <w14:solidFill>
              <w14:schemeClr w14:val="tx1"/>
            </w14:solidFill>
          </w14:textFill>
        </w:rPr>
        <w:t xml:space="preserve">______元作为本合同的履约保证金。（不得超过合同金额的10%）</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6.2合同履行结束后，甲方应及时退还交纳的履约保证金。</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6.2.1履约保证金退还方式：无</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6.2.2履约保证金退还时间：无</w:t>
      </w:r>
      <w:r/>
    </w:p>
    <w:p>
      <w:pPr>
        <w:ind w:left="408" w:hanging="408"/>
        <w:spacing w:before="120" w:after="12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6.2.3履约保证金退还条件：无</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6.2.4履约保证金不予退还的情形：无</w:t>
      </w:r>
      <w:r/>
    </w:p>
    <w:p>
      <w:pPr>
        <w:ind w:left="408"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6.2.5履约保证金逾期退还的违约责任：无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ind w:firstLine="480"/>
        <w:spacing w:before="145" w:after="145"/>
        <w:rPr>
          <w:rFonts w:hint="eastAsia" w:ascii="宋体" w:hAnsi="宋体" w:eastAsia="宋体" w:cs="宋体"/>
          <w:sz w:val="24"/>
          <w:szCs w:val="24"/>
        </w:rPr>
      </w:pPr>
      <w:r>
        <w:rPr>
          <w:rFonts w:hint="eastAsia" w:ascii="宋体" w:hAnsi="宋体" w:eastAsia="宋体" w:cs="宋体"/>
          <w:sz w:val="24"/>
          <w:szCs w:val="24"/>
        </w:rPr>
        <w:t xml:space="preserve">合同签订后，甲方自收到发票之日起10个工作日内支付合同总价30%</w:t>
      </w:r>
      <w:r>
        <w:rPr>
          <w:rFonts w:hint="eastAsia" w:ascii="宋体" w:hAnsi="宋体" w:eastAsia="宋体" w:cs="宋体"/>
          <w:sz w:val="24"/>
          <w:szCs w:val="24"/>
          <w:lang w:val="en-US" w:eastAsia="zh-CN"/>
        </w:rPr>
        <w:t xml:space="preserve">的预付款</w:t>
      </w:r>
      <w:r>
        <w:rPr>
          <w:rFonts w:hint="eastAsia" w:ascii="宋体" w:hAnsi="宋体" w:eastAsia="宋体" w:cs="宋体"/>
          <w:sz w:val="24"/>
          <w:szCs w:val="24"/>
        </w:rPr>
        <w:t xml:space="preserve">；项目验收合格后，甲方自收到发票之日起10个工作日内支付合同总价的70%。</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711"/>
        <w:tblW w:w="895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w:t>
      </w:r>
      <w:r>
        <w:rPr>
          <w:rFonts w:hint="eastAsia" w:ascii="宋体" w:hAnsi="宋体" w:cs="宋体"/>
          <w:color w:val="000000"/>
          <w:sz w:val="24"/>
        </w:rPr>
        <w:t xml:space="preserve"> </w:t>
      </w:r>
      <w:r>
        <w:rPr>
          <w:rFonts w:ascii="宋体" w:hAnsi="宋体" w:cs="宋体"/>
          <w:color w:val="000000"/>
          <w:sz w:val="24"/>
        </w:rPr>
        <w:t xml:space="preserve">    年  月   日</w:t>
      </w:r>
      <w:r>
        <w:rPr>
          <w:rFonts w:ascii="宋体" w:hAnsi="宋体" w:cs="宋体"/>
          <w:color w:val="000000"/>
          <w:sz w:val="24"/>
        </w:rPr>
        <w:br w:type="page" w:clear="all"/>
      </w:r>
      <w:r/>
    </w:p>
    <w:p>
      <w:pPr>
        <w:pStyle w:val="65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left="495" w:hanging="495"/>
        <w:pBdr>
          <w:top w:val="none" w:color="000000" w:sz="0" w:space="0"/>
          <w:left w:val="none" w:color="000000" w:sz="0" w:space="0"/>
          <w:bottom w:val="none" w:color="000000" w:sz="0" w:space="0"/>
          <w:right w:val="none" w:color="000000" w:sz="0" w:space="0"/>
        </w:pBdr>
      </w:pPr>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color w:val="000000"/>
          <w:sz w:val="24"/>
          <w:u w:val="single"/>
        </w:rPr>
        <w:t xml:space="preserve"> </w:t>
      </w:r>
      <w:r>
        <w:rPr>
          <w:rFonts w:eastAsia="Times New Roman"/>
          <w:color w:val="000000"/>
          <w:sz w:val="24"/>
          <w:u w:val="single"/>
        </w:rPr>
        <w:t xml:space="preserve">   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11"/>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3662"/>
        <w:gridCol w:w="3792"/>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068" w:type="dxa"/>
            <w:vAlign w:val="center"/>
            <w:textDirection w:val="lrTb"/>
            <w:noWrap w:val="false"/>
          </w:tcPr>
          <w:p>
            <w:pPr>
              <w:jc w:val="center"/>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662" w:type="dxa"/>
            <w:vAlign w:val="center"/>
            <w:textDirection w:val="lrTb"/>
            <w:noWrap w:val="false"/>
          </w:tcPr>
          <w:p>
            <w:pPr>
              <w:jc w:val="center"/>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采购标的</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792" w:type="dxa"/>
            <w:vAlign w:val="center"/>
            <w:textDirection w:val="lrTb"/>
            <w:noWrap w:val="false"/>
          </w:tcPr>
          <w:p>
            <w:pPr>
              <w:jc w:val="center"/>
              <w:spacing w:line="360"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szCs w:val="24"/>
              </w:rPr>
              <w:t xml:space="preserve">对应中小企业划分标准所属行业</w:t>
            </w:r>
            <w:r/>
          </w:p>
        </w:tc>
      </w:tr>
      <w:tr>
        <w:trPr>
          <w:trHeight w:val="2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62" w:type="dxa"/>
            <w:vAlign w:val="center"/>
            <w:textDirection w:val="lrTb"/>
            <w:noWrap w:val="false"/>
          </w:tcPr>
          <w:p>
            <w:pPr>
              <w:jc w:val="center"/>
              <w:spacing w:line="360" w:lineRule="auto"/>
              <w:rPr>
                <w:rFonts w:hint="default" w:asciiTheme="minorEastAsia" w:hAnsiTheme="minorEastAsia" w:eastAsiaTheme="minorEastAsia"/>
                <w:sz w:val="24"/>
                <w:szCs w:val="24"/>
                <w:lang w:val="en-US"/>
              </w:rPr>
            </w:pPr>
            <w:r>
              <w:rPr>
                <w:rFonts w:hint="eastAsia" w:asciiTheme="minorEastAsia" w:hAnsiTheme="minorEastAsia" w:eastAsiaTheme="minorEastAsia" w:cstheme="minorEastAsia"/>
                <w:bCs/>
                <w:iCs/>
                <w:sz w:val="24"/>
                <w:szCs w:val="24"/>
                <w:highlight w:val="none"/>
                <w:lang w:val="en-US" w:eastAsia="zh-CN" w:bidi="ar-SA"/>
              </w:rPr>
              <w:t xml:space="preserve">数字政府一体化安全保障能力提升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92"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cstheme="minorEastAsia"/>
                <w:bCs/>
                <w:iCs/>
                <w:sz w:val="24"/>
                <w:szCs w:val="24"/>
                <w:highlight w:val="none"/>
                <w:lang w:val="en-US" w:eastAsia="zh-CN" w:bidi="ar-SA"/>
              </w:rPr>
              <w:t xml:space="preserve">软件和信息技术服务业</w:t>
            </w:r>
            <w:r/>
          </w:p>
        </w:tc>
      </w:tr>
    </w:tbl>
    <w:p>
      <w:pPr>
        <w:pBdr>
          <w:top w:val="none" w:color="000000" w:sz="0" w:space="0"/>
          <w:left w:val="none" w:color="000000" w:sz="0" w:space="0"/>
          <w:bottom w:val="none" w:color="000000" w:sz="0" w:space="0"/>
          <w:right w:val="none" w:color="000000" w:sz="0" w:space="0"/>
        </w:pBdr>
      </w:pPr>
      <w:r/>
      <w:r/>
    </w:p>
    <w:p>
      <w:pPr>
        <w:numPr>
          <w:ilvl w:val="0"/>
          <w:numId w:val="0"/>
        </w:numPr>
        <w:jc w:val="left"/>
        <w:rPr>
          <w:rFonts w:hint="eastAsia" w:ascii="宋体" w:hAnsi="宋体" w:eastAsia="宋体" w:cs="宋体"/>
          <w:iCs/>
          <w:color w:val="000000" w:themeColor="text1"/>
          <w:sz w:val="24"/>
          <w:szCs w:val="24"/>
          <w14:textFill>
            <w14:solidFill>
              <w14:schemeClr w14:val="tx1"/>
            </w14:solidFill>
          </w14:textFill>
        </w:rPr>
        <w:outlineLvl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建设背景</w:t>
      </w:r>
      <w:r/>
    </w:p>
    <w:p>
      <w:pPr>
        <w:ind w:firstLine="480"/>
        <w:jc w:val="left"/>
        <w:rPr>
          <w:rFonts w:hint="eastAsia" w:ascii="宋体" w:hAnsi="宋体" w:eastAsia="宋体" w:cs="宋体"/>
          <w:sz w:val="24"/>
          <w:szCs w:val="24"/>
        </w:rPr>
        <w:outlineLvl w:val="1"/>
      </w:pPr>
      <w:r>
        <w:rPr>
          <w:rFonts w:hint="eastAsia" w:ascii="宋体" w:hAnsi="宋体" w:eastAsia="宋体" w:cs="宋体"/>
          <w:sz w:val="24"/>
          <w:szCs w:val="24"/>
        </w:rPr>
        <w:t xml:space="preserve">为贯彻落实《国务院关于加强数字政府建设的指导意见》（国发 〔2022 〕14号）和《省政府关于加快统筹推进数字政府高质量建设的实施意见》（苏政发〔2022〕44号）《省政府办公厅关于印发江苏省“十四五”数字政府建设规划的通知》（苏政办发〔2021〕61号）《市政府关于印发&lt;扬州市数字政府高质量建设三年行动计划（2022-</w:t>
      </w:r>
      <w:r>
        <w:rPr>
          <w:rFonts w:hint="eastAsia" w:ascii="宋体" w:hAnsi="宋体" w:eastAsia="宋体" w:cs="宋体"/>
          <w:sz w:val="24"/>
          <w:szCs w:val="24"/>
        </w:rPr>
        <w:t xml:space="preserve">2024年）&gt;的通知》（扬府发〔2022〕90号）等文件精神，推动我市“十四五”期间数字政府建设，以治理现代化为目标，以“一个中心”（扬州市大数据管理中心）为依托，以“一网通办”“一网统管”“一网协同”三大应用为抓手，引领驱动数字经济、数字社会、数字生态三大领域发展，全力打造标准规范、信息安全两大保障体系，形成以数据驱动为核心的数字政府价值链，全面构建扬州数字政府建设的“1332”架构体系。其中“一个中心”（扬州市大数据管理中心）通过从基础设施、数据资源和应用平台三个方面对全市的信息资源进行整合，有效解决信</w:t>
      </w:r>
      <w:r>
        <w:rPr>
          <w:rFonts w:hint="eastAsia" w:ascii="宋体" w:hAnsi="宋体" w:eastAsia="宋体" w:cs="宋体"/>
          <w:sz w:val="24"/>
          <w:szCs w:val="24"/>
        </w:rPr>
        <w:t xml:space="preserve">息孤岛问题，从而实现全市信息化项目的集约投资、信息共享和业务协同，经过十多年建设，已建成了统一的电子政务外网、统一的政务云资源、统一的大数据共享开放平台、统一的网络安全保障体系，为全市3个区、3个功能区和80家市直单位提供统一的云、网、数、安等支撑服务。根据省数字政府、大数据建设要求，以及《扬州市数字政府高质量建设三年行动计划》等相关要求，筑牢数字底座一网通用、强化标准安全一体保障，对政务云、政务外网、一体化安全保障等数字政府底座建设提出更高、更明确的要求，因此，本项目启动数字政府一体化安全保障服务的升级。</w:t>
      </w:r>
      <w:r/>
    </w:p>
    <w:p>
      <w:pPr>
        <w:numPr>
          <w:ilvl w:val="0"/>
          <w:numId w:val="0"/>
        </w:numPr>
        <w:jc w:val="left"/>
        <w:rPr>
          <w:rFonts w:hint="eastAsia" w:ascii="宋体" w:hAnsi="宋体" w:eastAsia="宋体" w:cs="宋体"/>
          <w:iCs/>
          <w:color w:val="000000" w:themeColor="text1"/>
          <w:sz w:val="24"/>
          <w:szCs w:val="24"/>
          <w14:textFill>
            <w14:solidFill>
              <w14:schemeClr w14:val="tx1"/>
            </w14:solidFill>
          </w14:textFill>
        </w:rPr>
        <w:outlineLvl w:val="0"/>
      </w:pPr>
      <w:r>
        <w:rPr>
          <w:rFonts w:hint="eastAsia" w:ascii="宋体" w:hAnsi="宋体" w:eastAsia="宋体" w:cs="宋体"/>
          <w:i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iCs/>
          <w:color w:val="000000" w:themeColor="text1"/>
          <w:sz w:val="24"/>
          <w:szCs w:val="24"/>
          <w14:textFill>
            <w14:solidFill>
              <w14:schemeClr w14:val="tx1"/>
            </w14:solidFill>
          </w14:textFill>
        </w:rPr>
        <w:t xml:space="preserve">项目建设需求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本期项目建设将以国家数字政府建设为指导，落实市《扬州市数字政府高质量建设三年行动计划（2022-2024）》《扬州市全域数字化转型总体方案（2024-2026 年）》《扬州市数据攻坚、数字经济发展、数字社会建设、数字政府建设三年行动计划（2024-2026年）（扬府办发〔2024〕53号）》，以“网络不中断、网站不瘫痪、数据不泄露”为目标，以不发生较大安全事件为基准，为扬州数字政府建设筑牢安全屏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本期项目的服务建设内容包含强化安全管理、强化安全技术、强化安全运营三个方面，强化安全管理的建设任务包含威胁情报及风险管理、安全咨询、安全风险闭环管理；强化安全技术的建设任务主要为以服务的形式提供各类技术平台辅助安全运营，包含信息资产管理系统、网络安全态势感知平台、API安全监测与分析管理平台、网站云监测平台、网站安全云防护平台。强化安全运营的建设任务为通过驻场及二线服务人员常态化开展信息资产管理、安全应急响应、周期性渗透测试、上线安全检测、重要时期安全保障、安全监测、高级专家安全评估、区县安全检测等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项目服务期：</w:t>
      </w:r>
      <w:r>
        <w:rPr>
          <w:rFonts w:hint="eastAsia" w:ascii="宋体" w:hAnsi="宋体" w:cs="宋体"/>
          <w:sz w:val="24"/>
          <w:szCs w:val="24"/>
          <w:lang w:val="en-US" w:eastAsia="zh-CN"/>
        </w:rPr>
        <w:t xml:space="preserve">2026年度</w:t>
      </w:r>
      <w:r>
        <w:rPr>
          <w:rFonts w:hint="eastAsia" w:ascii="宋体" w:hAnsi="宋体" w:eastAsia="宋体" w:cs="宋体"/>
          <w:sz w:val="24"/>
          <w:szCs w:val="24"/>
        </w:rPr>
        <w:t xml:space="preserve">。</w:t>
      </w:r>
      <w:r/>
    </w:p>
    <w:p>
      <w:pPr>
        <w:numPr>
          <w:ilvl w:val="0"/>
          <w:numId w:val="0"/>
        </w:numPr>
        <w:jc w:val="left"/>
        <w:rPr>
          <w:rFonts w:hint="eastAsia" w:ascii="宋体" w:hAnsi="宋体" w:eastAsia="宋体" w:cs="宋体"/>
          <w:iCs/>
          <w:color w:val="000000" w:themeColor="text1"/>
          <w:sz w:val="24"/>
          <w:szCs w:val="24"/>
          <w14:textFill>
            <w14:solidFill>
              <w14:schemeClr w14:val="tx1"/>
            </w14:solidFill>
          </w14:textFill>
        </w:rPr>
        <w:outlineLvl w:val="0"/>
      </w:pPr>
      <w:r>
        <w:rPr>
          <w:rFonts w:hint="eastAsia" w:ascii="宋体" w:hAnsi="宋体" w:eastAsia="宋体" w:cs="宋体"/>
          <w:iCs/>
          <w:color w:val="000000" w:themeColor="text1"/>
          <w:sz w:val="24"/>
          <w:szCs w:val="24"/>
          <w:lang w:val="en-US" w:eastAsia="zh-CN"/>
          <w14:textFill>
            <w14:solidFill>
              <w14:schemeClr w14:val="tx1"/>
            </w14:solidFill>
          </w14:textFill>
        </w:rPr>
        <w:t xml:space="preserve">三、</w:t>
      </w:r>
      <w:r>
        <w:rPr>
          <w:rFonts w:hint="eastAsia" w:ascii="宋体" w:hAnsi="宋体" w:eastAsia="宋体" w:cs="宋体"/>
          <w:iCs/>
          <w:color w:val="000000" w:themeColor="text1"/>
          <w:sz w:val="24"/>
          <w:szCs w:val="24"/>
          <w14:textFill>
            <w14:solidFill>
              <w14:schemeClr w14:val="tx1"/>
            </w14:solidFill>
          </w14:textFill>
        </w:rPr>
        <w:t xml:space="preserve">项目采购服务内容</w:t>
      </w:r>
      <w:r/>
    </w:p>
    <w:p>
      <w:pPr>
        <w:ind w:firstLine="480"/>
        <w:rPr>
          <w:rFonts w:hint="eastAsia" w:ascii="宋体" w:hAnsi="宋体" w:eastAsia="宋体" w:cs="宋体"/>
          <w:sz w:val="24"/>
          <w:szCs w:val="24"/>
        </w:rPr>
        <w:outlineLvl w:val="1"/>
      </w:pPr>
      <w:r>
        <w:rPr>
          <w:rFonts w:hint="eastAsia" w:ascii="宋体" w:hAnsi="宋体" w:eastAsia="宋体" w:cs="宋体"/>
          <w:sz w:val="24"/>
          <w:szCs w:val="24"/>
        </w:rPr>
        <w:t xml:space="preserve">3.1 强化安全管理</w:t>
      </w:r>
      <w:r/>
    </w:p>
    <w:p>
      <w:pPr>
        <w:ind w:firstLine="480"/>
        <w:rPr>
          <w:rFonts w:hint="eastAsia" w:ascii="宋体" w:hAnsi="宋体" w:eastAsia="宋体" w:cs="宋体"/>
          <w:sz w:val="24"/>
          <w:szCs w:val="24"/>
        </w:rPr>
      </w:pPr>
      <w:r>
        <w:rPr>
          <w:rFonts w:hint="eastAsia" w:ascii="宋体" w:hAnsi="宋体" w:eastAsia="宋体" w:cs="宋体"/>
          <w:sz w:val="24"/>
          <w:szCs w:val="24"/>
        </w:rPr>
      </w:r>
      <w:r/>
    </w:p>
    <w:tbl>
      <w:tblPr>
        <w:tblStyle w:val="667"/>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345"/>
        <w:gridCol w:w="6561"/>
      </w:tblGrid>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3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656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服务要求</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威胁情报与风险分析通告</w:t>
            </w:r>
            <w:r/>
          </w:p>
        </w:tc>
        <w:tc>
          <w:tcPr>
            <w:tcW w:w="6561" w:type="dxa"/>
            <w:textDirection w:val="lrTb"/>
            <w:noWrap w:val="false"/>
          </w:tcPr>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安全风险分析是提升网络安全防护能力的重要手段。通过有效的安全风险收集、分析，可以更好地了解安全风险的本质和特征，及时采取相应的防御措施。</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安全服务团队应注重对最新安全技术及安全信息的发现和追踪。安全信息的来源主要包括业界动态、国家安全政策及法律法规、漏洞信息、病毒信息、安全预警等。</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在每工作日开展安全风险分析及通告服务。</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每周通过即时消息或电话等方式，将最新漏洞通知相应的责任人并提供漏洞整改修复方案，同时在整改后进行验证。</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安全咨询</w:t>
            </w:r>
            <w:r/>
          </w:p>
        </w:tc>
        <w:tc>
          <w:tcPr>
            <w:tcW w:w="656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为各市直部门、县（市、区）提供安全隐患整改建议、技术支持等。为市大数据管理中心提供安全咨询，包含但不限于制定安全策略、开展安全培训、提供专家指导和经验分享等。</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安全风险闭环管理</w:t>
            </w:r>
            <w:r/>
          </w:p>
        </w:tc>
        <w:tc>
          <w:tcPr>
            <w:tcW w:w="656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在各类技术检测和安全监测中发现的安全风险从发现、验证、告知、复测、跟踪等几个环节实现风险的闭环管理，安全服务人员根据风险发现的情况实时通过《安全隐患告知书》的方式，通知相关系统责任人进行整改，并在整改后对风险进行验证，确保风险得到合理的处置，实现安全风险闭环管理。</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outlineLvl w:val="1"/>
      </w:pPr>
      <w:r>
        <w:rPr>
          <w:rFonts w:hint="eastAsia" w:ascii="宋体" w:hAnsi="宋体" w:eastAsia="宋体" w:cs="宋体"/>
          <w:sz w:val="24"/>
          <w:szCs w:val="24"/>
        </w:rPr>
        <w:t xml:space="preserve">3.2 强化安全技术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主要通过信息资产管理系统、网络安全态势感知平台、API安全监测与分析管理平台、网站云监测平台、网站云防护系统</w:t>
      </w:r>
      <w:r>
        <w:rPr>
          <w:rFonts w:hint="eastAsia" w:ascii="宋体" w:hAnsi="宋体" w:cs="宋体"/>
          <w:sz w:val="24"/>
          <w:szCs w:val="24"/>
          <w:lang w:eastAsia="zh-CN"/>
        </w:rPr>
        <w:t xml:space="preserve">，</w:t>
      </w:r>
      <w:r>
        <w:rPr>
          <w:rFonts w:hint="eastAsia" w:ascii="宋体" w:hAnsi="宋体" w:eastAsia="宋体" w:cs="宋体"/>
          <w:sz w:val="24"/>
          <w:szCs w:val="24"/>
        </w:rPr>
        <w:t xml:space="preserve">从监测、防护、管理角度辅助运营人员开展安全运营工作。上述5个系统（平台）在项目期间均采用租用的方式提供服务，具体要求如下：</w:t>
      </w:r>
      <w:r/>
    </w:p>
    <w:tbl>
      <w:tblPr>
        <w:tblStyle w:val="711"/>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458"/>
        <w:gridCol w:w="5511"/>
      </w:tblGrid>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45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551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服务要求</w:t>
            </w:r>
            <w:r/>
          </w:p>
        </w:tc>
      </w:tr>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45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信息资产管理系统</w:t>
            </w:r>
            <w:r/>
          </w:p>
        </w:tc>
        <w:tc>
          <w:tcPr>
            <w:tcW w:w="5511" w:type="dxa"/>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信息资产管理系统应通过对内网IP设备的端口、协议、配置进行主动式网络探测，发现网络可达设备开放的服务信息、配置信息，从而识别企业内网中敏感资产的风险暴露面。主要实现的功能需要有以下几方面：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实现资产的线上管理，包括资产探查、资产管理、告警、数据联动、集中管理。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实现通过IP、主机名、资产类型、操作系统、来源、首次发现时间、更新时间、FQDN、MAC地址、MAC厂商、厂商与型号、操作系统、操作系统详情、服务信息、软件信息、网站信息等属性线上资产管理。</w:t>
            </w:r>
            <w:r/>
          </w:p>
          <w:p>
            <w:pPr>
              <w:ind w:firstLine="480"/>
              <w:rPr>
                <w:rFonts w:hint="eastAsia" w:ascii="宋体" w:hAnsi="宋体" w:eastAsia="宋体" w:cs="宋体"/>
                <w:sz w:val="24"/>
                <w:szCs w:val="24"/>
              </w:rPr>
            </w:pPr>
            <w:r>
              <w:rPr>
                <w:rFonts w:hint="eastAsia" w:ascii="宋体" w:hAnsi="宋体" w:eastAsia="宋体" w:cs="宋体"/>
                <w:b/>
                <w:sz w:val="24"/>
                <w:szCs w:val="24"/>
              </w:rPr>
              <w:t xml:space="preserve">能够通过主动探查、被动扫描、人工导入、第三方采集方式进行线上资产探查。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资产管理系统采用主动资产探测方式和被动探查方式发现资产，需能够快速形成完整的、精准的、清晰的资产清单。资产管理系统具备资产管理和资产探查两部分功能，资产管理模块主要负责设备的管理，接收资产探查的业务和日志数据，负责资产数据的梳理、分析、展示、统计、诊断。资产探查主要完成资产收集和扫描。资产探查模块被动接受管理模块定义的资产探查的任务，并将探查到的资产信息传递给管理模块进行分析处理。</w:t>
            </w:r>
            <w:r/>
          </w:p>
        </w:tc>
      </w:tr>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45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网络安全态势感知平台</w:t>
            </w:r>
            <w:r/>
          </w:p>
        </w:tc>
        <w:tc>
          <w:tcPr>
            <w:tcW w:w="5511" w:type="dxa"/>
            <w:textDirection w:val="lrTb"/>
            <w:noWrap w:val="false"/>
          </w:tcPr>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网络</w:t>
            </w:r>
            <w:r>
              <w:rPr>
                <w:rFonts w:hint="eastAsia" w:ascii="宋体" w:hAnsi="宋体" w:eastAsia="宋体" w:cs="宋体"/>
                <w:sz w:val="24"/>
                <w:szCs w:val="24"/>
              </w:rPr>
              <w:t xml:space="preserve">安全</w:t>
            </w:r>
            <w:r>
              <w:rPr>
                <w:rFonts w:hint="eastAsia" w:ascii="宋体" w:hAnsi="宋体" w:eastAsia="宋体" w:cs="宋体"/>
                <w:bCs/>
                <w:sz w:val="24"/>
                <w:szCs w:val="24"/>
              </w:rPr>
              <w:t xml:space="preserve">态势感知平台需具备流量采集、日志关联分析、威胁分析、威胁情报、威胁发现定位、安全事件通报、安全态势感知展示、省平台数据对接等功能组成。</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流量采集：网络流量采集平台旁路部署在互联网出口、核心交换区和各区县电子政务外网出口，主要是采集网络中的流量数据，全流量日志会加密传输给威胁分析及扩展平台存储用于后期的审计和分析。同时对网络流量中传输的文件进行还原，还原后的文件会传输给关联分析平台用于判定文件是否有威胁。</w:t>
            </w:r>
            <w:r/>
          </w:p>
          <w:p>
            <w:pPr>
              <w:numPr>
                <w:ilvl w:val="255"/>
                <w:numId w:val="0"/>
              </w:numPr>
              <w:ind w:firstLine="480"/>
              <w:rPr>
                <w:rFonts w:hint="eastAsia" w:ascii="宋体" w:hAnsi="宋体" w:eastAsia="宋体" w:cs="宋体"/>
                <w:sz w:val="24"/>
                <w:szCs w:val="24"/>
              </w:rPr>
            </w:pPr>
            <w:r>
              <w:rPr>
                <w:rFonts w:hint="eastAsia" w:ascii="宋体" w:hAnsi="宋体" w:eastAsia="宋体" w:cs="宋体"/>
                <w:bCs/>
                <w:sz w:val="24"/>
                <w:szCs w:val="24"/>
              </w:rPr>
              <w:t xml:space="preserve">日志关联</w:t>
            </w:r>
            <w:r>
              <w:rPr>
                <w:rFonts w:hint="eastAsia" w:ascii="宋体" w:hAnsi="宋体" w:eastAsia="宋体" w:cs="宋体"/>
                <w:sz w:val="24"/>
                <w:szCs w:val="24"/>
              </w:rPr>
              <w:t xml:space="preserve">分析</w:t>
            </w:r>
            <w:r>
              <w:rPr>
                <w:rFonts w:hint="eastAsia" w:ascii="宋体" w:hAnsi="宋体" w:eastAsia="宋体" w:cs="宋体"/>
                <w:bCs/>
                <w:sz w:val="24"/>
                <w:szCs w:val="24"/>
              </w:rPr>
              <w:t xml:space="preserve">：主要是对网络内各业务应用系统、设备、服务器、终端等设备通过主动采集或被动接收等方式对安全日志进行采集并与网络流量进行关联分析，识别出潜在威胁。</w:t>
            </w:r>
            <w:r/>
          </w:p>
          <w:p>
            <w:pPr>
              <w:numPr>
                <w:ilvl w:val="255"/>
                <w:numId w:val="0"/>
              </w:numPr>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态势感知的日志检索支持高级模式、Lucene(查询已应答日志)、QAL(全文检索)三种模式进行搜索。</w:t>
            </w:r>
            <w:r>
              <w:rPr>
                <w:rFonts w:hint="eastAsia" w:ascii="宋体" w:hAnsi="宋体" w:eastAsia="宋体" w:cs="宋体"/>
                <w:b/>
                <w:bCs/>
                <w:color w:val="000000" w:themeColor="text1"/>
                <w:sz w:val="24"/>
                <w:szCs w:val="24"/>
                <w:lang w:bidi="ar"/>
                <w14:textFill>
                  <w14:solidFill>
                    <w14:schemeClr w14:val="tx1"/>
                  </w14:solidFill>
                </w14:textFill>
              </w:rPr>
              <w:t xml:space="preserve">（提供截图或证明文件）。</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威胁分析功能：威胁分析功能需存储网络流量采集平台和日志采集平台提交的流量日志、设备日志和系统日志，并通过分布式计算和搜索引擎技术对所有数据进行处理，可通过多台设备建立集群以保证存储空间和计算能力的供应。最后结合威胁情报服务进行安全可视化分析及展现。</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b/>
                <w:bCs/>
                <w:sz w:val="24"/>
                <w:szCs w:val="24"/>
                <w:lang w:bidi="ar"/>
              </w:rPr>
              <w:t xml:space="preserve">态势感知平台支持调查事件，编辑事件基础信息，包括事件名称、事件类型、事件优先级、事件描述等；证据库中支持移除添加的告警，支持移除资产关联的脆弱性数据，支持添加证据截图及描述信息；支持编辑事件处置建议。支持保存、确认、终止事件调查。（提供截图或证明文件）。</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威胁情报功能：提供云端威胁情报SaaS服务，定期推送互联网最新的安全威胁数据，主要集中在IP、域名、URL、文件MD5等相关字段。一旦发现有告警命中威胁情报，将直接调用威胁情报中所包含的具体信息（如攻击组织、攻击范围、攻击危害、攻击行业等信息）对告警进行自动化回溯展示，便于安全运营人员在第一时间进行安全溯源分析。</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工单协同</w:t>
            </w:r>
            <w:r>
              <w:rPr>
                <w:rFonts w:hint="eastAsia" w:ascii="宋体" w:hAnsi="宋体" w:eastAsia="宋体" w:cs="宋体"/>
                <w:sz w:val="24"/>
                <w:szCs w:val="24"/>
              </w:rPr>
              <w:t xml:space="preserve">功能</w:t>
            </w:r>
            <w:r>
              <w:rPr>
                <w:rFonts w:hint="eastAsia" w:ascii="宋体" w:hAnsi="宋体" w:eastAsia="宋体" w:cs="宋体"/>
                <w:bCs/>
                <w:sz w:val="24"/>
                <w:szCs w:val="24"/>
              </w:rPr>
              <w:t xml:space="preserve">：通过工单、短信协同处置服务，安全运营人员可通过工单将单个或多个告警、漏洞、弱口令、配置弱点通过一个工单任务统一跟踪，并将涉及多人的判断或结论统一记录到工单任务中，从而使威胁处置过程有据可循。通过工单系统通知派发任务，可通过和已有的短信网关接口定制，实现工单的短信通知、邮件通知、系统消息等，同时也可将告警自动化通知到派发任务。态势感知平台需提供工单派发功能并和现有的短信平台做对接，完成工单派发后即可通过短信通知收单人。</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省平台数据对接：与省安全管理平台进行数据上传对接，按要求进行数据上传，根据需求进行定制开发。</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展示功能：</w:t>
            </w:r>
            <w:r>
              <w:rPr>
                <w:rFonts w:hint="eastAsia" w:ascii="宋体" w:hAnsi="宋体" w:eastAsia="宋体" w:cs="宋体"/>
                <w:sz w:val="24"/>
                <w:szCs w:val="24"/>
              </w:rPr>
              <w:t xml:space="preserve">根据需求，定制开发展示大屏。</w:t>
            </w:r>
            <w:r>
              <w:rPr>
                <w:rFonts w:hint="eastAsia" w:ascii="宋体" w:hAnsi="宋体" w:eastAsia="宋体" w:cs="宋体"/>
                <w:bCs/>
                <w:sz w:val="24"/>
                <w:szCs w:val="24"/>
              </w:rPr>
              <w:t xml:space="preserve">平台需要展示硬件资产总数、应用资产总数、安全评分、境内外攻击占比，及安全资产的整体态势以及需要重点关注的事件和系统。需要体现每天日常工作内容和管理内容，如安全告警处置、网站安全监测、应用系统体检、应用上线检查、数据安全应用接口监测、安全事件通报、日常安全管理工作等信息。</w:t>
            </w:r>
            <w:r>
              <w:rPr>
                <w:rFonts w:hint="eastAsia" w:ascii="宋体" w:hAnsi="宋体" w:eastAsia="宋体" w:cs="宋体"/>
                <w:sz w:val="24"/>
                <w:szCs w:val="24"/>
              </w:rPr>
              <w:t xml:space="preserve">服务期内需基于已完成的展示页面根据需求定制一至两项功能，完善现有展示内容。</w:t>
            </w:r>
            <w:r/>
          </w:p>
          <w:p>
            <w:pPr>
              <w:ind w:firstLine="480"/>
              <w:rPr>
                <w:rFonts w:hint="eastAsia" w:ascii="宋体" w:hAnsi="宋体" w:eastAsia="宋体" w:cs="宋体"/>
                <w:b/>
                <w:bCs w:val="0"/>
                <w:sz w:val="24"/>
                <w:szCs w:val="24"/>
              </w:rPr>
            </w:pPr>
            <w:r>
              <w:rPr>
                <w:rFonts w:hint="eastAsia" w:ascii="宋体" w:hAnsi="宋体" w:eastAsia="宋体" w:cs="宋体"/>
                <w:bCs/>
                <w:sz w:val="24"/>
                <w:szCs w:val="24"/>
              </w:rPr>
              <w:t xml:space="preserve">态势感知支持自定义关联规则，支持类VISIO的图形化连线拖拽的交互方式而非编辑逻辑语法树方式；支持定义统计规则、日志关联规则、序列规则；关联规则支持引用资产、漏洞、情报、IP/端口/字符串/表类型的对象资源和日志进行关联分析；支持关联规则引用关联规则满足复杂威胁场景检测。</w:t>
            </w:r>
            <w:r>
              <w:rPr>
                <w:rFonts w:hint="eastAsia" w:ascii="宋体" w:hAnsi="宋体" w:eastAsia="宋体" w:cs="宋体"/>
                <w:b/>
                <w:bCs w:val="0"/>
                <w:sz w:val="24"/>
                <w:szCs w:val="24"/>
              </w:rPr>
              <w:t xml:space="preserve">（提供视频演示）</w:t>
            </w:r>
            <w:r/>
          </w:p>
          <w:p>
            <w:pPr>
              <w:ind w:firstLine="480"/>
              <w:rPr>
                <w:rFonts w:hint="eastAsia" w:ascii="宋体" w:hAnsi="宋体" w:eastAsia="宋体" w:cs="宋体"/>
                <w:b/>
                <w:bCs w:val="0"/>
                <w:sz w:val="24"/>
                <w:szCs w:val="24"/>
              </w:rPr>
            </w:pPr>
            <w:r>
              <w:rPr>
                <w:rFonts w:hint="eastAsia" w:ascii="宋体" w:hAnsi="宋体" w:eastAsia="宋体" w:cs="宋体"/>
                <w:bCs/>
                <w:sz w:val="24"/>
                <w:szCs w:val="24"/>
              </w:rPr>
              <w:t xml:space="preserve">态势感知支持通过工单对安全事件进行跟踪处理，工单类型包括：通用、弱口令、告警、配置核查、漏洞。支持工单流转，且工单流转支持多人协同的跟踪处置方式，工单流转中支持添加附件。支持工单SLA配置、支持漏洞工单、弱口令工单，并引用相关漏洞数据、弱口令数据。</w:t>
            </w:r>
            <w:r>
              <w:rPr>
                <w:rFonts w:hint="eastAsia" w:ascii="宋体" w:hAnsi="宋体" w:eastAsia="宋体" w:cs="宋体"/>
                <w:b/>
                <w:bCs w:val="0"/>
                <w:sz w:val="24"/>
                <w:szCs w:val="24"/>
              </w:rPr>
              <w:t xml:space="preserve">（提供视频演示） </w:t>
            </w:r>
            <w:r/>
          </w:p>
          <w:p>
            <w:pPr>
              <w:numPr>
                <w:ilvl w:val="255"/>
                <w:numId w:val="0"/>
              </w:numPr>
              <w:ind w:firstLine="480"/>
              <w:rPr>
                <w:rFonts w:hint="eastAsia" w:ascii="宋体" w:hAnsi="宋体" w:eastAsia="宋体" w:cs="宋体"/>
                <w:b/>
                <w:bCs w:val="0"/>
                <w:sz w:val="24"/>
                <w:szCs w:val="24"/>
              </w:rPr>
            </w:pPr>
            <w:r>
              <w:rPr>
                <w:rFonts w:hint="eastAsia" w:ascii="宋体" w:hAnsi="宋体" w:eastAsia="宋体" w:cs="宋体"/>
                <w:bCs/>
                <w:sz w:val="24"/>
                <w:szCs w:val="24"/>
              </w:rPr>
              <w:t xml:space="preserve">态势感知支持提供智能分诊能力，达到告警的降噪目的。智能分诊模型支持分诊规则、加白分诊规则两种规则的创建，分诊规则支持配置过滤条件和配置过滤条件组，过滤内容包括：告警名称、首次告警时间、源IP、目的IP、源端口、目的端口、通信方向、攻击者等信息 ；智能分诊支持生效时间配置，包括：永久生效和自定义时间。</w:t>
            </w:r>
            <w:r>
              <w:rPr>
                <w:rFonts w:hint="eastAsia" w:ascii="宋体" w:hAnsi="宋体" w:eastAsia="宋体" w:cs="宋体"/>
                <w:b/>
                <w:bCs w:val="0"/>
                <w:sz w:val="24"/>
                <w:szCs w:val="24"/>
              </w:rPr>
              <w:t xml:space="preserve">（提供视频演示）</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基于目前的网络区域划分及网络流量情况评估，流量采集设备不少于3台，需为国产化设备，每台设备的应用层流量处理能力不少于10G，不少于4个万兆光口，且至少预留3个扩展槽位，不少于24核鲲鹏920 CPU，内存不少于64G，硬盘不少于8T。支持麒麟V10操作系统，支持SRV6协议。</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分析平台需集群部署，至少提供7台硬件节点设备，单个节点设备的性能参数不低于以下指标：2*12核CPU，256G DDR4内存，单节点处理性能不低于10000eps，系统盘2*960G SSD Raid1，数据盘存储空间不低于48T。</w:t>
            </w:r>
            <w:r/>
          </w:p>
        </w:tc>
      </w:tr>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45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API安全监测与分析管理平台</w:t>
            </w:r>
            <w:r/>
          </w:p>
        </w:tc>
        <w:tc>
          <w:tcPr>
            <w:tcW w:w="5511" w:type="dxa"/>
            <w:textDirection w:val="lrTb"/>
            <w:noWrap w:val="false"/>
          </w:tcPr>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API安全监测与分析管理平台，需要实现API资产识别、API漏洞的攻击检测、API数据泄露检测功能，需满足API资产的梳理及安全监测需求，实现API的传输数据风险可视化、数据泄露可视化、资产可视化、行为可视化的能力，极大程度提升API的安全检测分析效率和API资产管理效率，其功能如下：</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API资产管理。可以对现有API资产进行统一管理，可根据内置规则对识别的公共组件API进行自动标记，同时支持手动对API进行所属应用系统以及API应用属性进行标注管理。同时也支持对已有API支持按照Excel文件格式或Swagger文件格式进行手动导入。通过API资产管理对已识别标注及未打标签API通过图形化列表方式进行展示，显示API所属主机、API路径、API所属业务应用以及API首次发现时间及最近活跃时间。</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异常行为分析。通过对API安全检测系统上送的业务访问日志以及涉敏日志进行关联分析，发现异常高频访问、文件批量下载、敏感数据批量爬取、以及接口参数遍历等API异常访问行为，发现潜在的API安全风险。</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敏感数据传输分析。系统内置个人信息、商业敏感信息、金融信息、企业信息等多种敏感信息识别规则。敏感数据特征库支持在线升级和更新，同时系统支持根据业务需要自定义敏感数据识别规则。</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威胁事件分析。API安全分析系统可以根据API安全检测系统上送的威胁检测日志进行基于API视角、攻击者视角以及应用视角等多维度的威胁事件分析，通过大数据分析组件的关联分析能力还原基于API的供</w:t>
            </w:r>
            <w:r>
              <w:rPr>
                <w:rFonts w:hint="eastAsia" w:ascii="宋体" w:hAnsi="宋体" w:cs="宋体"/>
                <w:bCs/>
                <w:sz w:val="24"/>
                <w:szCs w:val="24"/>
                <w:lang w:val="en-US" w:eastAsia="zh-CN"/>
              </w:rPr>
              <w:t xml:space="preserve">击</w:t>
            </w:r>
            <w:r>
              <w:rPr>
                <w:rFonts w:hint="eastAsia" w:ascii="宋体" w:hAnsi="宋体" w:eastAsia="宋体" w:cs="宋体"/>
                <w:bCs/>
                <w:sz w:val="24"/>
                <w:szCs w:val="24"/>
              </w:rPr>
              <w:t xml:space="preserve">链过程，清晰展示“什么人（攻击者）通过哪个接口，什么攻击方式手法，攻击了谁（受害者），攻击结果是什么”的效果。</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Cs/>
                <w:sz w:val="24"/>
                <w:szCs w:val="24"/>
              </w:rPr>
              <w:t xml:space="preserve">风险API分析。API的风险不仅限异常访问行为、敏感数据传输、API攻击甚至API脆弱性等单一维度的事情，往往需要多个维度的关联分析出的结果才是更有价值的，API安全分析系统利用大数据组件的集中存储以及分析的优势，能够做到基于API的脆弱性关联API的异常访问行为、API的敏感数据传输、API的威胁事件分析等维度进行多维关联分析，使风险API具象化，对风险API的处置提供依据。</w:t>
            </w:r>
            <w:r/>
          </w:p>
          <w:p>
            <w:pPr>
              <w:numPr>
                <w:ilvl w:val="255"/>
                <w:numId w:val="0"/>
              </w:numPr>
              <w:ind w:firstLine="480"/>
              <w:rPr>
                <w:rFonts w:hint="eastAsia" w:ascii="宋体" w:hAnsi="宋体" w:eastAsia="宋体" w:cs="宋体"/>
                <w:b/>
                <w:bCs/>
                <w:sz w:val="24"/>
                <w:szCs w:val="24"/>
              </w:rPr>
            </w:pPr>
            <w:r>
              <w:rPr>
                <w:rFonts w:hint="eastAsia" w:ascii="宋体" w:hAnsi="宋体" w:eastAsia="宋体" w:cs="宋体"/>
                <w:b/>
                <w:sz w:val="24"/>
                <w:szCs w:val="24"/>
              </w:rPr>
              <w:t xml:space="preserve">★</w:t>
            </w:r>
            <w:r>
              <w:rPr>
                <w:rFonts w:hint="eastAsia" w:ascii="宋体" w:hAnsi="宋体" w:eastAsia="宋体" w:cs="宋体"/>
                <w:b/>
                <w:bCs/>
                <w:sz w:val="24"/>
                <w:szCs w:val="24"/>
              </w:rPr>
              <w:t xml:space="preserve">API安全监测与分析管理平台对业务访问分析。支持对API接口的访问行为建立业务访问基线包括业务请求大小、响应大小、响应时延、请求速率、出错率、吞吐量等不同维度，支持查看基线学习状态，基线学习内容、调整基线学习策略和结果。（提供截图或证明文件）</w:t>
            </w:r>
            <w:r/>
          </w:p>
          <w:p>
            <w:pPr>
              <w:numPr>
                <w:ilvl w:val="255"/>
                <w:numId w:val="0"/>
              </w:numPr>
              <w:ind w:firstLine="480"/>
              <w:rPr>
                <w:rFonts w:hint="eastAsia" w:ascii="宋体" w:hAnsi="宋体" w:eastAsia="宋体" w:cs="宋体"/>
                <w:bCs/>
                <w:sz w:val="24"/>
                <w:szCs w:val="24"/>
              </w:rPr>
            </w:pPr>
            <w:r>
              <w:rPr>
                <w:rFonts w:hint="eastAsia" w:ascii="宋体" w:hAnsi="宋体" w:eastAsia="宋体" w:cs="宋体"/>
                <w:b/>
                <w:sz w:val="24"/>
                <w:szCs w:val="24"/>
              </w:rPr>
              <w:t xml:space="preserve">★</w:t>
            </w:r>
            <w:r>
              <w:rPr>
                <w:rFonts w:hint="eastAsia" w:ascii="宋体" w:hAnsi="宋体" w:eastAsia="宋体" w:cs="宋体"/>
                <w:b/>
                <w:bCs/>
                <w:sz w:val="24"/>
                <w:szCs w:val="24"/>
              </w:rPr>
              <w:t xml:space="preserve">API安全监测与分析管理平台能对API威胁事件分析。可基于API视角查看威胁事件，威胁事件列表包括API、事件类别、事件名称、事件等级、事件结果、受害者、业务应用、处置状态、处置描述、首次发现时间、最后发现时间。（提供截图或证明文件）</w:t>
            </w:r>
            <w:r/>
          </w:p>
        </w:tc>
      </w:tr>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45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网站云监测平台</w:t>
            </w:r>
            <w:r/>
          </w:p>
        </w:tc>
        <w:tc>
          <w:tcPr>
            <w:tcW w:w="5511" w:type="dxa"/>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重要网站及互联网应用系统云监测平台，通过云端资源实时监测，从而提供系统漏洞扫描、网页篡改监测、网页挂马监测、黑词暗链监测、可用性监测、仿冒/钓鱼网站监测、未知资产监测、DDOS攻击监测等安全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漏洞感知：通过对网站域名或IP的获取，得知扫描范围，通过云端强大的漏洞规则库进行各种Web安全漏洞的规则匹配，通过对探测响应的数据包分析是否存在漏洞。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黑词、黑链监控：通过云监测平台的爬虫功能，爬取网站的URL，将页面内容进行解析，通过云端大量的黑词、黑链数据库进行匹配，从而获取黑词、黑链监测结果。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篡改监控：通过云监测平台的爬虫功能，爬取网站的URL，如果是热点URL，将以每半个小时为周期进行抓取URL，并与历史URL进行MD5的比对。当发现篡改行为时，将以短信或邮件的方式通报给系统管理员进行及时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挂马监控：云监测平台应具有沙箱功能，对于已经发生篡改的页面，会进入沙箱进行检测，在沙箱中，将模拟用户的真实请求，通过对沙箱中整体的监测结果，判断页面是否被挂马。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钓鱼监控：定期的针对与互联网端所有的网站进行爬取和验证，持续维护钓鱼网站数据库的更新，并对于网站进行相似度比对，从而发现钓鱼网站。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未知资产监控：应通过云端DNS的大数据分析，获取网站域名解析的对应关系，通过未知资产监测模块定期与监测的目标网站域名进行比对，一旦发现新出现的子站，马上进行告警。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通报告警：在发现系统相关问题后，通过邮件、短信的方式通知给系统运维人员。安全运营团队收到通报后，查看到系统问题信息以及解决建议，并且需要同时回复管理人员问题修复情况，管理人员随时通过云监测平台获取当前系统漏洞修复情况，直到问题修复闭环。</w:t>
            </w:r>
            <w:r/>
          </w:p>
          <w:p>
            <w:pPr>
              <w:rPr>
                <w:rFonts w:hint="eastAsia" w:ascii="宋体" w:hAnsi="宋体" w:eastAsia="宋体" w:cs="宋体"/>
                <w:sz w:val="24"/>
                <w:szCs w:val="24"/>
              </w:rPr>
            </w:pPr>
            <w:r>
              <w:rPr>
                <w:rFonts w:hint="eastAsia" w:ascii="宋体" w:hAnsi="宋体" w:eastAsia="宋体" w:cs="宋体"/>
                <w:sz w:val="24"/>
                <w:szCs w:val="24"/>
              </w:rPr>
              <w:t xml:space="preserve">需对全市政府门户网站及其子站和互联网系统不少于200个站点提供授权。</w:t>
            </w:r>
            <w:r/>
          </w:p>
        </w:tc>
      </w:tr>
      <w:tr>
        <w:trPr/>
        <w:tc>
          <w:tcPr>
            <w:tcW w:w="86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45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网站云防护平台</w:t>
            </w:r>
            <w:r/>
          </w:p>
        </w:tc>
        <w:tc>
          <w:tcPr>
            <w:tcW w:w="5511" w:type="dxa"/>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使用云端的SaaS服务的方式提供网站安全防护服务。非硬件盒式WAF、非盒式抗DDoS攻击产品、非集成WAF及抗DDoS功能的防火墙类产品；支持登录账号的多因素认证，包含：密码、验证码、短信验证方式，确保登录安全；支持HTTPS网站防护；支持HTTP/HTT</w:t>
            </w:r>
            <w:r>
              <w:rPr>
                <w:rFonts w:hint="eastAsia" w:ascii="宋体" w:hAnsi="宋体" w:eastAsia="宋体" w:cs="宋体"/>
                <w:sz w:val="24"/>
                <w:szCs w:val="24"/>
              </w:rPr>
              <w:t xml:space="preserve">PS协议合规性检查，包括畸形报文、HTTP版本检查、报文头缺失、请求方法限制、协议违规等；支持服务器敏感信息泄露防护，包括服务器类型信息、服务器版本信息、敏感路径信息泄露、网站源码泄露等；能识别和阻断SQL注入攻击、Cookie 注入攻击、命令注入、跨站脚本攻击、文件包含攻击、LDAP注入、XPATH注入、爬虫攻击、Struts2命令执行攻击等常见的WEB攻击，防止网站敏感信息泄露或网站内容被恶意篡改；支持ASP木马、JSP木马、PHP木马、一句话木马、菜刀工具等多种形式的WEB Shell后门的上传防护；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支持自定义防护页面功能，即当检测到4、5开头的响应码时可以跳转到指定URL以提高服务感受和搜索引擎SEO；</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支持对SYN Flood攻击、TCP Flood攻击、ACK Flood攻击、UDP Flood攻击、ICMP Flood攻击、RST Flood攻击等常见的流量型DDOS攻击进行清洗；支持对TCP/UDP/IP等类型的畸形报文攻击进行防护、支持对Smurf攻击、Land攻击</w:t>
            </w:r>
            <w:r>
              <w:rPr>
                <w:rFonts w:hint="eastAsia" w:ascii="宋体" w:hAnsi="宋体" w:eastAsia="宋体" w:cs="宋体"/>
                <w:sz w:val="24"/>
                <w:szCs w:val="24"/>
              </w:rPr>
              <w:t xml:space="preserve">、Fraggle攻击、Ping of Death攻击等DDOS攻击进行流量清洗；支持智能 DNS 解析；支持网站NS方式接入，即由防护平台提供DNS域名解析，至少提供A记录解析、CNAME记录解析等DNS解析方式；支持针对DNS的攻击防护，如：DNS Query Flood攻击、DNS replay food攻击等流量型攻击；可以防护针对网站的CC攻击；支持根据进入云平台流量大小来对攻击进行CC攻击判断，即攻击流量超出管理员配置流量阈值后，对攻击源进行JS防御或图片验证防御；支持根据源站总并发连接数和访问源</w:t>
            </w:r>
            <w:r>
              <w:rPr>
                <w:rFonts w:hint="eastAsia" w:ascii="宋体" w:hAnsi="宋体" w:cs="宋体"/>
                <w:sz w:val="24"/>
                <w:szCs w:val="24"/>
                <w:lang w:val="en-US" w:eastAsia="zh-CN"/>
              </w:rPr>
              <w:t xml:space="preserve">站</w:t>
            </w:r>
            <w:r>
              <w:rPr>
                <w:rFonts w:hint="eastAsia" w:ascii="宋体" w:hAnsi="宋体" w:eastAsia="宋体" w:cs="宋体"/>
                <w:sz w:val="24"/>
                <w:szCs w:val="24"/>
              </w:rPr>
              <w:t xml:space="preserve">IP并发连接数对攻击进行CC判断，并发连接数超出管理员配置并发连接数阈值后，对攻击源进行JS防御或图片验证防御；可以提前通过爬虫缓存采购人网站页面文件，在重保期间即</w:t>
            </w:r>
            <w:r>
              <w:rPr>
                <w:rFonts w:hint="eastAsia" w:ascii="宋体" w:hAnsi="宋体" w:eastAsia="宋体" w:cs="宋体"/>
                <w:sz w:val="24"/>
                <w:szCs w:val="24"/>
              </w:rPr>
              <w:t xml:space="preserve">使源站服务器出现WEB攻击、网页被篡改、服务器宕机、网络线路故障、网站服务异常等问题，依然可以通过缓存页面强制对外提供完整的静态缓存页面访问服务；对在特定时间段内某IP地址或IP地址段是否能够访问特定URL进行访问控制；对不同国家和中国的不同省市能否访问保护网站进行访问控制，并能够基于IP地址添加例外访问黑白名单；对包含特定的 USER-Agent字段内容的访问进行访问控制；支持网站访问次数统计，访问IP数统计，PV数统计，漏洞攻击数统计、CC攻击数统计等攻击访问统计；每个二级域名有独有的攻击访问统计报表。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针对具有域名的网站及互联网系统进行云端的安全防护，每年包含1个主域名和150个子域名，以及具有域名的互联网系统，合计200个域名的防护授权，并有专人负责运维。如果超过200个域名，必须优先增加授权。</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outlineLvl w:val="1"/>
      </w:pPr>
      <w:r>
        <w:rPr>
          <w:rFonts w:hint="eastAsia" w:ascii="宋体" w:hAnsi="宋体" w:eastAsia="宋体" w:cs="宋体"/>
          <w:sz w:val="24"/>
          <w:szCs w:val="24"/>
        </w:rPr>
        <w:t xml:space="preserve">3.3 强化安全运营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安全运营的范围包括扬州市电子政务外网、政务云平台及承载的信息系统，包含但不限于</w:t>
      </w:r>
      <w:r>
        <w:rPr>
          <w:rFonts w:hint="eastAsia" w:ascii="宋体" w:hAnsi="宋体" w:eastAsia="宋体" w:cs="宋体"/>
          <w:color w:val="000000"/>
          <w:sz w:val="24"/>
          <w:szCs w:val="24"/>
          <w:lang w:bidi="ar"/>
        </w:rPr>
        <w:t xml:space="preserve">市数据局所属信息系统、</w:t>
      </w:r>
      <w:r>
        <w:rPr>
          <w:rFonts w:hint="eastAsia" w:ascii="宋体" w:hAnsi="宋体" w:eastAsia="宋体" w:cs="宋体"/>
          <w:color w:val="000000"/>
          <w:sz w:val="24"/>
          <w:szCs w:val="24"/>
        </w:rPr>
        <w:t xml:space="preserve">政府门户网站及其200多个子站（含500多万个页面）、其他200多个系统（含2000多个应用），300多台网络设备、安全设备及虚拟化设备，2000多台服务器。对运营范围内的所有系统提供全年7×24小时的安全服务。具体服务内容如下：</w:t>
      </w:r>
      <w:r/>
    </w:p>
    <w:tbl>
      <w:tblPr>
        <w:tblStyle w:val="667"/>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345"/>
        <w:gridCol w:w="6561"/>
      </w:tblGrid>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3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656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服务要求</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信息资产管理服务</w:t>
            </w:r>
            <w:r/>
          </w:p>
        </w:tc>
        <w:tc>
          <w:tcPr>
            <w:tcW w:w="6561" w:type="dxa"/>
            <w:textDirection w:val="lrTb"/>
            <w:noWrap w:val="false"/>
          </w:tcPr>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识别网络资产。依据现有网络、主机、云平台、应用和数据库等，对资产进行精细化梳理，梳理维度包括但不限于资产名称、IP地址、所属业务系统、操作系统版本、业务软件及版本、内部端口、外网IP地址、外网端口、域名访问URL、资产类型（物理机/虚拟机）、物理位置、备份位置、责任单位、责任人/联系方式、维护单位、维护人/联系方式等。</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探测开放端口。检测政务网和互联网侧开放的不安全服务，具体包括：Telnet服务、SSH服务、RDP服务、MySQL数据库服务、SQLServer数据库服务、Oracle数据库服务、FTP服务、RPC远程过程调用服务等。</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位僵尸系统。在梳理开放端口的基础上，定期对僵尸信息系统（网站）开展专项整治，提出限制互联网访问或关停等整改措施，消除安全隐患。僵尸信息系统主要表现为：安全威胁长期不修复、占用的资源长期处于空闲状态、已停止运行维护、已完成工作使命无继续使用必要、系统使用与业务流程长期脱节等。</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发现未知资产。重点对全网未知资产开展梳理和分析工作，根据识别的结果，判断哪些资产未受到有效的安全防护。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（2）服务投入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每季度至少开展一次全网（包括市电子政务外网和互联网）资产梳理，每月一次政务网资产扫描、识别、梳理，每日根据实际情况实时更新。每日根据实际情况实时更新资产。</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（3）服务产出</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《资产基准表》，每日根据资产变化情况实时更新。</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安全应急响应服务</w:t>
            </w:r>
            <w:r/>
          </w:p>
        </w:tc>
        <w:tc>
          <w:tcPr>
            <w:tcW w:w="6561"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完善优化应急预案。定期开展应急预案审定工作，及时发现应急响应预案的不足之处并以书面报告的方式上报，完成应急预案优化工作。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应急响应服务。依据现有应急响应预案，提供7×24小时的应急响应服务。监测到安全事件或收到应急响应需求后，应立即组织现场和远程支撑人员开展应急响应服务，了解安全事件的基本现象，判断安全事件的原因，进行故障和事件的处理，并针对安全事件形成的破坏做出灾难恢复建议，在必要的情况下，进行入侵追踪和取证。出现突发紧急事件（病毒爆发、网络攻击、信息外泄、网络入侵）后，需指派高级安全专家赶到现场响应处理安全事件。</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（2）服务投入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根据实际情况开展，应急响应次数无限制。</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（3）服务产出</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应急响应服务完成后，提交《安全事件应急处置报告》。</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周期性渗透测试服务</w:t>
            </w:r>
            <w:r/>
          </w:p>
        </w:tc>
        <w:tc>
          <w:tcPr>
            <w:tcW w:w="6561"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应定期对指定的业务系统和服务器进行非破坏性质的模拟入侵攻击，在对现有目标系统不造成任何损害的前提下，发现系统最脆弱的环节。同时，根据业务系统的重要程度提供不同级别的渗透测试服务。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渗透测试工作以人工渗透为主，辅助以攻击工具的使用。主要的渗透测试方法包括：信息收集、端口扫描、远程溢出、口令猜测、本地溢出、客户端攻击、中间人攻击、web脚本渗透、B/S或C/S应用程序测试、社会工程等。</w:t>
            </w:r>
            <w:r/>
          </w:p>
          <w:p>
            <w:pPr>
              <w:rPr>
                <w:rFonts w:hint="eastAsia" w:ascii="宋体" w:hAnsi="宋体" w:eastAsia="宋体" w:cs="宋体"/>
                <w:b/>
                <w:color w:val="000000"/>
                <w:sz w:val="24"/>
                <w:szCs w:val="24"/>
              </w:rPr>
            </w:pPr>
            <w:r>
              <w:rPr>
                <w:rFonts w:hint="eastAsia" w:ascii="宋体" w:hAnsi="宋体" w:eastAsia="宋体" w:cs="宋体"/>
                <w:b/>
                <w:sz w:val="24"/>
                <w:szCs w:val="24"/>
              </w:rPr>
              <w:t xml:space="preserve">★</w:t>
            </w:r>
            <w:r>
              <w:rPr>
                <w:rFonts w:hint="eastAsia" w:ascii="宋体" w:hAnsi="宋体" w:eastAsia="宋体" w:cs="宋体"/>
                <w:b/>
                <w:bCs/>
                <w:sz w:val="24"/>
                <w:szCs w:val="24"/>
              </w:rPr>
              <w:t xml:space="preserve">采用的自动化渗透测试工具</w:t>
            </w:r>
            <w:r>
              <w:rPr>
                <w:rFonts w:hint="eastAsia" w:ascii="宋体" w:hAnsi="宋体" w:eastAsia="宋体" w:cs="宋体"/>
                <w:b/>
                <w:bCs/>
                <w:sz w:val="24"/>
                <w:szCs w:val="24"/>
                <w:lang w:val="en-US" w:eastAsia="zh-CN"/>
              </w:rPr>
              <w:t xml:space="preserve">需</w:t>
            </w:r>
            <w:r>
              <w:rPr>
                <w:rFonts w:hint="eastAsia" w:ascii="宋体" w:hAnsi="宋体" w:eastAsia="宋体" w:cs="宋体"/>
                <w:b/>
                <w:bCs/>
                <w:sz w:val="24"/>
                <w:szCs w:val="24"/>
              </w:rPr>
              <w:t xml:space="preserve">满足GBT 37931-2019《信息安全技术 Web应用安全检测系统安全技术要求和测试评价方法》。提供公安部计算机信息系统安全产品质量监督检验中心检测报告。</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（2）服务投入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数据局（含公共资源交易中心、大数据管理中心）所属系统每季度至少进行1次，全网范围（包含各县（市、区）、功能区整合上云的系统）每年不少于2次。在发生紧急漏洞或预警时，将由安全预警服务对紧急漏洞或预警采取分析和研究，并对现网资产情况进行核实。</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（3）服务产出</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渗透测试服务完成后，提交《XX系统渗透测试报告》。</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如发现的问题涉及托管资产，应根据使用单位情况提供单独渗透测试报告。</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上线安全检测</w:t>
            </w:r>
            <w:r/>
          </w:p>
        </w:tc>
        <w:tc>
          <w:tcPr>
            <w:tcW w:w="6561" w:type="dxa"/>
            <w:textDirection w:val="lrTb"/>
            <w:noWrap w:val="false"/>
          </w:tcPr>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对新上线系统开展上线前的安全检测，检测方法需包括漏洞扫描、安全基线评估、代码安全检测、渗透测试、APP安全评估报告审核、开源组件安全检测。上线安全检测工作包含市直部门（单位）的上云信息系统，以及各县（市、区）、功能区整合上云的系统。</w:t>
            </w:r>
            <w:r/>
          </w:p>
          <w:p>
            <w:pPr>
              <w:rPr>
                <w:rFonts w:hint="eastAsia" w:ascii="宋体" w:hAnsi="宋体" w:eastAsia="宋体" w:cs="宋体"/>
                <w:bCs/>
                <w:sz w:val="24"/>
                <w:szCs w:val="24"/>
              </w:rPr>
            </w:pPr>
            <w:r>
              <w:rPr>
                <w:rFonts w:hint="eastAsia" w:ascii="宋体" w:hAnsi="宋体" w:eastAsia="宋体" w:cs="宋体"/>
                <w:bCs/>
                <w:sz w:val="24"/>
                <w:szCs w:val="24"/>
              </w:rPr>
              <w:t xml:space="preserve">1、漏洞扫描</w:t>
            </w:r>
            <w:r/>
          </w:p>
          <w:p>
            <w:pPr>
              <w:rPr>
                <w:rFonts w:hint="eastAsia" w:ascii="宋体" w:hAnsi="宋体" w:eastAsia="宋体" w:cs="宋体"/>
                <w:bCs/>
                <w:sz w:val="24"/>
                <w:szCs w:val="24"/>
              </w:rPr>
            </w:pPr>
            <w:r>
              <w:rPr>
                <w:rFonts w:hint="eastAsia" w:ascii="宋体" w:hAnsi="宋体" w:eastAsia="宋体" w:cs="宋体"/>
                <w:bCs/>
                <w:sz w:val="24"/>
                <w:szCs w:val="24"/>
              </w:rPr>
              <w:t xml:space="preserve">（1）服务内容</w:t>
            </w:r>
            <w:r/>
          </w:p>
          <w:p>
            <w:pPr>
              <w:rPr>
                <w:rFonts w:hint="eastAsia" w:ascii="宋体" w:hAnsi="宋体" w:eastAsia="宋体" w:cs="宋体"/>
                <w:bCs/>
                <w:sz w:val="24"/>
                <w:szCs w:val="24"/>
              </w:rPr>
            </w:pPr>
            <w:r>
              <w:rPr>
                <w:rFonts w:hint="eastAsia" w:ascii="宋体" w:hAnsi="宋体" w:eastAsia="宋体" w:cs="宋体"/>
                <w:bCs/>
                <w:sz w:val="24"/>
                <w:szCs w:val="24"/>
              </w:rPr>
              <w:t xml:space="preserve">安全服务团队应加强对网络资产的探测，及时发现漏洞，并提供漏洞详情和修复建议。具体服务范围包括：网络层漏洞识别、操作系统层漏洞识别、应用层漏洞识别。</w:t>
            </w:r>
            <w:r/>
          </w:p>
          <w:p>
            <w:pPr>
              <w:rPr>
                <w:rFonts w:hint="eastAsia" w:ascii="宋体" w:hAnsi="宋体" w:eastAsia="宋体" w:cs="宋体"/>
                <w:bCs/>
                <w:sz w:val="24"/>
                <w:szCs w:val="24"/>
              </w:rPr>
            </w:pPr>
            <w:r>
              <w:rPr>
                <w:rFonts w:hint="eastAsia" w:ascii="宋体" w:hAnsi="宋体" w:eastAsia="宋体" w:cs="宋体"/>
                <w:bCs/>
                <w:sz w:val="24"/>
                <w:szCs w:val="24"/>
              </w:rPr>
              <w:t xml:space="preserve">安全服务团队应以网络资产为核心，将网络资产与风险漏洞相结合，定期对中心网络环境中各类网络设备、安全设备、操作系统、中间件等资产开展全面的安全评估。</w:t>
            </w:r>
            <w:r/>
          </w:p>
          <w:p>
            <w:pPr>
              <w:rPr>
                <w:rFonts w:hint="eastAsia" w:ascii="宋体" w:hAnsi="宋体" w:eastAsia="宋体" w:cs="宋体"/>
                <w:bCs/>
                <w:sz w:val="24"/>
                <w:szCs w:val="24"/>
              </w:rPr>
            </w:pPr>
            <w:r>
              <w:rPr>
                <w:rFonts w:hint="eastAsia" w:ascii="宋体" w:hAnsi="宋体" w:eastAsia="宋体" w:cs="宋体"/>
                <w:bCs/>
                <w:sz w:val="24"/>
                <w:szCs w:val="24"/>
              </w:rPr>
              <w:t xml:space="preserve">安全评估内容包括检查系统存在的弱口令，收集系统不必要开放的账号、服务、端口，形成整体安全风险报告，先于攻击者发现安全问题，在尽可能准确发现网络资产的安全漏洞之余，安全服务团队还应提供技术支持。</w:t>
            </w:r>
            <w:r/>
          </w:p>
          <w:p>
            <w:pPr>
              <w:rPr>
                <w:rFonts w:hint="eastAsia" w:ascii="宋体" w:hAnsi="宋体" w:eastAsia="宋体" w:cs="宋体"/>
                <w:bCs/>
                <w:sz w:val="24"/>
                <w:szCs w:val="24"/>
              </w:rPr>
            </w:pPr>
            <w:r>
              <w:rPr>
                <w:rFonts w:hint="eastAsia" w:ascii="宋体" w:hAnsi="宋体" w:eastAsia="宋体" w:cs="宋体"/>
                <w:bCs/>
                <w:sz w:val="24"/>
                <w:szCs w:val="24"/>
              </w:rPr>
              <w:t xml:space="preserve">（2）服务投入</w:t>
            </w:r>
            <w:r/>
          </w:p>
          <w:p>
            <w:pPr>
              <w:rPr>
                <w:rFonts w:hint="eastAsia" w:ascii="宋体" w:hAnsi="宋体" w:eastAsia="宋体" w:cs="宋体"/>
                <w:bCs/>
                <w:sz w:val="24"/>
                <w:szCs w:val="24"/>
              </w:rPr>
            </w:pPr>
            <w:r>
              <w:rPr>
                <w:rFonts w:hint="eastAsia" w:ascii="宋体" w:hAnsi="宋体" w:eastAsia="宋体" w:cs="宋体"/>
                <w:bCs/>
                <w:sz w:val="24"/>
                <w:szCs w:val="24"/>
              </w:rPr>
              <w:t xml:space="preserve">对重点系统每月至少执行一次漏洞扫描，全网系统每半年至少执行一次漏洞扫描（包含区县整合上云的系统）。</w:t>
            </w:r>
            <w:r/>
          </w:p>
          <w:p>
            <w:pPr>
              <w:rPr>
                <w:rFonts w:hint="eastAsia" w:ascii="宋体" w:hAnsi="宋体" w:eastAsia="宋体" w:cs="宋体"/>
                <w:bCs/>
                <w:sz w:val="24"/>
                <w:szCs w:val="24"/>
              </w:rPr>
            </w:pPr>
            <w:r>
              <w:rPr>
                <w:rFonts w:hint="eastAsia" w:ascii="宋体" w:hAnsi="宋体" w:eastAsia="宋体" w:cs="宋体"/>
                <w:bCs/>
                <w:sz w:val="24"/>
                <w:szCs w:val="24"/>
              </w:rPr>
              <w:t xml:space="preserve">在新系统上线、设备入网、安全检查等紧急场景下，安全服务团队应积极主动配合开展漏洞扫描工作，及时提交漏洞扫描报告，并对漏洞加固工作提供建议。</w:t>
            </w:r>
            <w:r/>
          </w:p>
          <w:p>
            <w:pPr>
              <w:rPr>
                <w:rFonts w:hint="eastAsia" w:ascii="宋体" w:hAnsi="宋体" w:eastAsia="宋体" w:cs="宋体"/>
                <w:bCs/>
                <w:sz w:val="24"/>
                <w:szCs w:val="24"/>
              </w:rPr>
            </w:pPr>
            <w:r>
              <w:rPr>
                <w:rFonts w:hint="eastAsia" w:ascii="宋体" w:hAnsi="宋体" w:eastAsia="宋体" w:cs="宋体"/>
                <w:bCs/>
                <w:sz w:val="24"/>
                <w:szCs w:val="24"/>
              </w:rPr>
              <w:t xml:space="preserve">（3）服务产出</w:t>
            </w:r>
            <w:r/>
          </w:p>
          <w:p>
            <w:pPr>
              <w:rPr>
                <w:rFonts w:hint="eastAsia" w:ascii="宋体" w:hAnsi="宋体" w:eastAsia="宋体" w:cs="宋体"/>
                <w:bCs/>
                <w:sz w:val="24"/>
                <w:szCs w:val="24"/>
              </w:rPr>
            </w:pPr>
            <w:r>
              <w:rPr>
                <w:rFonts w:hint="eastAsia" w:ascii="宋体" w:hAnsi="宋体" w:eastAsia="宋体" w:cs="宋体"/>
                <w:bCs/>
                <w:sz w:val="24"/>
                <w:szCs w:val="24"/>
              </w:rPr>
              <w:t xml:space="preserve">将安全漏洞扫描服务开展情况写入安全运营月报，说明当前存在的问题，以及针对性的安全漏洞加固建议。</w:t>
            </w:r>
            <w:r/>
          </w:p>
          <w:p>
            <w:pPr>
              <w:rPr>
                <w:rFonts w:hint="eastAsia" w:ascii="宋体" w:hAnsi="宋体" w:eastAsia="宋体" w:cs="宋体"/>
                <w:bCs/>
                <w:sz w:val="24"/>
                <w:szCs w:val="24"/>
              </w:rPr>
            </w:pPr>
            <w:r>
              <w:rPr>
                <w:rFonts w:hint="eastAsia" w:ascii="宋体" w:hAnsi="宋体" w:eastAsia="宋体" w:cs="宋体"/>
                <w:bCs/>
                <w:sz w:val="24"/>
                <w:szCs w:val="24"/>
              </w:rPr>
              <w:t xml:space="preserve">2、安全基线评估（上线安全检测）</w:t>
            </w:r>
            <w:r/>
          </w:p>
          <w:p>
            <w:pPr>
              <w:rPr>
                <w:rFonts w:hint="eastAsia" w:ascii="宋体" w:hAnsi="宋体" w:eastAsia="宋体" w:cs="宋体"/>
                <w:bCs/>
                <w:sz w:val="24"/>
                <w:szCs w:val="24"/>
              </w:rPr>
            </w:pPr>
            <w:r>
              <w:rPr>
                <w:rFonts w:hint="eastAsia" w:ascii="宋体" w:hAnsi="宋体" w:eastAsia="宋体" w:cs="宋体"/>
                <w:bCs/>
                <w:sz w:val="24"/>
                <w:szCs w:val="24"/>
              </w:rPr>
              <w:t xml:space="preserve">（1）服务内容</w:t>
            </w:r>
            <w:r/>
          </w:p>
          <w:p>
            <w:pPr>
              <w:rPr>
                <w:rFonts w:hint="eastAsia" w:ascii="宋体" w:hAnsi="宋体" w:eastAsia="宋体" w:cs="宋体"/>
                <w:bCs/>
                <w:sz w:val="24"/>
                <w:szCs w:val="24"/>
              </w:rPr>
            </w:pPr>
            <w:r>
              <w:rPr>
                <w:rFonts w:hint="eastAsia" w:ascii="宋体" w:hAnsi="宋体" w:eastAsia="宋体" w:cs="宋体"/>
                <w:bCs/>
                <w:sz w:val="24"/>
                <w:szCs w:val="24"/>
              </w:rPr>
              <w:t xml:space="preserve">安全服务团队应使用基线核查软件，常态化对网络环境中各类网络设备、安全设备、操作系统、中间件等资产进行安全基线评估。安全基线内容包括：</w:t>
            </w:r>
            <w:r/>
          </w:p>
          <w:p>
            <w:pPr>
              <w:rPr>
                <w:rFonts w:hint="eastAsia" w:ascii="宋体" w:hAnsi="宋体" w:eastAsia="宋体" w:cs="宋体"/>
                <w:bCs/>
                <w:sz w:val="24"/>
                <w:szCs w:val="24"/>
              </w:rPr>
            </w:pPr>
            <w:r>
              <w:rPr>
                <w:rFonts w:hint="eastAsia" w:ascii="宋体" w:hAnsi="宋体" w:eastAsia="宋体" w:cs="宋体"/>
                <w:bCs/>
                <w:sz w:val="24"/>
                <w:szCs w:val="24"/>
              </w:rPr>
              <w:t xml:space="preserve">账号管理：避免共享账号，锁定无关账号远程登录等；</w:t>
            </w:r>
            <w:r/>
          </w:p>
          <w:p>
            <w:pPr>
              <w:rPr>
                <w:rFonts w:hint="eastAsia" w:ascii="宋体" w:hAnsi="宋体" w:eastAsia="宋体" w:cs="宋体"/>
                <w:bCs/>
                <w:sz w:val="24"/>
                <w:szCs w:val="24"/>
              </w:rPr>
            </w:pPr>
            <w:r>
              <w:rPr>
                <w:rFonts w:hint="eastAsia" w:ascii="宋体" w:hAnsi="宋体" w:eastAsia="宋体" w:cs="宋体"/>
                <w:bCs/>
                <w:sz w:val="24"/>
                <w:szCs w:val="24"/>
              </w:rPr>
              <w:t xml:space="preserve">口令配置：口令复杂度要求、口令生存期要求等；</w:t>
            </w:r>
            <w:r/>
          </w:p>
          <w:p>
            <w:pPr>
              <w:rPr>
                <w:rFonts w:hint="eastAsia" w:ascii="宋体" w:hAnsi="宋体" w:eastAsia="宋体" w:cs="宋体"/>
                <w:bCs/>
                <w:sz w:val="24"/>
                <w:szCs w:val="24"/>
              </w:rPr>
            </w:pPr>
            <w:r>
              <w:rPr>
                <w:rFonts w:hint="eastAsia" w:ascii="宋体" w:hAnsi="宋体" w:eastAsia="宋体" w:cs="宋体"/>
                <w:bCs/>
                <w:sz w:val="24"/>
                <w:szCs w:val="24"/>
              </w:rPr>
              <w:t xml:space="preserve">认证授权：用户缺省权限控制等；</w:t>
            </w:r>
            <w:r/>
          </w:p>
          <w:p>
            <w:pPr>
              <w:rPr>
                <w:rFonts w:hint="eastAsia" w:ascii="宋体" w:hAnsi="宋体" w:eastAsia="宋体" w:cs="宋体"/>
                <w:bCs/>
                <w:sz w:val="24"/>
                <w:szCs w:val="24"/>
              </w:rPr>
            </w:pPr>
            <w:r>
              <w:rPr>
                <w:rFonts w:hint="eastAsia" w:ascii="宋体" w:hAnsi="宋体" w:eastAsia="宋体" w:cs="宋体"/>
                <w:bCs/>
                <w:sz w:val="24"/>
                <w:szCs w:val="24"/>
              </w:rPr>
              <w:t xml:space="preserve">日志配置：登录日志记录、系统事件记录等；</w:t>
            </w:r>
            <w:r/>
          </w:p>
          <w:p>
            <w:pPr>
              <w:rPr>
                <w:rFonts w:hint="eastAsia" w:ascii="宋体" w:hAnsi="宋体" w:eastAsia="宋体" w:cs="宋体"/>
                <w:bCs/>
                <w:sz w:val="24"/>
                <w:szCs w:val="24"/>
              </w:rPr>
            </w:pPr>
            <w:r>
              <w:rPr>
                <w:rFonts w:hint="eastAsia" w:ascii="宋体" w:hAnsi="宋体" w:eastAsia="宋体" w:cs="宋体"/>
                <w:bCs/>
                <w:sz w:val="24"/>
                <w:szCs w:val="24"/>
              </w:rPr>
              <w:t xml:space="preserve">设备管理：SSH安全登录、版本要求等。</w:t>
            </w:r>
            <w:r/>
          </w:p>
          <w:p>
            <w:pPr>
              <w:rPr>
                <w:rFonts w:hint="eastAsia" w:ascii="宋体" w:hAnsi="宋体" w:eastAsia="宋体" w:cs="宋体"/>
                <w:bCs/>
                <w:sz w:val="24"/>
                <w:szCs w:val="24"/>
              </w:rPr>
            </w:pPr>
            <w:r>
              <w:rPr>
                <w:rFonts w:hint="eastAsia" w:ascii="宋体" w:hAnsi="宋体" w:eastAsia="宋体" w:cs="宋体"/>
                <w:bCs/>
                <w:sz w:val="24"/>
                <w:szCs w:val="24"/>
              </w:rPr>
              <w:t xml:space="preserve">（2）服务投入</w:t>
            </w:r>
            <w:r/>
          </w:p>
          <w:p>
            <w:pPr>
              <w:rPr>
                <w:rFonts w:hint="eastAsia" w:ascii="宋体" w:hAnsi="宋体" w:eastAsia="宋体" w:cs="宋体"/>
                <w:bCs/>
                <w:sz w:val="24"/>
                <w:szCs w:val="24"/>
              </w:rPr>
            </w:pPr>
            <w:r>
              <w:rPr>
                <w:rFonts w:hint="eastAsia" w:ascii="宋体" w:hAnsi="宋体" w:eastAsia="宋体" w:cs="宋体"/>
                <w:bCs/>
                <w:sz w:val="24"/>
                <w:szCs w:val="24"/>
              </w:rPr>
              <w:t xml:space="preserve">主要针对新上线系统，进行安全基线评估。</w:t>
            </w:r>
            <w:r/>
          </w:p>
          <w:p>
            <w:pPr>
              <w:rPr>
                <w:rFonts w:hint="eastAsia" w:ascii="宋体" w:hAnsi="宋体" w:eastAsia="宋体" w:cs="宋体"/>
                <w:bCs/>
                <w:sz w:val="24"/>
                <w:szCs w:val="24"/>
              </w:rPr>
            </w:pPr>
            <w:r>
              <w:rPr>
                <w:rFonts w:hint="eastAsia" w:ascii="宋体" w:hAnsi="宋体" w:eastAsia="宋体" w:cs="宋体"/>
                <w:bCs/>
                <w:sz w:val="24"/>
                <w:szCs w:val="24"/>
              </w:rPr>
              <w:t xml:space="preserve">在设备入网、安全检查等场景下，安全服务团队应积极主动配合基线核查工作，发现存在的问题，提出针对性的安全基线加固建议。</w:t>
            </w:r>
            <w:r/>
          </w:p>
          <w:p>
            <w:pPr>
              <w:rPr>
                <w:rFonts w:hint="eastAsia" w:ascii="宋体" w:hAnsi="宋体" w:eastAsia="宋体" w:cs="宋体"/>
                <w:bCs/>
                <w:sz w:val="24"/>
                <w:szCs w:val="24"/>
              </w:rPr>
            </w:pPr>
            <w:r>
              <w:rPr>
                <w:rFonts w:hint="eastAsia" w:ascii="宋体" w:hAnsi="宋体" w:eastAsia="宋体" w:cs="宋体"/>
                <w:bCs/>
                <w:sz w:val="24"/>
                <w:szCs w:val="24"/>
              </w:rPr>
              <w:t xml:space="preserve">（3）服务产出</w:t>
            </w:r>
            <w:r/>
          </w:p>
          <w:p>
            <w:pPr>
              <w:rPr>
                <w:rFonts w:hint="eastAsia" w:ascii="宋体" w:hAnsi="宋体" w:eastAsia="宋体" w:cs="宋体"/>
                <w:bCs/>
                <w:sz w:val="24"/>
                <w:szCs w:val="24"/>
              </w:rPr>
            </w:pPr>
            <w:r>
              <w:rPr>
                <w:rFonts w:hint="eastAsia" w:ascii="宋体" w:hAnsi="宋体" w:eastAsia="宋体" w:cs="宋体"/>
                <w:bCs/>
                <w:sz w:val="24"/>
                <w:szCs w:val="24"/>
              </w:rPr>
              <w:t xml:space="preserve">根据评估结果，提交《XX系统安全基线检查报告》。</w:t>
            </w:r>
            <w:r/>
          </w:p>
          <w:p>
            <w:pPr>
              <w:rPr>
                <w:rFonts w:hint="eastAsia" w:ascii="宋体" w:hAnsi="宋体" w:eastAsia="宋体" w:cs="宋体"/>
                <w:bCs/>
                <w:sz w:val="24"/>
                <w:szCs w:val="24"/>
              </w:rPr>
            </w:pPr>
            <w:r>
              <w:rPr>
                <w:rFonts w:hint="eastAsia" w:ascii="宋体" w:hAnsi="宋体" w:eastAsia="宋体" w:cs="宋体"/>
                <w:bCs/>
                <w:sz w:val="24"/>
                <w:szCs w:val="24"/>
              </w:rPr>
              <w:t xml:space="preserve">3、代码安全检测（上线安全检测）</w:t>
            </w:r>
            <w:r/>
          </w:p>
          <w:p>
            <w:pPr>
              <w:rPr>
                <w:rFonts w:hint="eastAsia" w:ascii="宋体" w:hAnsi="宋体" w:eastAsia="宋体" w:cs="宋体"/>
                <w:bCs/>
                <w:sz w:val="24"/>
                <w:szCs w:val="24"/>
              </w:rPr>
            </w:pPr>
            <w:r>
              <w:rPr>
                <w:rFonts w:hint="eastAsia" w:ascii="宋体" w:hAnsi="宋体" w:eastAsia="宋体" w:cs="宋体"/>
                <w:bCs/>
                <w:sz w:val="24"/>
                <w:szCs w:val="24"/>
              </w:rPr>
              <w:t xml:space="preserve">（1）服务内容</w:t>
            </w:r>
            <w:r/>
          </w:p>
          <w:p>
            <w:pPr>
              <w:rPr>
                <w:rFonts w:hint="eastAsia" w:ascii="宋体" w:hAnsi="宋体" w:eastAsia="宋体" w:cs="宋体"/>
                <w:bCs/>
                <w:sz w:val="24"/>
                <w:szCs w:val="24"/>
              </w:rPr>
            </w:pPr>
            <w:r>
              <w:rPr>
                <w:rFonts w:hint="eastAsia" w:ascii="宋体" w:hAnsi="宋体" w:eastAsia="宋体" w:cs="宋体"/>
                <w:bCs/>
                <w:sz w:val="24"/>
                <w:szCs w:val="24"/>
              </w:rPr>
              <w:t xml:space="preserve">应对新上线的应用系统开展代码审查，发现应用系统存在的逻辑结构问题、安全问题及功能实现问题。从安全的角度对代码质量进行审计，找出应用系统的安全隐患，并给出相应的安全报告和修复方法，从而提高应用系统的安全性。</w:t>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sz w:val="24"/>
                <w:szCs w:val="24"/>
              </w:rPr>
              <w:t xml:space="preserve">★使用的</w:t>
            </w:r>
            <w:r>
              <w:rPr>
                <w:rFonts w:hint="eastAsia" w:ascii="宋体" w:hAnsi="宋体" w:eastAsia="宋体" w:cs="宋体"/>
                <w:b/>
                <w:bCs/>
                <w:sz w:val="24"/>
                <w:szCs w:val="24"/>
              </w:rPr>
              <w:t xml:space="preserve">代码安全检测工具对源代码缺陷检测结果漏报率应不高于7%且误报率应不高于2.5%。</w:t>
            </w:r>
            <w:r>
              <w:rPr>
                <w:rFonts w:hint="eastAsia" w:ascii="宋体" w:hAnsi="宋体" w:eastAsia="宋体" w:cs="宋体"/>
                <w:b/>
                <w:bCs/>
                <w:color w:val="000000" w:themeColor="text1"/>
                <w:sz w:val="24"/>
                <w:szCs w:val="24"/>
                <w14:textFill>
                  <w14:solidFill>
                    <w14:schemeClr w14:val="tx1"/>
                  </w14:solidFill>
                </w14:textFill>
              </w:rPr>
              <w:t xml:space="preserve">(提供公安部计算机信息系统安全产品质量监督检验中心出具的检验检测报告)</w:t>
            </w:r>
            <w:r/>
          </w:p>
          <w:p>
            <w:pPr>
              <w:rPr>
                <w:rFonts w:hint="eastAsia" w:ascii="宋体" w:hAnsi="宋体" w:eastAsia="宋体" w:cs="宋体"/>
                <w:bCs/>
                <w:sz w:val="24"/>
                <w:szCs w:val="24"/>
              </w:rPr>
            </w:pPr>
            <w:r>
              <w:rPr>
                <w:rFonts w:hint="eastAsia" w:ascii="宋体" w:hAnsi="宋体" w:eastAsia="宋体" w:cs="宋体"/>
                <w:bCs/>
                <w:sz w:val="24"/>
                <w:szCs w:val="24"/>
              </w:rPr>
              <w:t xml:space="preserve">应对现有第三方接口进行详细分析和安全检测，对目前存在的接口安全问题进行汇总，并提出解决方案，同时参与完善第三方接口的安全标准。</w:t>
            </w:r>
            <w:r/>
          </w:p>
          <w:p>
            <w:pPr>
              <w:rPr>
                <w:rFonts w:hint="eastAsia" w:ascii="宋体" w:hAnsi="宋体" w:eastAsia="宋体" w:cs="宋体"/>
                <w:bCs/>
                <w:sz w:val="24"/>
                <w:szCs w:val="24"/>
              </w:rPr>
            </w:pPr>
            <w:r>
              <w:rPr>
                <w:rFonts w:hint="eastAsia" w:ascii="宋体" w:hAnsi="宋体" w:eastAsia="宋体" w:cs="宋体"/>
                <w:bCs/>
                <w:sz w:val="24"/>
                <w:szCs w:val="24"/>
              </w:rPr>
              <w:t xml:space="preserve">（2）服务投入</w:t>
            </w:r>
            <w:r/>
          </w:p>
          <w:p>
            <w:pPr>
              <w:rPr>
                <w:rFonts w:hint="eastAsia" w:ascii="宋体" w:hAnsi="宋体" w:eastAsia="宋体" w:cs="宋体"/>
                <w:bCs/>
                <w:sz w:val="24"/>
                <w:szCs w:val="24"/>
              </w:rPr>
            </w:pPr>
            <w:r>
              <w:rPr>
                <w:rFonts w:hint="eastAsia" w:ascii="宋体" w:hAnsi="宋体" w:eastAsia="宋体" w:cs="宋体"/>
                <w:bCs/>
                <w:sz w:val="24"/>
                <w:szCs w:val="24"/>
              </w:rPr>
              <w:t xml:space="preserve">根据实际上线的系统情况，提供源代码审计的系统不少于50个，实际按需。</w:t>
            </w:r>
            <w:r/>
          </w:p>
          <w:p>
            <w:pPr>
              <w:rPr>
                <w:rFonts w:hint="eastAsia" w:ascii="宋体" w:hAnsi="宋体" w:eastAsia="宋体" w:cs="宋体"/>
                <w:bCs/>
                <w:sz w:val="24"/>
                <w:szCs w:val="24"/>
              </w:rPr>
            </w:pPr>
            <w:r>
              <w:rPr>
                <w:rFonts w:hint="eastAsia" w:ascii="宋体" w:hAnsi="宋体" w:eastAsia="宋体" w:cs="宋体"/>
                <w:bCs/>
                <w:sz w:val="24"/>
                <w:szCs w:val="24"/>
              </w:rPr>
              <w:t xml:space="preserve">（3）服务产出</w:t>
            </w:r>
            <w:r/>
          </w:p>
          <w:p>
            <w:pPr>
              <w:rPr>
                <w:rFonts w:hint="eastAsia" w:ascii="宋体" w:hAnsi="宋体" w:eastAsia="宋体" w:cs="宋体"/>
                <w:bCs/>
                <w:sz w:val="24"/>
                <w:szCs w:val="24"/>
              </w:rPr>
            </w:pPr>
            <w:r>
              <w:rPr>
                <w:rFonts w:hint="eastAsia" w:ascii="宋体" w:hAnsi="宋体" w:eastAsia="宋体" w:cs="宋体"/>
                <w:bCs/>
                <w:sz w:val="24"/>
                <w:szCs w:val="24"/>
              </w:rPr>
              <w:t xml:space="preserve">在代码审计服务完成后提交代码安全审计报告，在指导相关开发人员完成整改后，提供二次代码审计报告。</w:t>
            </w:r>
            <w:r/>
          </w:p>
          <w:p>
            <w:pPr>
              <w:rPr>
                <w:rFonts w:hint="eastAsia" w:ascii="宋体" w:hAnsi="宋体" w:eastAsia="宋体" w:cs="宋体"/>
                <w:sz w:val="24"/>
                <w:szCs w:val="24"/>
              </w:rPr>
            </w:pPr>
            <w:r>
              <w:rPr>
                <w:rFonts w:hint="eastAsia" w:ascii="宋体" w:hAnsi="宋体" w:eastAsia="宋体" w:cs="宋体"/>
                <w:sz w:val="24"/>
                <w:szCs w:val="24"/>
              </w:rPr>
              <w:t xml:space="preserve">4、渗透测试（上线安全检测）</w:t>
            </w:r>
            <w:r/>
          </w:p>
          <w:p>
            <w:p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rPr>
                <w:rFonts w:hint="eastAsia" w:ascii="宋体" w:hAnsi="宋体" w:eastAsia="宋体" w:cs="宋体"/>
                <w:sz w:val="24"/>
                <w:szCs w:val="24"/>
              </w:rPr>
            </w:pPr>
            <w:r>
              <w:rPr>
                <w:rFonts w:hint="eastAsia" w:ascii="宋体" w:hAnsi="宋体" w:eastAsia="宋体" w:cs="宋体"/>
                <w:sz w:val="24"/>
                <w:szCs w:val="24"/>
              </w:rPr>
              <w:t xml:space="preserve">安全服务团队应在系统提测环节和发布环节前提供上线前渗透测试服务，以减少编码不规范使用导致的软件依赖或组件的漏洞情况，从而降低系统被入侵、数据泄漏、内容篡改等安全风险，保证系统发布后稳定运行。</w:t>
            </w:r>
            <w:r/>
          </w:p>
          <w:p>
            <w:pPr>
              <w:rPr>
                <w:rFonts w:hint="eastAsia" w:ascii="宋体" w:hAnsi="宋体" w:eastAsia="宋体" w:cs="宋体"/>
                <w:sz w:val="24"/>
                <w:szCs w:val="24"/>
              </w:rPr>
            </w:pPr>
            <w:r>
              <w:rPr>
                <w:rFonts w:hint="eastAsia" w:ascii="宋体" w:hAnsi="宋体" w:eastAsia="宋体" w:cs="宋体"/>
                <w:sz w:val="24"/>
                <w:szCs w:val="24"/>
              </w:rPr>
              <w:t xml:space="preserve">对渗透测试中发现的高中危漏洞，安全服务团队应通知和指导开发单位及时修复，漏洞修复后，安全服务团队进行复测检查。</w:t>
            </w:r>
            <w:r/>
          </w:p>
          <w:p>
            <w:p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rPr>
                <w:rFonts w:hint="eastAsia" w:ascii="宋体" w:hAnsi="宋体" w:eastAsia="宋体" w:cs="宋体"/>
                <w:sz w:val="24"/>
                <w:szCs w:val="24"/>
              </w:rPr>
            </w:pPr>
            <w:r>
              <w:rPr>
                <w:rFonts w:hint="eastAsia" w:ascii="宋体" w:hAnsi="宋体" w:eastAsia="宋体" w:cs="宋体"/>
                <w:sz w:val="24"/>
                <w:szCs w:val="24"/>
              </w:rPr>
              <w:t xml:space="preserve">根据实际上线需求开展渗透测试服务。</w:t>
            </w:r>
            <w:r/>
          </w:p>
          <w:p>
            <w:p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rPr>
                <w:rFonts w:hint="eastAsia" w:ascii="宋体" w:hAnsi="宋体" w:eastAsia="宋体" w:cs="宋体"/>
                <w:sz w:val="24"/>
                <w:szCs w:val="24"/>
              </w:rPr>
            </w:pPr>
            <w:r>
              <w:rPr>
                <w:rFonts w:hint="eastAsia" w:ascii="宋体" w:hAnsi="宋体" w:eastAsia="宋体" w:cs="宋体"/>
                <w:sz w:val="24"/>
                <w:szCs w:val="24"/>
              </w:rPr>
              <w:t xml:space="preserve">提交《应用系统上线渗透测试报告》。</w:t>
            </w:r>
            <w:r/>
          </w:p>
          <w:p>
            <w:pPr>
              <w:rPr>
                <w:rFonts w:hint="eastAsia" w:ascii="宋体" w:hAnsi="宋体" w:eastAsia="宋体" w:cs="宋体"/>
                <w:sz w:val="24"/>
                <w:szCs w:val="24"/>
              </w:rPr>
            </w:pPr>
            <w:r>
              <w:rPr>
                <w:rFonts w:hint="eastAsia" w:ascii="宋体" w:hAnsi="宋体" w:eastAsia="宋体" w:cs="宋体"/>
                <w:sz w:val="24"/>
                <w:szCs w:val="24"/>
              </w:rPr>
              <w:t xml:space="preserve">5、APP安全评估报告审核（上线安全检测）</w:t>
            </w:r>
            <w:r/>
          </w:p>
          <w:p>
            <w:pPr>
              <w:rPr>
                <w:rFonts w:hint="eastAsia" w:ascii="宋体" w:hAnsi="宋体" w:eastAsia="宋体" w:cs="宋体"/>
                <w:sz w:val="24"/>
                <w:szCs w:val="24"/>
              </w:rPr>
            </w:pPr>
            <w:r>
              <w:rPr>
                <w:rFonts w:hint="eastAsia" w:ascii="宋体" w:hAnsi="宋体" w:eastAsia="宋体" w:cs="宋体"/>
                <w:sz w:val="24"/>
                <w:szCs w:val="24"/>
              </w:rPr>
              <w:t xml:space="preserve">如有单位有新建APP，建设单位需在上线前委托第三方或自行对APP安全检测，各系统建设单位提交安全检测报告，安服团队进行核对。</w:t>
            </w:r>
            <w:r/>
          </w:p>
          <w:p>
            <w:pPr>
              <w:rPr>
                <w:rFonts w:hint="eastAsia" w:ascii="宋体" w:hAnsi="宋体" w:eastAsia="宋体" w:cs="宋体"/>
                <w:sz w:val="24"/>
                <w:szCs w:val="24"/>
              </w:rPr>
            </w:pPr>
            <w:r>
              <w:rPr>
                <w:rFonts w:hint="eastAsia" w:ascii="宋体" w:hAnsi="宋体" w:eastAsia="宋体" w:cs="宋体"/>
                <w:sz w:val="24"/>
                <w:szCs w:val="24"/>
              </w:rPr>
              <w:t xml:space="preserve">6、开源组件安全检测（上线安全检测）</w:t>
            </w:r>
            <w:r/>
          </w:p>
          <w:p>
            <w:p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rPr>
                <w:rFonts w:hint="eastAsia" w:ascii="宋体" w:hAnsi="宋体" w:eastAsia="宋体" w:cs="宋体"/>
                <w:sz w:val="24"/>
                <w:szCs w:val="24"/>
              </w:rPr>
            </w:pPr>
            <w:r>
              <w:rPr>
                <w:rFonts w:hint="eastAsia" w:ascii="宋体" w:hAnsi="宋体" w:eastAsia="宋体" w:cs="宋体"/>
                <w:sz w:val="24"/>
                <w:szCs w:val="24"/>
              </w:rPr>
              <w:t xml:space="preserve">安服团队通过专业工具提取软件中使用的开源组件特征指纹，对开源组件进行精确识别，输出每个软件系统的开源组件资产清单，以及对应的开源组件漏洞信息、开源协议信息、开源组件整改建议等内容。同时，建立开源组件资产台账，当开源组件出现新的漏洞时，系统责任单位可快速定位哪些系统使用的开源组件版本受影响，进行漏洞响应。</w:t>
            </w:r>
            <w:r/>
          </w:p>
          <w:p>
            <w:p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rPr>
                <w:rFonts w:hint="eastAsia" w:ascii="宋体" w:hAnsi="宋体" w:eastAsia="宋体" w:cs="宋体"/>
                <w:sz w:val="24"/>
                <w:szCs w:val="24"/>
              </w:rPr>
            </w:pPr>
            <w:r>
              <w:rPr>
                <w:rFonts w:hint="eastAsia" w:ascii="宋体" w:hAnsi="宋体" w:eastAsia="宋体" w:cs="宋体"/>
                <w:sz w:val="24"/>
                <w:szCs w:val="24"/>
              </w:rPr>
              <w:t xml:space="preserve">针对新上线的信息系统开展开源组件安全检测，对软件中用到的第三方开源软件和开源框架进行检测。</w:t>
            </w:r>
            <w:r/>
          </w:p>
          <w:p>
            <w:p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rPr>
                <w:rFonts w:hint="eastAsia" w:ascii="宋体" w:hAnsi="宋体" w:eastAsia="宋体" w:cs="宋体"/>
                <w:sz w:val="24"/>
                <w:szCs w:val="24"/>
              </w:rPr>
            </w:pPr>
            <w:r>
              <w:rPr>
                <w:rFonts w:hint="eastAsia" w:ascii="宋体" w:hAnsi="宋体" w:eastAsia="宋体" w:cs="宋体"/>
                <w:sz w:val="24"/>
                <w:szCs w:val="24"/>
              </w:rPr>
              <w:t xml:space="preserve">根据检测结果，提交《系统开源组件漏洞检测报告》。</w:t>
            </w:r>
            <w:r/>
          </w:p>
          <w:p>
            <w:pPr>
              <w:rPr>
                <w:rFonts w:hint="eastAsia" w:ascii="宋体" w:hAnsi="宋体" w:eastAsia="宋体" w:cs="宋体"/>
                <w:sz w:val="24"/>
                <w:szCs w:val="24"/>
              </w:rPr>
            </w:pPr>
            <w:r>
              <w:rPr>
                <w:rFonts w:hint="eastAsia" w:ascii="宋体" w:hAnsi="宋体" w:eastAsia="宋体" w:cs="宋体"/>
                <w:sz w:val="24"/>
                <w:szCs w:val="24"/>
              </w:rPr>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重要时期安全保障</w:t>
            </w:r>
            <w:r/>
          </w:p>
        </w:tc>
        <w:tc>
          <w:tcPr>
            <w:tcW w:w="656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rPr>
                <w:rFonts w:hint="eastAsia" w:ascii="宋体" w:hAnsi="宋体" w:eastAsia="宋体" w:cs="宋体"/>
                <w:sz w:val="24"/>
                <w:szCs w:val="24"/>
              </w:rPr>
            </w:pPr>
            <w:r>
              <w:rPr>
                <w:rFonts w:hint="eastAsia" w:ascii="宋体" w:hAnsi="宋体" w:eastAsia="宋体" w:cs="宋体"/>
                <w:sz w:val="24"/>
                <w:szCs w:val="24"/>
              </w:rPr>
              <w:t xml:space="preserve">在重要节假日、重大政治事件、攻防演练等重要时期，安全服务团队应提供高级专家现场带班指导、安服团队现场安全保障、后端远程在线支持、机动团队及时响应服务。</w:t>
            </w:r>
            <w:r/>
          </w:p>
          <w:p>
            <w:pPr>
              <w:rPr>
                <w:rFonts w:hint="eastAsia" w:ascii="宋体" w:hAnsi="宋体" w:eastAsia="宋体" w:cs="宋体"/>
                <w:sz w:val="24"/>
                <w:szCs w:val="24"/>
              </w:rPr>
            </w:pPr>
            <w:r>
              <w:rPr>
                <w:rFonts w:hint="eastAsia" w:ascii="宋体" w:hAnsi="宋体" w:eastAsia="宋体" w:cs="宋体"/>
                <w:sz w:val="24"/>
                <w:szCs w:val="24"/>
              </w:rPr>
              <w:t xml:space="preserve">现场安全保障：重保期间，6名以上资深安全工程师提供7×24小时现场支持服务，保障数据局所属信息系统的安全稳定运行，对突发事件进行快速有效的处置。</w:t>
            </w:r>
            <w:r/>
          </w:p>
          <w:p>
            <w:pPr>
              <w:rPr>
                <w:rFonts w:hint="eastAsia" w:ascii="宋体" w:hAnsi="宋体" w:eastAsia="宋体" w:cs="宋体"/>
                <w:sz w:val="24"/>
                <w:szCs w:val="24"/>
              </w:rPr>
            </w:pPr>
            <w:r>
              <w:rPr>
                <w:rFonts w:hint="eastAsia" w:ascii="宋体" w:hAnsi="宋体" w:eastAsia="宋体" w:cs="宋体"/>
                <w:sz w:val="24"/>
                <w:szCs w:val="24"/>
              </w:rPr>
              <w:t xml:space="preserve">远程在线保障：重保期间，2名以上安全工程师提供7×24小时远程支持服务，远程监测网络和信息系统安全状况，对安全事件进行及时处理。</w:t>
            </w:r>
            <w:r/>
          </w:p>
          <w:p>
            <w:pPr>
              <w:rPr>
                <w:rFonts w:hint="eastAsia" w:ascii="宋体" w:hAnsi="宋体" w:eastAsia="宋体" w:cs="宋体"/>
                <w:sz w:val="24"/>
                <w:szCs w:val="24"/>
              </w:rPr>
            </w:pPr>
            <w:r>
              <w:rPr>
                <w:rFonts w:hint="eastAsia" w:ascii="宋体" w:hAnsi="宋体" w:eastAsia="宋体" w:cs="宋体"/>
                <w:sz w:val="24"/>
                <w:szCs w:val="24"/>
              </w:rPr>
              <w:t xml:space="preserve">后端保障：将市数据局所属信息系统的互联网资产，如网站群，信用网站等纳入到中标公司的云防护系统等后端保障系统。</w:t>
            </w:r>
            <w:r/>
          </w:p>
          <w:p>
            <w:pPr>
              <w:rPr>
                <w:rFonts w:hint="eastAsia" w:ascii="宋体" w:hAnsi="宋体" w:eastAsia="宋体" w:cs="宋体"/>
                <w:sz w:val="24"/>
                <w:szCs w:val="24"/>
              </w:rPr>
            </w:pPr>
            <w:r>
              <w:rPr>
                <w:rFonts w:hint="eastAsia" w:ascii="宋体" w:hAnsi="宋体" w:eastAsia="宋体" w:cs="宋体"/>
                <w:sz w:val="24"/>
                <w:szCs w:val="24"/>
              </w:rPr>
              <w:t xml:space="preserve">应急响应保障：当出现紧急安全事件，根据实际情况，调派应急响应技术顾问和资深专家到现场进行支持工作。</w:t>
            </w:r>
            <w:r/>
          </w:p>
          <w:p>
            <w:pPr>
              <w:rPr>
                <w:rFonts w:hint="eastAsia" w:ascii="宋体" w:hAnsi="宋体" w:eastAsia="宋体" w:cs="宋体"/>
                <w:sz w:val="24"/>
                <w:szCs w:val="24"/>
              </w:rPr>
            </w:pPr>
            <w:r>
              <w:rPr>
                <w:rFonts w:hint="eastAsia" w:ascii="宋体" w:hAnsi="宋体" w:eastAsia="宋体" w:cs="宋体"/>
                <w:sz w:val="24"/>
                <w:szCs w:val="24"/>
              </w:rPr>
              <w:t xml:space="preserve">漏洞“回头看”：重保前，对数据局所属系统的漏洞进行“回头看”。</w:t>
            </w:r>
            <w:r/>
          </w:p>
          <w:p>
            <w:pPr>
              <w:rPr>
                <w:rFonts w:hint="eastAsia" w:ascii="宋体" w:hAnsi="宋体" w:eastAsia="宋体" w:cs="宋体"/>
                <w:sz w:val="24"/>
                <w:szCs w:val="24"/>
              </w:rPr>
            </w:pPr>
            <w:r>
              <w:rPr>
                <w:rFonts w:hint="eastAsia" w:ascii="宋体" w:hAnsi="宋体" w:eastAsia="宋体" w:cs="宋体"/>
                <w:sz w:val="24"/>
                <w:szCs w:val="24"/>
              </w:rPr>
              <w:t xml:space="preserve">参加省攻防演练：根据省大数据管理中心工作要求，组织攻击队参加全省电子政务外网攻防演练活动。6人攻击队（3人现场，3人远程），每次不少天5天。一年不少于2次，实际按需，攻击成绩需在13个地市中处于中上。</w:t>
            </w:r>
            <w:r/>
          </w:p>
          <w:p>
            <w:p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rPr>
                <w:rFonts w:hint="eastAsia" w:ascii="宋体" w:hAnsi="宋体" w:eastAsia="宋体" w:cs="宋体"/>
                <w:sz w:val="24"/>
                <w:szCs w:val="24"/>
              </w:rPr>
            </w:pPr>
            <w:r>
              <w:rPr>
                <w:rFonts w:hint="eastAsia" w:ascii="宋体" w:hAnsi="宋体" w:eastAsia="宋体" w:cs="宋体"/>
                <w:sz w:val="24"/>
                <w:szCs w:val="24"/>
              </w:rPr>
              <w:t xml:space="preserve">每年至少4次重保，实际按需（2024年、2025年都有10余次，每年有100多天），每次不少于7天，根据实际情况开展，重保服务时间点包括全国两会、烟花三月国际经贸旅游节、国庆、攻防演练等。</w:t>
            </w:r>
            <w:r/>
          </w:p>
          <w:p>
            <w:pPr>
              <w:rPr>
                <w:rFonts w:hint="eastAsia" w:ascii="宋体" w:hAnsi="宋体" w:eastAsia="宋体" w:cs="宋体"/>
                <w:sz w:val="24"/>
                <w:szCs w:val="24"/>
              </w:rPr>
            </w:pPr>
            <w:r>
              <w:rPr>
                <w:rFonts w:hint="eastAsia" w:ascii="宋体" w:hAnsi="宋体" w:eastAsia="宋体" w:cs="宋体"/>
                <w:sz w:val="24"/>
                <w:szCs w:val="24"/>
              </w:rPr>
              <w:t xml:space="preserve">组织一支不少于3人的攻击队代表扬州参加省电子政务外网攻防演练。</w:t>
            </w:r>
            <w:r/>
          </w:p>
          <w:p>
            <w:pPr>
              <w:rPr>
                <w:rFonts w:hint="eastAsia" w:ascii="宋体" w:hAnsi="宋体" w:eastAsia="宋体" w:cs="宋体"/>
                <w:sz w:val="24"/>
                <w:szCs w:val="24"/>
              </w:rPr>
            </w:pPr>
            <w:r>
              <w:rPr>
                <w:rFonts w:hint="eastAsia" w:ascii="宋体" w:hAnsi="宋体" w:cs="宋体"/>
                <w:sz w:val="24"/>
                <w:szCs w:val="24"/>
                <w:lang w:val="en-US" w:eastAsia="zh-CN"/>
              </w:rPr>
              <w:t xml:space="preserve">根据需要，组织扬州市电子政务外网安全攻防演练。</w:t>
            </w:r>
            <w:r/>
          </w:p>
          <w:p>
            <w:p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rPr>
                <w:rFonts w:hint="eastAsia" w:ascii="宋体" w:hAnsi="宋体" w:eastAsia="宋体" w:cs="宋体"/>
                <w:sz w:val="24"/>
                <w:szCs w:val="24"/>
              </w:rPr>
            </w:pPr>
            <w:r>
              <w:rPr>
                <w:rFonts w:hint="eastAsia" w:ascii="宋体" w:hAnsi="宋体" w:eastAsia="宋体" w:cs="宋体"/>
                <w:sz w:val="24"/>
                <w:szCs w:val="24"/>
              </w:rPr>
              <w:t xml:space="preserve">重保完成后，提交《XX活动重保总结报告》。</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安全监测</w:t>
            </w:r>
            <w:r/>
          </w:p>
        </w:tc>
        <w:tc>
          <w:tcPr>
            <w:tcW w:w="6561" w:type="dxa"/>
            <w:textDirection w:val="lrTb"/>
            <w:noWrap w:val="false"/>
          </w:tcPr>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网站安全监测</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通过云端资源实时监测，为全市政府网站及重要应用系统提供系统漏洞扫描、网页篡改监测、网页挂马监测、黑词暗链监测、可用性监测、仿冒/钓鱼网站监测、未知资产监测、DDOS攻击监测等安全服务。</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对全市政府门户网站及其子站和互联网系统不少于200个站点，开展7×24小时安全实时监测。</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提交监测情况《网站安全监测报告》。</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网络安全态势感知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该服务提供全方位的安全威胁监测、日志统一分析、威胁情报导入和整体分析关联及展示，同时能够全面掌握全市重要网站及应用系统的安全状况，有力的保障网络和业务系统的安全稳定运行。具体包括：</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实时发现风险：利用网络安全态势感知平台进行已知威胁及未知威胁的实时发现，提供资产、威胁、脆弱性的相关管理，最后实现以“安全运营闭环管理和数据分析为核心”的安全运营理念。</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及时整改风险：每日研判分析态势感知平台中的告警信息，将确认过的安全风险通过工单系统发送给相应的责任单位，并在完成整改后进行验证复测，形成风险的闭环管理。</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展示相关数据：每周更新态势感知平台中展示页面的相关数据。根据实际需求，定制开发展示页面。</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7×24小时实时安全分析研判告警。</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（3）服务产出</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每日根据安全分析结果输出安全分析报告，对存在的安全隐患通知整改，并发送《安全隐患告知书》，形成闭环处置。</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县（市、区）纵向流量监测</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对所辖6个县（市、区）和3个功能区的电子政务外网纵向网流量实时监测，即广陵、邗江、江都、高邮、宝应、仪征、经济技术开发区、生态科技新城、蜀冈瘦西湖风景名胜区，通过部署在电子政务外网纵向网的流量探针采集6个县（市、区）和3个功能区的电子政务外网出口流量数据（非各地网内流量），通过对流量数据进行研判分析，识别出区县的安全风险，并通过态势感知平台工单通知相应区县责任人进行整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每日实时对电子政务外网纵向网威胁流量安全分析。</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（3）服务输出</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根据安全分析实际情况发送《安全隐患告知书》，跟踪区县对存在的安全隐患进行整改，并形成闭环处置。</w:t>
            </w:r>
            <w:r/>
          </w:p>
          <w:p>
            <w:pPr>
              <w:numPr>
                <w:ilvl w:val="0"/>
                <w:numId w:val="5"/>
              </w:numPr>
              <w:rPr>
                <w:rFonts w:hint="eastAsia" w:ascii="宋体" w:hAnsi="宋体" w:eastAsia="宋体" w:cs="宋体"/>
                <w:sz w:val="24"/>
                <w:szCs w:val="24"/>
              </w:rPr>
            </w:pPr>
            <w:r>
              <w:rPr>
                <w:rFonts w:hint="eastAsia" w:ascii="宋体" w:hAnsi="宋体" w:eastAsia="宋体" w:cs="宋体"/>
                <w:sz w:val="24"/>
                <w:szCs w:val="24"/>
              </w:rPr>
              <w:t xml:space="preserve">API接口安全监测和分析</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通过API安全监测系统对电子政务外网中大量API接口进行API资产识别和API安全风险监测（如接口未授权、异常操作行为、敏感数据传输、敏感数据检测等）。</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实时监测，每月开展敏感数据检测与分析服务。</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（3）服务输出</w:t>
            </w:r>
            <w:r/>
          </w:p>
          <w:p>
            <w:pPr>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每月根据安全分析结果输出API检测分析报告。</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高级专家安全评估</w:t>
            </w:r>
            <w:r/>
          </w:p>
        </w:tc>
        <w:tc>
          <w:tcPr>
            <w:tcW w:w="656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（1）服务内容</w:t>
            </w:r>
            <w:r/>
          </w:p>
          <w:p>
            <w:pPr>
              <w:rPr>
                <w:rFonts w:hint="eastAsia" w:ascii="宋体" w:hAnsi="宋体" w:eastAsia="宋体" w:cs="宋体"/>
                <w:sz w:val="24"/>
                <w:szCs w:val="24"/>
              </w:rPr>
            </w:pPr>
            <w:r>
              <w:rPr>
                <w:rFonts w:hint="eastAsia" w:ascii="宋体" w:hAnsi="宋体" w:eastAsia="宋体" w:cs="宋体"/>
                <w:sz w:val="24"/>
                <w:szCs w:val="24"/>
              </w:rPr>
              <w:t xml:space="preserve">每季度中标公司需安排后端高级专家来现场对数据局所属重要资产进行全面安全评估，内容包含但不限于评估数据局所属17个系统整体安全情况、指导现场安服常态化安全工作、分享其他地市安全经验和案例等。</w:t>
            </w:r>
            <w:r/>
          </w:p>
          <w:p>
            <w:pPr>
              <w:rPr>
                <w:rFonts w:hint="eastAsia" w:ascii="宋体" w:hAnsi="宋体" w:eastAsia="宋体" w:cs="宋体"/>
                <w:sz w:val="24"/>
                <w:szCs w:val="24"/>
              </w:rPr>
            </w:pPr>
            <w:r>
              <w:rPr>
                <w:rFonts w:hint="eastAsia" w:ascii="宋体" w:hAnsi="宋体" w:eastAsia="宋体" w:cs="宋体"/>
                <w:sz w:val="24"/>
                <w:szCs w:val="24"/>
              </w:rPr>
              <w:t xml:space="preserve">（2）服务投入</w:t>
            </w:r>
            <w:r/>
          </w:p>
          <w:p>
            <w:pPr>
              <w:rPr>
                <w:rFonts w:hint="eastAsia" w:ascii="宋体" w:hAnsi="宋体" w:eastAsia="宋体" w:cs="宋体"/>
                <w:sz w:val="24"/>
                <w:szCs w:val="24"/>
              </w:rPr>
            </w:pPr>
            <w:r>
              <w:rPr>
                <w:rFonts w:hint="eastAsia" w:ascii="宋体" w:hAnsi="宋体" w:eastAsia="宋体" w:cs="宋体"/>
                <w:sz w:val="24"/>
                <w:szCs w:val="24"/>
              </w:rPr>
              <w:t xml:space="preserve">每季度一次，一次不少天5天。</w:t>
            </w:r>
            <w:r/>
          </w:p>
          <w:p>
            <w:pPr>
              <w:rPr>
                <w:rFonts w:hint="eastAsia" w:ascii="宋体" w:hAnsi="宋体" w:eastAsia="宋体" w:cs="宋体"/>
                <w:sz w:val="24"/>
                <w:szCs w:val="24"/>
              </w:rPr>
            </w:pPr>
            <w:r>
              <w:rPr>
                <w:rFonts w:hint="eastAsia" w:ascii="宋体" w:hAnsi="宋体" w:eastAsia="宋体" w:cs="宋体"/>
                <w:sz w:val="24"/>
                <w:szCs w:val="24"/>
              </w:rPr>
              <w:t xml:space="preserve">（3）服务输出</w:t>
            </w:r>
            <w:r/>
          </w:p>
          <w:p>
            <w:pPr>
              <w:rPr>
                <w:rFonts w:hint="eastAsia" w:ascii="宋体" w:hAnsi="宋体" w:eastAsia="宋体" w:cs="宋体"/>
                <w:sz w:val="24"/>
                <w:szCs w:val="24"/>
              </w:rPr>
            </w:pPr>
            <w:r>
              <w:rPr>
                <w:rFonts w:hint="eastAsia" w:ascii="宋体" w:hAnsi="宋体" w:eastAsia="宋体" w:cs="宋体"/>
                <w:sz w:val="24"/>
                <w:szCs w:val="24"/>
              </w:rPr>
              <w:t xml:space="preserve">每次专家安全评估结束后生成《高级专家安全评估报告》，中标公司盖章。</w:t>
            </w:r>
            <w:r/>
          </w:p>
        </w:tc>
      </w:tr>
      <w:tr>
        <w:trPr/>
        <w:tc>
          <w:tcPr>
            <w:tcW w:w="92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345"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区县安全检测</w:t>
            </w:r>
            <w:r/>
          </w:p>
        </w:tc>
        <w:tc>
          <w:tcPr>
            <w:tcW w:w="656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根据系统国产化改造和整合上云要求，区县的系统整合至市级政务云，对区县系统需要开展渗透测试、漏洞扫描、新系统上线检测。具体内容同上。</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jc w:val="left"/>
        <w:rPr>
          <w:rFonts w:hint="eastAsia" w:ascii="宋体" w:hAnsi="宋体" w:eastAsia="宋体" w:cs="宋体"/>
          <w:iCs/>
          <w:color w:val="000000" w:themeColor="text1"/>
          <w:sz w:val="24"/>
          <w:szCs w:val="24"/>
          <w14:textFill>
            <w14:solidFill>
              <w14:schemeClr w14:val="tx1"/>
            </w14:solidFill>
          </w14:textFill>
        </w:rPr>
        <w:outlineLvl w:val="0"/>
      </w:pPr>
      <w:r>
        <w:rPr>
          <w:rFonts w:hint="eastAsia" w:ascii="宋体" w:hAnsi="宋体" w:eastAsia="宋体" w:cs="宋体"/>
          <w:i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iCs/>
          <w:color w:val="000000" w:themeColor="text1"/>
          <w:sz w:val="24"/>
          <w:szCs w:val="24"/>
          <w14:textFill>
            <w14:solidFill>
              <w14:schemeClr w14:val="tx1"/>
            </w14:solidFill>
          </w14:textFill>
        </w:rPr>
        <w:t xml:space="preserve">服务方案要求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需提供的技术方案包括强化安全管理、强化安全技术、强化安全运营，需从威胁情报与风险分析通告、安全咨询、安全风险闭环管理、信息资产管理系统、网络安全态势感知平台、API安全监测与分析管理平台、网站云监测平台、网站云防护平台、信息资产管理服务、安全应急响应服务、周期性渗透测试服务、上线安全检测服务、重要时期安全保障服务、安全监测服务、高级专家安全评估、区县安全检测服务等16个方面详细阐述如何开展安全工作。</w:t>
      </w:r>
      <w:r/>
    </w:p>
    <w:p>
      <w:pPr>
        <w:numPr>
          <w:ilvl w:val="0"/>
          <w:numId w:val="0"/>
        </w:numPr>
        <w:jc w:val="left"/>
        <w:rPr>
          <w:rFonts w:hint="eastAsia" w:ascii="宋体" w:hAnsi="宋体" w:eastAsia="宋体" w:cs="宋体"/>
          <w:iCs/>
          <w:color w:val="000000" w:themeColor="text1"/>
          <w:sz w:val="24"/>
          <w:szCs w:val="24"/>
          <w14:textFill>
            <w14:solidFill>
              <w14:schemeClr w14:val="tx1"/>
            </w14:solidFill>
          </w14:textFill>
        </w:rPr>
        <w:outlineLvl w:val="0"/>
      </w:pPr>
      <w:r/>
      <w:bookmarkStart w:id="2" w:name="_Toc151638875"/>
      <w:r>
        <w:rPr>
          <w:rFonts w:hint="eastAsia" w:ascii="宋体" w:hAnsi="宋体" w:eastAsia="宋体" w:cs="宋体"/>
          <w:iCs/>
          <w:color w:val="000000" w:themeColor="text1"/>
          <w:sz w:val="24"/>
          <w:szCs w:val="24"/>
          <w:lang w:val="en-US" w:eastAsia="zh-CN"/>
          <w14:textFill>
            <w14:solidFill>
              <w14:schemeClr w14:val="tx1"/>
            </w14:solidFill>
          </w14:textFill>
        </w:rPr>
        <w:t xml:space="preserve">五、</w:t>
      </w:r>
      <w:r>
        <w:rPr>
          <w:rFonts w:hint="eastAsia" w:ascii="宋体" w:hAnsi="宋体" w:eastAsia="宋体" w:cs="宋体"/>
          <w:iCs/>
          <w:color w:val="000000" w:themeColor="text1"/>
          <w:sz w:val="24"/>
          <w:szCs w:val="24"/>
          <w14:textFill>
            <w14:solidFill>
              <w14:schemeClr w14:val="tx1"/>
            </w14:solidFill>
          </w14:textFill>
        </w:rPr>
        <w:t xml:space="preserve">服务承诺</w:t>
      </w:r>
      <w:bookmarkEnd w:id="2"/>
      <w:r/>
      <w:r/>
    </w:p>
    <w:p>
      <w:pPr>
        <w:numPr>
          <w:ilvl w:val="0"/>
          <w:numId w:val="6"/>
        </w:numPr>
        <w:ind w:firstLine="480"/>
        <w:rPr>
          <w:rFonts w:hint="eastAsia" w:ascii="宋体" w:hAnsi="宋体" w:eastAsia="宋体" w:cs="宋体"/>
          <w:i/>
          <w:sz w:val="24"/>
          <w:szCs w:val="24"/>
          <w:u w:val="single"/>
        </w:rPr>
      </w:pPr>
      <w:r>
        <w:rPr>
          <w:rFonts w:hint="eastAsia" w:ascii="宋体" w:hAnsi="宋体" w:cs="宋体"/>
          <w:i/>
          <w:sz w:val="24"/>
          <w:szCs w:val="24"/>
          <w:u w:val="single"/>
          <w:lang w:val="en-US" w:eastAsia="zh-CN"/>
        </w:rPr>
        <w:t xml:space="preserve">除</w:t>
      </w:r>
      <w:r>
        <w:rPr>
          <w:rFonts w:hint="eastAsia" w:ascii="宋体" w:hAnsi="宋体" w:eastAsia="宋体" w:cs="宋体"/>
          <w:i/>
          <w:sz w:val="24"/>
          <w:szCs w:val="24"/>
          <w:u w:val="single"/>
        </w:rPr>
        <w:t xml:space="preserve">系统责任方</w:t>
      </w:r>
      <w:r>
        <w:rPr>
          <w:rFonts w:hint="eastAsia" w:ascii="宋体" w:hAnsi="宋体" w:cs="宋体"/>
          <w:i/>
          <w:sz w:val="24"/>
          <w:szCs w:val="24"/>
          <w:u w:val="single"/>
          <w:lang w:val="en-US" w:eastAsia="zh-CN"/>
        </w:rPr>
        <w:t xml:space="preserve">未按要求整改导致的</w:t>
      </w:r>
      <w:r>
        <w:rPr>
          <w:rFonts w:hint="eastAsia" w:ascii="宋体" w:hAnsi="宋体" w:eastAsia="宋体" w:cs="宋体"/>
          <w:i/>
          <w:sz w:val="24"/>
          <w:szCs w:val="24"/>
          <w:u w:val="single"/>
        </w:rPr>
        <w:t xml:space="preserve">安全事件外，服务期内发生安全事件，中标人需承担造成的损失和法律责任。（提供承诺书，扫描上传）</w:t>
      </w:r>
      <w:r/>
    </w:p>
    <w:p>
      <w:pPr>
        <w:numPr>
          <w:ilvl w:val="0"/>
          <w:numId w:val="6"/>
        </w:numPr>
        <w:ind w:firstLine="480"/>
        <w:rPr>
          <w:rFonts w:hint="eastAsia" w:ascii="宋体" w:hAnsi="宋体" w:eastAsia="宋体" w:cs="宋体"/>
          <w:i/>
          <w:sz w:val="24"/>
          <w:szCs w:val="24"/>
          <w:u w:val="single"/>
        </w:rPr>
      </w:pPr>
      <w:r>
        <w:rPr>
          <w:rFonts w:hint="eastAsia" w:ascii="宋体" w:hAnsi="宋体" w:eastAsia="宋体" w:cs="宋体"/>
          <w:i/>
          <w:sz w:val="24"/>
          <w:szCs w:val="24"/>
          <w:u w:val="single"/>
        </w:rPr>
        <w:t xml:space="preserve">本项目中涉及的所有项目实施交付人员</w:t>
      </w:r>
      <w:r>
        <w:rPr>
          <w:rFonts w:hint="eastAsia" w:ascii="宋体" w:hAnsi="宋体" w:eastAsia="宋体" w:cs="宋体"/>
          <w:i/>
          <w:sz w:val="24"/>
          <w:szCs w:val="24"/>
          <w:u w:val="single"/>
          <w:lang w:val="en-US" w:eastAsia="zh-CN"/>
        </w:rPr>
        <w:t xml:space="preserve">须</w:t>
      </w:r>
      <w:r>
        <w:rPr>
          <w:rFonts w:hint="eastAsia" w:ascii="宋体" w:hAnsi="宋体" w:eastAsia="宋体" w:cs="宋体"/>
          <w:i/>
          <w:sz w:val="24"/>
          <w:szCs w:val="24"/>
          <w:u w:val="single"/>
        </w:rPr>
        <w:t xml:space="preserve">为中标人单位所属正式员工（</w:t>
      </w:r>
      <w:r>
        <w:rPr>
          <w:rFonts w:hint="eastAsia" w:ascii="宋体" w:hAnsi="宋体" w:cs="宋体"/>
          <w:i/>
          <w:sz w:val="24"/>
          <w:szCs w:val="24"/>
          <w:u w:val="single"/>
          <w:lang w:val="en-US" w:eastAsia="zh-CN"/>
        </w:rPr>
        <w:t xml:space="preserve">近</w:t>
      </w:r>
      <w:r>
        <w:rPr>
          <w:rFonts w:hint="eastAsia" w:ascii="宋体" w:hAnsi="宋体" w:eastAsia="宋体" w:cs="宋体"/>
          <w:i/>
          <w:sz w:val="24"/>
          <w:szCs w:val="24"/>
          <w:u w:val="single"/>
        </w:rPr>
        <w:t xml:space="preserve">三年</w:t>
      </w:r>
      <w:r>
        <w:rPr>
          <w:rFonts w:hint="eastAsia" w:ascii="宋体" w:hAnsi="宋体" w:cs="宋体"/>
          <w:i/>
          <w:sz w:val="24"/>
          <w:szCs w:val="24"/>
          <w:u w:val="single"/>
          <w:lang w:val="en-US" w:eastAsia="zh-CN"/>
        </w:rPr>
        <w:t xml:space="preserve">内承担过</w:t>
      </w:r>
      <w:r>
        <w:rPr>
          <w:rFonts w:hint="eastAsia" w:ascii="宋体" w:hAnsi="宋体" w:eastAsia="宋体" w:cs="宋体"/>
          <w:i/>
          <w:sz w:val="24"/>
          <w:szCs w:val="24"/>
          <w:u w:val="single"/>
        </w:rPr>
        <w:t xml:space="preserve">安全行业</w:t>
      </w:r>
      <w:r>
        <w:rPr>
          <w:rFonts w:hint="eastAsia" w:ascii="宋体" w:hAnsi="宋体" w:cs="宋体"/>
          <w:i/>
          <w:sz w:val="24"/>
          <w:szCs w:val="24"/>
          <w:u w:val="single"/>
          <w:lang w:val="en-US" w:eastAsia="zh-CN"/>
        </w:rPr>
        <w:t xml:space="preserve">工作经历</w:t>
      </w:r>
      <w:r>
        <w:rPr>
          <w:rFonts w:hint="eastAsia" w:ascii="宋体" w:hAnsi="宋体" w:eastAsia="宋体" w:cs="宋体"/>
          <w:i/>
          <w:sz w:val="24"/>
          <w:szCs w:val="24"/>
          <w:u w:val="single"/>
        </w:rPr>
        <w:t xml:space="preserve">），不接受代理商人员或外包人员。（提供承诺书，扫描上传）</w:t>
      </w:r>
      <w:r/>
    </w:p>
    <w:p>
      <w:pPr>
        <w:numPr>
          <w:ilvl w:val="0"/>
          <w:numId w:val="6"/>
        </w:numPr>
        <w:ind w:firstLine="480"/>
        <w:rPr>
          <w:rFonts w:hint="eastAsia" w:ascii="宋体" w:hAnsi="宋体" w:eastAsia="宋体" w:cs="宋体"/>
          <w:i/>
          <w:sz w:val="24"/>
          <w:szCs w:val="24"/>
          <w:u w:val="single"/>
        </w:rPr>
      </w:pPr>
      <w:r>
        <w:rPr>
          <w:rFonts w:hint="eastAsia" w:ascii="宋体" w:hAnsi="宋体" w:cs="宋体"/>
          <w:bCs w:val="0"/>
          <w:i/>
          <w:sz w:val="24"/>
          <w:szCs w:val="24"/>
          <w:u w:val="single"/>
          <w:lang w:val="en-US" w:eastAsia="zh-CN"/>
        </w:rPr>
        <w:t xml:space="preserve">服务支撑至完成新旧供应商的交接</w:t>
      </w:r>
      <w:r>
        <w:rPr>
          <w:rFonts w:hint="eastAsia" w:ascii="宋体" w:hAnsi="宋体" w:eastAsia="宋体" w:cs="宋体"/>
          <w:bCs w:val="0"/>
          <w:i/>
          <w:sz w:val="24"/>
          <w:szCs w:val="24"/>
          <w:u w:val="single"/>
        </w:rPr>
        <w:t xml:space="preserve">。</w:t>
      </w:r>
      <w:r>
        <w:rPr>
          <w:rFonts w:hint="eastAsia" w:ascii="宋体" w:hAnsi="宋体" w:eastAsia="宋体" w:cs="宋体"/>
          <w:i/>
          <w:sz w:val="24"/>
          <w:szCs w:val="24"/>
          <w:u w:val="single"/>
        </w:rPr>
        <w:t xml:space="preserve">（提供承诺书，扫描上传）</w:t>
      </w:r>
      <w:r/>
    </w:p>
    <w:p>
      <w:pPr>
        <w:ind w:firstLine="480"/>
        <w:rPr>
          <w:rFonts w:hint="eastAsia" w:ascii="宋体" w:hAnsi="宋体" w:eastAsia="宋体" w:cs="宋体"/>
          <w:i/>
          <w:sz w:val="24"/>
          <w:szCs w:val="24"/>
          <w:u w:val="single"/>
        </w:rPr>
      </w:pPr>
      <w:r>
        <w:rPr>
          <w:rFonts w:hint="eastAsia" w:ascii="宋体" w:hAnsi="宋体" w:cs="宋体"/>
          <w:i/>
          <w:sz w:val="24"/>
          <w:szCs w:val="24"/>
          <w:u w:val="single"/>
          <w:lang w:val="en-US" w:eastAsia="zh-CN"/>
        </w:rPr>
        <w:t xml:space="preserve">4</w:t>
      </w:r>
      <w:r>
        <w:rPr>
          <w:rFonts w:hint="eastAsia" w:ascii="宋体" w:hAnsi="宋体" w:eastAsia="宋体" w:cs="宋体"/>
          <w:i/>
          <w:sz w:val="24"/>
          <w:szCs w:val="24"/>
          <w:u w:val="single"/>
        </w:rPr>
        <w:t xml:space="preserve">. 积极完成大数据管理中心安排的其他工作。（提供承诺书，扫描上传）</w:t>
      </w:r>
      <w:r/>
    </w:p>
    <w:p>
      <w:pPr>
        <w:rPr>
          <w:rFonts w:hint="eastAsia" w:ascii="宋体" w:hAnsi="宋体" w:eastAsia="宋体" w:cs="宋体"/>
          <w:sz w:val="24"/>
          <w:szCs w:val="24"/>
        </w:rPr>
      </w:pPr>
      <w:r>
        <w:rPr>
          <w:rFonts w:hint="eastAsia" w:ascii="宋体" w:hAnsi="宋体" w:eastAsia="宋体" w:cs="宋体"/>
          <w:sz w:val="24"/>
          <w:szCs w:val="24"/>
        </w:rPr>
        <w:t xml:space="preserve">六、人员要求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因安全运营涉及资产范围广，安全服务内容要求高，安全监测、应急响应要求7×24小时，因此需要专业的安全团队驻场提供安全服务。现场驻场服务团队不少于6人，包含项目经理及技术骨干，且是中标人单位工程师，3年以上政务行业网络安全工作经验，团队需具备CISP-CISE、CISP-PTE、CISP-DSG、CISAW等资质。</w:t>
      </w:r>
      <w:r/>
    </w:p>
    <w:p>
      <w:pPr>
        <w:ind w:firstLine="480"/>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投标文件中列明的驻场团队人员需与实际到场的人员保持一致，未经</w:t>
      </w:r>
      <w:r>
        <w:rPr>
          <w:rFonts w:hint="eastAsia" w:ascii="宋体" w:hAnsi="宋体" w:cs="宋体"/>
          <w:i/>
          <w:iCs/>
          <w:sz w:val="24"/>
          <w:szCs w:val="24"/>
          <w:u w:val="single"/>
          <w:lang w:val="en-US" w:eastAsia="zh-CN"/>
        </w:rPr>
        <w:t xml:space="preserve">采购人</w:t>
      </w:r>
      <w:r>
        <w:rPr>
          <w:rFonts w:hint="eastAsia" w:ascii="宋体" w:hAnsi="宋体" w:eastAsia="宋体" w:cs="宋体"/>
          <w:i/>
          <w:iCs/>
          <w:sz w:val="24"/>
          <w:szCs w:val="24"/>
          <w:u w:val="single"/>
        </w:rPr>
        <w:t xml:space="preserve">同意不得擅自更换驻场人员。(提供承诺书，扫描上传)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重保时期需安排高级安全专家带班，提供7×24小时现场值守服务。高级安全专家需具备CISP-DSG</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CISP-PTE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CISP-PTS等相关认证。</w:t>
      </w:r>
      <w:r/>
    </w:p>
    <w:p>
      <w:pPr>
        <w:numPr>
          <w:ilvl w:val="0"/>
          <w:numId w:val="0"/>
        </w:numPr>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其他要求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提供不少于2次安全相关的培训。</w:t>
      </w:r>
      <w:r/>
    </w:p>
    <w:p>
      <w:pPr>
        <w:ind w:firstLine="480"/>
        <w:spacing w:line="420" w:lineRule="exac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120"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ascii="黑体" w:hAnsi="黑体" w:cs="黑体"/>
          <w:color w:val="000000"/>
        </w:rPr>
      </w:pPr>
      <w:r>
        <w:rPr>
          <w:rFonts w:ascii="黑体" w:hAnsi="黑体" w:cs="黑体"/>
          <w:color w:val="000000"/>
        </w:rPr>
        <w:br w:type="page" w:clear="all"/>
      </w:r>
      <w:r/>
    </w:p>
    <w:p>
      <w:pPr>
        <w:pStyle w:val="657"/>
        <w:rPr>
          <w:rFonts w:hint="eastAsia"/>
        </w:rPr>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518"/>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51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0"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18"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本项目专门面向中小企业：是/否</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7"/>
        <w:gridCol w:w="6662"/>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211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666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20%</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lang w:val="en-US" w:eastAsia="zh-CN"/>
        </w:rPr>
        <w:t xml:space="preserve">20%</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lang w:val="en-US" w:eastAsia="zh-CN"/>
        </w:rPr>
        <w:t xml:space="preserve">20%</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lang w:val="en-US" w:eastAsia="zh-CN"/>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lang w:val="en-US" w:eastAsia="zh-CN"/>
        </w:rPr>
        <w:t xml:space="preserve">20%</w:t>
      </w:r>
      <w:r>
        <w:rPr>
          <w:rFonts w:ascii="宋体" w:hAnsi="宋体" w:cs="宋体"/>
          <w:color w:val="000000"/>
          <w:sz w:val="24"/>
        </w:rPr>
        <w:t xml:space="preserve">价格扣除，用扣除后的价格参与评审。</w:t>
      </w:r>
      <w:r/>
    </w:p>
    <w:tbl>
      <w:tblPr>
        <w:tblStyle w:val="667"/>
        <w:tblpPr w:horzAnchor="page" w:tblpX="1777" w:vertAnchor="text" w:tblpY="567" w:leftFromText="180" w:topFromText="0" w:rightFromText="180" w:bottomFromText="0"/>
        <w:tblW w:w="8324" w:type="dxa"/>
        <w:tblInd w:w="0" w:type="dxa"/>
        <w:tblLayout w:type="fixed"/>
        <w:tblCellMar>
          <w:left w:w="108" w:type="dxa"/>
          <w:top w:w="0" w:type="dxa"/>
          <w:right w:w="108" w:type="dxa"/>
          <w:bottom w:w="0" w:type="dxa"/>
        </w:tblCellMar>
        <w:tblLook w:val="04A0" w:firstRow="1" w:lastRow="0" w:firstColumn="1" w:lastColumn="0" w:noHBand="0" w:noVBand="1"/>
      </w:tblPr>
      <w:tblGrid>
        <w:gridCol w:w="1560"/>
        <w:gridCol w:w="6764"/>
      </w:tblGrid>
      <w:tr>
        <w:trPr>
          <w:trHeight w:val="20"/>
          <w:tblHeader/>
        </w:trPr>
        <w:tc>
          <w:tcPr>
            <w:shd w:val="clear" w:color="auto" w:fill="bfbfb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Next/>
              <w:rPr>
                <w:rFonts w:hint="eastAsia" w:ascii="宋体" w:hAnsi="宋体" w:eastAsia="宋体" w:cs="宋体"/>
                <w:bCs/>
                <w:sz w:val="24"/>
                <w:szCs w:val="24"/>
              </w:rPr>
            </w:pPr>
            <w:r/>
            <w:bookmarkStart w:id="3" w:name="_Hlk149839409"/>
            <w:r>
              <w:rPr>
                <w:rFonts w:hint="eastAsia" w:ascii="宋体" w:hAnsi="宋体" w:eastAsia="宋体" w:cs="宋体"/>
                <w:bCs/>
                <w:sz w:val="24"/>
                <w:szCs w:val="24"/>
              </w:rPr>
              <w:t xml:space="preserve">项目</w:t>
            </w:r>
            <w:r/>
          </w:p>
        </w:tc>
        <w:tc>
          <w:tcPr>
            <w:shd w:val="clear" w:color="auto" w:fill="bfbfbf"/>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jc w:val="center"/>
              <w:keepNext/>
              <w:rPr>
                <w:rFonts w:hint="eastAsia" w:ascii="宋体" w:hAnsi="宋体" w:eastAsia="宋体" w:cs="宋体"/>
                <w:bCs/>
                <w:sz w:val="24"/>
                <w:szCs w:val="24"/>
              </w:rPr>
            </w:pPr>
            <w:r>
              <w:rPr>
                <w:rFonts w:hint="eastAsia" w:ascii="宋体" w:hAnsi="宋体" w:eastAsia="宋体" w:cs="宋体"/>
                <w:sz w:val="24"/>
                <w:szCs w:val="24"/>
              </w:rPr>
              <w:t xml:space="preserve">评  分  标  准</w:t>
            </w:r>
            <w:r/>
          </w:p>
        </w:tc>
      </w:tr>
      <w:tr>
        <w:trPr>
          <w:trHeight w:val="20"/>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报价</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以满足招标文件要求的最低投标报价为评标基准价，得满分10分，其他投标报价得分=(评标基准价／其他投标报价)×10×100%。</w:t>
            </w:r>
            <w:r/>
          </w:p>
        </w:tc>
      </w:tr>
      <w:tr>
        <w:trPr>
          <w:trHeight w:val="20"/>
        </w:trPr>
        <w:tc>
          <w:tcPr>
            <w:tcBorders>
              <w:top w:val="single" w:color="000000" w:sz="4" w:space="0"/>
              <w:left w:val="single" w:color="000000" w:sz="4" w:space="0"/>
              <w:bottom w:val="single" w:color="auto" w:sz="4" w:space="0"/>
              <w:right w:val="single" w:color="000000"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投标人安全服务能力</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（17分）</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1.投标人具有中国信息安全测评中心颁发的</w:t>
            </w:r>
            <w:r>
              <w:rPr>
                <w:rFonts w:hint="eastAsia" w:ascii="宋体" w:hAnsi="宋体" w:eastAsia="宋体" w:cs="宋体"/>
                <w:bCs/>
                <w:sz w:val="24"/>
                <w:szCs w:val="24"/>
                <w:lang w:val="en-US" w:eastAsia="zh-CN"/>
              </w:rPr>
              <w:t xml:space="preserve">国家信息安全测评</w:t>
            </w:r>
            <w:r>
              <w:rPr>
                <w:rFonts w:hint="eastAsia" w:ascii="宋体" w:hAnsi="宋体" w:eastAsia="宋体" w:cs="宋体"/>
                <w:bCs/>
                <w:sz w:val="24"/>
                <w:szCs w:val="24"/>
              </w:rPr>
              <w:t xml:space="preserve">信息安全服务资质</w:t>
            </w:r>
            <w:r>
              <w:rPr>
                <w:rFonts w:hint="eastAsia" w:ascii="宋体" w:hAnsi="宋体" w:eastAsia="宋体" w:cs="宋体"/>
                <w:bCs/>
                <w:sz w:val="24"/>
                <w:szCs w:val="24"/>
                <w:lang w:val="en-US" w:eastAsia="zh-CN"/>
              </w:rPr>
              <w:t xml:space="preserve">证书</w:t>
            </w:r>
            <w:r>
              <w:rPr>
                <w:rFonts w:hint="eastAsia" w:ascii="宋体" w:hAnsi="宋体" w:eastAsia="宋体" w:cs="宋体"/>
                <w:bCs/>
                <w:sz w:val="24"/>
                <w:szCs w:val="24"/>
              </w:rPr>
              <w:t xml:space="preserve">-安全开发类，最高二级，二级得5分，一级得3分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其他不得分</w:t>
            </w:r>
            <w:r>
              <w:rPr>
                <w:rFonts w:hint="eastAsia" w:ascii="宋体" w:hAnsi="宋体" w:eastAsia="宋体" w:cs="宋体"/>
                <w:bCs/>
                <w:sz w:val="24"/>
                <w:szCs w:val="24"/>
              </w:rPr>
              <w:t xml:space="preserve">。</w:t>
            </w:r>
            <w:r/>
          </w:p>
          <w:p>
            <w:pPr>
              <w:rPr>
                <w:rFonts w:hint="eastAsia" w:ascii="宋体" w:hAnsi="宋体" w:eastAsia="宋体" w:cs="宋体"/>
                <w:bCs/>
                <w:sz w:val="24"/>
                <w:szCs w:val="24"/>
              </w:rPr>
            </w:pPr>
            <w:r>
              <w:rPr>
                <w:rFonts w:hint="eastAsia" w:ascii="宋体" w:hAnsi="宋体" w:eastAsia="宋体" w:cs="宋体"/>
                <w:bCs/>
                <w:sz w:val="24"/>
                <w:szCs w:val="24"/>
              </w:rPr>
              <w:t xml:space="preserve">2.投标人具备</w:t>
            </w:r>
            <w:r>
              <w:rPr>
                <w:rFonts w:hint="eastAsia" w:ascii="宋体" w:hAnsi="宋体" w:eastAsia="宋体" w:cs="宋体"/>
                <w:bCs/>
                <w:sz w:val="24"/>
                <w:szCs w:val="24"/>
                <w:highlight w:val="none"/>
              </w:rPr>
              <w:t xml:space="preserve">中国质量认证中心颁发的商品售后服务认证证书(认证范围包含计算机信息系统安全服务)，五星级得5分，四星级得3分，三星级得1分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其他不得分</w:t>
            </w:r>
            <w:r>
              <w:rPr>
                <w:rFonts w:hint="eastAsia" w:ascii="宋体" w:hAnsi="宋体" w:eastAsia="宋体" w:cs="宋体"/>
                <w:bCs/>
                <w:sz w:val="24"/>
                <w:szCs w:val="24"/>
                <w:highlight w:val="none"/>
              </w:rPr>
              <w:t xml:space="preserve">。</w:t>
            </w:r>
            <w:r/>
          </w:p>
          <w:p>
            <w:pPr>
              <w:rPr>
                <w:rFonts w:hint="eastAsia" w:ascii="宋体" w:hAnsi="宋体" w:eastAsia="宋体" w:cs="宋体"/>
                <w:bCs/>
                <w:sz w:val="24"/>
                <w:szCs w:val="24"/>
              </w:rPr>
            </w:pPr>
            <w:r>
              <w:rPr>
                <w:rFonts w:hint="eastAsia" w:ascii="宋体" w:hAnsi="宋体" w:eastAsia="宋体" w:cs="宋体"/>
                <w:bCs/>
                <w:sz w:val="24"/>
                <w:szCs w:val="24"/>
              </w:rPr>
              <w:t xml:space="preserve">3.投标人具有数据安全服务建设能力，具备中国计算机行业协会数据安全专业委员会和中国软件评测中心颁发的数据安全服务能力评定资格证书-数据安全建设能力，最高二级，二级得5分，一级得3分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其他不得分</w:t>
            </w:r>
            <w:r>
              <w:rPr>
                <w:rFonts w:hint="eastAsia" w:ascii="宋体" w:hAnsi="宋体" w:eastAsia="宋体" w:cs="宋体"/>
                <w:bCs/>
                <w:sz w:val="24"/>
                <w:szCs w:val="24"/>
              </w:rPr>
              <w:t xml:space="preserve">。</w:t>
            </w:r>
            <w:r/>
          </w:p>
          <w:p>
            <w:pPr>
              <w:rPr>
                <w:rFonts w:hint="eastAsia" w:ascii="宋体" w:hAnsi="宋体" w:eastAsia="宋体" w:cs="宋体"/>
                <w:bCs/>
                <w:sz w:val="24"/>
                <w:szCs w:val="24"/>
              </w:rPr>
            </w:pPr>
            <w:r>
              <w:rPr>
                <w:rFonts w:hint="eastAsia" w:ascii="宋体" w:hAnsi="宋体" w:eastAsia="宋体" w:cs="宋体"/>
                <w:bCs/>
                <w:sz w:val="24"/>
                <w:szCs w:val="24"/>
              </w:rPr>
              <w:t xml:space="preserve">4.投标人具有中国信息安全测评中心信息安全服务资质-云计算安全类，得2分，其他不得分。</w:t>
            </w:r>
            <w:r/>
          </w:p>
          <w:p>
            <w:pPr>
              <w:rPr>
                <w:rFonts w:hint="eastAsia" w:ascii="宋体" w:hAnsi="宋体" w:eastAsia="宋体" w:cs="宋体"/>
                <w:bCs/>
                <w:sz w:val="24"/>
                <w:szCs w:val="24"/>
              </w:rPr>
            </w:pPr>
            <w:r>
              <w:rPr>
                <w:rFonts w:hint="eastAsia" w:ascii="宋体" w:hAnsi="宋体" w:eastAsia="宋体" w:cs="宋体"/>
                <w:bCs/>
                <w:sz w:val="24"/>
                <w:szCs w:val="24"/>
              </w:rPr>
              <w:t xml:space="preserve">注：上述证书所列单位名称必须与投标人完全一致。（</w:t>
            </w:r>
            <w:r>
              <w:rPr>
                <w:rFonts w:hint="eastAsia" w:ascii="宋体" w:hAnsi="宋体" w:eastAsia="宋体" w:cs="宋体"/>
                <w:bCs/>
                <w:sz w:val="24"/>
                <w:szCs w:val="24"/>
                <w:lang w:val="en-US" w:eastAsia="zh-CN"/>
              </w:rPr>
              <w:t xml:space="preserve">需提供证书，</w:t>
            </w:r>
            <w:r>
              <w:rPr>
                <w:rFonts w:hint="eastAsia" w:ascii="宋体" w:hAnsi="宋体" w:eastAsia="宋体" w:cs="宋体"/>
                <w:bCs/>
                <w:sz w:val="24"/>
                <w:szCs w:val="24"/>
              </w:rPr>
              <w:t xml:space="preserve">原件扫描上传）</w:t>
            </w:r>
            <w:r/>
          </w:p>
        </w:tc>
      </w:tr>
      <w:tr>
        <w:trPr>
          <w:trHeight w:val="9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投标人安全攻防和漏洞挖掘能力</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w:t>
            </w:r>
            <w:r/>
          </w:p>
        </w:tc>
        <w:tc>
          <w:tcPr>
            <w:tcBorders>
              <w:top w:val="single" w:color="000000" w:sz="4" w:space="0"/>
              <w:left w:val="single" w:color="000000" w:sz="4" w:space="0"/>
              <w:bottom w:val="single" w:color="auto"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为了保证投标人漏洞验证能力，投标人具备在互联网独立运营漏洞响应平台的能力。（提供漏洞响应平台网站URL链接、首页截图，类似平台的计算机软件著作权登记证书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原件扫描上传），满足得3分，不满足</w:t>
            </w:r>
            <w:r>
              <w:rPr>
                <w:rFonts w:hint="eastAsia" w:ascii="宋体" w:hAnsi="宋体" w:eastAsia="宋体" w:cs="宋体"/>
                <w:bCs/>
                <w:sz w:val="24"/>
                <w:szCs w:val="24"/>
                <w:lang w:val="en-US" w:eastAsia="zh-CN"/>
              </w:rPr>
              <w:t xml:space="preserve">不</w:t>
            </w:r>
            <w:r>
              <w:rPr>
                <w:rFonts w:hint="eastAsia" w:ascii="宋体" w:hAnsi="宋体" w:eastAsia="宋体" w:cs="宋体"/>
                <w:bCs/>
                <w:sz w:val="24"/>
                <w:szCs w:val="24"/>
              </w:rPr>
              <w:t xml:space="preserve">得分。 </w:t>
            </w:r>
            <w:r/>
          </w:p>
        </w:tc>
      </w:tr>
      <w:tr>
        <w:trPr>
          <w:trHeight w:val="378"/>
        </w:trPr>
        <w:tc>
          <w:tcPr>
            <w:tcBorders>
              <w:top w:val="single" w:color="auto" w:sz="4" w:space="0"/>
              <w:left w:val="single" w:color="auto" w:sz="4" w:space="0"/>
              <w:bottom w:val="none" w:color="000000"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技术方案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（20分） </w:t>
            </w:r>
            <w:r/>
          </w:p>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none" w:color="000000"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1.强化安全技术服务方案（5分）</w:t>
            </w:r>
            <w:r/>
          </w:p>
          <w:p>
            <w:pPr>
              <w:rPr>
                <w:rFonts w:hint="eastAsia" w:ascii="宋体" w:hAnsi="宋体" w:eastAsia="宋体" w:cs="宋体"/>
                <w:bCs/>
                <w:sz w:val="24"/>
                <w:szCs w:val="24"/>
              </w:rPr>
            </w:pPr>
            <w:r>
              <w:rPr>
                <w:rFonts w:hint="eastAsia" w:ascii="宋体" w:hAnsi="宋体" w:eastAsia="宋体" w:cs="宋体"/>
                <w:bCs/>
                <w:sz w:val="24"/>
                <w:szCs w:val="24"/>
              </w:rPr>
              <w:t xml:space="preserve">投标人应根据上述3.2章节强化安全技术的要求从平台或系统能提供的服务内容、服务功能等方面描述本次项目的强化安全技术服务方案。</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优于采购文件要求的得5分；符合采购文件要求的得3分；不符合采购文件要求或未提供的不得分。</w:t>
            </w:r>
            <w:r/>
          </w:p>
          <w:p>
            <w:pPr>
              <w:rPr>
                <w:rFonts w:hint="eastAsia" w:ascii="宋体" w:hAnsi="宋体" w:eastAsia="宋体" w:cs="宋体"/>
                <w:bCs/>
                <w:sz w:val="24"/>
                <w:szCs w:val="24"/>
              </w:rPr>
            </w:pPr>
            <w:r>
              <w:rPr>
                <w:rFonts w:hint="eastAsia" w:ascii="宋体" w:hAnsi="宋体" w:eastAsia="宋体" w:cs="宋体"/>
                <w:bCs/>
                <w:sz w:val="24"/>
                <w:szCs w:val="24"/>
              </w:rPr>
              <w:t xml:space="preserve">2.强化安全管理服务方案（5分）</w:t>
            </w:r>
            <w:r/>
          </w:p>
          <w:p>
            <w:pPr>
              <w:rPr>
                <w:rFonts w:hint="eastAsia" w:ascii="宋体" w:hAnsi="宋体" w:eastAsia="宋体" w:cs="宋体"/>
                <w:bCs/>
                <w:sz w:val="24"/>
                <w:szCs w:val="24"/>
              </w:rPr>
            </w:pPr>
            <w:r>
              <w:rPr>
                <w:rFonts w:hint="eastAsia" w:ascii="宋体" w:hAnsi="宋体" w:eastAsia="宋体" w:cs="宋体"/>
                <w:bCs/>
                <w:sz w:val="24"/>
                <w:szCs w:val="24"/>
              </w:rPr>
              <w:t xml:space="preserve">投标人应根据上述3.1章节强化安全管理的服务要求要求分别从服务内容、服务职责、服务分工等方面描述本次项目的强化安全管理服务方案。</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优于采购文件要求的得5分；符合采购文件要求的得3分；不符合采购文件要求或未提供的不得分。</w:t>
            </w:r>
            <w:r/>
          </w:p>
          <w:p>
            <w:pPr>
              <w:rPr>
                <w:rFonts w:hint="eastAsia" w:ascii="宋体" w:hAnsi="宋体" w:eastAsia="宋体" w:cs="宋体"/>
                <w:bCs/>
                <w:sz w:val="24"/>
                <w:szCs w:val="24"/>
              </w:rPr>
            </w:pPr>
            <w:r>
              <w:rPr>
                <w:rFonts w:hint="eastAsia" w:ascii="宋体" w:hAnsi="宋体" w:eastAsia="宋体" w:cs="宋体"/>
                <w:bCs/>
                <w:sz w:val="24"/>
                <w:szCs w:val="24"/>
              </w:rPr>
              <w:t xml:space="preserve">3.强化安全运营服务方案（10分）</w:t>
            </w:r>
            <w:r/>
          </w:p>
          <w:p>
            <w:pPr>
              <w:rPr>
                <w:rFonts w:hint="eastAsia" w:ascii="宋体" w:hAnsi="宋体" w:eastAsia="宋体" w:cs="宋体"/>
                <w:bCs/>
                <w:sz w:val="24"/>
                <w:szCs w:val="24"/>
              </w:rPr>
            </w:pPr>
            <w:r>
              <w:rPr>
                <w:rFonts w:hint="eastAsia" w:ascii="宋体" w:hAnsi="宋体" w:eastAsia="宋体" w:cs="宋体"/>
                <w:bCs/>
                <w:sz w:val="24"/>
                <w:szCs w:val="24"/>
              </w:rPr>
              <w:t xml:space="preserve">（1）投标人应根据3.3章节强化安全运营要求中的</w:t>
            </w:r>
            <w:r>
              <w:rPr>
                <w:rFonts w:hint="eastAsia" w:ascii="宋体" w:hAnsi="宋体" w:eastAsia="宋体" w:cs="宋体"/>
                <w:b/>
                <w:bCs/>
                <w:sz w:val="24"/>
                <w:szCs w:val="24"/>
              </w:rPr>
              <w:t xml:space="preserve">信息资产管理服务、</w:t>
            </w:r>
            <w:r>
              <w:rPr>
                <w:rFonts w:hint="eastAsia" w:ascii="宋体" w:hAnsi="宋体" w:eastAsia="宋体" w:cs="宋体"/>
                <w:b/>
                <w:sz w:val="24"/>
                <w:szCs w:val="24"/>
              </w:rPr>
              <w:t xml:space="preserve">安全应急响应服务、周期性渗透测试服务、上线安全检测服务</w:t>
            </w:r>
            <w:r>
              <w:rPr>
                <w:rFonts w:hint="eastAsia" w:ascii="宋体" w:hAnsi="宋体" w:eastAsia="宋体" w:cs="宋体"/>
                <w:sz w:val="24"/>
                <w:szCs w:val="24"/>
              </w:rPr>
              <w:t xml:space="preserve">要求，分别</w:t>
            </w:r>
            <w:r>
              <w:rPr>
                <w:rFonts w:hint="eastAsia" w:ascii="宋体" w:hAnsi="宋体" w:eastAsia="宋体" w:cs="宋体"/>
                <w:bCs/>
                <w:sz w:val="24"/>
                <w:szCs w:val="24"/>
              </w:rPr>
              <w:t xml:space="preserve">从服务内容、服务职责、服务分工等方面描述上述4项服务方案。</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优于采购文件要求的得5分；符合采购文件要求的得3分；不符合采购文件要求或未提供的不得分。</w:t>
            </w:r>
            <w:r/>
          </w:p>
          <w:p>
            <w:pPr>
              <w:rPr>
                <w:rFonts w:hint="eastAsia" w:ascii="宋体" w:hAnsi="宋体" w:eastAsia="宋体" w:cs="宋体"/>
                <w:bCs/>
                <w:sz w:val="24"/>
                <w:szCs w:val="24"/>
              </w:rPr>
            </w:pPr>
            <w:r>
              <w:rPr>
                <w:rFonts w:hint="eastAsia" w:ascii="宋体" w:hAnsi="宋体" w:eastAsia="宋体" w:cs="宋体"/>
                <w:bCs/>
                <w:sz w:val="24"/>
                <w:szCs w:val="24"/>
              </w:rPr>
              <w:t xml:space="preserve">（2）投标人应根据3.3章节安全运营要求中的</w:t>
            </w:r>
            <w:r>
              <w:rPr>
                <w:rFonts w:hint="eastAsia" w:ascii="宋体" w:hAnsi="宋体" w:eastAsia="宋体" w:cs="宋体"/>
                <w:b/>
                <w:sz w:val="24"/>
                <w:szCs w:val="24"/>
              </w:rPr>
              <w:t xml:space="preserve">重要时期安全保障服务、安全监测服务、高级专家安全评估、区县安全检测服务</w:t>
            </w:r>
            <w:r>
              <w:rPr>
                <w:rFonts w:hint="eastAsia" w:ascii="宋体" w:hAnsi="宋体" w:eastAsia="宋体" w:cs="宋体"/>
                <w:sz w:val="24"/>
                <w:szCs w:val="24"/>
              </w:rPr>
              <w:t xml:space="preserve">要求，分别</w:t>
            </w:r>
            <w:r>
              <w:rPr>
                <w:rFonts w:hint="eastAsia" w:ascii="宋体" w:hAnsi="宋体" w:eastAsia="宋体" w:cs="宋体"/>
                <w:bCs/>
                <w:sz w:val="24"/>
                <w:szCs w:val="24"/>
              </w:rPr>
              <w:t xml:space="preserve">从服务内容、服务职责、服务分工等方面描述上述4项服务方案。</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优于采购文件要求的得5分；符合采购文件要求的得3分；不符合采购文件要求或未提供的不得分。</w:t>
            </w:r>
            <w:r/>
          </w:p>
          <w:p>
            <w:pPr>
              <w:rPr>
                <w:rFonts w:hint="eastAsia" w:ascii="宋体" w:hAnsi="宋体" w:eastAsia="宋体" w:cs="宋体"/>
                <w:bCs/>
                <w:sz w:val="24"/>
                <w:szCs w:val="24"/>
              </w:rPr>
            </w:pPr>
            <w:r>
              <w:rPr>
                <w:rFonts w:hint="eastAsia" w:ascii="宋体" w:hAnsi="宋体" w:eastAsia="宋体" w:cs="宋体"/>
                <w:bCs/>
                <w:sz w:val="24"/>
                <w:szCs w:val="24"/>
              </w:rPr>
            </w:r>
            <w:r/>
          </w:p>
        </w:tc>
      </w:tr>
      <w:tr>
        <w:trPr>
          <w:trHeight w:val="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技术参数</w:t>
            </w:r>
            <w:r/>
          </w:p>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（18分）</w:t>
            </w:r>
            <w:r/>
          </w:p>
        </w:tc>
        <w:tc>
          <w:tcPr>
            <w:tcBorders>
              <w:top w:val="single" w:color="000000" w:sz="4" w:space="0"/>
              <w:left w:val="single" w:color="000000" w:sz="4" w:space="0"/>
              <w:bottom w:val="single" w:color="auto" w:sz="4" w:space="0"/>
              <w:right w:val="single" w:color="000000" w:sz="4" w:space="0"/>
            </w:tcBorders>
            <w:tcW w:w="6764" w:type="dxa"/>
            <w:vAlign w:val="center"/>
            <w:textDirection w:val="lrTb"/>
            <w:noWrap w:val="false"/>
          </w:tcPr>
          <w:p>
            <w:pPr>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服务要求中带“★”号的技术参数</w:t>
            </w:r>
            <w:r>
              <w:rPr>
                <w:rFonts w:hint="eastAsia" w:ascii="宋体" w:hAnsi="宋体" w:eastAsia="宋体" w:cs="宋体"/>
                <w:sz w:val="24"/>
                <w:szCs w:val="24"/>
                <w:highlight w:val="none"/>
                <w:lang w:val="en-US" w:eastAsia="zh-CN"/>
              </w:rPr>
              <w:t xml:space="preserve">为重要指标</w:t>
            </w:r>
            <w:r>
              <w:rPr>
                <w:rFonts w:hint="eastAsia" w:ascii="宋体" w:hAnsi="宋体" w:eastAsia="宋体" w:cs="宋体"/>
                <w:sz w:val="24"/>
                <w:szCs w:val="24"/>
                <w:highlight w:val="none"/>
              </w:rPr>
              <w:t xml:space="preserve">，每满足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项得3分，共6项，满分18分。</w:t>
            </w:r>
            <w:r/>
          </w:p>
        </w:tc>
      </w:tr>
      <w:tr>
        <w:trPr>
          <w:trHeight w:val="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演示</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（15分）</w:t>
            </w:r>
            <w:r/>
          </w:p>
        </w:tc>
        <w:tc>
          <w:tcPr>
            <w:tcBorders>
              <w:top w:val="single" w:color="000000" w:sz="4" w:space="0"/>
              <w:left w:val="single" w:color="000000" w:sz="4" w:space="0"/>
              <w:bottom w:val="single" w:color="auto"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要求演示真实系统；视频随投标文件上传。采用DEMO方式、</w:t>
            </w:r>
            <w:r>
              <w:rPr>
                <w:rFonts w:hint="eastAsia" w:ascii="宋体" w:hAnsi="宋体" w:eastAsia="宋体" w:cs="宋体"/>
                <w:bCs/>
                <w:sz w:val="24"/>
                <w:szCs w:val="24"/>
                <w:lang w:val="en-US" w:eastAsia="zh-CN"/>
              </w:rPr>
              <w:t xml:space="preserve">PPT方式、</w:t>
            </w:r>
            <w:r>
              <w:rPr>
                <w:rFonts w:hint="eastAsia" w:ascii="宋体" w:hAnsi="宋体" w:eastAsia="宋体" w:cs="宋体"/>
                <w:bCs/>
                <w:sz w:val="24"/>
                <w:szCs w:val="24"/>
              </w:rPr>
              <w:t xml:space="preserve">视频未上传或无法播放的均不得分。</w:t>
            </w:r>
            <w:r/>
          </w:p>
          <w:p>
            <w:pPr>
              <w:rPr>
                <w:rFonts w:hint="eastAsia" w:ascii="宋体" w:hAnsi="宋体" w:eastAsia="宋体" w:cs="宋体"/>
                <w:bCs/>
                <w:sz w:val="24"/>
                <w:szCs w:val="24"/>
              </w:rPr>
            </w:pPr>
            <w:r>
              <w:rPr>
                <w:rFonts w:hint="eastAsia" w:ascii="宋体" w:hAnsi="宋体" w:eastAsia="宋体" w:cs="宋体"/>
                <w:bCs/>
                <w:sz w:val="24"/>
                <w:szCs w:val="24"/>
              </w:rPr>
              <w:t xml:space="preserve">演示功能明细如下:</w:t>
            </w:r>
            <w:r/>
          </w:p>
          <w:p>
            <w:pPr>
              <w:rPr>
                <w:rFonts w:hint="eastAsia" w:ascii="宋体" w:hAnsi="宋体" w:eastAsia="宋体" w:cs="宋体"/>
                <w:bCs/>
                <w:sz w:val="24"/>
                <w:szCs w:val="24"/>
              </w:rPr>
            </w:pPr>
            <w:r>
              <w:rPr>
                <w:rFonts w:hint="eastAsia" w:ascii="宋体" w:hAnsi="宋体" w:eastAsia="宋体" w:cs="宋体"/>
                <w:bCs/>
                <w:sz w:val="24"/>
                <w:szCs w:val="24"/>
              </w:rPr>
              <w:t xml:space="preserve">1.态势感知支持自定义关联规则</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支持类VISIO的图形化连线拖拽的交互方式而非编辑逻辑语法树方式</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支持定义统计规则、日志关联规则、序列规则</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关联规则支持引用资产、漏洞、情报、IP/端口/字符串/表类型的对象资源和日志进行关联分析</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支持关联规则引用关联规则满足复杂威胁场景检测。</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本项满分</w:t>
            </w:r>
            <w:r>
              <w:rPr>
                <w:rFonts w:hint="eastAsia" w:ascii="宋体" w:hAnsi="宋体" w:eastAsia="宋体" w:cs="宋体"/>
                <w:bCs/>
                <w:color w:val="000000" w:themeColor="text1"/>
                <w:sz w:val="24"/>
                <w:szCs w:val="24"/>
                <w14:textFill>
                  <w14:solidFill>
                    <w14:schemeClr w14:val="tx1"/>
                  </w14:solidFill>
                </w14:textFill>
              </w:rPr>
              <w:t xml:space="preserve">5分</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演示不满足要求不得分。</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 xml:space="preserve">2.态势感知支持通过工单对安全事件进行跟踪处理，工单类型包括：通用、弱口令、告警、配置核查、漏洞</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支持工单流转，且工单流转支持多人协同的跟踪处置方式</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工单流转中支持添加附件</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支持工单SLA配置；支持漏洞工单、弱口令工单，并引用相关漏洞数据、弱口令数据。</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本项满分</w:t>
            </w:r>
            <w:r>
              <w:rPr>
                <w:rFonts w:hint="eastAsia" w:ascii="宋体" w:hAnsi="宋体" w:eastAsia="宋体" w:cs="宋体"/>
                <w:bCs/>
                <w:color w:val="000000" w:themeColor="text1"/>
                <w:sz w:val="24"/>
                <w:szCs w:val="24"/>
                <w14:textFill>
                  <w14:solidFill>
                    <w14:schemeClr w14:val="tx1"/>
                  </w14:solidFill>
                </w14:textFill>
              </w:rPr>
              <w:t xml:space="preserve">5分</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演示不满足要求不得分。</w:t>
            </w:r>
            <w:r>
              <w:rPr>
                <w:rFonts w:hint="eastAsia" w:ascii="宋体" w:hAnsi="宋体" w:eastAsia="宋体" w:cs="宋体"/>
                <w:bCs/>
                <w:color w:val="000000" w:themeColor="text1"/>
                <w:sz w:val="24"/>
                <w:szCs w:val="24"/>
                <w14:textFill>
                  <w14:solidFill>
                    <w14:schemeClr w14:val="tx1"/>
                  </w14:solidFill>
                </w14:textFill>
              </w:rPr>
              <w:t xml:space="preserve"> </w:t>
            </w:r>
            <w:r/>
          </w:p>
          <w:p>
            <w:pPr>
              <w:rPr>
                <w:rFonts w:hint="eastAsia" w:ascii="宋体" w:hAnsi="宋体" w:eastAsia="宋体" w:cs="宋体"/>
                <w:bCs/>
                <w:sz w:val="24"/>
                <w:szCs w:val="24"/>
              </w:rPr>
            </w:pPr>
            <w:r>
              <w:rPr>
                <w:rFonts w:hint="eastAsia" w:ascii="宋体" w:hAnsi="宋体" w:eastAsia="宋体" w:cs="宋体"/>
                <w:bCs/>
                <w:color w:val="000000" w:themeColor="text1"/>
                <w:sz w:val="24"/>
                <w:szCs w:val="24"/>
                <w14:textFill>
                  <w14:solidFill>
                    <w14:schemeClr w14:val="tx1"/>
                  </w14:solidFill>
                </w14:textFill>
              </w:rPr>
              <w:t xml:space="preserve">3.态势感知支持提供智能分诊能力，达到告警的降噪目的</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智能分诊模型支持分诊规则、加白分诊规则两种规则的创建</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分诊规则支持配置过滤条件和配置过滤条件组</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过滤内容包括：告警名称、首次告警时间、源IP、目的IP、源端口、目的端口、通信方向、攻击者等信息</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智能分诊支持生效时间配置，包括：永久生效和自定义时间。</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本项满分</w:t>
            </w:r>
            <w:r>
              <w:rPr>
                <w:rFonts w:hint="eastAsia" w:ascii="宋体" w:hAnsi="宋体" w:eastAsia="宋体" w:cs="宋体"/>
                <w:bCs/>
                <w:color w:val="000000" w:themeColor="text1"/>
                <w:sz w:val="24"/>
                <w:szCs w:val="24"/>
                <w14:textFill>
                  <w14:solidFill>
                    <w14:schemeClr w14:val="tx1"/>
                  </w14:solidFill>
                </w14:textFill>
              </w:rPr>
              <w:t xml:space="preserve">5分</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演示不满足要求不得分。</w:t>
            </w:r>
            <w:r>
              <w:rPr>
                <w:rFonts w:hint="eastAsia" w:ascii="宋体" w:hAnsi="宋体" w:eastAsia="宋体" w:cs="宋体"/>
                <w:bCs/>
                <w:color w:val="000000" w:themeColor="text1"/>
                <w:sz w:val="24"/>
                <w:szCs w:val="24"/>
                <w14:textFill>
                  <w14:solidFill>
                    <w14:schemeClr w14:val="tx1"/>
                  </w14:solidFill>
                </w14:textFill>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团队能力</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11</w:t>
            </w:r>
            <w:r>
              <w:rPr>
                <w:rFonts w:hint="eastAsia" w:ascii="宋体" w:hAnsi="宋体" w:eastAsia="宋体" w:cs="宋体"/>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1.高级安全专家需具备中国信息安全测评中心颁发的注册渗透测试工程师（CISP-PTE）证书</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中国信息安全测评中心颁发的注册信息安全专业人员-数据安全治理专业人员（CISP-DSG）认证</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中国信息安全测评中心颁发的注册渗透测试专家（CISP-PTS）证书，得2分。</w:t>
            </w:r>
            <w:r/>
          </w:p>
          <w:p>
            <w:pPr>
              <w:rPr>
                <w:rFonts w:hint="eastAsia" w:ascii="宋体" w:hAnsi="宋体" w:eastAsia="宋体" w:cs="宋体"/>
                <w:bCs/>
                <w:sz w:val="24"/>
                <w:szCs w:val="24"/>
              </w:rPr>
            </w:pPr>
            <w:r>
              <w:rPr>
                <w:rFonts w:hint="eastAsia" w:ascii="宋体" w:hAnsi="宋体" w:eastAsia="宋体" w:cs="宋体"/>
                <w:sz w:val="24"/>
                <w:szCs w:val="24"/>
              </w:rPr>
              <w:t xml:space="preserve">（需提供：①相关人员身份证（正反面）；②合法有效的证书；③投标人近三个月内任意一个月为其缴纳社保</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证明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原件扫描上传，未提供不得分。）</w:t>
            </w:r>
            <w:r/>
          </w:p>
          <w:p>
            <w:pPr>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.项目经理需具备</w:t>
            </w:r>
            <w:r>
              <w:rPr>
                <w:rFonts w:hint="eastAsia" w:ascii="宋体" w:hAnsi="宋体" w:eastAsia="宋体" w:cs="宋体"/>
                <w:bCs/>
                <w:sz w:val="24"/>
                <w:szCs w:val="24"/>
                <w:lang w:bidi="ar"/>
              </w:rPr>
              <w:t xml:space="preserve">中国信息安全测评中心</w:t>
            </w:r>
            <w:r>
              <w:rPr>
                <w:rFonts w:hint="eastAsia" w:ascii="宋体" w:hAnsi="宋体" w:eastAsia="宋体" w:cs="宋体"/>
                <w:bCs/>
                <w:sz w:val="24"/>
                <w:szCs w:val="24"/>
              </w:rPr>
              <w:t xml:space="preserve">的注册信息安全专业人员（CISP-CISE）认证，中国信息安全测评中心颁发的注册渗透测试工程师（CISP-PTE）证书，满足1个得1.5分，满分3分。（需提供：</w:t>
            </w:r>
            <w:r>
              <w:rPr>
                <w:rFonts w:hint="eastAsia" w:ascii="宋体" w:hAnsi="宋体" w:eastAsia="宋体" w:cs="宋体"/>
                <w:sz w:val="24"/>
                <w:szCs w:val="24"/>
              </w:rPr>
              <w:t xml:space="preserve">①相关人员身份证（正反面）；②合法有效的证书；③投标人近三个月内任意一个月为其缴纳社保</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证明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原件扫描上传，未提供不得分。</w:t>
            </w:r>
            <w:r>
              <w:rPr>
                <w:rFonts w:hint="eastAsia" w:ascii="宋体" w:hAnsi="宋体" w:eastAsia="宋体" w:cs="宋体"/>
                <w:bCs/>
                <w:sz w:val="24"/>
                <w:szCs w:val="24"/>
              </w:rPr>
              <w:t xml:space="preserve">）</w:t>
            </w:r>
            <w:r/>
          </w:p>
          <w:p>
            <w:pPr>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w:t>
            </w:r>
            <w:r>
              <w:rPr>
                <w:rFonts w:hint="eastAsia" w:ascii="宋体" w:hAnsi="宋体" w:eastAsia="宋体" w:cs="宋体"/>
                <w:sz w:val="24"/>
                <w:szCs w:val="24"/>
              </w:rPr>
              <w:t xml:space="preserve">其余驻场人员至少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人具备中国信息安全测评中心颁发的注册信息安全专业人员-数据安全治理专业人员（CISP-DSG）认证，1人具备中国信息安全测评中心颁发的注册渗透测试专业人员（CISP-PTE）认证，1人具备中国信息安全测评中心的注册信息安全专业人员（CISP-CISE）认证，1人具备中国网络安全审查技术与认证中心颁发的信息安全保障人员（CISAW）认证，每有1个得1.5分（1人具备多个证书只得1.5分），满分6分。</w:t>
            </w:r>
            <w:r/>
          </w:p>
          <w:p>
            <w:pPr>
              <w:rPr>
                <w:rFonts w:hint="eastAsia" w:ascii="宋体" w:hAnsi="宋体" w:eastAsia="宋体" w:cs="宋体"/>
                <w:bCs/>
                <w:sz w:val="24"/>
                <w:szCs w:val="24"/>
              </w:rPr>
            </w:pPr>
            <w:r>
              <w:rPr>
                <w:rFonts w:hint="eastAsia" w:ascii="宋体" w:hAnsi="宋体" w:eastAsia="宋体" w:cs="宋体"/>
                <w:bCs/>
                <w:sz w:val="24"/>
                <w:szCs w:val="24"/>
              </w:rPr>
              <w:t xml:space="preserve">（需提供：</w:t>
            </w:r>
            <w:r>
              <w:rPr>
                <w:rFonts w:hint="eastAsia" w:ascii="宋体" w:hAnsi="宋体" w:eastAsia="宋体" w:cs="宋体"/>
                <w:sz w:val="24"/>
                <w:szCs w:val="24"/>
              </w:rPr>
              <w:t xml:space="preserve">①相关人员身份证（正反面）；②合法有效的证书；③投标人近三个月内任意一个月为其缴纳社保</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证明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原件扫描上传，未提供不得分。</w:t>
            </w:r>
            <w:r>
              <w:rPr>
                <w:rFonts w:hint="eastAsia" w:ascii="宋体" w:hAnsi="宋体" w:eastAsia="宋体" w:cs="宋体"/>
                <w:bCs/>
                <w:sz w:val="24"/>
                <w:szCs w:val="24"/>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业绩</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投标人2022年1月1日以来（以合同书签订时间为准）类似项目（内容包括渗透测试、攻防演练等），每有</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个得1分，满分</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分。（提供合同，扫描上传）</w:t>
            </w:r>
            <w:bookmarkEnd w:id="3"/>
            <w:r/>
          </w:p>
        </w:tc>
      </w:tr>
    </w:tbl>
    <w:p>
      <w:pPr>
        <w:pStyle w:val="938"/>
        <w:ind w:left="0" w:right="0" w:firstLine="482"/>
        <w:spacing w:before="0" w:after="0" w:line="0" w:lineRule="atLeast"/>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r>
      <w:r/>
    </w:p>
    <w:p>
      <w:pPr>
        <w:ind w:left="0" w:right="0"/>
        <w:jc w:val="left"/>
        <w:spacing w:line="40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657"/>
        <w:rPr>
          <w:rFonts w:ascii="黑体" w:hAnsi="黑体" w:cs="黑体"/>
          <w:color w:val="000000"/>
          <w:szCs w:val="44"/>
        </w:rPr>
      </w:pPr>
      <w:r>
        <w:rPr>
          <w:rStyle w:val="899"/>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2024</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rPr>
          <w:rFonts w:eastAsia="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1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1"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11"/>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项目经办人可以根据项目实际需要对表格结构进行调整。</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11"/>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11"/>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11"/>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spacing w:line="450" w:lineRule="atLeast"/>
        <w:pBdr>
          <w:top w:val="none" w:color="000000" w:sz="0" w:space="0"/>
          <w:left w:val="none" w:color="000000" w:sz="0" w:space="0"/>
          <w:bottom w:val="none" w:color="000000" w:sz="0" w:space="0"/>
          <w:right w:val="none" w:color="000000" w:sz="0" w:space="0"/>
        </w:pBdr>
      </w:p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hint="eastAsia" w:asciiTheme="minorEastAsia" w:hAnsiTheme="minorEastAsia" w:eastAsiaTheme="minorEastAsia" w:cstheme="minorEastAsia"/>
          <w:b/>
          <w:bCs w:val="0"/>
          <w:iCs/>
          <w:sz w:val="24"/>
          <w:szCs w:val="24"/>
          <w:highlight w:val="none"/>
          <w:u w:val="single"/>
          <w:lang w:val="en-US" w:eastAsia="zh-CN" w:bidi="ar-SA"/>
        </w:rPr>
        <w:t xml:space="preserve">软件和信息技术服务业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hint="eastAsia" w:asciiTheme="minorEastAsia" w:hAnsiTheme="minorEastAsia" w:eastAsiaTheme="minorEastAsia" w:cstheme="minorEastAsia"/>
          <w:b/>
          <w:bCs w:val="0"/>
          <w:iCs/>
          <w:sz w:val="24"/>
          <w:szCs w:val="24"/>
          <w:highlight w:val="none"/>
          <w:u w:val="single"/>
          <w:lang w:val="en-US" w:eastAsia="zh-CN" w:bidi="ar-SA"/>
        </w:rPr>
        <w:t xml:space="preserve">软件和信息技术服务业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11"/>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11"/>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916"/>
        <w:gridCol w:w="2126"/>
        <w:gridCol w:w="22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楷体_GBK">
    <w:panose1 w:val="020B0503020202020204"/>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7"/>
        <w:rFonts w:ascii="宋体" w:hAnsi="宋体"/>
      </w:rPr>
      <w:framePr w:wrap="around" w:vAnchor="text" w:hAnchor="margin" w:xAlign="center" w:y="1"/>
    </w:pPr>
    <w:r>
      <w:rPr>
        <w:rFonts w:ascii="宋体" w:hAnsi="宋体"/>
      </w:rPr>
      <w:fldChar w:fldCharType="begin"/>
    </w:r>
    <w:r>
      <w:rPr>
        <w:rStyle w:val="707"/>
        <w:rFonts w:ascii="宋体" w:hAnsi="宋体"/>
      </w:rPr>
      <w:instrText xml:space="preserve">PAGE  </w:instrText>
    </w:r>
    <w:r>
      <w:rPr>
        <w:rFonts w:ascii="宋体" w:hAnsi="宋体"/>
      </w:rPr>
      <w:fldChar w:fldCharType="separate"/>
    </w:r>
    <w:r>
      <w:rPr>
        <w:rStyle w:val="707"/>
        <w:rFonts w:ascii="宋体" w:hAnsi="宋体"/>
      </w:rPr>
      <w:t xml:space="preserve">42</w:t>
    </w:r>
    <w:r>
      <w:rPr>
        <w:rFonts w:ascii="宋体" w:hAnsi="宋体"/>
      </w:rPr>
      <w:fldChar w:fldCharType="end"/>
    </w:r>
    <w:r/>
  </w:p>
  <w:p>
    <w:pPr>
      <w:pStyle w:val="6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7"/>
      </w:rPr>
      <w:framePr w:wrap="around" w:vAnchor="text" w:hAnchor="margin" w:xAlign="center" w:y="1"/>
    </w:pPr>
    <w:r>
      <w:fldChar w:fldCharType="begin"/>
    </w:r>
    <w:r>
      <w:rPr>
        <w:rStyle w:val="707"/>
      </w:rPr>
      <w:instrText xml:space="preserve">PAGE  </w:instrText>
    </w:r>
    <w:r>
      <w:fldChar w:fldCharType="separate"/>
    </w:r>
    <w:r>
      <w:rPr>
        <w:rStyle w:val="707"/>
      </w:rPr>
      <w:t xml:space="preserve">1</w:t>
    </w:r>
    <w: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3">
    <w:multiLevelType w:val="hybridMultilevel"/>
    <w:lvl w:ilvl="0">
      <w:start w:val="1"/>
      <w:numFmt w:val="chineseCountingThousand"/>
      <w:isLgl w:val="false"/>
      <w:suff w:val="nothing"/>
      <w:lvlText w:val="%1、"/>
      <w:lvlJc w:val="left"/>
      <w:pPr>
        <w:ind w:left="425" w:hanging="425"/>
      </w:pPr>
      <w:rPr>
        <w:rFonts w:hint="eastAsia"/>
      </w:rPr>
    </w:lvl>
    <w:lvl w:ilvl="1">
      <w:start w:val="1"/>
      <w:numFmt w:val="chineseCountingThousand"/>
      <w:isLgl w:val="false"/>
      <w:suff w:val="tab"/>
      <w:lvlText w:val="（%2）"/>
      <w:lvlJc w:val="left"/>
      <w:pPr>
        <w:ind w:left="3686" w:hanging="567"/>
      </w:pPr>
      <w:rPr>
        <w:rFonts w:hint="eastAsia"/>
      </w:rPr>
    </w:lvl>
    <w:lvl w:ilvl="2">
      <w:start w:val="1"/>
      <w:numFmt w:val="decimal"/>
      <w:isLgl/>
      <w:suff w:val="nothing"/>
      <w:lvlText w:val="%1.%2.%3、"/>
      <w:lvlJc w:val="left"/>
      <w:pPr>
        <w:ind w:left="2346" w:hanging="1069"/>
      </w:pPr>
      <w:rPr>
        <w:rFonts w:hint="eastAsia" w:ascii="Times New Roman" w:hAnsi="Times New Roman" w:cs="Times New Roman"/>
        <w:b/>
        <w:bCs w:val="0"/>
        <w:i w:val="0"/>
        <w:iCs w:val="0"/>
        <w:caps w:val="0"/>
        <w:smallCaps w:val="0"/>
        <w:strike w:val="0"/>
        <w:vanish w:val="0"/>
        <w:color w:val="000000"/>
        <w:spacing w:val="0"/>
        <w:position w:val="0"/>
        <w:u w:val="none"/>
        <w:vertAlign w:val="baseline"/>
      </w:rPr>
    </w:lvl>
    <w:lvl w:ilvl="3">
      <w:start w:val="1"/>
      <w:numFmt w:val="decimal"/>
      <w:isLgl/>
      <w:suff w:val="nothing"/>
      <w:lvlText w:val="%1.%2.%3.%4、"/>
      <w:lvlJc w:val="left"/>
      <w:pPr>
        <w:ind w:left="1561" w:hanging="851"/>
      </w:pPr>
      <w:rPr>
        <w:rFonts w:hint="default" w:ascii="Times New Roman" w:hAnsi="Times New Roman" w:eastAsia="宋体" w:cs="Times New Roman"/>
        <w:sz w:val="24"/>
        <w:szCs w:val="24"/>
      </w:rPr>
    </w:lvl>
    <w:lvl w:ilvl="4">
      <w:start w:val="1"/>
      <w:numFmt w:val="decimal"/>
      <w:isLgl/>
      <w:suff w:val="nothing"/>
      <w:lvlText w:val="%1.%2.%3.%4.%5、"/>
      <w:lvlJc w:val="left"/>
      <w:pPr>
        <w:ind w:left="1985" w:hanging="992"/>
      </w:pPr>
      <w:rPr>
        <w:rFonts w:hint="eastAsia"/>
      </w:rPr>
    </w:lvl>
    <w:lvl w:ilvl="5">
      <w:start w:val="1"/>
      <w:numFmt w:val="decimal"/>
      <w:isLgl/>
      <w:suff w:val="nothing"/>
      <w:lvlText w:val="%1.%2.%3.%4.%5.%6、"/>
      <w:lvlJc w:val="left"/>
      <w:pPr>
        <w:ind w:left="1134" w:hanging="1134"/>
      </w:pPr>
      <w:rPr>
        <w:rFonts w:hint="default" w:ascii="Times New Roman" w:hAnsi="Times New Roman" w:cs="Times New Roman"/>
      </w:rPr>
    </w:lvl>
    <w:lvl w:ilvl="6">
      <w:start w:val="1"/>
      <w:numFmt w:val="decimal"/>
      <w:isLgl/>
      <w:suff w:val="tab"/>
      <w:lvlText w:val="%1.%2.%3.%4.%5.%6.%7"/>
      <w:lvlJc w:val="left"/>
      <w:pPr>
        <w:ind w:left="1276" w:hanging="1276"/>
        <w:tabs>
          <w:tab w:val="left" w:pos="1800" w:leader="none"/>
        </w:tabs>
      </w:pPr>
      <w:rPr>
        <w:rFonts w:hint="eastAsia"/>
      </w:rPr>
    </w:lvl>
    <w:lvl w:ilvl="7">
      <w:start w:val="1"/>
      <w:numFmt w:val="decimal"/>
      <w:isLgl/>
      <w:suff w:val="tab"/>
      <w:lvlText w:val="%1.%2.%3.%4.%5.%6.%7.%8"/>
      <w:lvlJc w:val="left"/>
      <w:pPr>
        <w:ind w:left="1418" w:hanging="1418"/>
        <w:tabs>
          <w:tab w:val="left" w:pos="1800" w:leader="none"/>
        </w:tabs>
      </w:pPr>
      <w:rPr>
        <w:rFonts w:hint="eastAsia"/>
      </w:rPr>
    </w:lvl>
    <w:lvl w:ilvl="8">
      <w:start w:val="1"/>
      <w:numFmt w:val="decimal"/>
      <w:isLgl/>
      <w:suff w:val="tab"/>
      <w:lvlText w:val="%1.%2.%3.%4.%5.%6.%7.%8.%9"/>
      <w:lvlJc w:val="left"/>
      <w:pPr>
        <w:ind w:left="1559" w:hanging="1559"/>
        <w:tabs>
          <w:tab w:val="left" w:pos="2160"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1"/>
    </w:rPr>
  </w:style>
  <w:style w:type="paragraph" w:styleId="657">
    <w:name w:val="Heading 1"/>
    <w:basedOn w:val="656"/>
    <w:next w:val="656"/>
    <w:link w:val="899"/>
    <w:uiPriority w:val="0"/>
    <w:qFormat/>
    <w:pPr>
      <w:jc w:val="center"/>
      <w:keepNext/>
      <w:outlineLvl w:val="0"/>
    </w:pPr>
    <w:rPr>
      <w:rFonts w:ascii="楷体_GB2312" w:hAnsi="楷体_GB2312" w:eastAsia="黑体"/>
      <w:sz w:val="44"/>
      <w:szCs w:val="28"/>
    </w:rPr>
  </w:style>
  <w:style w:type="paragraph" w:styleId="658">
    <w:name w:val="Heading 2"/>
    <w:basedOn w:val="656"/>
    <w:next w:val="656"/>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68"/>
    <w:link w:val="887"/>
    <w:uiPriority w:val="0"/>
    <w:qFormat/>
    <w:pPr>
      <w:keepLines/>
      <w:keepNext/>
      <w:spacing w:before="260" w:after="260" w:line="416" w:lineRule="auto"/>
      <w:outlineLvl w:val="2"/>
    </w:pPr>
    <w:rPr>
      <w:b/>
      <w:bCs/>
      <w:sz w:val="32"/>
      <w:szCs w:val="32"/>
    </w:rPr>
  </w:style>
  <w:style w:type="paragraph" w:styleId="660">
    <w:name w:val="Heading 4"/>
    <w:basedOn w:val="656"/>
    <w:next w:val="668"/>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68"/>
    <w:link w:val="909"/>
    <w:uiPriority w:val="0"/>
    <w:qFormat/>
    <w:pPr>
      <w:keepNext/>
      <w:outlineLvl w:val="4"/>
    </w:pPr>
    <w:rPr>
      <w:rFonts w:ascii="宋体"/>
      <w:color w:val="000000"/>
      <w:sz w:val="28"/>
      <w:szCs w:val="28"/>
    </w:rPr>
  </w:style>
  <w:style w:type="paragraph" w:styleId="662">
    <w:name w:val="Heading 6"/>
    <w:basedOn w:val="656"/>
    <w:next w:val="656"/>
    <w:link w:val="89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905"/>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9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907"/>
    <w:uiPriority w:val="0"/>
    <w:qFormat/>
    <w:pPr>
      <w:numPr>
        <w:ilvl w:val="8"/>
        <w:numId w:val="1"/>
      </w:numPr>
      <w:keepLines/>
      <w:keepNext/>
      <w:spacing w:before="240" w:after="64" w:line="320" w:lineRule="auto"/>
      <w:outlineLvl w:val="8"/>
    </w:pPr>
    <w:rPr>
      <w:rFonts w:ascii="Arial" w:hAnsi="Arial" w:eastAsia="黑体"/>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Layout w:type="fixed"/>
      <w:tblCellMar>
        <w:left w:w="108" w:type="dxa"/>
        <w:top w:w="0" w:type="dxa"/>
        <w:right w:w="108" w:type="dxa"/>
        <w:bottom w:w="0" w:type="dxa"/>
      </w:tblCellMar>
    </w:tblPr>
  </w:style>
  <w:style w:type="paragraph" w:styleId="668">
    <w:name w:val="Normal Indent"/>
    <w:basedOn w:val="656"/>
    <w:link w:val="904"/>
    <w:uiPriority w:val="0"/>
    <w:qFormat/>
    <w:pPr>
      <w:ind w:firstLine="420"/>
    </w:pPr>
  </w:style>
  <w:style w:type="paragraph" w:styleId="669">
    <w:name w:val="List 3"/>
    <w:basedOn w:val="656"/>
    <w:uiPriority w:val="0"/>
    <w:qFormat/>
    <w:pPr>
      <w:ind w:left="100" w:hanging="200"/>
    </w:pPr>
  </w:style>
  <w:style w:type="paragraph" w:styleId="670">
    <w:name w:val="annotation subject"/>
    <w:basedOn w:val="671"/>
    <w:next w:val="671"/>
    <w:link w:val="895"/>
    <w:uiPriority w:val="0"/>
    <w:semiHidden/>
    <w:qFormat/>
    <w:rPr>
      <w:b/>
      <w:bCs/>
    </w:rPr>
  </w:style>
  <w:style w:type="paragraph" w:styleId="671">
    <w:name w:val="annotation text"/>
    <w:basedOn w:val="656"/>
    <w:link w:val="908"/>
    <w:uiPriority w:val="0"/>
    <w:semiHidden/>
    <w:qFormat/>
    <w:pPr>
      <w:jc w:val="left"/>
    </w:pPr>
  </w:style>
  <w:style w:type="paragraph" w:styleId="672">
    <w:name w:val="toc 7"/>
    <w:basedOn w:val="656"/>
    <w:next w:val="656"/>
    <w:uiPriority w:val="0"/>
    <w:semiHidden/>
    <w:qFormat/>
    <w:pPr>
      <w:ind w:left="1260"/>
      <w:jc w:val="left"/>
    </w:pPr>
  </w:style>
  <w:style w:type="paragraph" w:styleId="673">
    <w:name w:val="Body Text First Indent"/>
    <w:basedOn w:val="656"/>
    <w:link w:val="897"/>
    <w:uiPriority w:val="0"/>
    <w:qFormat/>
    <w:pPr>
      <w:ind w:firstLine="200"/>
      <w:spacing w:line="360" w:lineRule="auto"/>
    </w:pPr>
    <w:rPr>
      <w:rFonts w:ascii="仿宋_GB2312" w:eastAsia="仿宋_GB2312"/>
      <w:sz w:val="30"/>
      <w:szCs w:val="30"/>
    </w:rPr>
  </w:style>
  <w:style w:type="paragraph" w:styleId="674">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Document Map"/>
    <w:basedOn w:val="656"/>
    <w:link w:val="890"/>
    <w:uiPriority w:val="0"/>
    <w:semiHidden/>
    <w:qFormat/>
    <w:pPr>
      <w:shd w:val="clear" w:color="auto" w:fill="000080"/>
    </w:pPr>
  </w:style>
  <w:style w:type="paragraph" w:styleId="676">
    <w:name w:val="Body Text 3"/>
    <w:basedOn w:val="656"/>
    <w:link w:val="901"/>
    <w:uiPriority w:val="0"/>
    <w:qFormat/>
    <w:rPr>
      <w:rFonts w:ascii="仿宋_GB2312" w:hAnsi="Arial" w:eastAsia="仿宋_GB2312"/>
      <w:sz w:val="32"/>
      <w:szCs w:val="32"/>
    </w:rPr>
  </w:style>
  <w:style w:type="paragraph" w:styleId="677">
    <w:name w:val="Body Text"/>
    <w:basedOn w:val="656"/>
    <w:link w:val="916"/>
    <w:uiPriority w:val="0"/>
    <w:qFormat/>
    <w:rPr>
      <w:rFonts w:ascii="楷体_GB2312" w:hAnsi="Arial" w:eastAsia="楷体_GB2312"/>
      <w:sz w:val="28"/>
      <w:szCs w:val="28"/>
    </w:rPr>
  </w:style>
  <w:style w:type="paragraph" w:styleId="678">
    <w:name w:val="Body Text Indent"/>
    <w:basedOn w:val="656"/>
    <w:link w:val="906"/>
    <w:uiPriority w:val="0"/>
    <w:qFormat/>
    <w:pPr>
      <w:ind w:firstLine="645"/>
    </w:pPr>
    <w:rPr>
      <w:rFonts w:ascii="楷体_GB2312" w:eastAsia="楷体_GB2312"/>
      <w:sz w:val="32"/>
      <w:szCs w:val="32"/>
    </w:rPr>
  </w:style>
  <w:style w:type="paragraph" w:styleId="679">
    <w:name w:val="List 2"/>
    <w:basedOn w:val="656"/>
    <w:uiPriority w:val="0"/>
    <w:qFormat/>
    <w:pPr>
      <w:ind w:left="100" w:hanging="200"/>
    </w:pPr>
  </w:style>
  <w:style w:type="paragraph" w:styleId="680">
    <w:name w:val="toc 5"/>
    <w:basedOn w:val="656"/>
    <w:next w:val="656"/>
    <w:uiPriority w:val="0"/>
    <w:semiHidden/>
    <w:qFormat/>
    <w:pPr>
      <w:ind w:left="840"/>
      <w:jc w:val="left"/>
    </w:pPr>
  </w:style>
  <w:style w:type="paragraph" w:styleId="681">
    <w:name w:val="toc 3"/>
    <w:basedOn w:val="656"/>
    <w:next w:val="656"/>
    <w:uiPriority w:val="0"/>
    <w:semiHidden/>
    <w:qFormat/>
    <w:pPr>
      <w:ind w:left="420"/>
      <w:jc w:val="left"/>
    </w:pPr>
    <w:rPr>
      <w:i/>
      <w:iCs/>
      <w:szCs w:val="24"/>
    </w:rPr>
  </w:style>
  <w:style w:type="paragraph" w:styleId="682">
    <w:name w:val="Plain Text"/>
    <w:basedOn w:val="656"/>
    <w:link w:val="889"/>
    <w:uiPriority w:val="0"/>
    <w:qFormat/>
    <w:rPr>
      <w:rFonts w:ascii="宋体" w:hAnsi="Courier New" w:cs="Courier New"/>
    </w:rPr>
  </w:style>
  <w:style w:type="paragraph" w:styleId="683">
    <w:name w:val="toc 8"/>
    <w:basedOn w:val="656"/>
    <w:next w:val="656"/>
    <w:uiPriority w:val="0"/>
    <w:semiHidden/>
    <w:qFormat/>
    <w:pPr>
      <w:ind w:left="1470"/>
      <w:jc w:val="left"/>
    </w:pPr>
  </w:style>
  <w:style w:type="paragraph" w:styleId="684">
    <w:name w:val="Date"/>
    <w:basedOn w:val="656"/>
    <w:next w:val="656"/>
    <w:link w:val="911"/>
    <w:uiPriority w:val="0"/>
    <w:qFormat/>
    <w:rPr>
      <w:sz w:val="24"/>
      <w:szCs w:val="24"/>
    </w:rPr>
  </w:style>
  <w:style w:type="paragraph" w:styleId="685">
    <w:name w:val="Body Text Indent 2"/>
    <w:basedOn w:val="656"/>
    <w:link w:val="910"/>
    <w:uiPriority w:val="0"/>
    <w:qFormat/>
    <w:pPr>
      <w:ind w:left="630" w:firstLine="645"/>
    </w:pPr>
    <w:rPr>
      <w:rFonts w:ascii="Arial" w:hAnsi="Arial" w:eastAsia="仿宋_GB2312" w:cs="Arial"/>
      <w:sz w:val="32"/>
      <w:szCs w:val="32"/>
    </w:rPr>
  </w:style>
  <w:style w:type="paragraph" w:styleId="686">
    <w:name w:val="endnote text"/>
    <w:basedOn w:val="656"/>
    <w:link w:val="885"/>
    <w:uiPriority w:val="99"/>
    <w:semiHidden/>
    <w:unhideWhenUsed/>
    <w:qFormat/>
    <w:rPr>
      <w:sz w:val="20"/>
    </w:rPr>
  </w:style>
  <w:style w:type="paragraph" w:styleId="687">
    <w:name w:val="Balloon Text"/>
    <w:basedOn w:val="656"/>
    <w:link w:val="912"/>
    <w:uiPriority w:val="0"/>
    <w:semiHidden/>
    <w:qFormat/>
    <w:rPr>
      <w:sz w:val="18"/>
      <w:szCs w:val="18"/>
    </w:rPr>
  </w:style>
  <w:style w:type="paragraph" w:styleId="688">
    <w:name w:val="Footer"/>
    <w:basedOn w:val="656"/>
    <w:link w:val="891"/>
    <w:uiPriority w:val="0"/>
    <w:qFormat/>
    <w:pPr>
      <w:jc w:val="left"/>
      <w:tabs>
        <w:tab w:val="center" w:pos="4153" w:leader="none"/>
        <w:tab w:val="right" w:pos="8306" w:leader="none"/>
      </w:tabs>
    </w:pPr>
    <w:rPr>
      <w:sz w:val="18"/>
      <w:szCs w:val="18"/>
    </w:rPr>
  </w:style>
  <w:style w:type="paragraph" w:styleId="689">
    <w:name w:val="Body Text First Indent 2"/>
    <w:basedOn w:val="678"/>
    <w:link w:val="898"/>
    <w:uiPriority w:val="0"/>
    <w:qFormat/>
    <w:pPr>
      <w:ind w:firstLine="420"/>
      <w:spacing w:line="360" w:lineRule="auto"/>
    </w:pPr>
    <w:rPr>
      <w:rFonts w:ascii="宋体" w:hAnsi="宋体" w:eastAsia="宋体"/>
      <w:sz w:val="21"/>
      <w:szCs w:val="20"/>
    </w:rPr>
  </w:style>
  <w:style w:type="paragraph" w:styleId="690">
    <w:name w:val="Header"/>
    <w:basedOn w:val="656"/>
    <w:link w:val="915"/>
    <w:uiPriority w:val="0"/>
    <w:qFormat/>
    <w:pPr>
      <w:jc w:val="center"/>
      <w:tabs>
        <w:tab w:val="center" w:pos="4153" w:leader="none"/>
        <w:tab w:val="right" w:pos="8306" w:leader="none"/>
      </w:tabs>
      <w:pBdr>
        <w:bottom w:val="single" w:color="000000" w:sz="6" w:space="1"/>
      </w:pBdr>
    </w:pPr>
    <w:rPr>
      <w:sz w:val="18"/>
      <w:szCs w:val="18"/>
    </w:rPr>
  </w:style>
  <w:style w:type="paragraph" w:styleId="691">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92">
    <w:name w:val="toc 4"/>
    <w:basedOn w:val="656"/>
    <w:next w:val="656"/>
    <w:uiPriority w:val="0"/>
    <w:semiHidden/>
    <w:qFormat/>
    <w:pPr>
      <w:ind w:left="630"/>
      <w:jc w:val="left"/>
    </w:pPr>
  </w:style>
  <w:style w:type="paragraph" w:styleId="693">
    <w:name w:val="Subtitle"/>
    <w:basedOn w:val="656"/>
    <w:next w:val="656"/>
    <w:link w:val="751"/>
    <w:uiPriority w:val="11"/>
    <w:qFormat/>
    <w:pPr>
      <w:spacing w:before="200" w:after="200"/>
    </w:pPr>
    <w:rPr>
      <w:sz w:val="24"/>
      <w:szCs w:val="24"/>
    </w:rPr>
  </w:style>
  <w:style w:type="paragraph" w:styleId="694">
    <w:name w:val="List"/>
    <w:basedOn w:val="656"/>
    <w:uiPriority w:val="0"/>
    <w:qFormat/>
    <w:pPr>
      <w:ind w:left="200" w:hanging="200"/>
    </w:pPr>
  </w:style>
  <w:style w:type="paragraph" w:styleId="695">
    <w:name w:val="footnote text"/>
    <w:basedOn w:val="656"/>
    <w:link w:val="884"/>
    <w:uiPriority w:val="99"/>
    <w:semiHidden/>
    <w:unhideWhenUsed/>
    <w:qFormat/>
    <w:pPr>
      <w:spacing w:after="40"/>
    </w:pPr>
    <w:rPr>
      <w:sz w:val="18"/>
    </w:rPr>
  </w:style>
  <w:style w:type="paragraph" w:styleId="696">
    <w:name w:val="toc 6"/>
    <w:basedOn w:val="656"/>
    <w:next w:val="656"/>
    <w:uiPriority w:val="0"/>
    <w:semiHidden/>
    <w:qFormat/>
    <w:pPr>
      <w:ind w:left="1050"/>
      <w:jc w:val="left"/>
    </w:pPr>
  </w:style>
  <w:style w:type="paragraph" w:styleId="697">
    <w:name w:val="Body Text Indent 3"/>
    <w:basedOn w:val="656"/>
    <w:link w:val="917"/>
    <w:uiPriority w:val="0"/>
    <w:qFormat/>
    <w:pPr>
      <w:ind w:left="645" w:firstLine="645"/>
    </w:pPr>
    <w:rPr>
      <w:rFonts w:ascii="Arial" w:hAnsi="Arial" w:eastAsia="仿宋_GB2312" w:cs="Arial"/>
      <w:color w:val="ffff00"/>
      <w:sz w:val="32"/>
      <w:szCs w:val="32"/>
    </w:rPr>
  </w:style>
  <w:style w:type="paragraph" w:styleId="698">
    <w:name w:val="table of figures"/>
    <w:basedOn w:val="656"/>
    <w:next w:val="656"/>
    <w:uiPriority w:val="0"/>
    <w:semiHidden/>
    <w:qFormat/>
    <w:pPr>
      <w:ind w:left="840" w:hanging="420"/>
    </w:pPr>
  </w:style>
  <w:style w:type="paragraph" w:styleId="699">
    <w:name w:val="toc 2"/>
    <w:basedOn w:val="656"/>
    <w:next w:val="656"/>
    <w:uiPriority w:val="0"/>
    <w:semiHidden/>
    <w:qFormat/>
    <w:pPr>
      <w:ind w:left="210"/>
      <w:jc w:val="left"/>
    </w:pPr>
    <w:rPr>
      <w:smallCaps/>
      <w:szCs w:val="24"/>
    </w:rPr>
  </w:style>
  <w:style w:type="paragraph" w:styleId="700">
    <w:name w:val="toc 9"/>
    <w:basedOn w:val="656"/>
    <w:next w:val="656"/>
    <w:uiPriority w:val="0"/>
    <w:semiHidden/>
    <w:qFormat/>
    <w:pPr>
      <w:ind w:left="1680"/>
      <w:jc w:val="left"/>
    </w:pPr>
  </w:style>
  <w:style w:type="paragraph" w:styleId="701">
    <w:name w:val="Body Text 2"/>
    <w:basedOn w:val="656"/>
    <w:link w:val="896"/>
    <w:uiPriority w:val="0"/>
    <w:qFormat/>
    <w:pPr>
      <w:jc w:val="center"/>
      <w:widowControl/>
    </w:pPr>
    <w:rPr>
      <w:rFonts w:ascii="楷体_GB2312" w:eastAsia="楷体_GB2312"/>
      <w:sz w:val="28"/>
      <w:szCs w:val="28"/>
    </w:rPr>
  </w:style>
  <w:style w:type="paragraph" w:styleId="702">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3">
    <w:name w:val="index 1"/>
    <w:basedOn w:val="656"/>
    <w:next w:val="656"/>
    <w:uiPriority w:val="0"/>
    <w:semiHidden/>
    <w:qFormat/>
    <w:pPr>
      <w:spacing w:line="240" w:lineRule="atLeast"/>
    </w:pPr>
    <w:rPr>
      <w:b/>
      <w:bCs/>
    </w:rPr>
  </w:style>
  <w:style w:type="paragraph" w:styleId="704">
    <w:name w:val="Title"/>
    <w:basedOn w:val="656"/>
    <w:next w:val="656"/>
    <w:link w:val="750"/>
    <w:uiPriority w:val="10"/>
    <w:qFormat/>
    <w:pPr>
      <w:contextualSpacing/>
      <w:spacing w:before="300" w:after="200"/>
    </w:pPr>
    <w:rPr>
      <w:sz w:val="48"/>
      <w:szCs w:val="48"/>
    </w:rPr>
  </w:style>
  <w:style w:type="character" w:styleId="705">
    <w:name w:val="Strong"/>
    <w:uiPriority w:val="0"/>
    <w:qFormat/>
    <w:rPr>
      <w:b/>
      <w:bCs/>
    </w:rPr>
  </w:style>
  <w:style w:type="character" w:styleId="706">
    <w:name w:val="endnote reference"/>
    <w:uiPriority w:val="99"/>
    <w:semiHidden/>
    <w:unhideWhenUsed/>
    <w:qFormat/>
    <w:rPr>
      <w:vertAlign w:val="superscript"/>
    </w:rPr>
  </w:style>
  <w:style w:type="character" w:styleId="707">
    <w:name w:val="page number"/>
    <w:uiPriority w:val="0"/>
    <w:qFormat/>
  </w:style>
  <w:style w:type="character" w:styleId="708">
    <w:name w:val="Hyperlink"/>
    <w:uiPriority w:val="0"/>
    <w:qFormat/>
    <w:rPr>
      <w:color w:val="0000ff"/>
      <w:u w:val="single"/>
    </w:rPr>
  </w:style>
  <w:style w:type="character" w:styleId="709">
    <w:name w:val="annotation reference"/>
    <w:uiPriority w:val="0"/>
    <w:semiHidden/>
    <w:qFormat/>
    <w:rPr>
      <w:sz w:val="21"/>
      <w:szCs w:val="21"/>
    </w:rPr>
  </w:style>
  <w:style w:type="character" w:styleId="710">
    <w:name w:val="footnote reference"/>
    <w:uiPriority w:val="99"/>
    <w:unhideWhenUsed/>
    <w:qFormat/>
    <w:rPr>
      <w:vertAlign w:val="superscript"/>
    </w:rPr>
  </w:style>
  <w:style w:type="table" w:styleId="711">
    <w:name w:val="Table Grid"/>
    <w:basedOn w:val="667"/>
    <w:uiPriority w:val="0"/>
    <w:qFormat/>
    <w:pPr>
      <w:jc w:val="both"/>
      <w:widowControl w:val="off"/>
    </w:pPr>
    <w:tblPr>
      <w:tblLayout w:type="fixed"/>
      <w:tblCellMar>
        <w:left w:w="108" w:type="dxa"/>
        <w:top w:w="0" w:type="dxa"/>
        <w:right w:w="108" w:type="dxa"/>
        <w:bottom w:w="0" w:type="dxa"/>
      </w:tblCellMar>
    </w:tblPr>
  </w:style>
  <w:style w:type="character" w:styleId="712" w:customStyle="1">
    <w:name w:val="Title Char"/>
    <w:basedOn w:val="666"/>
    <w:uiPriority w:val="10"/>
    <w:qFormat/>
    <w:rPr>
      <w:sz w:val="48"/>
      <w:szCs w:val="48"/>
    </w:rPr>
  </w:style>
  <w:style w:type="character" w:styleId="713" w:customStyle="1">
    <w:name w:val="Subtitle Char"/>
    <w:basedOn w:val="666"/>
    <w:uiPriority w:val="11"/>
    <w:qFormat/>
    <w:rPr>
      <w:sz w:val="24"/>
      <w:szCs w:val="24"/>
    </w:rPr>
  </w:style>
  <w:style w:type="character" w:styleId="714" w:customStyle="1">
    <w:name w:val="Quote Char"/>
    <w:uiPriority w:val="29"/>
    <w:qFormat/>
    <w:rPr>
      <w:i/>
    </w:rPr>
  </w:style>
  <w:style w:type="character" w:styleId="715" w:customStyle="1">
    <w:name w:val="Intense Quote Char"/>
    <w:uiPriority w:val="30"/>
    <w:qFormat/>
    <w:rPr>
      <w:i/>
    </w:rPr>
  </w:style>
  <w:style w:type="table" w:styleId="716"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6"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7"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List Table 1 Light"/>
    <w:basedOn w:val="66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3"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4" w:customStyle="1">
    <w:name w:val="List Table 7 Colorful"/>
    <w:basedOn w:val="66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5" w:customStyle="1">
    <w:name w:val="Footnote Text Char"/>
    <w:uiPriority w:val="99"/>
    <w:qFormat/>
    <w:rPr>
      <w:sz w:val="18"/>
    </w:rPr>
  </w:style>
  <w:style w:type="character" w:styleId="736" w:customStyle="1">
    <w:name w:val="Endnote Text Char"/>
    <w:uiPriority w:val="99"/>
    <w:qFormat/>
    <w:rPr>
      <w:sz w:val="20"/>
    </w:rPr>
  </w:style>
  <w:style w:type="paragraph" w:styleId="737" w:customStyle="1">
    <w:name w:val="TOC Heading"/>
    <w:uiPriority w:val="39"/>
    <w:unhideWhenUsed/>
    <w:qFormat/>
    <w:rPr>
      <w:rFonts w:hint="default" w:ascii="Times New Roman" w:hAnsi="Times New Roman" w:eastAsia="宋体" w:cs="Times New Roman"/>
    </w:rPr>
  </w:style>
  <w:style w:type="paragraph" w:styleId="738" w:customStyle="1">
    <w:name w:val="标题 31"/>
    <w:basedOn w:val="656"/>
    <w:next w:val="656"/>
    <w:uiPriority w:val="0"/>
    <w:qFormat/>
    <w:pPr>
      <w:keepLines/>
      <w:keepNext/>
      <w:spacing w:before="260" w:after="260" w:line="416" w:lineRule="auto"/>
      <w:outlineLvl w:val="2"/>
    </w:pPr>
    <w:rPr>
      <w:rFonts w:ascii="Calibri" w:hAnsi="Calibri"/>
      <w:b/>
      <w:bCs/>
      <w:sz w:val="32"/>
      <w:szCs w:val="32"/>
    </w:rPr>
  </w:style>
  <w:style w:type="character" w:styleId="739" w:customStyle="1">
    <w:name w:val="Heading 1 Char"/>
    <w:uiPriority w:val="9"/>
    <w:qFormat/>
    <w:rPr>
      <w:rFonts w:ascii="Arial" w:hAnsi="Arial" w:eastAsia="Arial" w:cs="Arial"/>
      <w:sz w:val="40"/>
      <w:szCs w:val="40"/>
    </w:rPr>
  </w:style>
  <w:style w:type="character" w:styleId="740" w:customStyle="1">
    <w:name w:val="Heading 2 Char"/>
    <w:uiPriority w:val="9"/>
    <w:qFormat/>
    <w:rPr>
      <w:rFonts w:ascii="Arial" w:hAnsi="Arial" w:eastAsia="Arial" w:cs="Arial"/>
      <w:sz w:val="34"/>
    </w:rPr>
  </w:style>
  <w:style w:type="character" w:styleId="741" w:customStyle="1">
    <w:name w:val="Heading 3 Char"/>
    <w:uiPriority w:val="9"/>
    <w:qFormat/>
    <w:rPr>
      <w:rFonts w:ascii="Arial" w:hAnsi="Arial" w:eastAsia="Arial" w:cs="Arial"/>
      <w:sz w:val="30"/>
      <w:szCs w:val="30"/>
    </w:rPr>
  </w:style>
  <w:style w:type="character" w:styleId="742" w:customStyle="1">
    <w:name w:val="Heading 4 Char"/>
    <w:uiPriority w:val="9"/>
    <w:qFormat/>
    <w:rPr>
      <w:rFonts w:ascii="Arial" w:hAnsi="Arial" w:eastAsia="Arial" w:cs="Arial"/>
      <w:b/>
      <w:bCs/>
      <w:sz w:val="26"/>
      <w:szCs w:val="26"/>
    </w:rPr>
  </w:style>
  <w:style w:type="character" w:styleId="743" w:customStyle="1">
    <w:name w:val="Heading 5 Char"/>
    <w:uiPriority w:val="9"/>
    <w:qFormat/>
    <w:rPr>
      <w:rFonts w:ascii="Arial" w:hAnsi="Arial" w:eastAsia="Arial" w:cs="Arial"/>
      <w:b/>
      <w:bCs/>
      <w:sz w:val="24"/>
      <w:szCs w:val="24"/>
    </w:rPr>
  </w:style>
  <w:style w:type="character" w:styleId="744" w:customStyle="1">
    <w:name w:val="Heading 6 Char"/>
    <w:uiPriority w:val="9"/>
    <w:qFormat/>
    <w:rPr>
      <w:rFonts w:ascii="Arial" w:hAnsi="Arial" w:eastAsia="Arial" w:cs="Arial"/>
      <w:b/>
      <w:bCs/>
      <w:sz w:val="22"/>
      <w:szCs w:val="22"/>
    </w:rPr>
  </w:style>
  <w:style w:type="character" w:styleId="745" w:customStyle="1">
    <w:name w:val="Heading 7 Char"/>
    <w:uiPriority w:val="9"/>
    <w:qFormat/>
    <w:rPr>
      <w:rFonts w:ascii="Arial" w:hAnsi="Arial" w:eastAsia="Arial" w:cs="Arial"/>
      <w:b/>
      <w:bCs/>
      <w:i/>
      <w:iCs/>
      <w:sz w:val="22"/>
      <w:szCs w:val="22"/>
    </w:rPr>
  </w:style>
  <w:style w:type="character" w:styleId="746" w:customStyle="1">
    <w:name w:val="Heading 8 Char"/>
    <w:uiPriority w:val="9"/>
    <w:qFormat/>
    <w:rPr>
      <w:rFonts w:ascii="Arial" w:hAnsi="Arial" w:eastAsia="Arial" w:cs="Arial"/>
      <w:i/>
      <w:iCs/>
      <w:sz w:val="22"/>
      <w:szCs w:val="22"/>
    </w:rPr>
  </w:style>
  <w:style w:type="character" w:styleId="747" w:customStyle="1">
    <w:name w:val="Heading 9 Char"/>
    <w:uiPriority w:val="9"/>
    <w:qFormat/>
    <w:rPr>
      <w:rFonts w:ascii="Arial" w:hAnsi="Arial" w:eastAsia="Arial" w:cs="Arial"/>
      <w:i/>
      <w:iCs/>
      <w:sz w:val="21"/>
      <w:szCs w:val="21"/>
    </w:rPr>
  </w:style>
  <w:style w:type="paragraph" w:styleId="748">
    <w:name w:val="List Paragraph"/>
    <w:basedOn w:val="656"/>
    <w:uiPriority w:val="0"/>
    <w:qFormat/>
    <w:pPr>
      <w:contextualSpacing/>
      <w:ind w:left="720"/>
      <w:jc w:val="left"/>
      <w:widowControl/>
    </w:pPr>
    <w:rPr>
      <w:rFonts w:ascii="Calibri" w:hAnsi="Calibri"/>
      <w:sz w:val="24"/>
      <w:szCs w:val="24"/>
      <w:lang w:eastAsia="en-US" w:bidi="en-US"/>
    </w:rPr>
  </w:style>
  <w:style w:type="paragraph" w:styleId="749">
    <w:name w:val="No Spacing"/>
    <w:uiPriority w:val="99"/>
    <w:qFormat/>
    <w:pPr>
      <w:jc w:val="both"/>
      <w:widowControl w:val="off"/>
    </w:pPr>
    <w:rPr>
      <w:rFonts w:hint="default" w:ascii="Times New Roman" w:hAnsi="Times New Roman" w:eastAsia="宋体" w:cs="Times New Roman"/>
      <w:sz w:val="21"/>
      <w:szCs w:val="21"/>
    </w:rPr>
  </w:style>
  <w:style w:type="character" w:styleId="750" w:customStyle="1">
    <w:name w:val="标题 Char"/>
    <w:link w:val="704"/>
    <w:uiPriority w:val="10"/>
    <w:qFormat/>
    <w:rPr>
      <w:sz w:val="48"/>
      <w:szCs w:val="48"/>
    </w:rPr>
  </w:style>
  <w:style w:type="character" w:styleId="751" w:customStyle="1">
    <w:name w:val="副标题 Char"/>
    <w:link w:val="693"/>
    <w:uiPriority w:val="11"/>
    <w:qFormat/>
    <w:rPr>
      <w:sz w:val="24"/>
      <w:szCs w:val="24"/>
    </w:rPr>
  </w:style>
  <w:style w:type="paragraph" w:styleId="752">
    <w:name w:val="Quote"/>
    <w:basedOn w:val="656"/>
    <w:next w:val="656"/>
    <w:link w:val="753"/>
    <w:uiPriority w:val="29"/>
    <w:qFormat/>
    <w:pPr>
      <w:ind w:left="720" w:right="720"/>
    </w:pPr>
    <w:rPr>
      <w:i/>
    </w:rPr>
  </w:style>
  <w:style w:type="character" w:styleId="753" w:customStyle="1">
    <w:name w:val="引用 Char"/>
    <w:link w:val="752"/>
    <w:uiPriority w:val="29"/>
    <w:rPr>
      <w:i/>
    </w:rPr>
  </w:style>
  <w:style w:type="paragraph" w:styleId="754">
    <w:name w:val="Intense Quote"/>
    <w:basedOn w:val="656"/>
    <w:next w:val="656"/>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Char"/>
    <w:link w:val="754"/>
    <w:uiPriority w:val="30"/>
    <w:qFormat/>
    <w:rPr>
      <w:i/>
    </w:rPr>
  </w:style>
  <w:style w:type="character" w:styleId="756" w:customStyle="1">
    <w:name w:val="Header Char"/>
    <w:uiPriority w:val="99"/>
    <w:qFormat/>
  </w:style>
  <w:style w:type="character" w:styleId="757" w:customStyle="1">
    <w:name w:val="Footer Char"/>
    <w:uiPriority w:val="99"/>
    <w:qFormat/>
  </w:style>
  <w:style w:type="character" w:styleId="758" w:customStyle="1">
    <w:name w:val="Caption Char"/>
    <w:uiPriority w:val="99"/>
    <w:qFormat/>
  </w:style>
  <w:style w:type="table" w:styleId="7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Char"/>
    <w:link w:val="695"/>
    <w:uiPriority w:val="99"/>
    <w:qFormat/>
    <w:rPr>
      <w:sz w:val="18"/>
    </w:rPr>
  </w:style>
  <w:style w:type="character" w:styleId="885" w:customStyle="1">
    <w:name w:val="尾注文本 Char"/>
    <w:link w:val="686"/>
    <w:uiPriority w:val="99"/>
    <w:qFormat/>
    <w:rPr>
      <w:sz w:val="20"/>
    </w:rPr>
  </w:style>
  <w:style w:type="paragraph" w:styleId="886" w:customStyle="1">
    <w:name w:val="TOC 标题1"/>
    <w:uiPriority w:val="39"/>
    <w:unhideWhenUsed/>
    <w:qFormat/>
    <w:rPr>
      <w:rFonts w:hint="default" w:ascii="Times New Roman" w:hAnsi="Times New Roman" w:eastAsia="宋体" w:cs="Times New Roman"/>
    </w:rPr>
  </w:style>
  <w:style w:type="character" w:styleId="887" w:customStyle="1">
    <w:name w:val="标题 3 Char"/>
    <w:link w:val="659"/>
    <w:uiPriority w:val="0"/>
    <w:qFormat/>
    <w:rPr>
      <w:rFonts w:ascii="Times New Roman" w:hAnsi="Times New Roman" w:eastAsia="宋体" w:cs="Times New Roman"/>
      <w:b/>
      <w:bCs/>
      <w:sz w:val="32"/>
      <w:szCs w:val="32"/>
    </w:rPr>
  </w:style>
  <w:style w:type="character" w:styleId="888" w:customStyle="1">
    <w:name w:val="标题 2 Char"/>
    <w:link w:val="658"/>
    <w:uiPriority w:val="0"/>
    <w:qFormat/>
    <w:rPr>
      <w:rFonts w:ascii="Arial" w:hAnsi="Arial" w:eastAsia="幼圆" w:cs="Arial"/>
      <w:b/>
      <w:bCs/>
      <w:sz w:val="44"/>
      <w:szCs w:val="44"/>
    </w:rPr>
  </w:style>
  <w:style w:type="character" w:styleId="889" w:customStyle="1">
    <w:name w:val="纯文本 Char"/>
    <w:link w:val="682"/>
    <w:uiPriority w:val="0"/>
    <w:qFormat/>
    <w:rPr>
      <w:rFonts w:ascii="宋体" w:hAnsi="Courier New" w:eastAsia="宋体" w:cs="Courier New"/>
      <w:szCs w:val="21"/>
    </w:rPr>
  </w:style>
  <w:style w:type="character" w:styleId="890" w:customStyle="1">
    <w:name w:val="文档结构图 Char"/>
    <w:link w:val="675"/>
    <w:uiPriority w:val="0"/>
    <w:semiHidden/>
    <w:qFormat/>
    <w:rPr>
      <w:rFonts w:ascii="Times New Roman" w:hAnsi="Times New Roman" w:eastAsia="宋体" w:cs="Times New Roman"/>
      <w:szCs w:val="21"/>
      <w:shd w:val="clear" w:color="auto" w:fill="000080"/>
    </w:rPr>
  </w:style>
  <w:style w:type="character" w:styleId="891" w:customStyle="1">
    <w:name w:val="页脚 Char"/>
    <w:link w:val="688"/>
    <w:uiPriority w:val="0"/>
    <w:qFormat/>
    <w:rPr>
      <w:rFonts w:ascii="Times New Roman" w:hAnsi="Times New Roman" w:eastAsia="宋体" w:cs="Times New Roman"/>
      <w:sz w:val="18"/>
      <w:szCs w:val="18"/>
    </w:rPr>
  </w:style>
  <w:style w:type="character" w:styleId="892" w:customStyle="1">
    <w:name w:val="列出段落 Char"/>
    <w:link w:val="893"/>
    <w:uiPriority w:val="0"/>
    <w:qFormat/>
    <w:rPr>
      <w:rFonts w:ascii="Calibri" w:hAnsi="Calibri"/>
      <w:sz w:val="24"/>
      <w:szCs w:val="24"/>
      <w:lang w:eastAsia="en-US" w:bidi="en-US"/>
    </w:rPr>
  </w:style>
  <w:style w:type="paragraph" w:styleId="893" w:customStyle="1">
    <w:name w:val="列出段落1"/>
    <w:basedOn w:val="656"/>
    <w:link w:val="892"/>
    <w:uiPriority w:val="0"/>
    <w:qFormat/>
    <w:pPr>
      <w:contextualSpacing/>
      <w:ind w:left="720"/>
      <w:jc w:val="left"/>
      <w:widowControl/>
    </w:pPr>
    <w:rPr>
      <w:rFonts w:ascii="Calibri" w:hAnsi="Calibri"/>
      <w:sz w:val="24"/>
      <w:szCs w:val="24"/>
      <w:lang w:eastAsia="en-US" w:bidi="en-US"/>
    </w:rPr>
  </w:style>
  <w:style w:type="character" w:styleId="894" w:customStyle="1">
    <w:name w:val="标题 6 Char"/>
    <w:link w:val="662"/>
    <w:uiPriority w:val="0"/>
    <w:qFormat/>
    <w:rPr>
      <w:rFonts w:ascii="Arial" w:hAnsi="Arial" w:eastAsia="黑体" w:cs="Times New Roman"/>
      <w:b/>
      <w:bCs/>
      <w:sz w:val="24"/>
      <w:szCs w:val="24"/>
    </w:rPr>
  </w:style>
  <w:style w:type="character" w:styleId="895" w:customStyle="1">
    <w:name w:val="批注主题 Char"/>
    <w:link w:val="670"/>
    <w:uiPriority w:val="0"/>
    <w:semiHidden/>
    <w:qFormat/>
    <w:rPr>
      <w:rFonts w:ascii="Times New Roman" w:hAnsi="Times New Roman" w:eastAsia="宋体" w:cs="Times New Roman"/>
      <w:b/>
      <w:bCs/>
      <w:szCs w:val="21"/>
    </w:rPr>
  </w:style>
  <w:style w:type="character" w:styleId="896" w:customStyle="1">
    <w:name w:val="正文文本 2 Char"/>
    <w:link w:val="701"/>
    <w:uiPriority w:val="0"/>
    <w:qFormat/>
    <w:rPr>
      <w:rFonts w:ascii="楷体_GB2312" w:hAnsi="Times New Roman" w:eastAsia="楷体_GB2312" w:cs="Times New Roman"/>
      <w:sz w:val="28"/>
      <w:szCs w:val="28"/>
    </w:rPr>
  </w:style>
  <w:style w:type="character" w:styleId="897" w:customStyle="1">
    <w:name w:val="正文首行缩进 Char"/>
    <w:link w:val="673"/>
    <w:uiPriority w:val="0"/>
    <w:qFormat/>
    <w:rPr>
      <w:rFonts w:ascii="仿宋_GB2312" w:hAnsi="Times New Roman" w:eastAsia="仿宋_GB2312" w:cs="Times New Roman"/>
      <w:sz w:val="30"/>
      <w:szCs w:val="30"/>
    </w:rPr>
  </w:style>
  <w:style w:type="character" w:styleId="898" w:customStyle="1">
    <w:name w:val="正文首行缩进 2 Char"/>
    <w:link w:val="689"/>
    <w:uiPriority w:val="0"/>
    <w:qFormat/>
    <w:rPr>
      <w:rFonts w:ascii="宋体" w:hAnsi="宋体" w:eastAsia="宋体" w:cs="Times New Roman"/>
      <w:sz w:val="32"/>
      <w:szCs w:val="20"/>
    </w:rPr>
  </w:style>
  <w:style w:type="character" w:styleId="899" w:customStyle="1">
    <w:name w:val="标题 1 Char"/>
    <w:link w:val="657"/>
    <w:uiPriority w:val="0"/>
    <w:qFormat/>
    <w:rPr>
      <w:rFonts w:ascii="楷体_GB2312" w:hAnsi="楷体_GB2312" w:eastAsia="黑体" w:cs="Times New Roman"/>
      <w:sz w:val="44"/>
      <w:szCs w:val="28"/>
    </w:rPr>
  </w:style>
  <w:style w:type="character" w:styleId="900" w:customStyle="1">
    <w:name w:val="已访问的超链接1"/>
    <w:uiPriority w:val="0"/>
    <w:qFormat/>
    <w:rPr>
      <w:color w:val="800080"/>
      <w:u w:val="single"/>
    </w:rPr>
  </w:style>
  <w:style w:type="character" w:styleId="901" w:customStyle="1">
    <w:name w:val="正文文本 3 Char"/>
    <w:link w:val="676"/>
    <w:uiPriority w:val="0"/>
    <w:qFormat/>
    <w:rPr>
      <w:rFonts w:ascii="仿宋_GB2312" w:hAnsi="Arial" w:eastAsia="仿宋_GB2312" w:cs="Times New Roman"/>
      <w:sz w:val="32"/>
      <w:szCs w:val="32"/>
    </w:rPr>
  </w:style>
  <w:style w:type="character" w:styleId="902" w:customStyle="1">
    <w:name w:val="二级目录 Char"/>
    <w:link w:val="903"/>
    <w:uiPriority w:val="0"/>
    <w:qFormat/>
    <w:rPr>
      <w:b/>
      <w:sz w:val="30"/>
      <w:szCs w:val="28"/>
    </w:rPr>
  </w:style>
  <w:style w:type="paragraph" w:styleId="903" w:customStyle="1">
    <w:name w:val="二级目录"/>
    <w:next w:val="656"/>
    <w:link w:val="902"/>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04" w:customStyle="1">
    <w:name w:val="正文缩进 Char"/>
    <w:link w:val="668"/>
    <w:uiPriority w:val="0"/>
    <w:qFormat/>
    <w:rPr>
      <w:rFonts w:ascii="Times New Roman" w:hAnsi="Times New Roman" w:eastAsia="宋体" w:cs="Times New Roman"/>
      <w:szCs w:val="21"/>
    </w:rPr>
  </w:style>
  <w:style w:type="character" w:styleId="905" w:customStyle="1">
    <w:name w:val="标题 7 Char"/>
    <w:link w:val="663"/>
    <w:uiPriority w:val="0"/>
    <w:qFormat/>
    <w:rPr>
      <w:rFonts w:ascii="Times New Roman" w:hAnsi="Times New Roman" w:eastAsia="宋体" w:cs="Times New Roman"/>
      <w:b/>
      <w:bCs/>
      <w:sz w:val="24"/>
      <w:szCs w:val="24"/>
    </w:rPr>
  </w:style>
  <w:style w:type="character" w:styleId="906" w:customStyle="1">
    <w:name w:val="正文文本缩进 Char"/>
    <w:link w:val="678"/>
    <w:uiPriority w:val="0"/>
    <w:qFormat/>
    <w:rPr>
      <w:rFonts w:ascii="楷体_GB2312" w:hAnsi="Times New Roman" w:eastAsia="楷体_GB2312" w:cs="Times New Roman"/>
      <w:sz w:val="32"/>
      <w:szCs w:val="32"/>
    </w:rPr>
  </w:style>
  <w:style w:type="character" w:styleId="907" w:customStyle="1">
    <w:name w:val="标题 9 Char"/>
    <w:link w:val="665"/>
    <w:uiPriority w:val="0"/>
    <w:qFormat/>
    <w:rPr>
      <w:rFonts w:ascii="Arial" w:hAnsi="Arial" w:eastAsia="黑体" w:cs="Times New Roman"/>
      <w:szCs w:val="21"/>
    </w:rPr>
  </w:style>
  <w:style w:type="character" w:styleId="908" w:customStyle="1">
    <w:name w:val="批注文字 Char"/>
    <w:link w:val="671"/>
    <w:uiPriority w:val="0"/>
    <w:semiHidden/>
    <w:qFormat/>
    <w:rPr>
      <w:rFonts w:ascii="Times New Roman" w:hAnsi="Times New Roman" w:eastAsia="宋体" w:cs="Times New Roman"/>
      <w:szCs w:val="21"/>
    </w:rPr>
  </w:style>
  <w:style w:type="character" w:styleId="909" w:customStyle="1">
    <w:name w:val="标题 5 Char"/>
    <w:link w:val="661"/>
    <w:uiPriority w:val="0"/>
    <w:qFormat/>
    <w:rPr>
      <w:rFonts w:ascii="宋体" w:hAnsi="Times New Roman" w:eastAsia="宋体" w:cs="Times New Roman"/>
      <w:color w:val="000000"/>
      <w:sz w:val="28"/>
      <w:szCs w:val="28"/>
    </w:rPr>
  </w:style>
  <w:style w:type="character" w:styleId="910" w:customStyle="1">
    <w:name w:val="正文文本缩进 2 Char"/>
    <w:link w:val="685"/>
    <w:uiPriority w:val="0"/>
    <w:qFormat/>
    <w:rPr>
      <w:rFonts w:ascii="Arial" w:hAnsi="Arial" w:eastAsia="仿宋_GB2312" w:cs="Arial"/>
      <w:sz w:val="32"/>
      <w:szCs w:val="32"/>
    </w:rPr>
  </w:style>
  <w:style w:type="character" w:styleId="911" w:customStyle="1">
    <w:name w:val="日期 Char"/>
    <w:link w:val="684"/>
    <w:uiPriority w:val="0"/>
    <w:qFormat/>
    <w:rPr>
      <w:rFonts w:ascii="Times New Roman" w:hAnsi="Times New Roman" w:eastAsia="宋体" w:cs="Times New Roman"/>
      <w:sz w:val="24"/>
      <w:szCs w:val="24"/>
    </w:rPr>
  </w:style>
  <w:style w:type="character" w:styleId="912" w:customStyle="1">
    <w:name w:val="批注框文本 Char"/>
    <w:link w:val="687"/>
    <w:uiPriority w:val="0"/>
    <w:semiHidden/>
    <w:qFormat/>
    <w:rPr>
      <w:rFonts w:ascii="Times New Roman" w:hAnsi="Times New Roman" w:eastAsia="宋体" w:cs="Times New Roman"/>
      <w:sz w:val="18"/>
      <w:szCs w:val="18"/>
    </w:rPr>
  </w:style>
  <w:style w:type="character" w:styleId="913" w:customStyle="1">
    <w:name w:val="标题 4 Char"/>
    <w:link w:val="660"/>
    <w:uiPriority w:val="0"/>
    <w:qFormat/>
    <w:rPr>
      <w:rFonts w:ascii="Arial" w:hAnsi="Arial" w:eastAsia="黑体" w:cs="Arial"/>
      <w:b/>
      <w:bCs/>
      <w:sz w:val="28"/>
      <w:szCs w:val="28"/>
    </w:rPr>
  </w:style>
  <w:style w:type="character" w:styleId="914" w:customStyle="1">
    <w:name w:val="font5 Char"/>
    <w:uiPriority w:val="0"/>
    <w:qFormat/>
    <w:rPr>
      <w:rFonts w:ascii="宋体" w:hAnsi="宋体" w:eastAsia="宋体"/>
      <w:sz w:val="28"/>
      <w:szCs w:val="28"/>
      <w:lang w:val="en-US" w:eastAsia="zh-CN" w:bidi="ar-SA"/>
    </w:rPr>
  </w:style>
  <w:style w:type="character" w:styleId="915" w:customStyle="1">
    <w:name w:val="页眉 Char"/>
    <w:link w:val="690"/>
    <w:uiPriority w:val="0"/>
    <w:qFormat/>
    <w:rPr>
      <w:rFonts w:ascii="Times New Roman" w:hAnsi="Times New Roman" w:eastAsia="宋体" w:cs="Times New Roman"/>
      <w:sz w:val="18"/>
      <w:szCs w:val="18"/>
    </w:rPr>
  </w:style>
  <w:style w:type="character" w:styleId="916" w:customStyle="1">
    <w:name w:val="正文文本 Char"/>
    <w:link w:val="677"/>
    <w:uiPriority w:val="0"/>
    <w:qFormat/>
    <w:rPr>
      <w:rFonts w:ascii="楷体_GB2312" w:hAnsi="Arial" w:eastAsia="楷体_GB2312" w:cs="Times New Roman"/>
      <w:sz w:val="28"/>
      <w:szCs w:val="28"/>
    </w:rPr>
  </w:style>
  <w:style w:type="character" w:styleId="917" w:customStyle="1">
    <w:name w:val="正文文本缩进 3 Char"/>
    <w:link w:val="697"/>
    <w:uiPriority w:val="0"/>
    <w:qFormat/>
    <w:rPr>
      <w:rFonts w:ascii="Arial" w:hAnsi="Arial" w:eastAsia="仿宋_GB2312" w:cs="Arial"/>
      <w:color w:val="ffff00"/>
      <w:sz w:val="32"/>
      <w:szCs w:val="32"/>
    </w:rPr>
  </w:style>
  <w:style w:type="character" w:styleId="918" w:customStyle="1">
    <w:name w:val="标题 8 Char"/>
    <w:link w:val="664"/>
    <w:uiPriority w:val="0"/>
    <w:qFormat/>
    <w:rPr>
      <w:rFonts w:ascii="Arial" w:hAnsi="Arial" w:eastAsia="黑体" w:cs="Times New Roman"/>
      <w:sz w:val="24"/>
      <w:szCs w:val="24"/>
    </w:rPr>
  </w:style>
  <w:style w:type="paragraph" w:styleId="919"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0"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2"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23"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24"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25"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6" w:customStyle="1">
    <w:name w:val="Char Char Char Char"/>
    <w:basedOn w:val="675"/>
    <w:uiPriority w:val="0"/>
    <w:qFormat/>
    <w:pPr>
      <w:spacing w:line="360" w:lineRule="auto"/>
    </w:pPr>
    <w:rPr>
      <w:rFonts w:ascii="Tahoma" w:hAnsi="Tahoma"/>
      <w:sz w:val="24"/>
      <w:szCs w:val="24"/>
    </w:rPr>
  </w:style>
  <w:style w:type="paragraph" w:styleId="927" w:customStyle="1">
    <w:name w:val="修订1"/>
    <w:uiPriority w:val="99"/>
    <w:semiHidden/>
    <w:qFormat/>
    <w:rPr>
      <w:rFonts w:hint="default" w:ascii="Times New Roman" w:hAnsi="Times New Roman" w:eastAsia="宋体" w:cs="Times New Roman"/>
      <w:sz w:val="21"/>
      <w:szCs w:val="21"/>
    </w:rPr>
  </w:style>
  <w:style w:type="paragraph" w:styleId="928"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30"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31"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32" w:customStyle="1">
    <w:name w:val="table_lines"/>
    <w:basedOn w:val="656"/>
    <w:uiPriority w:val="0"/>
    <w:qFormat/>
    <w:pPr>
      <w:jc w:val="left"/>
      <w:widowControl/>
    </w:pPr>
    <w:rPr>
      <w:sz w:val="20"/>
      <w:szCs w:val="20"/>
      <w:lang w:val="de-DE" w:eastAsia="de-DE"/>
    </w:rPr>
  </w:style>
  <w:style w:type="paragraph" w:styleId="933" w:customStyle="1">
    <w:name w:val="Char"/>
    <w:basedOn w:val="675"/>
    <w:uiPriority w:val="0"/>
    <w:qFormat/>
    <w:rPr>
      <w:rFonts w:ascii="Tahoma" w:hAnsi="Tahoma"/>
      <w:sz w:val="24"/>
      <w:szCs w:val="24"/>
    </w:rPr>
  </w:style>
  <w:style w:type="paragraph" w:styleId="93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35" w:customStyle="1">
    <w:name w:val="Body Text(ch)"/>
    <w:basedOn w:val="656"/>
    <w:next w:val="677"/>
    <w:uiPriority w:val="0"/>
    <w:qFormat/>
    <w:pPr>
      <w:spacing w:after="120"/>
    </w:pPr>
    <w:rPr>
      <w:rFonts w:ascii="宋体" w:hAnsi="Arial"/>
      <w:bCs/>
      <w:iCs/>
      <w:szCs w:val="24"/>
    </w:rPr>
  </w:style>
  <w:style w:type="paragraph" w:styleId="936"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7"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38"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39"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1" w:customStyle="1">
    <w:name w:val="Char1"/>
    <w:basedOn w:val="656"/>
    <w:uiPriority w:val="0"/>
    <w:qFormat/>
    <w:pPr>
      <w:ind w:firstLine="200"/>
      <w:tabs>
        <w:tab w:val="left" w:pos="360" w:leader="none"/>
      </w:tabs>
    </w:pPr>
    <w:rPr>
      <w:sz w:val="28"/>
      <w:szCs w:val="30"/>
    </w:rPr>
  </w:style>
  <w:style w:type="paragraph" w:styleId="942" w:customStyle="1">
    <w:name w:val="4"/>
    <w:basedOn w:val="656"/>
    <w:next w:val="697"/>
    <w:uiPriority w:val="0"/>
    <w:qFormat/>
    <w:pPr>
      <w:ind w:firstLine="420"/>
      <w:spacing w:line="360" w:lineRule="auto"/>
    </w:pPr>
    <w:rPr>
      <w:color w:val="ff0000"/>
      <w:sz w:val="24"/>
      <w:szCs w:val="24"/>
    </w:rPr>
  </w:style>
  <w:style w:type="paragraph" w:styleId="943" w:customStyle="1">
    <w:name w:val="Char Char Char Char Char Char Char Char Char Char"/>
    <w:basedOn w:val="656"/>
    <w:uiPriority w:val="0"/>
    <w:qFormat/>
    <w:pPr>
      <w:spacing w:line="360" w:lineRule="auto"/>
    </w:pPr>
    <w:rPr>
      <w:sz w:val="24"/>
      <w:szCs w:val="20"/>
    </w:rPr>
  </w:style>
  <w:style w:type="paragraph" w:styleId="944" w:customStyle="1">
    <w:name w:val="样式1"/>
    <w:basedOn w:val="656"/>
    <w:uiPriority w:val="0"/>
    <w:qFormat/>
    <w:pPr>
      <w:numPr>
        <w:ilvl w:val="0"/>
        <w:numId w:val="3"/>
      </w:numPr>
    </w:pPr>
    <w:rPr>
      <w:rFonts w:ascii="宋体" w:hAnsi="宋体"/>
    </w:rPr>
  </w:style>
  <w:style w:type="paragraph" w:styleId="945"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46" w:customStyle="1">
    <w:name w:val="Char Char Char Char1"/>
    <w:basedOn w:val="675"/>
    <w:uiPriority w:val="0"/>
    <w:qFormat/>
    <w:pPr>
      <w:spacing w:line="360" w:lineRule="auto"/>
    </w:pPr>
    <w:rPr>
      <w:rFonts w:ascii="Tahoma" w:hAnsi="Tahoma"/>
      <w:sz w:val="24"/>
      <w:szCs w:val="24"/>
    </w:rPr>
  </w:style>
  <w:style w:type="paragraph" w:styleId="947" w:customStyle="1">
    <w:name w:val="table_1stline"/>
    <w:basedOn w:val="656"/>
    <w:uiPriority w:val="0"/>
    <w:qFormat/>
    <w:pPr>
      <w:jc w:val="left"/>
      <w:spacing w:before="120"/>
      <w:widowControl/>
    </w:pPr>
    <w:rPr>
      <w:bCs/>
      <w:sz w:val="20"/>
      <w:szCs w:val="20"/>
      <w:lang w:val="de-DE" w:eastAsia="de-DE"/>
    </w:rPr>
  </w:style>
  <w:style w:type="character" w:styleId="948" w:customStyle="1">
    <w:name w:val="不明显强调1"/>
    <w:uiPriority w:val="19"/>
    <w:qFormat/>
    <w:rPr>
      <w:i/>
      <w:iCs/>
      <w:color w:val="3f3f3f"/>
    </w:rPr>
  </w:style>
  <w:style w:type="paragraph" w:styleId="949" w:customStyle="1">
    <w:name w:val="Default"/>
    <w:next w:val="656"/>
    <w:uiPriority w:val="0"/>
    <w:qFormat/>
    <w:pPr>
      <w:widowControl w:val="off"/>
    </w:pPr>
    <w:rPr>
      <w:rFonts w:hint="default" w:ascii="宋体" w:hAnsi="Times New Roman" w:eastAsia="宋体" w:cs="宋体"/>
      <w:color w:val="000000"/>
      <w:sz w:val="24"/>
      <w:szCs w:val="24"/>
    </w:rPr>
  </w:style>
  <w:style w:type="character" w:styleId="950" w:customStyle="1">
    <w:name w:val="font11"/>
    <w:basedOn w:val="666"/>
    <w:uiPriority w:val="0"/>
    <w:qFormat/>
    <w:rPr>
      <w:rFonts w:hint="eastAsia" w:ascii="宋体" w:hAnsi="宋体" w:eastAsia="宋体" w:cs="宋体"/>
      <w:b/>
      <w:bCs/>
      <w:color w:val="000000"/>
      <w:sz w:val="22"/>
      <w:szCs w:val="22"/>
      <w:u w:val="none"/>
    </w:rPr>
  </w:style>
  <w:style w:type="character" w:styleId="951" w:customStyle="1">
    <w:name w:val="font01"/>
    <w:basedOn w:val="666"/>
    <w:uiPriority w:val="0"/>
    <w:qFormat/>
    <w:rPr>
      <w:rFonts w:hint="eastAsia" w:ascii="宋体" w:hAnsi="宋体" w:eastAsia="宋体" w:cs="宋体"/>
      <w:color w:val="000000"/>
      <w:sz w:val="22"/>
      <w:szCs w:val="22"/>
      <w:u w:val="none"/>
    </w:rPr>
  </w:style>
  <w:style w:type="paragraph" w:styleId="952" w:customStyle="1">
    <w:name w:val="段落文本"/>
    <w:basedOn w:val="656"/>
    <w:uiPriority w:val="0"/>
    <w:qFormat/>
    <w:pPr>
      <w:ind w:firstLine="488"/>
      <w:spacing w:line="400" w:lineRule="exact"/>
    </w:pPr>
    <w:rPr>
      <w:rFonts w:hint="eastAsia" w:eastAsia="方正仿宋_GBK" w:cs="Times New Roman"/>
      <w:bCs/>
      <w:iCs/>
      <w:sz w:val="24"/>
      <w:szCs w:val="32"/>
    </w:rPr>
  </w:style>
  <w:style w:type="paragraph" w:styleId="953" w:customStyle="1">
    <w:name w:val="一级标题"/>
    <w:basedOn w:val="656"/>
    <w:uiPriority w:val="0"/>
    <w:qFormat/>
    <w:pPr>
      <w:spacing w:before="40" w:after="40" w:line="320" w:lineRule="exact"/>
    </w:pPr>
    <w:rPr>
      <w:rFonts w:hint="eastAsia" w:eastAsia="方正黑体_GBK"/>
      <w:b/>
      <w:bCs/>
      <w:color w:val="000000"/>
      <w:sz w:val="30"/>
      <w:szCs w:val="30"/>
    </w:rPr>
  </w:style>
  <w:style w:type="paragraph" w:styleId="954" w:customStyle="1">
    <w:name w:val="二级标题1"/>
    <w:basedOn w:val="656"/>
    <w:next w:val="656"/>
    <w:uiPriority w:val="0"/>
    <w:qFormat/>
    <w:pPr>
      <w:ind w:firstLine="640"/>
      <w:keepLines/>
      <w:keepNext/>
      <w:spacing w:before="160" w:after="160" w:line="400" w:lineRule="exact"/>
      <w:tabs>
        <w:tab w:val="left" w:pos="0" w:leader="none"/>
      </w:tabs>
      <w:outlineLvl w:val="1"/>
    </w:pPr>
    <w:rPr>
      <w:rFonts w:hint="eastAsia" w:eastAsia="方正楷体_GBK"/>
      <w:b/>
      <w:bCs/>
      <w:iCs/>
      <w:sz w:val="30"/>
      <w:szCs w:val="24"/>
    </w:rPr>
  </w:style>
  <w:style w:type="paragraph" w:styleId="955" w:customStyle="1">
    <w:name w:val="三级标题"/>
    <w:basedOn w:val="656"/>
    <w:uiPriority w:val="0"/>
    <w:qFormat/>
    <w:pPr>
      <w:ind w:firstLine="482"/>
      <w:spacing w:before="40" w:after="40" w:line="480" w:lineRule="exact"/>
    </w:pPr>
    <w:rPr>
      <w:rFonts w:hint="eastAsia" w:ascii="Times New Roman" w:hAnsi="Times New Roman" w:eastAsia="方正黑体_GBK" w:cs="Times New Roman"/>
      <w:b/>
      <w:bCs/>
      <w:sz w:val="24"/>
      <w:szCs w:val="24"/>
    </w:rPr>
  </w:style>
  <w:style w:type="paragraph" w:styleId="956" w:customStyle="1">
    <w:name w:val="页眉1"/>
    <w:basedOn w:val="656"/>
    <w:uiPriority w:val="0"/>
    <w:qFormat/>
    <w:pPr>
      <w:jc w:val="center"/>
      <w:tabs>
        <w:tab w:val="center" w:pos="4153" w:leader="none"/>
        <w:tab w:val="right" w:pos="8306" w:leader="none"/>
      </w:tabs>
      <w:pBdr>
        <w:bottom w:val="single" w:color="000000" w:sz="6" w:space="1"/>
      </w:pBdr>
    </w:pPr>
    <w:rPr>
      <w:sz w:val="18"/>
      <w:szCs w:val="18"/>
    </w:rPr>
  </w:style>
  <w:style w:type="paragraph" w:styleId="957" w:customStyle="1">
    <w:name w:val="页脚1"/>
    <w:basedOn w:val="656"/>
    <w:uiPriority w:val="0"/>
    <w:qFormat/>
    <w:pPr>
      <w:jc w:val="left"/>
      <w:tabs>
        <w:tab w:val="center" w:pos="4153" w:leader="none"/>
        <w:tab w:val="right" w:pos="8306" w:leader="none"/>
      </w:tabs>
    </w:pPr>
    <w:rPr>
      <w:sz w:val="18"/>
      <w:szCs w:val="18"/>
    </w:rPr>
  </w:style>
  <w:style w:type="character" w:styleId="958" w:customStyle="1">
    <w:name w:val="页码1"/>
    <w:uiPriority w:val="0"/>
    <w:qFormat/>
  </w:style>
  <w:style w:type="numbering" w:styleId="9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27</cp:revision>
  <dcterms:created xsi:type="dcterms:W3CDTF">2025-09-19T06:17:00Z</dcterms:created>
  <dcterms:modified xsi:type="dcterms:W3CDTF">2026-02-04T06:20:55Z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eyJoZGlkIjoiZDMzMTgwMmE2ZjIzZTY3YmZhM2NkNmZjNzc3NWU2YWUiLCJ1c2VySWQiOiIxNjUxMzgwNTU2In0=</vt:lpwstr>
  </property>
  <property fmtid="{D5CDD505-2E9C-101B-9397-08002B2CF9AE}" pid="3" name="KSOProductBuildVer">
    <vt:lpwstr>2052-10.8.2.7072</vt:lpwstr>
  </property>
  <property fmtid="{D5CDD505-2E9C-101B-9397-08002B2CF9AE}" pid="4" name="ICV">
    <vt:lpwstr>6CA08F331E84408EBE9FF3319683B8F8_12</vt:lpwstr>
  </property>
</Properties>
</file>