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5"/>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淮安市2026年道路绿化养护管理</w:t>
      </w:r>
      <w:r>
        <w:rPr>
          <w:rFonts w:hint="eastAsia" w:ascii="黑体" w:hAnsi="黑体" w:eastAsia="黑体"/>
          <w:b/>
          <w:sz w:val="36"/>
          <w:szCs w:val="36"/>
        </w:rPr>
      </w:r>
      <w:r/>
    </w:p>
    <w:p>
      <w:pPr>
        <w:pStyle w:val="895"/>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5"/>
        <w:ind w:firstLine="708"/>
        <w:keepLines w:val="0"/>
        <w:keepNext w:val="0"/>
        <w:pageBreakBefore w:val="0"/>
        <w:spacing w:line="760" w:lineRule="exact"/>
        <w:rPr>
          <w:rFonts w:ascii="黑体" w:hAnsi="黑体" w:eastAsia="黑体"/>
          <w:b/>
          <w:sz w:val="36"/>
          <w:lang w:val="en-US" w:eastAsia="zh-CN"/>
        </w:rPr>
        <w:outlineLvl w:val="9"/>
      </w:pPr>
      <w:r>
        <w:rPr>
          <w:rFonts w:hint="eastAsia" w:ascii="黑体" w:hAnsi="黑体" w:eastAsia="黑体"/>
          <w:b/>
          <w:sz w:val="36"/>
        </w:rPr>
        <w:t xml:space="preserve">项目编号: JSZC-320800-JZCG-G2026-00</w:t>
      </w:r>
      <w:r>
        <w:rPr>
          <w:rFonts w:hint="eastAsia" w:ascii="黑体" w:hAnsi="黑体" w:eastAsia="黑体"/>
          <w:b/>
          <w:sz w:val="36"/>
          <w:lang w:val="en-US" w:eastAsia="zh-CN"/>
        </w:rPr>
        <w:t xml:space="preserve">2</w:t>
      </w:r>
      <w:r>
        <w:rPr>
          <w:rFonts w:hint="eastAsia" w:ascii="黑体" w:hAnsi="黑体" w:eastAsia="黑体"/>
          <w:b/>
          <w:sz w:val="36"/>
          <w:lang w:val="en-US" w:eastAsia="zh-CN"/>
        </w:rPr>
        <w:t xml:space="preserve">2</w:t>
      </w:r>
      <w:r>
        <w:rPr>
          <w:rFonts w:ascii="黑体" w:hAnsi="黑体" w:eastAsia="黑体"/>
          <w:b/>
          <w:sz w:val="36"/>
          <w:lang w:val="en-US" w:eastAsia="zh-CN"/>
        </w:rPr>
      </w:r>
      <w:r/>
    </w:p>
    <w:p>
      <w:pPr>
        <w:pStyle w:val="895"/>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5"/>
        <w:keepLines w:val="0"/>
        <w:keepNext w:val="0"/>
        <w:pageBreakBefore w:val="0"/>
        <w:rPr>
          <w:rFonts w:ascii="黑体" w:hAnsi="黑体" w:eastAsia="黑体"/>
          <w:b/>
          <w:sz w:val="32"/>
        </w:rPr>
        <w:outlineLvl w:val="9"/>
      </w:pPr>
      <w:r>
        <w:rPr>
          <w:rFonts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5"/>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三月二十</w:t>
      </w:r>
      <w:r>
        <w:rPr>
          <w:rFonts w:hint="eastAsia" w:ascii="黑体" w:hAnsi="黑体" w:eastAsia="黑体"/>
          <w:b/>
          <w:sz w:val="36"/>
          <w:szCs w:val="36"/>
          <w:lang w:eastAsia="zh-CN"/>
        </w:rPr>
        <w:t xml:space="preserve">六</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895"/>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5"/>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受淮安市园林绿化管理中心的委托，淮安市政府采购中心就淮安市2026年道路绿化养护管理政府采购项目进行公开招标采购，现邀请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1864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18640"/>
                        </a:xfrm>
                        <a:prstGeom prst="rect">
                          <a:avLst/>
                        </a:prstGeom>
                        <a:solidFill>
                          <a:srgbClr val="FFFFFF"/>
                        </a:solidFill>
                        <a:ln>
                          <a:solidFill>
                            <a:srgbClr val="000000"/>
                          </a:solidFill>
                        </a:ln>
                      </wps:spPr>
                      <wps:txbx>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淮安市2026年道路绿化养护管理</w:t>
                            </w:r>
                            <w:r>
                              <w:rPr>
                                <w:rFonts w:hint="eastAsia" w:ascii="仿宋" w:hAnsi="仿宋" w:eastAsia="仿宋"/>
                                <w:sz w:val="28"/>
                                <w:szCs w:val="28"/>
                              </w:rPr>
                              <w:t xml:space="preserve">招标项目的潜在投标人应在淮安市政府采购网（http://czj.huaian.gov.cn/col/13924_326175/index.html）自行免费下载招标文件，并于2026年4月15日9点30分（北京时间）前提交投标文件。</w:t>
                            </w:r>
                            <w:r>
                              <w:rPr>
                                <w:rFonts w:ascii="仿宋" w:hAnsi="仿宋" w:eastAsia="仿宋"/>
                                <w:sz w:val="28"/>
                                <w:szCs w:val="28"/>
                              </w:rPr>
                            </w:r>
                            <w:r/>
                          </w:p>
                          <w:p>
                            <w:pPr>
                              <w:pStyle w:val="895"/>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3.2pt;mso-wrap-distance-left:9.0pt;mso-wrap-distance-top:0.0pt;mso-wrap-distance-right:9.0pt;mso-wrap-distance-bottom:0.0pt;visibility:visible;" fillcolor="#FFFFFF" strokecolor="#000000">
                <v:textbox inset="0,0,0,0">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淮安市2026年道路绿化养护管理</w:t>
                      </w:r>
                      <w:r>
                        <w:rPr>
                          <w:rFonts w:hint="eastAsia" w:ascii="仿宋" w:hAnsi="仿宋" w:eastAsia="仿宋"/>
                          <w:sz w:val="28"/>
                          <w:szCs w:val="28"/>
                        </w:rPr>
                        <w:t xml:space="preserve">招标项目的潜在投标人应在淮安市政府采购网（http://czj.huaian.gov.cn/col/13924_326175/index.html）自行免费下载招标文件，并于2026年4月15日9点30分（北京时间）前提交投标文件。</w:t>
                      </w:r>
                      <w:r>
                        <w:rPr>
                          <w:rFonts w:ascii="仿宋" w:hAnsi="仿宋" w:eastAsia="仿宋"/>
                          <w:sz w:val="28"/>
                          <w:szCs w:val="28"/>
                        </w:rPr>
                      </w:r>
                      <w:r/>
                    </w:p>
                    <w:p>
                      <w:pPr>
                        <w:pStyle w:val="895"/>
                      </w:pPr>
                      <w:r/>
                      <w:r/>
                    </w:p>
                  </w:txbxContent>
                </v:textbox>
              </v:shape>
            </w:pict>
          </mc:Fallback>
        </mc:AlternateContent>
      </w: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（一）项目编号:JSZC-320800-JZCG-G2026-00</w:t>
      </w:r>
      <w:r>
        <w:rPr>
          <w:rFonts w:hint="eastAsia" w:ascii="仿宋" w:hAnsi="仿宋" w:eastAsia="仿宋"/>
          <w:sz w:val="28"/>
          <w:szCs w:val="28"/>
          <w:lang w:val="en-US" w:eastAsia="zh-CN"/>
        </w:rPr>
        <w:t xml:space="preserve">22</w:t>
      </w:r>
      <w:r>
        <w:rPr>
          <w:rFonts w:ascii="仿宋" w:hAnsi="仿宋" w:eastAsia="仿宋"/>
          <w:sz w:val="28"/>
          <w:szCs w:val="28"/>
          <w:lang w:val="en-US" w:eastAsia="zh-CN"/>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淮安市2026年道路绿化养护管理</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（三）预算金额:2115.0185万元。其中第一标段预算金额693.1342万元、第二标段预算金额699.5278万元、第三标段预算金额722.3565万元。</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（四）最高限价:2115.0185万元。其中第一标段最高限价693.1342万元、第二标段最高限价699.5278万元、第三标段最高限价722.3565万元。</w:t>
      </w:r>
      <w:r>
        <w:rPr>
          <w:rFonts w:hint="eastAsia" w:ascii="仿宋" w:hAnsi="仿宋" w:eastAsia="仿宋"/>
          <w:sz w:val="28"/>
          <w:szCs w:val="28"/>
        </w:rPr>
      </w:r>
      <w:r/>
    </w:p>
    <w:p>
      <w:pPr>
        <w:pStyle w:val="895"/>
        <w:ind w:firstLine="56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本次项目单价设置最高限价</w:t>
      </w:r>
      <w:r>
        <w:rPr>
          <w:rFonts w:hint="eastAsia" w:ascii="仿宋" w:hAnsi="仿宋" w:eastAsia="仿宋"/>
          <w:sz w:val="28"/>
          <w:szCs w:val="28"/>
        </w:rPr>
        <w:t xml:space="preserve">，其中一类绿地最高限价为7元/平方米/年；二类绿地最高限价为6元/平方米/年；三类绿地最高限价为3.5元/平方米/年；行道树设置最高限价：Φ＜20㎝，60元/株/年；Φ＞20㎝,90元/株/年；</w:t>
      </w:r>
      <w:r>
        <w:rPr>
          <w:rFonts w:hint="eastAsia" w:ascii="仿宋" w:hAnsi="仿宋" w:eastAsia="仿宋"/>
          <w:b/>
          <w:bCs/>
          <w:sz w:val="28"/>
          <w:szCs w:val="28"/>
        </w:rPr>
        <w:t xml:space="preserve">（注：上述单价为一年度（12个月）最高限价，本项目期限为12个月）</w:t>
      </w:r>
      <w:r>
        <w:rPr>
          <w:rFonts w:hint="eastAsia" w:ascii="仿宋" w:hAnsi="仿宋" w:eastAsia="仿宋"/>
          <w:sz w:val="28"/>
          <w:szCs w:val="28"/>
        </w:rPr>
        <w:t xml:space="preserve">德园五次草花布置及养护最高限价：600元/平方米，面积220平方米，该项总价单独报价，最高限价132000元；北京路（健康路—宁连路）作为市花大道，包含机非隔离带内月季花、人行道绿地内月季花及花境共25200㎡，因养护特殊性，该项计算总价单独报价，最高限价为397000元；枚皋路（淮海路－西安路），机非隔离带内月季花和树状月季、人行道绿地内月季花及月季球，面积5500㎡，因养护特殊性，该项算总价单独报价，最高限价为86000元。</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（五）采购需求:淮安市2026年道路绿化养护管理，详见招标文件第五章。</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（六）合同履行期限:合同签订后一年（服务期满后，采购人将对中标人在运行期间的服务情况开展严格考核，待双方达成一致意见后，可续签次年合同，且续签次数最多为2次。）  </w:t>
      </w:r>
      <w:r>
        <w:rPr>
          <w:rFonts w:hint="eastAsia"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5"/>
        <w:ind w:firstLine="562"/>
        <w:keepLines w:val="0"/>
        <w:keepNext w:val="0"/>
        <w:pageBreakBefore w:val="0"/>
        <w:spacing w:line="520" w:lineRule="exact"/>
        <w:rPr>
          <w:rFonts w:hint="eastAsia" w:ascii="仿宋" w:hAnsi="仿宋" w:eastAsia="仿宋"/>
          <w:b/>
          <w:bCs/>
          <w:color w:val="000000"/>
          <w:sz w:val="28"/>
          <w:szCs w:val="28"/>
          <w:lang w:val="en-US" w:eastAsia="zh-CN"/>
        </w:rPr>
        <w:outlineLvl w:val="9"/>
      </w:pPr>
      <w:r>
        <w:rPr>
          <w:rFonts w:hint="eastAsia" w:ascii="仿宋" w:hAnsi="仿宋" w:eastAsia="仿宋"/>
          <w:b/>
          <w:bCs/>
          <w:sz w:val="28"/>
          <w:szCs w:val="28"/>
        </w:rPr>
        <w:t xml:space="preserve">（三）本项目的特定资格要求:投标人拟选派的项目负责人和技术负责人必须具有园林绿化（或者风景园林专业）中级及以上职称证书，若职称证书的专业是建设工程的,须提供专业为园林绿化相关专业的毕业证书（提供相关证书），相关人员须为投标单位的员工，同时提供能够证明其为本公司员工的材料。</w:t>
      </w:r>
      <w:r>
        <w:rPr>
          <w:rFonts w:hint="eastAsia" w:ascii="仿宋" w:hAnsi="仿宋" w:eastAsia="仿宋"/>
          <w:b/>
          <w:bCs/>
          <w:color w:val="000000"/>
          <w:sz w:val="28"/>
          <w:szCs w:val="28"/>
          <w:lang w:val="en-US" w:eastAsia="zh-CN"/>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5"/>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年4月15日上午</w:t>
      </w:r>
      <w:r>
        <w:rPr>
          <w:rFonts w:ascii="仿宋" w:hAnsi="仿宋" w:eastAsia="仿宋"/>
          <w:sz w:val="28"/>
          <w:szCs w:val="28"/>
        </w:rPr>
        <w:t xml:space="preserve">9:30</w:t>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名称:淮安市园林绿化管理中心</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地址:淮安市清江浦区淮海南路89号</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联系方式:彭庆荣</w:t>
      </w:r>
      <w:r>
        <w:rPr>
          <w:rFonts w:hint="eastAsia" w:ascii="仿宋" w:hAnsi="仿宋" w:eastAsia="仿宋"/>
          <w:sz w:val="28"/>
          <w:szCs w:val="28"/>
          <w:lang w:val="en-US" w:eastAsia="zh-CN"/>
        </w:rPr>
        <w:t xml:space="preserve">     0517-83902189</w:t>
      </w:r>
      <w:r>
        <w:rPr>
          <w:rFonts w:ascii="仿宋" w:hAnsi="仿宋" w:eastAsia="仿宋"/>
          <w:sz w:val="28"/>
          <w:szCs w:val="28"/>
          <w:lang w:val="en-US" w:eastAsia="zh-CN"/>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5"/>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5"/>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5"/>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5"/>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明标</w:t>
      </w:r>
      <w:r>
        <w:rPr>
          <w:rFonts w:hint="eastAsia" w:ascii="仿宋" w:hAnsi="仿宋" w:eastAsia="仿宋"/>
          <w:bCs/>
          <w:sz w:val="28"/>
          <w:szCs w:val="28"/>
        </w:rPr>
        <w:t xml:space="preserve">方式进行评审。</w:t>
      </w:r>
      <w:r>
        <w:rPr>
          <w:rFonts w:hint="eastAsia" w:ascii="仿宋" w:hAnsi="仿宋" w:eastAsia="仿宋"/>
          <w:bCs/>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5"/>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5"/>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5"/>
        <w:ind w:firstLine="560"/>
        <w:spacing w:line="520" w:lineRule="exact"/>
        <w:rPr>
          <w:rFonts w:hint="eastAsia" w:ascii="仿宋" w:hAnsi="仿宋" w:eastAsia="仿宋"/>
          <w:b w:val="0"/>
          <w:bCs w:val="0"/>
          <w:sz w:val="28"/>
          <w:szCs w:val="28"/>
          <w:lang w:eastAsia="zh-CN"/>
        </w:rPr>
      </w:pPr>
      <w:r>
        <w:rPr>
          <w:rFonts w:hint="eastAsia" w:ascii="仿宋" w:hAnsi="仿宋" w:eastAsia="仿宋"/>
          <w:sz w:val="28"/>
          <w:szCs w:val="28"/>
          <w:lang w:val="en-US" w:eastAsia="zh-CN"/>
        </w:rPr>
        <w:t xml:space="preserve">26.1.13 供应商未完全满足采购文件第五章“</w:t>
      </w:r>
      <w:r>
        <w:rPr>
          <w:rFonts w:hint="eastAsia" w:ascii="仿宋" w:hAnsi="仿宋" w:eastAsia="仿宋"/>
          <w:b/>
          <w:bCs/>
          <w:sz w:val="28"/>
          <w:szCs w:val="28"/>
          <w:lang w:val="en-US" w:eastAsia="zh-CN"/>
        </w:rPr>
        <w:t xml:space="preserve">★二、基本要求（适用各个标段）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★第一标段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★第二标段</w:t>
      </w:r>
      <w:r>
        <w:rPr>
          <w:rFonts w:hint="eastAsia" w:ascii="仿宋" w:hAnsi="仿宋" w:eastAsia="仿宋"/>
          <w:sz w:val="28"/>
          <w:szCs w:val="28"/>
          <w:lang w:val="en-US" w:eastAsia="zh-CN"/>
        </w:rPr>
        <w:t xml:space="preserve">”“</w:t>
      </w:r>
      <w:r>
        <w:rPr>
          <w:rFonts w:hint="eastAsia" w:ascii="仿宋" w:hAnsi="仿宋" w:eastAsia="仿宋"/>
          <w:b/>
          <w:bCs/>
          <w:sz w:val="28"/>
          <w:szCs w:val="28"/>
          <w:lang w:val="en-US" w:eastAsia="zh-CN"/>
        </w:rPr>
        <w:t xml:space="preserve">★第三标段</w:t>
      </w:r>
      <w:r>
        <w:rPr>
          <w:rFonts w:hint="eastAsia" w:ascii="仿宋" w:hAnsi="仿宋" w:eastAsia="仿宋"/>
          <w:sz w:val="28"/>
          <w:szCs w:val="28"/>
          <w:lang w:val="en-US" w:eastAsia="zh-CN"/>
        </w:rPr>
        <w:t xml:space="preserve">”的。</w:t>
      </w:r>
      <w:r>
        <w:rPr>
          <w:rFonts w:hint="eastAsia" w:ascii="仿宋" w:hAnsi="仿宋" w:eastAsia="仿宋"/>
          <w:b w:val="0"/>
          <w:bCs w:val="0"/>
          <w:sz w:val="28"/>
          <w:szCs w:val="28"/>
          <w:lang w:eastAsia="zh-CN"/>
        </w:rPr>
      </w:r>
      <w:r/>
    </w:p>
    <w:p>
      <w:pPr>
        <w:pStyle w:val="895"/>
        <w:ind w:firstLine="560"/>
        <w:spacing w:line="520" w:lineRule="exact"/>
        <w:rPr>
          <w:rFonts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26.1.14</w:t>
      </w:r>
      <w:r>
        <w:rPr>
          <w:rFonts w:hint="eastAsia" w:ascii="仿宋" w:hAnsi="仿宋" w:eastAsia="仿宋"/>
          <w:sz w:val="28"/>
          <w:szCs w:val="28"/>
          <w:lang w:val="en-US" w:eastAsia="zh-CN"/>
        </w:rPr>
        <w:t xml:space="preserve">供应商未按照采购文件第五章“</w:t>
      </w: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zh-CN"/>
        </w:rPr>
        <w:t xml:space="preserve">二、</w:t>
      </w:r>
      <w:r>
        <w:rPr>
          <w:rFonts w:hint="eastAsia" w:ascii="仿宋" w:hAnsi="仿宋" w:eastAsia="仿宋"/>
          <w:b/>
          <w:bCs/>
          <w:sz w:val="28"/>
          <w:szCs w:val="28"/>
        </w:rPr>
        <w:t xml:space="preserve">基本要求（适用各个标段）</w:t>
      </w:r>
      <w:r>
        <w:rPr>
          <w:rFonts w:hint="eastAsia" w:ascii="仿宋" w:hAnsi="仿宋" w:eastAsia="仿宋"/>
          <w:sz w:val="28"/>
          <w:szCs w:val="28"/>
          <w:lang w:val="en-US" w:eastAsia="zh-CN"/>
        </w:rPr>
        <w:t xml:space="preserve">”要求提供承诺、证明、报价合理性分析</w:t>
      </w:r>
      <w:r>
        <w:rPr>
          <w:rFonts w:hint="eastAsia" w:ascii="仿宋" w:hAnsi="仿宋" w:eastAsia="仿宋"/>
          <w:b w:val="0"/>
          <w:bCs w:val="0"/>
          <w:sz w:val="28"/>
          <w:szCs w:val="28"/>
          <w:lang w:val="en-US" w:eastAsia="zh-CN"/>
        </w:rPr>
        <w:t xml:space="preserve">等</w:t>
      </w:r>
      <w:r>
        <w:rPr>
          <w:rFonts w:hint="eastAsia" w:ascii="仿宋" w:hAnsi="仿宋" w:eastAsia="仿宋"/>
          <w:b w:val="0"/>
          <w:bCs w:val="0"/>
          <w:sz w:val="28"/>
          <w:szCs w:val="28"/>
        </w:rPr>
        <w:t xml:space="preserve">书面材料</w:t>
      </w:r>
      <w:r>
        <w:rPr>
          <w:rFonts w:hint="eastAsia" w:ascii="仿宋" w:hAnsi="仿宋" w:eastAsia="仿宋"/>
          <w:b w:val="0"/>
          <w:bCs w:val="0"/>
          <w:sz w:val="28"/>
          <w:szCs w:val="28"/>
          <w:lang w:eastAsia="zh-CN"/>
        </w:rPr>
        <w:t xml:space="preserve">的。</w:t>
      </w:r>
      <w:r>
        <w:rPr>
          <w:rFonts w:ascii="仿宋" w:hAnsi="仿宋" w:eastAsia="仿宋"/>
          <w:b w:val="0"/>
          <w:bCs w:val="0"/>
          <w:sz w:val="28"/>
          <w:szCs w:val="28"/>
          <w:lang w:val="en-US" w:eastAsia="zh-CN"/>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5"/>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5"/>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5"/>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5"/>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5"/>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5"/>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6"/>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b/>
          <w:bCs/>
          <w:sz w:val="28"/>
          <w:szCs w:val="28"/>
          <w:u w:val="single"/>
          <w:lang w:val="en-US" w:eastAsia="zh-CN" w:bidi="ar-SA"/>
        </w:rPr>
        <w:t xml:space="preserve"> 合同金额5%_</w:t>
      </w:r>
      <w:r>
        <w:rPr>
          <w:rFonts w:hint="eastAsia" w:ascii="仿宋" w:hAnsi="仿宋" w:eastAsia="仿宋" w:cs="Times New Roman"/>
          <w:sz w:val="28"/>
          <w:szCs w:val="28"/>
          <w:lang w:val="en-US" w:eastAsia="zh-CN" w:bidi="ar-SA"/>
        </w:rPr>
        <w:t xml:space="preserve">作为本合同的履约保证金。</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5"/>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5"/>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5"/>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5"/>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2"/>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2"/>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eastAsia="zh-CN"/>
        </w:rPr>
        <w:t xml:space="preserve">（本项目不涉及）</w:t>
      </w:r>
      <w:r>
        <w:rPr>
          <w:rFonts w:hint="eastAsia" w:ascii="仿宋" w:hAnsi="仿宋" w:eastAsia="仿宋"/>
          <w:color w:val="000000"/>
          <w:sz w:val="28"/>
          <w:szCs w:val="28"/>
          <w:lang w:val="en-US" w:eastAsia="zh-CN"/>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895"/>
        <w:ind w:firstLine="560"/>
        <w:spacing w:line="520" w:lineRule="exact"/>
        <w:rPr>
          <w:rFonts w:hint="eastAsia" w:ascii="仿宋" w:hAnsi="仿宋" w:eastAsia="仿宋"/>
          <w:sz w:val="28"/>
          <w:szCs w:val="28"/>
        </w:rPr>
      </w:pPr>
      <w:r>
        <w:rPr>
          <w:rFonts w:ascii="仿宋" w:hAnsi="仿宋" w:eastAsia="仿宋" w:cs="仿宋"/>
          <w:color w:val="000000"/>
          <w:sz w:val="28"/>
          <w:szCs w:val="28"/>
          <w:shd w:val="clear" w:color="auto" w:fill="ffffff"/>
        </w:rPr>
        <w:t xml:space="preserve">投标人可投其中</w:t>
      </w:r>
      <w:r>
        <w:rPr>
          <w:rFonts w:hint="eastAsia" w:ascii="仿宋" w:hAnsi="仿宋" w:eastAsia="仿宋" w:cs="仿宋"/>
          <w:color w:val="000000"/>
          <w:sz w:val="28"/>
          <w:szCs w:val="28"/>
          <w:shd w:val="clear" w:color="auto" w:fill="ffffff"/>
        </w:rPr>
        <w:t xml:space="preserve">1个标段，也可以投多个标段，但只能中1个标段。若中标多于1个标段的，按标段的自然顺序进行排列，前1个标段有效，其余标段由顺序中标候选人获得中标资格。在合同签订之前，若因某标段因质疑、投诉等事项导致中标结果改变的，不影响其余标段的中标结果。</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lang w:eastAsia="zh-CN"/>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lang w:eastAsia="zh-CN"/>
        </w:rPr>
        <w:t xml:space="preserve">（适用于各个标段）</w:t>
      </w:r>
      <w:r>
        <w:rPr>
          <w:rFonts w:hint="eastAsia" w:ascii="仿宋" w:hAnsi="仿宋" w:eastAsia="仿宋"/>
          <w:sz w:val="28"/>
          <w:lang w:eastAsia="zh-CN"/>
        </w:rPr>
      </w:r>
      <w:r/>
    </w:p>
    <w:p>
      <w:pPr>
        <w:pStyle w:val="895"/>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10</w:t>
      </w:r>
      <w:r>
        <w:rPr>
          <w:rFonts w:hint="eastAsia" w:ascii="仿宋" w:hAnsi="仿宋" w:eastAsia="仿宋"/>
          <w:b/>
          <w:bCs/>
          <w:sz w:val="28"/>
        </w:rPr>
        <w:t xml:space="preserve">分</w:t>
      </w:r>
      <w:r>
        <w:rPr>
          <w:rFonts w:hint="eastAsia" w:ascii="仿宋" w:hAnsi="仿宋" w:eastAsia="仿宋"/>
          <w:b/>
          <w:bCs/>
          <w:sz w:val="28"/>
        </w:rPr>
      </w:r>
      <w:r/>
    </w:p>
    <w:p>
      <w:pPr>
        <w:pStyle w:val="92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895"/>
        <w:ind w:firstLine="560"/>
        <w:spacing w:line="520" w:lineRule="exact"/>
        <w:rPr>
          <w:rFonts w:ascii="仿宋" w:hAnsi="仿宋" w:eastAsia="仿宋"/>
          <w:b/>
          <w:bCs/>
          <w:sz w:val="28"/>
          <w:szCs w:val="28"/>
        </w:rPr>
      </w:pPr>
      <w:r>
        <w:rPr>
          <w:rFonts w:hint="eastAsia" w:ascii="仿宋" w:hAnsi="仿宋" w:eastAsia="仿宋"/>
          <w:b/>
          <w:bCs/>
          <w:sz w:val="28"/>
          <w:szCs w:val="28"/>
        </w:rPr>
        <w:t xml:space="preserve">2、方案部分：40分</w:t>
      </w:r>
      <w:r>
        <w:rPr>
          <w:rFonts w:ascii="仿宋" w:hAnsi="仿宋" w:eastAsia="仿宋"/>
          <w:b/>
          <w:bCs/>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（1）绿化养护管理技术方案：34分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1）绿地养护措施（10分）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树木、草坪、花卉、绿篱及地被等养护措施和养护台账制度的建立应具体详细、符合实际、切实可行的得10分；方案内容较具体详细、较为符合实际、措施相对可行的得7分；方案内容一般、基本符合实际、措施相对简单的得4分；方案内容不够具体详细、措施简单、表述不够准确，明晰的得1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2）设施维修措施（8分）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项目内各类设施的保护、维修措施具体详尽、符合实际、切实可行，制定全面且细致的维修计划与措施，确保设施始终处于良好运行状态的得8分；维修计划与措施较为全面，能覆盖大部分设施，保障设施基本正常运行的得5分；维修计划与措施一般，仅能对部分设施进行简单维护，存在一定设施运行隐患的得3分；维修计划不够具体详细、措施简单、设施运行可能存在较多问题的得1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3）所投项目现状进行分析（8分）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性提出今后养护工作的重难点同时提出详尽、符合实际、切实可行的方案措施的得8分；方案内容较具体详细、较为符合实际、措施相对可行的得5分；方案内容一般、基本符合实际、措施相对简单的得3分；方案内容不够具体详细、措施简单、可行性较差的得1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4）养护人员配置与管理方案（8分）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根据所投项目规模和养护需求，合理配置养护人员，制定详细的管理方案。针对性提出提出详尽、符合实际、切实可行的方案措施的得8分；方案内容较具体详细、较为符合实际、措施相对可行的得5分；方案内容一般、基本符合实际、措施相对简单的得3分；方案内容不够具体详细、措施简单、可行性较差的得1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（2）安全文明管养措施：6分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投标人提供的安全文明管养措施方案，措施方案包括灾害性天气和突发事件（如交通事故）应急预案、恶劣天气应急预案、抢险救灾措施等内容。</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内容具体详细、符合实际、措施切实可行的得6分。方案内容较具体详细、基本符合实际、措施相对简单的得4分；方案内容不够具体详细、措施简单、表述不够准确，明晰的得2分；方案内容无具体详细内容、措施表述不具体、不够实际、可行性较差的得1分。</w:t>
      </w:r>
      <w:r>
        <w:rPr>
          <w:rFonts w:hint="eastAsia" w:ascii="仿宋" w:hAnsi="仿宋" w:eastAsia="仿宋"/>
          <w:sz w:val="28"/>
          <w:szCs w:val="28"/>
        </w:rPr>
      </w:r>
      <w:r/>
    </w:p>
    <w:p>
      <w:pPr>
        <w:pStyle w:val="895"/>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3、商务部分：50分</w:t>
      </w:r>
      <w:r>
        <w:rPr>
          <w:rFonts w:hint="eastAsia" w:ascii="仿宋" w:hAnsi="仿宋" w:eastAsia="仿宋"/>
          <w:b/>
          <w:bCs/>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全年技术工人及管理人员配备情况（项目负责人和技术负责人除外）：20分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①配备绿化高级工及以上3人得2分，人数在4人及以上的得4分。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②配备绿化中级工及以上3人得2分，人数在4人及以上的得4分。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③配备园林绿化中级职称及以上职称3人的得2分，4人及以上的得4分。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④配备园林绿化初级职称及以上职称3人的得2分，4人及以上的得4分。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⑤配备高空作业操作证人员得2分。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⑥配备专职安全员并持有有效的安全员证书得2分</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95"/>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投标人参加投标时上述所有参与打分人员不重复计分，需提供相关技术工人的姓名、身份证号码、证书及投标人为其缴纳的自2025年9月以来任意一个月社会保险证明（扫描件加盖投标人电子签章），未提供或提供不全的均不得分。</w:t>
      </w:r>
      <w:r>
        <w:rPr>
          <w:rFonts w:hint="eastAsia" w:ascii="仿宋" w:hAnsi="仿宋" w:eastAsia="仿宋"/>
          <w:b/>
          <w:bCs/>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投标人针对本次项目配置设备情况：26分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①配备1台及以上运输装载汽车的得2分；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②配备1台及以上高空作业车的得2分；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③配备12台及以上草坪机的得4分；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④配备12台及以上割灌机的得4分；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⑤配备12台及以上绿篱机的得2分；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⑥配备7台及以上油锯的得2分；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⑦配备7台及以上水泵的得2分；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⑧配备2台及以上荷载量4吨-10吨的洒水车的得4分；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⑨配备4台及以上打药机的得2分；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⑩配置1台及以上载重30kg以上植保无人机的得2分。</w:t>
      </w:r>
      <w:r>
        <w:rPr>
          <w:rFonts w:hint="eastAsia" w:ascii="仿宋" w:hAnsi="仿宋" w:eastAsia="仿宋"/>
          <w:sz w:val="28"/>
          <w:szCs w:val="28"/>
        </w:rPr>
      </w:r>
      <w:r/>
    </w:p>
    <w:p>
      <w:pPr>
        <w:pStyle w:val="895"/>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w:t>
      </w:r>
      <w:r>
        <w:rPr>
          <w:rFonts w:hint="eastAsia" w:ascii="仿宋" w:hAnsi="仿宋" w:eastAsia="仿宋"/>
          <w:sz w:val="28"/>
          <w:szCs w:val="28"/>
        </w:rPr>
        <w:t xml:space="preserve">1）上述车辆及设备需提供投标人车辆及机具的购买发票、行驶证、有效期内的车辆保单。如上述车辆及设备为投标人租赁，需提供租赁合同（租赁期不得晚于项目结束前）及行驶证、有效期内的车辆保单。扫描件加盖投标人电子签章，未提供或提供不全的均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上述车辆需具有淮安市区禁区通行证（提供扫描件加盖投标人电子签章），没有的需提供中标后签订合同前办理完毕所有车辆的淮安市区禁区通行证书面承诺函（格式自拟加盖投标人电子签章），否则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自2023年以来（以合同签订时间为准）承接过城市道路（或游园、滨河风光带公共园林绿化养护）类似业绩的（包含正在执行的养护合同），每提供一个得1分，本项最多得4分，没有不得分。（提供养护合同及对应合同的任意一张发票复印件并加盖公司公章，同时提供发票在“国家税务总局全国增值税发票查验平台”网站查询发票内容的截图；缺一样不得分，未提供或提供不全的不予认可）</w:t>
      </w:r>
      <w:r>
        <w:rPr>
          <w:rFonts w:hint="eastAsia" w:ascii="仿宋" w:hAnsi="仿宋" w:eastAsia="仿宋"/>
          <w:sz w:val="28"/>
          <w:szCs w:val="28"/>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5"/>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ascii="仿宋" w:hAnsi="仿宋" w:eastAsia="仿宋"/>
          <w:sz w:val="32"/>
        </w:rPr>
      </w:r>
      <w:r/>
    </w:p>
    <w:p>
      <w:pPr>
        <w:pStyle w:val="916"/>
        <w:ind w:firstLine="3066"/>
        <w:spacing w:line="520" w:lineRule="exact"/>
        <w:rPr>
          <w:rFonts w:ascii="仿宋" w:hAnsi="仿宋" w:eastAsia="仿宋"/>
          <w:sz w:val="28"/>
          <w:szCs w:val="28"/>
        </w:rPr>
      </w:pPr>
      <w:r>
        <w:rPr>
          <w:rFonts w:hint="eastAsia" w:ascii="仿宋" w:hAnsi="仿宋" w:eastAsia="仿宋"/>
          <w:sz w:val="28"/>
          <w:szCs w:val="28"/>
        </w:rPr>
        <w:t xml:space="preserve">一、合同格式</w:t>
      </w:r>
      <w:r>
        <w:rPr>
          <w:rFonts w:ascii="仿宋" w:hAnsi="仿宋" w:eastAsia="仿宋"/>
          <w:sz w:val="28"/>
          <w:szCs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根据《中华人民共和国民法典》及其他有关法律、行政法规、遵循平等、自愿、公平的原则，在双方承诺招标文件全部内容（含招标补充文件）和被认定的投标文件（及补充说明）全部内容的基础上，协商一致，订立本合同。</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一、项目概况</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项目名称：</w:t>
      </w:r>
      <w:r>
        <w:rPr>
          <w:rFonts w:ascii="仿宋" w:hAnsi="仿宋" w:eastAsia="仿宋"/>
          <w:sz w:val="28"/>
          <w:u w:val="single"/>
        </w:rPr>
        <w:t xml:space="preserve">                   </w:t>
      </w:r>
      <w:r>
        <w:rPr>
          <w:rFonts w:hint="eastAsia" w:ascii="仿宋" w:hAnsi="仿宋" w:eastAsia="仿宋"/>
          <w:sz w:val="28"/>
        </w:rPr>
        <w:t xml:space="preserve">养护</w:t>
      </w:r>
      <w:r>
        <w:rPr>
          <w:rFonts w:ascii="仿宋" w:hAnsi="仿宋" w:eastAsia="仿宋"/>
          <w:sz w:val="28"/>
        </w:rPr>
      </w:r>
      <w:r/>
    </w:p>
    <w:p>
      <w:pPr>
        <w:pStyle w:val="895"/>
        <w:ind w:firstLine="523"/>
        <w:spacing w:line="520" w:lineRule="exact"/>
        <w:rPr>
          <w:rFonts w:ascii="仿宋" w:hAnsi="仿宋" w:eastAsia="仿宋"/>
          <w:sz w:val="28"/>
          <w:u w:val="single"/>
        </w:rPr>
      </w:pPr>
      <w:r>
        <w:rPr>
          <w:rFonts w:hint="eastAsia" w:ascii="仿宋" w:hAnsi="仿宋" w:eastAsia="仿宋"/>
          <w:sz w:val="28"/>
        </w:rPr>
        <w:t xml:space="preserve">养护内容：</w:t>
      </w:r>
      <w:r>
        <w:rPr>
          <w:rFonts w:hint="eastAsia" w:ascii="仿宋" w:hAnsi="仿宋" w:eastAsia="仿宋"/>
          <w:sz w:val="28"/>
          <w:u w:val="single"/>
        </w:rPr>
        <w:t xml:space="preserve">乔木、花灌木、地被草坪及花坛花卉等养护，秋季草坪加播黑麦草工作，附属设施维护，协助卫生保洁，绿地保护等</w:t>
      </w:r>
      <w:r>
        <w:rPr>
          <w:rFonts w:ascii="仿宋" w:hAnsi="仿宋" w:eastAsia="仿宋"/>
          <w:sz w:val="28"/>
          <w:u w:val="single"/>
        </w:rPr>
      </w:r>
      <w:r/>
    </w:p>
    <w:p>
      <w:pPr>
        <w:pStyle w:val="895"/>
        <w:ind w:firstLine="523"/>
        <w:spacing w:line="520" w:lineRule="exact"/>
        <w:rPr>
          <w:rFonts w:ascii="仿宋" w:hAnsi="仿宋" w:eastAsia="仿宋"/>
          <w:bCs/>
          <w:sz w:val="28"/>
          <w:u w:val="single"/>
        </w:rPr>
      </w:pPr>
      <w:r>
        <w:rPr>
          <w:rFonts w:hint="eastAsia" w:ascii="仿宋" w:hAnsi="仿宋" w:eastAsia="仿宋"/>
          <w:bCs/>
          <w:sz w:val="28"/>
        </w:rPr>
        <w:t xml:space="preserve">养护质量等级：</w:t>
      </w:r>
      <w:r>
        <w:rPr>
          <w:rFonts w:hint="eastAsia" w:ascii="仿宋" w:hAnsi="仿宋" w:eastAsia="仿宋"/>
          <w:bCs/>
          <w:sz w:val="28"/>
          <w:u w:val="single"/>
        </w:rPr>
        <w:t xml:space="preserve">            </w:t>
      </w:r>
      <w:r>
        <w:rPr>
          <w:rFonts w:ascii="仿宋" w:hAnsi="仿宋" w:eastAsia="仿宋"/>
          <w:bCs/>
          <w:sz w:val="28"/>
          <w:u w:val="single"/>
        </w:rPr>
      </w:r>
      <w:r/>
    </w:p>
    <w:p>
      <w:pPr>
        <w:pStyle w:val="895"/>
        <w:ind w:firstLine="560"/>
        <w:spacing w:line="520" w:lineRule="exact"/>
        <w:rPr>
          <w:rFonts w:ascii="仿宋" w:hAnsi="仿宋" w:eastAsia="仿宋" w:cs="仿宋"/>
          <w:sz w:val="28"/>
          <w:szCs w:val="28"/>
          <w:lang w:bidi="ar"/>
        </w:rPr>
      </w:pPr>
      <w:r>
        <w:rPr>
          <w:rFonts w:hint="eastAsia" w:ascii="仿宋" w:hAnsi="仿宋" w:eastAsia="仿宋"/>
          <w:bCs/>
          <w:sz w:val="28"/>
          <w:szCs w:val="28"/>
        </w:rPr>
        <w:t xml:space="preserve">中标人对涉及</w:t>
      </w:r>
      <w:r>
        <w:rPr>
          <w:rFonts w:hint="eastAsia" w:ascii="仿宋" w:hAnsi="仿宋" w:eastAsia="仿宋" w:cs="仿宋"/>
          <w:sz w:val="28"/>
          <w:szCs w:val="28"/>
          <w:lang w:bidi="ar"/>
        </w:rPr>
        <w:t xml:space="preserve">商品的</w:t>
      </w:r>
      <w:r>
        <w:rPr>
          <w:rFonts w:ascii="仿宋" w:hAnsi="仿宋" w:eastAsia="仿宋" w:cs="仿宋"/>
          <w:sz w:val="28"/>
          <w:szCs w:val="28"/>
          <w:lang w:bidi="ar"/>
        </w:rPr>
        <w:t xml:space="preserve">包装应按照“财办库〔2020〕123号《关于印发《商品包装政府采购需求标准（试行）》、《快递包装政府采购需求标准（试行）》的通知》”执行</w:t>
      </w:r>
      <w:r>
        <w:rPr>
          <w:rFonts w:hint="eastAsia" w:ascii="仿宋" w:hAnsi="仿宋" w:eastAsia="仿宋" w:cs="仿宋"/>
          <w:sz w:val="28"/>
          <w:szCs w:val="28"/>
          <w:lang w:bidi="ar"/>
        </w:rPr>
        <w:t xml:space="preserve">；涉及设备运维参考《绿色数据中心政府采购需求标准（试行）》（财库【2023】7号文）执行。中标人应提供绿化利用率，倡导城市绿化低碳环保理念、因地制宜促进资源的可持续性发展。</w:t>
      </w:r>
      <w:r>
        <w:rPr>
          <w:rFonts w:ascii="仿宋" w:hAnsi="仿宋" w:eastAsia="仿宋" w:cs="仿宋"/>
          <w:sz w:val="28"/>
          <w:szCs w:val="28"/>
          <w:lang w:bidi="ar"/>
        </w:rPr>
      </w:r>
      <w:r/>
    </w:p>
    <w:p>
      <w:pPr>
        <w:pStyle w:val="895"/>
        <w:ind w:firstLine="523"/>
        <w:spacing w:line="520" w:lineRule="exact"/>
        <w:rPr>
          <w:rFonts w:ascii="仿宋" w:hAnsi="仿宋" w:eastAsia="仿宋"/>
          <w:sz w:val="28"/>
        </w:rPr>
      </w:pPr>
      <w:r>
        <w:rPr>
          <w:rFonts w:hint="eastAsia" w:ascii="仿宋" w:hAnsi="仿宋" w:eastAsia="仿宋"/>
          <w:sz w:val="28"/>
        </w:rPr>
        <w:t xml:space="preserve">二、养护范围：</w:t>
      </w:r>
      <w:r>
        <w:rPr>
          <w:rFonts w:ascii="仿宋" w:hAnsi="仿宋" w:eastAsia="仿宋"/>
          <w:sz w:val="28"/>
          <w:u w:val="single"/>
        </w:rPr>
        <w:t xml:space="preserve">                                        </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三、养护期限</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color w:val="000000"/>
          <w:sz w:val="28"/>
          <w:szCs w:val="28"/>
        </w:rPr>
        <w:t xml:space="preserve">合同签订后一年，即</w:t>
      </w:r>
      <w:r>
        <w:rPr>
          <w:rFonts w:hint="eastAsia" w:ascii="仿宋" w:hAnsi="仿宋" w:eastAsia="仿宋"/>
          <w:color w:val="000000"/>
          <w:sz w:val="28"/>
          <w:szCs w:val="28"/>
          <w:u w:val="single"/>
        </w:rPr>
        <w:t xml:space="preserve">2026</w:t>
      </w:r>
      <w:r>
        <w:rPr>
          <w:rFonts w:hint="eastAsia" w:ascii="仿宋" w:hAnsi="仿宋" w:eastAsia="仿宋"/>
          <w:color w:val="000000"/>
          <w:sz w:val="28"/>
        </w:rPr>
        <w:t xml:space="preserve">年</w:t>
      </w:r>
      <w:r>
        <w:rPr>
          <w:rFonts w:ascii="仿宋" w:hAnsi="仿宋" w:eastAsia="仿宋"/>
          <w:color w:val="000000"/>
          <w:sz w:val="28"/>
          <w:u w:val="single"/>
        </w:rPr>
        <w:t xml:space="preserve"> </w:t>
      </w:r>
      <w:r>
        <w:rPr>
          <w:rFonts w:hint="eastAsia" w:ascii="仿宋" w:hAnsi="仿宋" w:eastAsia="仿宋"/>
          <w:color w:val="000000"/>
          <w:sz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月</w:t>
      </w:r>
      <w:r>
        <w:rPr>
          <w:rFonts w:ascii="仿宋" w:hAnsi="仿宋" w:eastAsia="仿宋"/>
          <w:color w:val="000000"/>
          <w:sz w:val="28"/>
          <w:u w:val="single"/>
        </w:rPr>
        <w:t xml:space="preserve"> </w:t>
      </w:r>
      <w:r>
        <w:rPr>
          <w:rFonts w:hint="eastAsia" w:ascii="仿宋" w:hAnsi="仿宋" w:eastAsia="仿宋"/>
          <w:color w:val="000000"/>
          <w:sz w:val="28"/>
          <w:szCs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日起至</w:t>
      </w:r>
      <w:r>
        <w:rPr>
          <w:rFonts w:hint="eastAsia" w:ascii="仿宋" w:hAnsi="仿宋" w:eastAsia="仿宋"/>
          <w:color w:val="000000"/>
          <w:sz w:val="28"/>
          <w:szCs w:val="28"/>
          <w:u w:val="single"/>
        </w:rPr>
        <w:t xml:space="preserve">2027</w:t>
      </w:r>
      <w:r>
        <w:rPr>
          <w:rFonts w:hint="eastAsia" w:ascii="仿宋" w:hAnsi="仿宋" w:eastAsia="仿宋"/>
          <w:color w:val="000000"/>
          <w:sz w:val="28"/>
        </w:rPr>
        <w:t xml:space="preserve">年</w:t>
      </w:r>
      <w:r>
        <w:rPr>
          <w:rFonts w:hint="eastAsia" w:ascii="仿宋" w:hAnsi="仿宋" w:eastAsia="仿宋"/>
          <w:color w:val="000000"/>
          <w:sz w:val="28"/>
          <w:szCs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月</w:t>
      </w:r>
      <w:r>
        <w:rPr>
          <w:rFonts w:hint="eastAsia" w:ascii="仿宋" w:hAnsi="仿宋" w:eastAsia="仿宋"/>
          <w:color w:val="000000"/>
          <w:sz w:val="28"/>
          <w:u w:val="single"/>
        </w:rPr>
        <w:t xml:space="preserve"> </w:t>
      </w:r>
      <w:r>
        <w:rPr>
          <w:rFonts w:ascii="仿宋" w:hAnsi="仿宋" w:eastAsia="仿宋"/>
          <w:color w:val="000000"/>
          <w:sz w:val="28"/>
          <w:u w:val="single"/>
        </w:rPr>
        <w:t xml:space="preserve"> </w:t>
      </w:r>
      <w:r>
        <w:rPr>
          <w:rFonts w:hint="eastAsia" w:ascii="仿宋" w:hAnsi="仿宋" w:eastAsia="仿宋"/>
          <w:color w:val="000000"/>
          <w:sz w:val="28"/>
        </w:rPr>
        <w:t xml:space="preserve">日，</w:t>
      </w:r>
      <w:r>
        <w:rPr>
          <w:rFonts w:hint="eastAsia" w:ascii="仿宋" w:hAnsi="仿宋" w:eastAsia="仿宋"/>
          <w:sz w:val="28"/>
          <w:szCs w:val="28"/>
        </w:rPr>
        <w:t xml:space="preserve">（服务期满后，</w:t>
      </w:r>
      <w:r>
        <w:rPr>
          <w:rFonts w:hint="eastAsia" w:ascii="仿宋" w:hAnsi="仿宋" w:eastAsia="仿宋"/>
          <w:sz w:val="28"/>
          <w:szCs w:val="28"/>
          <w:lang w:eastAsia="zh-CN"/>
        </w:rPr>
        <w:t xml:space="preserve">采购人将对中标人在运行期间的服务情况</w:t>
      </w:r>
      <w:r>
        <w:rPr>
          <w:rFonts w:hint="eastAsia" w:ascii="仿宋" w:hAnsi="仿宋" w:eastAsia="仿宋"/>
          <w:sz w:val="28"/>
          <w:szCs w:val="28"/>
          <w:lang w:val="en-US" w:eastAsia="zh-CN"/>
        </w:rPr>
        <w:t xml:space="preserve">开展严格考核，待双方达成一致意见后，可续签次年合同，且续签次数最多为2次。） </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四、养护方式</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本项目由乙方以包工、包料、包质量、包安全、包文明施工的方式实施总承包，乙方应对养护期内全部淮安市道路绿化养护管理负责。中标以后不得分包、转包。如一经发现上述行为，甲方单方有权立即终止综合养护工程承包合同，由此产生一切法律责任和经济损失均由乙方承担。</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五、养护质量标准</w:t>
      </w:r>
      <w:r>
        <w:rPr>
          <w:rFonts w:ascii="仿宋" w:hAnsi="仿宋" w:eastAsia="仿宋"/>
          <w:sz w:val="28"/>
        </w:rPr>
      </w:r>
      <w:r/>
    </w:p>
    <w:p>
      <w:pPr>
        <w:pStyle w:val="895"/>
        <w:ind w:firstLine="523"/>
        <w:spacing w:line="520" w:lineRule="exact"/>
        <w:rPr>
          <w:rFonts w:ascii="仿宋" w:hAnsi="仿宋" w:eastAsia="仿宋"/>
          <w:sz w:val="28"/>
          <w:highlight w:val="yellow"/>
          <w:u w:val="single"/>
        </w:rPr>
      </w:pPr>
      <w:r>
        <w:rPr>
          <w:rFonts w:hint="eastAsia" w:ascii="仿宋" w:hAnsi="仿宋" w:eastAsia="仿宋"/>
          <w:sz w:val="28"/>
        </w:rPr>
        <w:t xml:space="preserve">本项目养护质量标准：</w:t>
      </w:r>
      <w:r>
        <w:rPr>
          <w:rFonts w:hint="eastAsia" w:ascii="仿宋" w:hAnsi="仿宋" w:eastAsia="仿宋"/>
          <w:color w:val="000000"/>
          <w:sz w:val="28"/>
        </w:rPr>
        <w:t xml:space="preserve">关于《印发淮安市园林绿化管理中心公园绿化养护管理考核办法的通知》（淮园发〔2025〕5号）《关于进一步规范绿化养护及审批等制度的通知》、</w:t>
      </w:r>
      <w:r>
        <w:rPr>
          <w:rFonts w:hint="eastAsia" w:ascii="仿宋" w:hAnsi="仿宋" w:eastAsia="仿宋"/>
          <w:sz w:val="28"/>
        </w:rPr>
        <w:t xml:space="preserve">《关于下发市管绿地精细化养护管理考核办法的通知》</w:t>
      </w:r>
      <w:r>
        <w:rPr>
          <w:rFonts w:hint="eastAsia" w:ascii="仿宋" w:hAnsi="仿宋" w:eastAsia="仿宋"/>
          <w:color w:val="000000"/>
          <w:sz w:val="28"/>
          <w:szCs w:val="28"/>
        </w:rPr>
        <w:t xml:space="preserve">及本招标、响应文件中的补充养护质量要求，淮安市园林绿化管理中心出台的其它养护质量要求及每月养护清单计划。</w:t>
      </w:r>
      <w:r>
        <w:rPr>
          <w:rFonts w:ascii="仿宋" w:hAnsi="仿宋" w:eastAsia="仿宋"/>
          <w:sz w:val="28"/>
          <w:highlight w:val="yellow"/>
          <w:u w:val="single"/>
        </w:rPr>
      </w:r>
      <w:r/>
    </w:p>
    <w:p>
      <w:pPr>
        <w:pStyle w:val="895"/>
        <w:ind w:firstLine="523"/>
        <w:spacing w:line="520" w:lineRule="exact"/>
        <w:rPr>
          <w:rFonts w:ascii="仿宋" w:hAnsi="仿宋" w:eastAsia="仿宋"/>
          <w:sz w:val="28"/>
        </w:rPr>
      </w:pPr>
      <w:r>
        <w:rPr>
          <w:rFonts w:hint="eastAsia" w:ascii="仿宋" w:hAnsi="仿宋" w:eastAsia="仿宋"/>
          <w:sz w:val="28"/>
        </w:rPr>
        <w:t xml:space="preserve">六、退出机制（若中标的投标单位在承包养护期间，违反下列规定将被解除承包合同，且不予退还履约保证金）：</w:t>
      </w:r>
      <w:r>
        <w:rPr>
          <w:rFonts w:ascii="仿宋" w:hAnsi="仿宋" w:eastAsia="仿宋"/>
          <w:sz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1、养护期内累计2次不合格的，取消养护资格，终止养护合同；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2、在养护期内，因工作执行未达要求而造成重大社会负面影响，或累计两次被通报批评，或在下达整改通知书后累计两次整改未达标准的，取消养护资格，终止养护合同；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3、未履行投标文件中承诺配备的机械设备或经甲方不定期抽查发现投标文件中承诺配备的人员不在岗超过3次的，取消养护资格，终止养护合同；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4、乙方未履行投标文件中承诺在中标后十五个日历天内在淮安设立能够满足仓储、养护车辆停放等要求的固定场所的，取消养护资格，终止养护合同。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5、投标人中标后不服从招标人的管理或不按照招标人要求使用淮安园林信息化系统的，取消养护资格，终止养护合同</w:t>
      </w:r>
      <w:r>
        <w:rPr>
          <w:rFonts w:hint="eastAsia" w:ascii="仿宋" w:hAnsi="仿宋" w:eastAsia="仿宋"/>
          <w:color w:val="000000"/>
          <w:sz w:val="28"/>
          <w:szCs w:val="28"/>
        </w:rPr>
        <w:t xml:space="preserve">；</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6、在合同履行到期或因其他情况终止合同的，中标人在撤场前必须按照采购人要求做好交接工作，擅自离场的，采购人停拨养护经费。</w:t>
      </w:r>
      <w:r>
        <w:rPr>
          <w:rFonts w:ascii="仿宋" w:hAnsi="仿宋" w:eastAsia="仿宋"/>
          <w:sz w:val="28"/>
          <w:szCs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七、合同价款</w:t>
      </w:r>
      <w:r>
        <w:rPr>
          <w:rFonts w:ascii="仿宋" w:hAnsi="仿宋" w:eastAsia="仿宋"/>
          <w:sz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金</w:t>
      </w:r>
      <w:r>
        <w:rPr>
          <w:rFonts w:ascii="仿宋" w:hAnsi="仿宋" w:eastAsia="仿宋"/>
          <w:sz w:val="28"/>
        </w:rPr>
        <w:t xml:space="preserve">  </w:t>
      </w:r>
      <w:r>
        <w:rPr>
          <w:rFonts w:hint="eastAsia" w:ascii="仿宋" w:hAnsi="仿宋" w:eastAsia="仿宋"/>
          <w:sz w:val="28"/>
        </w:rPr>
        <w:t xml:space="preserve">额：</w:t>
      </w:r>
      <w:r>
        <w:rPr>
          <w:rFonts w:hint="eastAsia" w:ascii="仿宋" w:hAnsi="仿宋" w:eastAsia="仿宋"/>
          <w:sz w:val="28"/>
          <w:u w:val="single"/>
        </w:rPr>
        <w:t xml:space="preserve">（大写）</w:t>
      </w:r>
      <w:r>
        <w:rPr>
          <w:rFonts w:ascii="仿宋" w:hAnsi="仿宋" w:eastAsia="仿宋"/>
          <w:sz w:val="28"/>
          <w:u w:val="single"/>
        </w:rPr>
        <w:t xml:space="preserve">                  </w:t>
      </w:r>
      <w:r>
        <w:rPr>
          <w:rFonts w:hint="eastAsia" w:ascii="仿宋" w:hAnsi="仿宋" w:eastAsia="仿宋"/>
          <w:sz w:val="28"/>
        </w:rPr>
        <w:t xml:space="preserve">（人民币）</w:t>
      </w:r>
      <w:r>
        <w:rPr>
          <w:rFonts w:ascii="仿宋" w:hAnsi="仿宋" w:eastAsia="仿宋"/>
          <w:sz w:val="28"/>
        </w:rPr>
      </w:r>
      <w:r/>
    </w:p>
    <w:p>
      <w:pPr>
        <w:pStyle w:val="895"/>
        <w:ind w:firstLine="523"/>
        <w:spacing w:line="520" w:lineRule="exact"/>
        <w:rPr>
          <w:rFonts w:ascii="仿宋" w:hAnsi="仿宋" w:eastAsia="仿宋"/>
          <w:sz w:val="28"/>
        </w:rPr>
      </w:pPr>
      <w:r>
        <w:rPr>
          <w:rFonts w:ascii="仿宋" w:hAnsi="仿宋" w:eastAsia="仿宋"/>
          <w:sz w:val="28"/>
        </w:rPr>
        <w:t xml:space="preserve">       </w:t>
      </w:r>
      <w:r>
        <w:rPr>
          <w:rFonts w:ascii="仿宋" w:hAnsi="仿宋" w:eastAsia="仿宋"/>
          <w:sz w:val="28"/>
          <w:u w:val="single"/>
        </w:rPr>
        <w:t xml:space="preserve"> </w:t>
      </w:r>
      <w:r>
        <w:rPr>
          <w:rFonts w:hint="eastAsia" w:ascii="仿宋" w:hAnsi="仿宋" w:eastAsia="仿宋"/>
          <w:sz w:val="28"/>
          <w:u w:val="single"/>
        </w:rPr>
        <w:t xml:space="preserve">￥</w:t>
      </w:r>
      <w:r>
        <w:rPr>
          <w:rFonts w:ascii="仿宋" w:hAnsi="仿宋" w:eastAsia="仿宋"/>
          <w:sz w:val="28"/>
          <w:u w:val="single"/>
        </w:rPr>
        <w:t xml:space="preserve">                       </w:t>
      </w:r>
      <w:r>
        <w:rPr>
          <w:rFonts w:hint="eastAsia" w:ascii="仿宋" w:hAnsi="仿宋" w:eastAsia="仿宋"/>
          <w:sz w:val="28"/>
        </w:rPr>
        <w:t xml:space="preserve">元</w:t>
      </w:r>
      <w:r>
        <w:rPr>
          <w:rFonts w:ascii="仿宋" w:hAnsi="仿宋" w:eastAsia="仿宋"/>
          <w:sz w:val="28"/>
        </w:rPr>
      </w:r>
      <w:r/>
    </w:p>
    <w:p>
      <w:pPr>
        <w:pStyle w:val="895"/>
        <w:ind w:firstLine="523"/>
        <w:spacing w:line="520" w:lineRule="exact"/>
        <w:rPr>
          <w:rFonts w:hint="eastAsia" w:ascii="仿宋" w:hAnsi="仿宋" w:eastAsia="仿宋"/>
          <w:sz w:val="28"/>
        </w:rPr>
      </w:pPr>
      <w:r>
        <w:rPr>
          <w:rFonts w:hint="eastAsia" w:ascii="仿宋" w:hAnsi="仿宋" w:eastAsia="仿宋"/>
          <w:sz w:val="28"/>
        </w:rPr>
        <w:t xml:space="preserve">付款方式：每季度末付合同价的相应款项（依据考核结果奖惩兑现后支付）。</w:t>
      </w:r>
      <w:r>
        <w:rPr>
          <w:rFonts w:hint="eastAsia" w:ascii="仿宋" w:hAnsi="仿宋" w:eastAsia="仿宋"/>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八、履约保证金</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1、乙方交纳人民币</w:t>
      </w:r>
      <w:r>
        <w:rPr>
          <w:rFonts w:hint="eastAsia" w:ascii="仿宋" w:hAnsi="仿宋" w:eastAsia="仿宋"/>
          <w:b/>
          <w:bCs/>
          <w:sz w:val="28"/>
          <w:szCs w:val="28"/>
          <w:u w:val="single"/>
        </w:rPr>
        <w:t xml:space="preserve">合同金额的5%</w:t>
      </w:r>
      <w:r>
        <w:rPr>
          <w:rFonts w:hint="eastAsia" w:ascii="仿宋" w:hAnsi="仿宋" w:eastAsia="仿宋"/>
          <w:color w:val="000000"/>
          <w:sz w:val="28"/>
        </w:rPr>
        <w:t xml:space="preserve">作为本合同的履约保证金。</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2、乙方提供的履约保证金可以是人民币形式（银行本票、汇票、支票、电汇），或银行保函、担保公司的保证担保或保险公司的保证保险等多种形式。</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3、乙方选取银行保函、担保公司的保证担保或保险公司的保证保险等形式的向采购人缴纳的，如保函（担保、保险等）的约定期到期但乙方履约仍未结束的，乙方须进行续保。</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5、如乙方未能履行合同规定的义务，甲方有权从履约保证金中取得补偿。</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ascii="仿宋" w:hAnsi="仿宋" w:eastAsia="仿宋"/>
          <w:color w:val="000000"/>
          <w:sz w:val="28"/>
        </w:rPr>
      </w:r>
      <w:r/>
    </w:p>
    <w:p>
      <w:pPr>
        <w:pStyle w:val="895"/>
        <w:ind w:firstLine="523"/>
        <w:spacing w:line="520" w:lineRule="exact"/>
        <w:rPr>
          <w:rFonts w:ascii="仿宋" w:hAnsi="仿宋" w:eastAsia="仿宋"/>
          <w:color w:val="000000"/>
          <w:sz w:val="28"/>
        </w:rPr>
      </w:pPr>
      <w:r>
        <w:rPr>
          <w:rFonts w:hint="eastAsia" w:ascii="仿宋" w:hAnsi="仿宋" w:eastAsia="仿宋"/>
          <w:color w:val="000000"/>
          <w:sz w:val="28"/>
        </w:rPr>
        <w:t xml:space="preserve">7、履约保证金在合同约定期间内不予退还或者应完全有效，履约保证金在项目验收合格后无息退还给乙方。</w:t>
      </w:r>
      <w:r>
        <w:rPr>
          <w:rFonts w:ascii="仿宋" w:hAnsi="仿宋" w:eastAsia="仿宋"/>
          <w:color w:val="000000"/>
          <w:sz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九、合同纠纷处理</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r>
      <w:r/>
    </w:p>
    <w:p>
      <w:pPr>
        <w:pStyle w:val="895"/>
        <w:ind w:firstLine="523"/>
        <w:spacing w:line="520" w:lineRule="exact"/>
        <w:rPr>
          <w:rFonts w:ascii="仿宋" w:hAnsi="仿宋" w:eastAsia="仿宋"/>
          <w:sz w:val="28"/>
        </w:rPr>
      </w:pPr>
      <w:r>
        <w:rPr>
          <w:rFonts w:hint="eastAsia" w:ascii="仿宋" w:hAnsi="仿宋" w:eastAsia="仿宋"/>
          <w:sz w:val="28"/>
        </w:rPr>
        <w:t xml:space="preserve">十、组成合同的文件</w:t>
      </w:r>
      <w:r>
        <w:rPr>
          <w:rFonts w:ascii="仿宋" w:hAnsi="仿宋" w:eastAsia="仿宋"/>
          <w:sz w:val="28"/>
        </w:rPr>
      </w:r>
      <w:r/>
    </w:p>
    <w:p>
      <w:pPr>
        <w:pStyle w:val="895"/>
        <w:ind w:firstLine="548"/>
        <w:spacing w:line="520" w:lineRule="exact"/>
        <w:rPr>
          <w:rFonts w:hint="eastAsia" w:ascii="仿宋" w:hAnsi="仿宋" w:eastAsia="仿宋"/>
          <w:sz w:val="28"/>
        </w:rPr>
      </w:pPr>
      <w:r>
        <w:rPr>
          <w:rFonts w:hint="eastAsia" w:ascii="仿宋" w:hAnsi="仿宋" w:eastAsia="仿宋"/>
          <w:sz w:val="28"/>
        </w:rPr>
        <w:t xml:space="preserve">合同协议书，投标文件，招标文件，养护清单，中标通知书，关于《关于下发市管绿地精细化养护管理考核办法的通知》、《关于进一步规范绿化养护及审批等制度的通知》、《关于下发市管绿地精细化养护管理考核办法的通知》。</w:t>
      </w:r>
      <w:r>
        <w:rPr>
          <w:rFonts w:hint="eastAsia" w:ascii="仿宋" w:hAnsi="仿宋" w:eastAsia="仿宋"/>
          <w:sz w:val="28"/>
        </w:rPr>
      </w:r>
      <w:r/>
    </w:p>
    <w:p>
      <w:pPr>
        <w:pStyle w:val="895"/>
        <w:ind w:firstLine="548"/>
        <w:spacing w:line="520" w:lineRule="exact"/>
        <w:rPr>
          <w:rFonts w:ascii="仿宋" w:hAnsi="仿宋" w:eastAsia="仿宋"/>
          <w:sz w:val="28"/>
          <w:szCs w:val="28"/>
        </w:rPr>
      </w:pPr>
      <w:r>
        <w:rPr>
          <w:rFonts w:hint="eastAsia" w:ascii="仿宋" w:hAnsi="仿宋" w:eastAsia="仿宋"/>
          <w:sz w:val="28"/>
          <w:szCs w:val="28"/>
        </w:rPr>
        <w:t xml:space="preserve">十一、合同生效及其它</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本合同经甲、乙双方加盖电子签章后生效。如有变动，必须经甲方、乙方协商一致，方可更改。</w:t>
      </w:r>
      <w:r>
        <w:rPr>
          <w:rFonts w:ascii="仿宋" w:hAnsi="仿宋" w:eastAsia="仿宋"/>
          <w:sz w:val="28"/>
          <w:szCs w:val="28"/>
        </w:rPr>
      </w:r>
      <w:r/>
    </w:p>
    <w:p>
      <w:pPr>
        <w:pStyle w:val="985"/>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ascii="仿宋" w:hAnsi="仿宋" w:eastAsia="仿宋"/>
          <w:sz w:val="28"/>
          <w:szCs w:val="24"/>
        </w:rPr>
      </w:r>
      <w:r/>
    </w:p>
    <w:p>
      <w:pPr>
        <w:pStyle w:val="985"/>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rPr>
          <w:rFonts w:ascii="仿宋" w:hAnsi="仿宋" w:eastAsia="仿宋"/>
          <w:sz w:val="28"/>
          <w:szCs w:val="24"/>
        </w:rPr>
      </w:r>
      <w:r/>
    </w:p>
    <w:p>
      <w:pPr>
        <w:pStyle w:val="985"/>
        <w:spacing w:line="520" w:lineRule="exact"/>
        <w:rPr>
          <w:rFonts w:ascii="仿宋" w:hAnsi="仿宋" w:eastAsia="仿宋"/>
          <w:sz w:val="28"/>
          <w:szCs w:val="24"/>
        </w:rPr>
      </w:pPr>
      <w:r>
        <w:rPr>
          <w:rFonts w:hint="eastAsia" w:ascii="仿宋" w:hAnsi="仿宋" w:eastAsia="仿宋"/>
          <w:sz w:val="28"/>
          <w:szCs w:val="24"/>
        </w:rPr>
        <w:t xml:space="preserve">代表签字：                          代表签字：</w:t>
      </w:r>
      <w:r>
        <w:rPr>
          <w:rFonts w:ascii="仿宋" w:hAnsi="仿宋" w:eastAsia="仿宋"/>
          <w:sz w:val="28"/>
          <w:szCs w:val="24"/>
        </w:rPr>
      </w:r>
      <w:r/>
    </w:p>
    <w:p>
      <w:pPr>
        <w:pStyle w:val="985"/>
        <w:spacing w:line="520" w:lineRule="exact"/>
        <w:rPr>
          <w:rFonts w:ascii="仿宋" w:hAnsi="仿宋" w:eastAsia="仿宋"/>
          <w:sz w:val="28"/>
          <w:szCs w:val="24"/>
        </w:rPr>
      </w:pPr>
      <w:r>
        <w:rPr>
          <w:rFonts w:hint="eastAsia" w:ascii="仿宋" w:hAnsi="仿宋" w:eastAsia="仿宋"/>
          <w:sz w:val="28"/>
          <w:szCs w:val="24"/>
        </w:rPr>
        <w:t xml:space="preserve">签定日期：                          签订日期：</w:t>
      </w:r>
      <w:r>
        <w:rPr>
          <w:rFonts w:ascii="仿宋" w:hAnsi="仿宋" w:eastAsia="仿宋"/>
          <w:sz w:val="28"/>
          <w:szCs w:val="24"/>
        </w:rPr>
      </w:r>
      <w:r/>
    </w:p>
    <w:p>
      <w:pPr>
        <w:pStyle w:val="895"/>
        <w:ind w:firstLine="2492"/>
        <w:spacing w:line="640" w:lineRule="exact"/>
        <w:tabs>
          <w:tab w:val="left" w:pos="180" w:leader="none"/>
        </w:tabs>
        <w:rPr>
          <w:rFonts w:ascii="宋体" w:hAnsi="宋体"/>
          <w:sz w:val="28"/>
          <w:szCs w:val="28"/>
        </w:rPr>
      </w:pPr>
      <w:r>
        <w:rPr>
          <w:rFonts w:ascii="宋体" w:hAnsi="宋体"/>
          <w:sz w:val="28"/>
          <w:szCs w:val="28"/>
        </w:rPr>
      </w:r>
      <w:r/>
    </w:p>
    <w:p>
      <w:pPr>
        <w:pStyle w:val="895"/>
        <w:ind w:firstLine="311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1.定义</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rPr>
          <w:rFonts w:ascii="仿宋" w:hAnsi="仿宋" w:eastAsia="仿宋"/>
          <w:sz w:val="28"/>
        </w:rPr>
      </w:r>
      <w:r/>
    </w:p>
    <w:p>
      <w:pPr>
        <w:pStyle w:val="895"/>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ascii="仿宋" w:hAnsi="仿宋" w:eastAsia="仿宋"/>
          <w:sz w:val="28"/>
        </w:rPr>
      </w:r>
      <w:r/>
    </w:p>
    <w:p>
      <w:pPr>
        <w:pStyle w:val="895"/>
        <w:spacing w:line="520" w:lineRule="exact"/>
        <w:rPr>
          <w:rFonts w:ascii="仿宋" w:hAnsi="仿宋" w:eastAsia="仿宋"/>
          <w:bCs/>
          <w:sz w:val="28"/>
        </w:rPr>
      </w:pPr>
      <w:r>
        <w:rPr>
          <w:rFonts w:hint="eastAsia" w:ascii="仿宋" w:hAnsi="仿宋" w:eastAsia="仿宋"/>
          <w:bCs/>
          <w:sz w:val="28"/>
        </w:rPr>
        <w:t xml:space="preserve">2.技术规范</w:t>
      </w:r>
      <w:r>
        <w:rPr>
          <w:rFonts w:ascii="仿宋" w:hAnsi="仿宋" w:eastAsia="仿宋"/>
          <w:bCs/>
          <w:sz w:val="28"/>
        </w:rPr>
      </w:r>
      <w:r/>
    </w:p>
    <w:p>
      <w:pPr>
        <w:pStyle w:val="895"/>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3.专利权</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ascii="仿宋" w:hAnsi="仿宋" w:eastAsia="仿宋"/>
          <w:sz w:val="28"/>
        </w:rPr>
      </w:r>
      <w:r/>
    </w:p>
    <w:p>
      <w:pPr>
        <w:pStyle w:val="895"/>
        <w:spacing w:line="520" w:lineRule="exact"/>
        <w:rPr>
          <w:rFonts w:ascii="仿宋" w:hAnsi="仿宋" w:eastAsia="仿宋"/>
          <w:sz w:val="28"/>
        </w:rPr>
      </w:pPr>
      <w:r>
        <w:rPr>
          <w:rFonts w:hint="eastAsia" w:ascii="仿宋" w:hAnsi="仿宋" w:eastAsia="仿宋"/>
          <w:sz w:val="28"/>
        </w:rPr>
        <w:t xml:space="preserve">4.包装要求</w:t>
      </w:r>
      <w:r>
        <w:rPr>
          <w:rFonts w:ascii="仿宋" w:hAnsi="仿宋" w:eastAsia="仿宋"/>
          <w:sz w:val="28"/>
        </w:rPr>
      </w:r>
      <w:r/>
    </w:p>
    <w:p>
      <w:pPr>
        <w:pStyle w:val="895"/>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rPr>
          <w:rFonts w:ascii="仿宋" w:hAnsi="仿宋" w:eastAsia="仿宋"/>
          <w:sz w:val="28"/>
        </w:rPr>
      </w:r>
      <w:r/>
    </w:p>
    <w:p>
      <w:pPr>
        <w:pStyle w:val="895"/>
        <w:spacing w:line="520" w:lineRule="exact"/>
        <w:rPr>
          <w:rFonts w:ascii="仿宋" w:hAnsi="仿宋" w:eastAsia="仿宋"/>
          <w:sz w:val="28"/>
        </w:rPr>
      </w:pPr>
      <w:r>
        <w:rPr>
          <w:rFonts w:hint="eastAsia" w:ascii="仿宋" w:hAnsi="仿宋" w:eastAsia="仿宋"/>
          <w:sz w:val="28"/>
        </w:rPr>
        <w:t xml:space="preserve">5.装运标志</w:t>
      </w:r>
      <w:r>
        <w:rPr>
          <w:rFonts w:ascii="仿宋" w:hAnsi="仿宋" w:eastAsia="仿宋"/>
          <w:sz w:val="28"/>
        </w:rPr>
      </w:r>
      <w:r/>
    </w:p>
    <w:p>
      <w:pPr>
        <w:pStyle w:val="895"/>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5"/>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ascii="仿宋" w:hAnsi="仿宋" w:eastAsia="仿宋"/>
          <w:sz w:val="28"/>
          <w:szCs w:val="28"/>
        </w:rPr>
      </w:r>
      <w:r/>
    </w:p>
    <w:p>
      <w:pPr>
        <w:pStyle w:val="895"/>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6.付款方式</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6.1本合同以人民币付款。</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（1）发票；</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（3）装箱单；</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（4）验收合格证；</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rPr>
          <w:rFonts w:ascii="仿宋" w:hAnsi="仿宋" w:eastAsia="仿宋"/>
          <w:sz w:val="28"/>
        </w:rPr>
      </w:r>
      <w:r/>
    </w:p>
    <w:p>
      <w:pPr>
        <w:pStyle w:val="895"/>
        <w:spacing w:line="520" w:lineRule="exact"/>
        <w:rPr>
          <w:rFonts w:ascii="仿宋" w:hAnsi="仿宋" w:eastAsia="仿宋"/>
          <w:sz w:val="28"/>
        </w:rPr>
      </w:pPr>
      <w:r>
        <w:rPr>
          <w:rFonts w:hint="eastAsia" w:ascii="仿宋" w:hAnsi="仿宋" w:eastAsia="仿宋"/>
          <w:sz w:val="28"/>
        </w:rPr>
        <w:t xml:space="preserve">7.伴随服务</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rPr>
          <w:rFonts w:ascii="仿宋" w:hAnsi="仿宋" w:eastAsia="仿宋"/>
          <w:sz w:val="28"/>
        </w:rPr>
      </w:r>
      <w:r/>
    </w:p>
    <w:p>
      <w:pPr>
        <w:pStyle w:val="895"/>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rPr>
          <w:rFonts w:ascii="仿宋" w:hAnsi="仿宋" w:eastAsia="仿宋"/>
          <w:sz w:val="28"/>
        </w:rPr>
      </w:r>
      <w:r/>
    </w:p>
    <w:p>
      <w:pPr>
        <w:pStyle w:val="895"/>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rPr>
          <w:rFonts w:ascii="仿宋" w:hAnsi="仿宋" w:eastAsia="仿宋"/>
          <w:sz w:val="28"/>
        </w:rPr>
      </w:r>
      <w:r/>
    </w:p>
    <w:p>
      <w:pPr>
        <w:pStyle w:val="895"/>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ascii="仿宋" w:hAnsi="仿宋" w:eastAsia="仿宋"/>
          <w:sz w:val="28"/>
        </w:rPr>
      </w:r>
      <w:r/>
    </w:p>
    <w:p>
      <w:pPr>
        <w:pStyle w:val="895"/>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rPr>
          <w:rFonts w:ascii="仿宋" w:hAnsi="仿宋" w:eastAsia="仿宋"/>
          <w:sz w:val="28"/>
        </w:rPr>
      </w:r>
      <w:r/>
    </w:p>
    <w:p>
      <w:pPr>
        <w:pStyle w:val="895"/>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rPr>
          <w:rFonts w:ascii="仿宋" w:hAnsi="仿宋" w:eastAsia="仿宋"/>
          <w:sz w:val="28"/>
        </w:rPr>
      </w:r>
      <w:r/>
    </w:p>
    <w:p>
      <w:pPr>
        <w:pStyle w:val="895"/>
        <w:spacing w:line="520" w:lineRule="exact"/>
        <w:rPr>
          <w:rFonts w:ascii="仿宋" w:hAnsi="仿宋" w:eastAsia="仿宋"/>
          <w:sz w:val="28"/>
        </w:rPr>
      </w:pPr>
      <w:r>
        <w:rPr>
          <w:rFonts w:hint="eastAsia" w:ascii="仿宋" w:hAnsi="仿宋" w:eastAsia="仿宋"/>
          <w:sz w:val="28"/>
        </w:rPr>
        <w:t xml:space="preserve">8.质量保证</w:t>
      </w:r>
      <w:r>
        <w:rPr>
          <w:rFonts w:ascii="仿宋" w:hAnsi="仿宋" w:eastAsia="仿宋"/>
          <w:sz w:val="28"/>
        </w:rPr>
      </w:r>
      <w:r/>
    </w:p>
    <w:p>
      <w:pPr>
        <w:pStyle w:val="895"/>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ascii="仿宋" w:hAnsi="仿宋" w:eastAsia="仿宋"/>
          <w:sz w:val="28"/>
          <w:szCs w:val="28"/>
        </w:rPr>
      </w:r>
      <w:r/>
    </w:p>
    <w:p>
      <w:pPr>
        <w:pStyle w:val="895"/>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ascii="仿宋" w:hAnsi="仿宋" w:eastAsia="仿宋"/>
          <w:sz w:val="28"/>
          <w:szCs w:val="28"/>
        </w:rPr>
      </w:r>
      <w:r/>
    </w:p>
    <w:p>
      <w:pPr>
        <w:pStyle w:val="895"/>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ascii="仿宋" w:hAnsi="仿宋" w:eastAsia="仿宋"/>
          <w:sz w:val="28"/>
          <w:szCs w:val="28"/>
        </w:rPr>
      </w:r>
      <w:r/>
    </w:p>
    <w:p>
      <w:pPr>
        <w:pStyle w:val="895"/>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ascii="仿宋" w:hAnsi="仿宋" w:eastAsia="仿宋"/>
          <w:sz w:val="28"/>
          <w:szCs w:val="28"/>
        </w:rPr>
      </w:r>
      <w:r/>
    </w:p>
    <w:p>
      <w:pPr>
        <w:pStyle w:val="895"/>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9.检验及安装</w:t>
      </w:r>
      <w:r>
        <w:rPr>
          <w:rFonts w:ascii="仿宋" w:hAnsi="仿宋" w:eastAsia="仿宋"/>
          <w:sz w:val="28"/>
        </w:rPr>
      </w:r>
      <w:r/>
    </w:p>
    <w:p>
      <w:pPr>
        <w:pStyle w:val="895"/>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ascii="仿宋" w:hAnsi="仿宋" w:eastAsia="仿宋"/>
          <w:sz w:val="28"/>
          <w:szCs w:val="28"/>
        </w:rPr>
      </w:r>
      <w:r/>
    </w:p>
    <w:p>
      <w:pPr>
        <w:pStyle w:val="895"/>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ascii="仿宋" w:hAnsi="仿宋" w:eastAsia="仿宋"/>
          <w:b/>
          <w:sz w:val="28"/>
        </w:rPr>
      </w:r>
      <w:r/>
    </w:p>
    <w:p>
      <w:pPr>
        <w:pStyle w:val="895"/>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ascii="仿宋" w:hAnsi="仿宋" w:eastAsia="仿宋"/>
          <w:b/>
          <w:sz w:val="28"/>
        </w:rPr>
      </w:r>
      <w:r/>
    </w:p>
    <w:p>
      <w:pPr>
        <w:pStyle w:val="895"/>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ascii="仿宋" w:hAnsi="仿宋" w:eastAsia="仿宋"/>
          <w:sz w:val="28"/>
          <w:szCs w:val="28"/>
        </w:rPr>
      </w:r>
      <w:r/>
    </w:p>
    <w:p>
      <w:pPr>
        <w:pStyle w:val="895"/>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ascii="仿宋" w:hAnsi="仿宋" w:eastAsia="仿宋"/>
          <w:sz w:val="28"/>
          <w:szCs w:val="28"/>
        </w:rPr>
      </w:r>
      <w:r/>
    </w:p>
    <w:p>
      <w:pPr>
        <w:pStyle w:val="895"/>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10.索赔</w:t>
      </w:r>
      <w:r>
        <w:rPr>
          <w:rFonts w:ascii="仿宋" w:hAnsi="仿宋" w:eastAsia="仿宋"/>
          <w:sz w:val="28"/>
        </w:rPr>
      </w:r>
      <w:r/>
    </w:p>
    <w:p>
      <w:pPr>
        <w:pStyle w:val="895"/>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ascii="仿宋" w:hAnsi="仿宋" w:eastAsia="仿宋"/>
          <w:sz w:val="28"/>
          <w:szCs w:val="28"/>
        </w:rPr>
      </w:r>
      <w:r/>
    </w:p>
    <w:p>
      <w:pPr>
        <w:pStyle w:val="895"/>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ascii="仿宋" w:hAnsi="仿宋" w:eastAsia="仿宋"/>
          <w:sz w:val="28"/>
          <w:szCs w:val="28"/>
        </w:rPr>
      </w:r>
      <w:r/>
    </w:p>
    <w:p>
      <w:pPr>
        <w:pStyle w:val="895"/>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11.拖延交货</w:t>
      </w:r>
      <w:r>
        <w:rPr>
          <w:rFonts w:ascii="仿宋" w:hAnsi="仿宋" w:eastAsia="仿宋"/>
          <w:sz w:val="28"/>
        </w:rPr>
      </w:r>
      <w:r/>
    </w:p>
    <w:p>
      <w:pPr>
        <w:pStyle w:val="895"/>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ascii="仿宋" w:hAnsi="仿宋" w:eastAsia="仿宋"/>
          <w:sz w:val="28"/>
          <w:szCs w:val="28"/>
        </w:rPr>
      </w:r>
      <w:r/>
    </w:p>
    <w:p>
      <w:pPr>
        <w:pStyle w:val="895"/>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ascii="仿宋" w:hAnsi="仿宋" w:eastAsia="仿宋"/>
          <w:sz w:val="28"/>
          <w:szCs w:val="28"/>
        </w:rPr>
      </w:r>
      <w:r/>
    </w:p>
    <w:p>
      <w:pPr>
        <w:pStyle w:val="895"/>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ascii="仿宋" w:hAnsi="仿宋" w:eastAsia="仿宋"/>
          <w:sz w:val="28"/>
          <w:szCs w:val="28"/>
        </w:rPr>
      </w:r>
      <w:r/>
    </w:p>
    <w:p>
      <w:pPr>
        <w:pStyle w:val="895"/>
        <w:spacing w:line="520" w:lineRule="exact"/>
        <w:rPr>
          <w:rFonts w:ascii="仿宋" w:hAnsi="仿宋" w:eastAsia="仿宋"/>
          <w:sz w:val="28"/>
          <w:szCs w:val="28"/>
        </w:rPr>
      </w:pPr>
      <w:r>
        <w:rPr>
          <w:rFonts w:hint="eastAsia" w:ascii="仿宋" w:hAnsi="仿宋" w:eastAsia="仿宋"/>
          <w:sz w:val="28"/>
        </w:rPr>
        <w:t xml:space="preserve">12.误期赔偿</w:t>
      </w:r>
      <w:r>
        <w:rPr>
          <w:rFonts w:ascii="仿宋" w:hAnsi="仿宋" w:eastAsia="仿宋"/>
          <w:sz w:val="28"/>
          <w:szCs w:val="28"/>
        </w:rPr>
      </w:r>
      <w:r/>
    </w:p>
    <w:p>
      <w:pPr>
        <w:pStyle w:val="895"/>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ascii="仿宋" w:hAnsi="仿宋" w:eastAsia="仿宋"/>
          <w:sz w:val="28"/>
          <w:szCs w:val="28"/>
        </w:rPr>
      </w:r>
      <w:r/>
    </w:p>
    <w:p>
      <w:pPr>
        <w:pStyle w:val="895"/>
        <w:spacing w:line="520" w:lineRule="exact"/>
        <w:rPr>
          <w:rFonts w:ascii="仿宋" w:hAnsi="仿宋" w:eastAsia="仿宋"/>
          <w:sz w:val="28"/>
          <w:szCs w:val="28"/>
        </w:rPr>
      </w:pPr>
      <w:r>
        <w:rPr>
          <w:rFonts w:hint="eastAsia" w:ascii="仿宋" w:hAnsi="仿宋" w:eastAsia="仿宋"/>
          <w:sz w:val="28"/>
        </w:rPr>
        <w:t xml:space="preserve">13.不可抗力</w:t>
      </w:r>
      <w:r>
        <w:rPr>
          <w:rFonts w:ascii="仿宋" w:hAnsi="仿宋" w:eastAsia="仿宋"/>
          <w:sz w:val="28"/>
          <w:szCs w:val="28"/>
        </w:rPr>
      </w:r>
      <w:r/>
    </w:p>
    <w:p>
      <w:pPr>
        <w:pStyle w:val="895"/>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ascii="仿宋" w:hAnsi="仿宋" w:eastAsia="仿宋"/>
          <w:sz w:val="28"/>
          <w:szCs w:val="28"/>
        </w:rPr>
      </w:r>
      <w:r/>
    </w:p>
    <w:p>
      <w:pPr>
        <w:pStyle w:val="895"/>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ascii="仿宋" w:hAnsi="仿宋" w:eastAsia="仿宋"/>
          <w:sz w:val="28"/>
          <w:szCs w:val="28"/>
        </w:rPr>
      </w:r>
      <w:r/>
    </w:p>
    <w:p>
      <w:pPr>
        <w:pStyle w:val="895"/>
        <w:spacing w:line="520" w:lineRule="exact"/>
        <w:rPr>
          <w:rFonts w:ascii="仿宋" w:hAnsi="仿宋" w:eastAsia="仿宋"/>
          <w:sz w:val="28"/>
        </w:rPr>
      </w:pPr>
      <w:r>
        <w:rPr>
          <w:rFonts w:hint="eastAsia" w:ascii="仿宋" w:hAnsi="仿宋" w:eastAsia="仿宋"/>
          <w:sz w:val="28"/>
        </w:rPr>
        <w:t xml:space="preserve">14.税费</w:t>
      </w:r>
      <w:r>
        <w:rPr>
          <w:rFonts w:ascii="仿宋" w:hAnsi="仿宋" w:eastAsia="仿宋"/>
          <w:sz w:val="28"/>
        </w:rPr>
      </w:r>
      <w:r/>
    </w:p>
    <w:p>
      <w:pPr>
        <w:pStyle w:val="895"/>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ascii="仿宋" w:hAnsi="仿宋" w:eastAsia="仿宋"/>
          <w:sz w:val="28"/>
        </w:rPr>
      </w:r>
      <w:r/>
    </w:p>
    <w:p>
      <w:pPr>
        <w:pStyle w:val="895"/>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ascii="仿宋" w:hAnsi="仿宋" w:eastAsia="仿宋"/>
          <w:sz w:val="28"/>
        </w:rPr>
      </w:r>
      <w:r/>
    </w:p>
    <w:p>
      <w:pPr>
        <w:pStyle w:val="895"/>
        <w:spacing w:line="520" w:lineRule="exact"/>
        <w:rPr>
          <w:rFonts w:ascii="仿宋" w:hAnsi="仿宋" w:eastAsia="仿宋"/>
          <w:sz w:val="28"/>
          <w:szCs w:val="28"/>
        </w:rPr>
      </w:pPr>
      <w:r>
        <w:rPr>
          <w:rFonts w:hint="eastAsia" w:ascii="仿宋" w:hAnsi="仿宋" w:eastAsia="仿宋"/>
          <w:sz w:val="28"/>
          <w:szCs w:val="28"/>
        </w:rPr>
        <w:t xml:space="preserve">15.仲裁</w:t>
      </w:r>
      <w:r>
        <w:rPr>
          <w:rFonts w:ascii="仿宋" w:hAnsi="仿宋" w:eastAsia="仿宋"/>
          <w:sz w:val="28"/>
          <w:szCs w:val="28"/>
        </w:rPr>
      </w:r>
      <w:r/>
    </w:p>
    <w:p>
      <w:pPr>
        <w:pStyle w:val="895"/>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ascii="仿宋" w:hAnsi="仿宋" w:eastAsia="仿宋"/>
          <w:sz w:val="28"/>
          <w:szCs w:val="28"/>
        </w:rPr>
      </w:r>
      <w:r/>
    </w:p>
    <w:p>
      <w:pPr>
        <w:pStyle w:val="895"/>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ascii="仿宋" w:hAnsi="仿宋" w:eastAsia="仿宋"/>
          <w:sz w:val="28"/>
          <w:szCs w:val="28"/>
        </w:rPr>
      </w:r>
      <w:r/>
    </w:p>
    <w:p>
      <w:pPr>
        <w:pStyle w:val="895"/>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ascii="仿宋" w:hAnsi="仿宋" w:eastAsia="仿宋"/>
          <w:sz w:val="28"/>
          <w:szCs w:val="28"/>
        </w:rPr>
      </w:r>
      <w:r/>
    </w:p>
    <w:p>
      <w:pPr>
        <w:pStyle w:val="895"/>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ascii="仿宋" w:hAnsi="仿宋" w:eastAsia="仿宋"/>
          <w:sz w:val="28"/>
          <w:szCs w:val="28"/>
        </w:rPr>
      </w:r>
      <w:r/>
    </w:p>
    <w:p>
      <w:pPr>
        <w:pStyle w:val="895"/>
        <w:spacing w:line="520" w:lineRule="exact"/>
        <w:rPr>
          <w:rFonts w:ascii="仿宋" w:hAnsi="仿宋" w:eastAsia="仿宋"/>
          <w:sz w:val="28"/>
          <w:szCs w:val="28"/>
        </w:rPr>
      </w:pPr>
      <w:r>
        <w:rPr>
          <w:rFonts w:hint="eastAsia" w:ascii="仿宋" w:hAnsi="仿宋" w:eastAsia="仿宋"/>
          <w:sz w:val="28"/>
          <w:szCs w:val="28"/>
        </w:rPr>
        <w:t xml:space="preserve">16.违约终止合同</w:t>
      </w:r>
      <w:r>
        <w:rPr>
          <w:rFonts w:ascii="仿宋" w:hAnsi="仿宋" w:eastAsia="仿宋"/>
          <w:sz w:val="28"/>
          <w:szCs w:val="28"/>
        </w:rPr>
      </w:r>
      <w:r/>
    </w:p>
    <w:p>
      <w:pPr>
        <w:pStyle w:val="960"/>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Ansi="仿宋"/>
          <w:sz w:val="28"/>
          <w:szCs w:val="28"/>
        </w:rPr>
      </w:r>
      <w:r/>
    </w:p>
    <w:p>
      <w:pPr>
        <w:pStyle w:val="960"/>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Ansi="仿宋"/>
          <w:sz w:val="28"/>
          <w:szCs w:val="28"/>
        </w:rPr>
      </w:r>
      <w:r/>
    </w:p>
    <w:p>
      <w:pPr>
        <w:pStyle w:val="960"/>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Ansi="仿宋"/>
          <w:sz w:val="28"/>
          <w:szCs w:val="28"/>
        </w:rPr>
      </w:r>
      <w:r/>
    </w:p>
    <w:p>
      <w:pPr>
        <w:pStyle w:val="960"/>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Ansi="仿宋"/>
          <w:sz w:val="28"/>
          <w:szCs w:val="28"/>
        </w:rPr>
      </w:r>
      <w:r/>
    </w:p>
    <w:p>
      <w:pPr>
        <w:pStyle w:val="916"/>
        <w:spacing w:line="520" w:lineRule="exact"/>
        <w:rPr>
          <w:rFonts w:ascii="仿宋" w:hAnsi="仿宋" w:eastAsia="仿宋"/>
          <w:sz w:val="28"/>
        </w:rPr>
      </w:pPr>
      <w:r>
        <w:rPr>
          <w:rFonts w:hint="eastAsia" w:ascii="仿宋" w:hAnsi="仿宋" w:eastAsia="仿宋"/>
          <w:sz w:val="28"/>
        </w:rPr>
        <w:t xml:space="preserve">17.破产终止合同</w:t>
      </w:r>
      <w:r>
        <w:rPr>
          <w:rFonts w:ascii="仿宋" w:hAnsi="仿宋" w:eastAsia="仿宋"/>
          <w:sz w:val="28"/>
        </w:rPr>
      </w:r>
      <w:r/>
    </w:p>
    <w:p>
      <w:pPr>
        <w:pStyle w:val="916"/>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ascii="仿宋" w:hAnsi="仿宋" w:eastAsia="仿宋"/>
          <w:sz w:val="28"/>
          <w:szCs w:val="24"/>
        </w:rPr>
      </w:r>
      <w:r/>
    </w:p>
    <w:p>
      <w:pPr>
        <w:pStyle w:val="916"/>
        <w:spacing w:line="520" w:lineRule="exact"/>
        <w:rPr>
          <w:rFonts w:ascii="仿宋" w:hAnsi="仿宋" w:eastAsia="仿宋"/>
          <w:sz w:val="28"/>
        </w:rPr>
      </w:pPr>
      <w:r>
        <w:rPr>
          <w:rFonts w:hint="eastAsia" w:ascii="仿宋" w:hAnsi="仿宋" w:eastAsia="仿宋"/>
          <w:sz w:val="28"/>
        </w:rPr>
        <w:t xml:space="preserve">18.转让</w:t>
      </w:r>
      <w:r>
        <w:rPr>
          <w:rFonts w:ascii="仿宋" w:hAnsi="仿宋" w:eastAsia="仿宋"/>
          <w:sz w:val="28"/>
        </w:rPr>
      </w:r>
      <w:r/>
    </w:p>
    <w:p>
      <w:pPr>
        <w:pStyle w:val="916"/>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ascii="仿宋" w:hAnsi="仿宋" w:eastAsia="仿宋"/>
          <w:sz w:val="28"/>
        </w:rPr>
      </w:r>
      <w:r/>
    </w:p>
    <w:p>
      <w:pPr>
        <w:pStyle w:val="916"/>
        <w:spacing w:line="520" w:lineRule="exact"/>
        <w:rPr>
          <w:rFonts w:ascii="仿宋" w:hAnsi="仿宋" w:eastAsia="仿宋"/>
          <w:sz w:val="28"/>
        </w:rPr>
      </w:pPr>
      <w:r>
        <w:rPr>
          <w:rFonts w:hint="eastAsia" w:ascii="仿宋" w:hAnsi="仿宋" w:eastAsia="仿宋"/>
          <w:sz w:val="28"/>
        </w:rPr>
        <w:t xml:space="preserve">19.合同生效及其它</w:t>
      </w:r>
      <w:r>
        <w:rPr>
          <w:rFonts w:ascii="仿宋" w:hAnsi="仿宋" w:eastAsia="仿宋"/>
          <w:sz w:val="28"/>
        </w:rPr>
      </w:r>
      <w:r/>
    </w:p>
    <w:p>
      <w:pPr>
        <w:pStyle w:val="895"/>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ascii="仿宋" w:hAnsi="仿宋" w:eastAsia="仿宋"/>
          <w:b/>
          <w:color w:val="000000"/>
          <w:sz w:val="28"/>
          <w:szCs w:val="28"/>
        </w:rPr>
      </w:r>
      <w:r/>
    </w:p>
    <w:p>
      <w:pPr>
        <w:pStyle w:val="916"/>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ascii="仿宋" w:hAnsi="仿宋" w:eastAsia="仿宋"/>
          <w:sz w:val="28"/>
          <w:szCs w:val="24"/>
        </w:rPr>
      </w:r>
      <w:r/>
    </w:p>
    <w:p>
      <w:pPr>
        <w:pStyle w:val="916"/>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ascii="仿宋" w:hAnsi="仿宋" w:eastAsia="仿宋"/>
          <w:sz w:val="28"/>
          <w:szCs w:val="24"/>
        </w:rPr>
      </w:r>
      <w:r/>
    </w:p>
    <w:p>
      <w:pPr>
        <w:pStyle w:val="916"/>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ascii="仿宋" w:hAnsi="仿宋" w:eastAsia="仿宋"/>
          <w:sz w:val="28"/>
          <w:szCs w:val="24"/>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19.5本合同应按照中华人民共和国现行法律进行解释。</w:t>
      </w:r>
      <w:r>
        <w:rPr>
          <w:rFonts w:hint="eastAsia" w:ascii="仿宋" w:hAnsi="仿宋" w:eastAsia="仿宋"/>
          <w:sz w:val="28"/>
        </w:rPr>
      </w:r>
      <w:r/>
    </w:p>
    <w:p>
      <w:pPr>
        <w:pStyle w:val="91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16"/>
        <w:ind w:firstLine="560"/>
        <w:spacing w:line="520" w:lineRule="exact"/>
        <w:rPr>
          <w:rFonts w:ascii="仿宋" w:hAnsi="仿宋" w:eastAsia="仿宋"/>
          <w:b/>
          <w:bCs w:val="0"/>
          <w:sz w:val="28"/>
          <w:szCs w:val="28"/>
        </w:rPr>
      </w:pPr>
      <w:r>
        <w:rPr>
          <w:rFonts w:hint="eastAsia" w:ascii="仿宋" w:hAnsi="仿宋" w:eastAsia="仿宋"/>
          <w:b/>
          <w:bCs w:val="0"/>
          <w:sz w:val="28"/>
          <w:szCs w:val="28"/>
        </w:rPr>
        <w:t xml:space="preserve">一、项目概况</w:t>
      </w:r>
      <w:r>
        <w:rPr>
          <w:rFonts w:ascii="仿宋" w:hAnsi="仿宋" w:eastAsia="仿宋"/>
          <w:b/>
          <w:bCs w:val="0"/>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主城区范围内道路绿地养护管理。本</w:t>
      </w:r>
      <w:r>
        <w:rPr>
          <w:rFonts w:hint="eastAsia" w:ascii="仿宋" w:hAnsi="仿宋" w:eastAsia="仿宋"/>
          <w:sz w:val="28"/>
          <w:szCs w:val="28"/>
          <w:highlight w:val="none"/>
        </w:rPr>
        <w:t xml:space="preserve">项目养护质量标准：</w:t>
      </w:r>
      <w:r>
        <w:rPr>
          <w:rFonts w:hint="eastAsia" w:ascii="仿宋" w:hAnsi="仿宋" w:eastAsia="仿宋"/>
          <w:sz w:val="28"/>
          <w:highlight w:val="none"/>
        </w:rPr>
        <w:t xml:space="preserve">《关于下发市管绿地精细化养护管理考核办法的通知》</w:t>
      </w:r>
      <w:r>
        <w:rPr>
          <w:rFonts w:hint="eastAsia" w:ascii="仿宋" w:hAnsi="仿宋" w:eastAsia="仿宋"/>
          <w:sz w:val="28"/>
          <w:highlight w:val="none"/>
          <w:lang w:eastAsia="zh-CN"/>
        </w:rPr>
        <w:t xml:space="preserve">、</w:t>
      </w:r>
      <w:r>
        <w:rPr>
          <w:rFonts w:hint="eastAsia" w:ascii="仿宋" w:hAnsi="仿宋" w:eastAsia="仿宋"/>
          <w:color w:val="000000"/>
          <w:sz w:val="28"/>
          <w:highlight w:val="none"/>
        </w:rPr>
        <w:t xml:space="preserve">《关于进一步规范绿化养护及审批等制度的通知》</w:t>
      </w:r>
      <w:r>
        <w:rPr>
          <w:rFonts w:hint="eastAsia" w:ascii="仿宋" w:hAnsi="仿宋" w:eastAsia="仿宋"/>
          <w:color w:val="000000"/>
          <w:sz w:val="28"/>
          <w:szCs w:val="28"/>
          <w:highlight w:val="none"/>
        </w:rPr>
        <w:t xml:space="preserve">及本招标、响应文件中</w:t>
      </w:r>
      <w:r>
        <w:rPr>
          <w:rFonts w:hint="eastAsia" w:ascii="仿宋" w:hAnsi="仿宋" w:eastAsia="仿宋"/>
          <w:color w:val="000000"/>
          <w:sz w:val="28"/>
          <w:szCs w:val="28"/>
        </w:rPr>
        <w:t xml:space="preserve">的补充养护质量要求，淮安市园林绿化管理中心出台的其它养护质量要求及每月养护清单计划。</w:t>
      </w:r>
      <w:r>
        <w:rPr>
          <w:rFonts w:hint="eastAsia" w:ascii="仿宋" w:hAnsi="仿宋" w:eastAsia="仿宋"/>
          <w:sz w:val="28"/>
          <w:szCs w:val="28"/>
        </w:rPr>
        <w:t xml:space="preserve">。</w:t>
      </w:r>
      <w:r>
        <w:rPr>
          <w:rFonts w:ascii="仿宋" w:hAnsi="仿宋" w:eastAsia="仿宋"/>
          <w:sz w:val="28"/>
          <w:szCs w:val="28"/>
        </w:rPr>
      </w:r>
      <w:r/>
    </w:p>
    <w:p>
      <w:pPr>
        <w:pStyle w:val="895"/>
        <w:ind w:firstLine="560"/>
        <w:spacing w:line="520" w:lineRule="exact"/>
        <w:rPr>
          <w:rFonts w:ascii="仿宋" w:hAnsi="仿宋" w:eastAsia="仿宋"/>
          <w:b/>
          <w:bCs/>
          <w:sz w:val="28"/>
          <w:szCs w:val="28"/>
        </w:rPr>
      </w:pP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zh-CN"/>
        </w:rPr>
        <w:t xml:space="preserve">二、</w:t>
      </w:r>
      <w:r>
        <w:rPr>
          <w:rFonts w:hint="eastAsia" w:ascii="仿宋" w:hAnsi="仿宋" w:eastAsia="仿宋"/>
          <w:b/>
          <w:bCs/>
          <w:sz w:val="28"/>
          <w:szCs w:val="28"/>
        </w:rPr>
        <w:t xml:space="preserve">基本要求（适用各个标段）</w:t>
      </w:r>
      <w:r>
        <w:rPr>
          <w:rFonts w:ascii="仿宋" w:hAnsi="仿宋" w:eastAsia="仿宋"/>
          <w:b/>
          <w:bCs/>
          <w:sz w:val="28"/>
          <w:szCs w:val="28"/>
        </w:rPr>
      </w:r>
      <w:r/>
    </w:p>
    <w:p>
      <w:pPr>
        <w:pStyle w:val="895"/>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1、投标人参加投标时，必须提供其承诺为本次养护项目配备项目负责人、技术负责人和技术工人，养护期内能够长驻淮安的</w:t>
      </w:r>
      <w:r>
        <w:rPr>
          <w:rFonts w:hint="eastAsia" w:ascii="仿宋" w:hAnsi="仿宋" w:eastAsia="仿宋"/>
          <w:b/>
          <w:bCs/>
          <w:sz w:val="28"/>
          <w:szCs w:val="28"/>
        </w:rPr>
        <w:t xml:space="preserve">书面承诺函</w:t>
      </w:r>
      <w:r>
        <w:rPr>
          <w:rFonts w:hint="eastAsia" w:ascii="仿宋" w:hAnsi="仿宋" w:eastAsia="仿宋"/>
          <w:sz w:val="28"/>
          <w:szCs w:val="28"/>
        </w:rPr>
        <w:t xml:space="preserve">。</w:t>
      </w:r>
      <w:r>
        <w:rPr>
          <w:rFonts w:hint="eastAsia" w:ascii="仿宋" w:hAnsi="仿宋" w:eastAsia="仿宋"/>
          <w:b/>
          <w:bCs/>
          <w:sz w:val="28"/>
          <w:szCs w:val="28"/>
          <w:lang w:eastAsia="zh-CN"/>
        </w:rPr>
        <w:t xml:space="preserve">（未提供的作无效投标处理）</w:t>
      </w:r>
      <w:r>
        <w:rPr>
          <w:rFonts w:hint="eastAsia" w:ascii="仿宋" w:hAnsi="仿宋" w:eastAsia="仿宋"/>
          <w:sz w:val="28"/>
          <w:szCs w:val="28"/>
          <w:lang w:eastAsia="zh-CN"/>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2、为了保证绿地养护的长期性、时效性，投标人在养护期内须为本项目配备能够满足绿地养护机械设备仓储、养护车辆停放所需的固定场地。投标人参加投标时必须提供下列任一项证明材料，</w:t>
      </w:r>
      <w:r>
        <w:rPr>
          <w:rFonts w:hint="eastAsia" w:ascii="仿宋" w:hAnsi="仿宋" w:eastAsia="仿宋"/>
          <w:b/>
          <w:bCs/>
          <w:sz w:val="28"/>
          <w:szCs w:val="28"/>
        </w:rPr>
        <w:t xml:space="preserve">不提供的作无效投标处理</w:t>
      </w:r>
      <w:r>
        <w:rPr>
          <w:rFonts w:hint="eastAsia" w:ascii="仿宋" w:hAnsi="仿宋" w:eastAsia="仿宋"/>
          <w:sz w:val="28"/>
          <w:szCs w:val="28"/>
        </w:rPr>
        <w:t xml:space="preserve">：</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（1）在淮安当地具有能够满足绿地养护机械设备仓储、养护车辆停放所需固定场地（自有或者租赁均可以）的相关证明材料；</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（2）承诺在中标后十五个日历天内在淮安市设立能够满足绿地养护机械设备仓储、养护车辆停放所需固定场地的书面承诺函。</w:t>
      </w:r>
      <w:r>
        <w:rPr>
          <w:rFonts w:ascii="仿宋" w:hAnsi="仿宋" w:eastAsia="仿宋"/>
          <w:sz w:val="28"/>
          <w:szCs w:val="28"/>
        </w:rPr>
      </w:r>
      <w:r/>
    </w:p>
    <w:p>
      <w:pPr>
        <w:pStyle w:val="916"/>
        <w:ind w:firstLine="560"/>
        <w:spacing w:line="520" w:lineRule="exact"/>
        <w:rPr>
          <w:rFonts w:ascii="仿宋" w:hAnsi="仿宋" w:eastAsia="仿宋"/>
          <w:b/>
          <w:bCs/>
          <w:sz w:val="28"/>
          <w:szCs w:val="28"/>
        </w:rPr>
      </w:pPr>
      <w:r>
        <w:rPr>
          <w:rFonts w:hint="eastAsia" w:ascii="仿宋" w:hAnsi="仿宋" w:eastAsia="仿宋"/>
          <w:sz w:val="28"/>
          <w:szCs w:val="28"/>
        </w:rPr>
        <w:t xml:space="preserve">3、</w:t>
      </w:r>
      <w:r>
        <w:rPr>
          <w:rFonts w:hint="eastAsia" w:ascii="仿宋" w:hAnsi="仿宋" w:eastAsia="仿宋"/>
          <w:color w:val="000000"/>
          <w:sz w:val="28"/>
          <w:szCs w:val="28"/>
        </w:rPr>
        <w:t xml:space="preserve">投标人须</w:t>
      </w:r>
      <w:r>
        <w:rPr>
          <w:rFonts w:hint="eastAsia" w:ascii="仿宋" w:hAnsi="仿宋" w:eastAsia="仿宋"/>
          <w:sz w:val="28"/>
          <w:szCs w:val="24"/>
        </w:rPr>
        <w:t xml:space="preserve">从人员工资、机械费用、肥料费用、农药费用、黑麦草加播费用、浇水费用、税收、合理利润等方面进行报价合理性分析。</w:t>
      </w:r>
      <w:r>
        <w:rPr>
          <w:rFonts w:hint="eastAsia" w:ascii="仿宋" w:hAnsi="仿宋" w:eastAsia="仿宋"/>
          <w:b/>
          <w:bCs/>
          <w:sz w:val="28"/>
          <w:szCs w:val="24"/>
        </w:rPr>
        <w:t xml:space="preserve">（</w:t>
      </w:r>
      <w:r>
        <w:rPr>
          <w:rFonts w:hint="eastAsia" w:ascii="仿宋" w:hAnsi="仿宋" w:eastAsia="仿宋"/>
          <w:b/>
          <w:bCs/>
          <w:sz w:val="28"/>
          <w:szCs w:val="24"/>
          <w:lang w:eastAsia="zh-CN"/>
        </w:rPr>
        <w:t xml:space="preserve">报价合理性分析</w:t>
      </w:r>
      <w:r>
        <w:rPr>
          <w:rFonts w:hint="eastAsia" w:ascii="仿宋" w:hAnsi="仿宋" w:eastAsia="仿宋"/>
          <w:b/>
          <w:bCs/>
          <w:sz w:val="28"/>
          <w:szCs w:val="24"/>
        </w:rPr>
        <w:t xml:space="preserve">格式自拟加盖投标人电子签章</w:t>
      </w:r>
      <w:r>
        <w:rPr>
          <w:rFonts w:hint="eastAsia" w:ascii="仿宋" w:hAnsi="仿宋" w:eastAsia="仿宋"/>
          <w:b/>
          <w:bCs/>
          <w:sz w:val="28"/>
          <w:szCs w:val="24"/>
          <w:lang w:eastAsia="zh-CN"/>
        </w:rPr>
        <w:t xml:space="preserve">，未提供的作无效投标处理</w:t>
      </w:r>
      <w:r>
        <w:rPr>
          <w:rFonts w:hint="eastAsia" w:ascii="仿宋" w:hAnsi="仿宋" w:eastAsia="仿宋"/>
          <w:b/>
          <w:bCs/>
          <w:sz w:val="28"/>
          <w:szCs w:val="24"/>
        </w:rPr>
        <w:t xml:space="preserve">）</w:t>
      </w:r>
      <w:r>
        <w:rPr>
          <w:rFonts w:ascii="仿宋" w:hAnsi="仿宋" w:eastAsia="仿宋"/>
          <w:b/>
          <w:bCs/>
          <w:sz w:val="28"/>
          <w:szCs w:val="28"/>
        </w:rPr>
      </w:r>
      <w:r/>
    </w:p>
    <w:p>
      <w:pPr>
        <w:pStyle w:val="895"/>
        <w:ind w:firstLine="560"/>
        <w:spacing w:line="520" w:lineRule="exact"/>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color w:val="000000"/>
          <w:sz w:val="28"/>
          <w:szCs w:val="28"/>
        </w:rPr>
        <w:t xml:space="preserve">、</w:t>
      </w:r>
      <w:r>
        <w:rPr>
          <w:rFonts w:hint="eastAsia" w:ascii="仿宋" w:hAnsi="仿宋" w:eastAsia="仿宋"/>
          <w:color w:val="000000"/>
          <w:sz w:val="28"/>
          <w:szCs w:val="28"/>
        </w:rPr>
        <w:t xml:space="preserve">投标人参加投标时，必须提供承诺</w:t>
      </w:r>
      <w:r>
        <w:rPr>
          <w:rFonts w:hint="eastAsia" w:ascii="仿宋" w:hAnsi="仿宋" w:eastAsia="仿宋"/>
          <w:color w:val="000000"/>
          <w:sz w:val="28"/>
          <w:szCs w:val="28"/>
          <w:lang w:val="en-US" w:eastAsia="zh-CN"/>
        </w:rPr>
        <w:t xml:space="preserve">书，</w:t>
      </w:r>
      <w:r>
        <w:rPr>
          <w:rFonts w:hint="eastAsia" w:ascii="仿宋" w:hAnsi="仿宋" w:eastAsia="仿宋"/>
          <w:b/>
          <w:bCs/>
          <w:sz w:val="28"/>
          <w:szCs w:val="24"/>
          <w:lang w:eastAsia="zh-CN"/>
        </w:rPr>
        <w:t xml:space="preserve">未提供的作无效投标处理</w:t>
      </w:r>
      <w:r>
        <w:rPr>
          <w:rFonts w:hint="eastAsia" w:ascii="仿宋" w:hAnsi="仿宋" w:eastAsia="仿宋"/>
          <w:color w:val="000000"/>
          <w:sz w:val="28"/>
          <w:szCs w:val="28"/>
          <w:lang w:val="en-US" w:eastAsia="zh-CN"/>
        </w:rPr>
        <w:t xml:space="preserve">：承诺</w:t>
      </w:r>
      <w:r>
        <w:rPr>
          <w:rFonts w:hint="eastAsia" w:ascii="仿宋" w:hAnsi="仿宋" w:eastAsia="仿宋"/>
          <w:color w:val="000000"/>
          <w:sz w:val="28"/>
          <w:szCs w:val="28"/>
        </w:rPr>
        <w:t xml:space="preserve">中标后服从采购人的统一安排，严格按照投标文件中的人员配备进行养护。人员证书送至采购人处统一管理，养护期结束后统一归还。同时中标后提供的养护车辆配备与投标文件中上传的一致，若提供的人员及养护车辆配备不一致，采购人有权取消养护资格，终止养护合同，由此造成的一切损失由中标人承担。</w:t>
      </w:r>
      <w:r>
        <w:rPr>
          <w:rFonts w:ascii="仿宋" w:hAnsi="仿宋" w:eastAsia="仿宋"/>
          <w:sz w:val="28"/>
          <w:szCs w:val="28"/>
        </w:rPr>
      </w:r>
      <w:r/>
    </w:p>
    <w:p>
      <w:pPr>
        <w:pStyle w:val="895"/>
        <w:ind w:firstLine="560"/>
        <w:spacing w:line="520" w:lineRule="exact"/>
        <w:rPr>
          <w:rFonts w:ascii="仿宋" w:hAnsi="仿宋" w:eastAsia="仿宋"/>
          <w:b/>
          <w:bCs/>
          <w:sz w:val="28"/>
          <w:szCs w:val="28"/>
        </w:rPr>
      </w:pPr>
      <w:r>
        <w:rPr>
          <w:rFonts w:hint="eastAsia" w:ascii="仿宋" w:hAnsi="仿宋" w:eastAsia="仿宋"/>
          <w:b/>
          <w:bCs/>
          <w:sz w:val="28"/>
          <w:szCs w:val="28"/>
        </w:rPr>
        <w:t xml:space="preserve">注：上述1-4条，投标人需逐项提供书面材料，格式自拟加盖投标人电子签章，未提供或提供不全的作无效投标处理。</w:t>
      </w:r>
      <w:r>
        <w:rPr>
          <w:rFonts w:ascii="仿宋" w:hAnsi="仿宋" w:eastAsia="仿宋"/>
          <w:b/>
          <w:bCs/>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5、本次招标必须保证养护人员安全、稳定，不得发生群体性事件或重特大安全事故，一切责任均由中标方负责。</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6、中标单位在养护期间必须及时处置数字城管、12345、园林中心等部门检查考核问题整改。</w:t>
      </w:r>
      <w:r>
        <w:rPr>
          <w:rFonts w:ascii="仿宋" w:hAnsi="仿宋" w:eastAsia="仿宋"/>
          <w:color w:val="000000"/>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7、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rPr>
          <w:rFonts w:hint="eastAsia" w:ascii="仿宋" w:hAnsi="仿宋"/>
          <w:sz w:val="28"/>
          <w:szCs w:val="28"/>
        </w:rPr>
        <w:t xml:space="preserve">。</w:t>
      </w:r>
      <w:r>
        <w:rPr>
          <w:rFonts w:ascii="仿宋" w:hAnsi="仿宋" w:eastAsia="仿宋"/>
          <w:sz w:val="28"/>
          <w:szCs w:val="28"/>
        </w:rPr>
      </w:r>
      <w:r/>
    </w:p>
    <w:p>
      <w:pPr>
        <w:pStyle w:val="986"/>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8、投标人中标后，不得擅自更换投标文件中承诺的人员，如确需更换必须事前征得采购人同意，同时更换的人员不得低于原有水平。若未经采购人同意擅自更换的，采购人有权解除合同，同时扣除全部履约保证金并向相关单位报不良行为。</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9、实际养护过程中，中标人所提供的车辆或设备无法满足日常养护需求的，由中标人自行添加车辆及设备，直到满足日常养护需求。</w:t>
      </w:r>
      <w:r>
        <w:rPr>
          <w:rFonts w:ascii="仿宋" w:hAnsi="仿宋" w:eastAsia="仿宋"/>
          <w:sz w:val="28"/>
          <w:szCs w:val="28"/>
        </w:rPr>
      </w:r>
      <w:r/>
    </w:p>
    <w:p>
      <w:pPr>
        <w:pStyle w:val="895"/>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主要服务内容（适用各个标段）</w:t>
      </w:r>
      <w:r>
        <w:rPr>
          <w:rFonts w:ascii="仿宋" w:hAnsi="仿宋" w:eastAsia="仿宋"/>
          <w:b/>
          <w:bCs/>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行道树、乔木、花灌木、地被草坪、花坛花卉绿化养护管理，草坪加播黑麦草，园路、小品、构筑物等园林设施维护，绿地保护管理等。</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第一标段中标人完成：1、在养护期内完成对宁连路绿地加播自衍花卉工作，面积约10000㎡； 2、在养护期内完成10000㎡的草坪更新工作。3、在养护期养护范围内对部分长势较差的</w:t>
      </w:r>
      <w:bookmarkStart w:id="36" w:name="OLE_LINK1"/>
      <w:r/>
      <w:bookmarkStart w:id="37" w:name="OLE_LINK2"/>
      <w:r>
        <w:rPr>
          <w:rFonts w:hint="eastAsia" w:ascii="仿宋" w:hAnsi="仿宋" w:eastAsia="仿宋"/>
          <w:sz w:val="28"/>
          <w:szCs w:val="28"/>
        </w:rPr>
        <w:t xml:space="preserve">残次苗木</w:t>
      </w:r>
      <w:bookmarkEnd w:id="36"/>
      <w:r/>
      <w:bookmarkEnd w:id="37"/>
      <w:r>
        <w:rPr>
          <w:rFonts w:hint="eastAsia" w:ascii="仿宋" w:hAnsi="仿宋" w:eastAsia="仿宋"/>
          <w:sz w:val="28"/>
          <w:szCs w:val="28"/>
        </w:rPr>
        <w:t xml:space="preserve">进行清理，</w:t>
      </w:r>
      <w:bookmarkStart w:id="38" w:name="OLE_LINK3"/>
      <w:r>
        <w:rPr>
          <w:rFonts w:hint="eastAsia" w:ascii="仿宋" w:hAnsi="仿宋" w:eastAsia="仿宋"/>
          <w:sz w:val="28"/>
          <w:szCs w:val="28"/>
        </w:rPr>
        <w:t xml:space="preserve">总计200株</w:t>
      </w:r>
      <w:bookmarkEnd w:id="38"/>
      <w:r>
        <w:rPr>
          <w:rFonts w:hint="eastAsia" w:ascii="仿宋" w:hAnsi="仿宋" w:eastAsia="仿宋"/>
          <w:sz w:val="28"/>
          <w:szCs w:val="28"/>
        </w:rPr>
        <w:t xml:space="preserve">。</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第二标段中标人需完成：1、在养护期内完成 10000㎡的草坪更新工作；2、中标单位养护期内需对古黄河风光带内的监控及监控室进行维护，安排人员白天8小时在监控室值守(晚间若有需要，值守人员需随时到岗)，并承担监控室所产生的相应电费。3、在养护期养护范围内对部分长势较差的残次苗木进行清理，总计200株。</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第三标段中标人需完成：1、在养护期内完成对宁连路绿地加播自衍花卉工作，面积约10000㎡；2、在养护期内完成10000㎡的草坪更新工作；3、在养护期内完成5000株月季补植更新工作。4、在养护期养护范围内对部分长势较差的</w:t>
      </w:r>
      <w:bookmarkStart w:id="39" w:name="OLE_LINK11"/>
      <w:r/>
      <w:bookmarkStart w:id="40" w:name="OLE_LINK10"/>
      <w:r>
        <w:rPr>
          <w:rFonts w:hint="eastAsia" w:ascii="仿宋" w:hAnsi="仿宋" w:eastAsia="仿宋"/>
          <w:sz w:val="28"/>
          <w:szCs w:val="28"/>
        </w:rPr>
        <w:t xml:space="preserve">残次</w:t>
      </w:r>
      <w:bookmarkEnd w:id="39"/>
      <w:r/>
      <w:bookmarkEnd w:id="40"/>
      <w:r>
        <w:rPr>
          <w:rFonts w:hint="eastAsia" w:ascii="仿宋" w:hAnsi="仿宋" w:eastAsia="仿宋"/>
          <w:sz w:val="28"/>
          <w:szCs w:val="28"/>
        </w:rPr>
        <w:t xml:space="preserve">苗木进行清理，总计200株。</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上述播种自衍花卉、草坪更新、残次苗木清理等工作费用不单独报价，含在每个标段的投标报价中。②播种自衍花卉及草坪更新工作，中标单位需提供播种自衍花卉及草坪更新的方案给甲方，经甲方同意后，方可实施。③自衍花卉可用金鸡菊、硫华菊、大滨菊等品种；草坪选用马尼拉草坪卷。</w:t>
      </w:r>
      <w:r>
        <w:rPr>
          <w:rFonts w:ascii="仿宋" w:hAnsi="仿宋" w:eastAsia="仿宋"/>
          <w:sz w:val="28"/>
          <w:szCs w:val="28"/>
        </w:rPr>
      </w:r>
      <w:r/>
    </w:p>
    <w:p>
      <w:pPr>
        <w:pStyle w:val="895"/>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退出机制（适用各个标段，若中标的投标单位在承包养护期间，违反下列规定将被解除承包合同，且不予退还履约保证金）</w:t>
      </w:r>
      <w:r>
        <w:rPr>
          <w:rFonts w:ascii="仿宋" w:hAnsi="仿宋" w:eastAsia="仿宋"/>
          <w:b/>
          <w:bCs/>
          <w:sz w:val="28"/>
          <w:szCs w:val="28"/>
        </w:rPr>
      </w:r>
      <w:r/>
    </w:p>
    <w:p>
      <w:pPr>
        <w:pStyle w:val="895"/>
        <w:numPr>
          <w:ilvl w:val="0"/>
          <w:numId w:val="6"/>
        </w:num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养护月考核成绩一年内累计2次不合格的，取消养护资格，终止养护合同；</w:t>
      </w:r>
      <w:r>
        <w:rPr>
          <w:rFonts w:ascii="仿宋" w:hAnsi="仿宋" w:eastAsia="仿宋"/>
          <w:color w:val="000000"/>
          <w:sz w:val="28"/>
          <w:szCs w:val="28"/>
        </w:rPr>
      </w:r>
      <w:r/>
    </w:p>
    <w:p>
      <w:pPr>
        <w:pStyle w:val="895"/>
        <w:numPr>
          <w:ilvl w:val="0"/>
          <w:numId w:val="6"/>
        </w:num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在养护期内，因工作执行未达要求而造成重大社会负面影响，或累计两次被通报批评，或在下达整改通知书后累计两次整改未达标准的，取消养护资格，终止养护合同；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3、未履行投标文件中承诺配备的机械设备或经招标人不定期抽查发现投标文件中承诺配备的人员不在岗超过3次的，取消养护资格，终止养护合同；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投标人中标后</w:t>
      </w:r>
      <w:r>
        <w:rPr>
          <w:rFonts w:hint="eastAsia" w:ascii="仿宋" w:hAnsi="仿宋" w:eastAsia="仿宋"/>
          <w:color w:val="000000"/>
          <w:sz w:val="28"/>
          <w:szCs w:val="28"/>
        </w:rPr>
        <w:t xml:space="preserve">未履行投标文件中承诺在合同签订后十五个日历天内在淮安设立能够满足绿地养护机械设备仓储、养护车辆停放等要求的固定场所的，取消养护资格，终止养护合同。</w:t>
      </w:r>
      <w:r>
        <w:rPr>
          <w:rFonts w:ascii="仿宋" w:hAnsi="仿宋" w:eastAsia="仿宋"/>
          <w:color w:val="000000"/>
          <w:sz w:val="28"/>
          <w:szCs w:val="28"/>
        </w:rPr>
      </w:r>
      <w:r/>
    </w:p>
    <w:p>
      <w:pPr>
        <w:pStyle w:val="895"/>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5、</w:t>
      </w:r>
      <w:r>
        <w:rPr>
          <w:rFonts w:hint="eastAsia" w:ascii="仿宋" w:hAnsi="仿宋" w:eastAsia="仿宋"/>
          <w:sz w:val="28"/>
          <w:szCs w:val="28"/>
        </w:rPr>
        <w:t xml:space="preserve">投标人中标后不服从招标人的管理或不按照招标人要求使用淮安园林信息化系统的，取消养护资格，终止养护合同</w:t>
      </w:r>
      <w:r>
        <w:rPr>
          <w:rFonts w:hint="eastAsia" w:ascii="仿宋" w:hAnsi="仿宋" w:eastAsia="仿宋"/>
          <w:color w:val="000000"/>
          <w:sz w:val="28"/>
          <w:szCs w:val="28"/>
        </w:rPr>
        <w:t xml:space="preserve">；</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6、在合同履行到期或因其他情况终止合同的，中标人在撤场前必须按照采购人要求做好交接工作，擅自离场的，采购人停拨养护经费。</w:t>
      </w:r>
      <w:r>
        <w:rPr>
          <w:rFonts w:ascii="仿宋" w:hAnsi="仿宋" w:eastAsia="仿宋"/>
          <w:sz w:val="28"/>
          <w:szCs w:val="28"/>
        </w:rPr>
      </w:r>
      <w:r/>
    </w:p>
    <w:p>
      <w:pPr>
        <w:pStyle w:val="895"/>
        <w:numPr>
          <w:ilvl w:val="0"/>
          <w:numId w:val="5"/>
        </w:num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设施量清单</w:t>
      </w:r>
      <w:r>
        <w:rPr>
          <w:rFonts w:ascii="仿宋" w:hAnsi="仿宋" w:eastAsia="仿宋"/>
          <w:b/>
          <w:bCs/>
          <w:sz w:val="28"/>
          <w:szCs w:val="28"/>
        </w:rPr>
      </w:r>
      <w:r/>
    </w:p>
    <w:p>
      <w:pPr>
        <w:pStyle w:val="960"/>
        <w:rPr>
          <w:b/>
          <w:bCs/>
          <w:sz w:val="28"/>
          <w:szCs w:val="28"/>
        </w:rPr>
      </w:pPr>
      <w:r>
        <w:rPr>
          <w:rFonts w:hint="eastAsia"/>
          <w:b/>
          <w:bCs/>
          <w:sz w:val="28"/>
          <w:szCs w:val="28"/>
        </w:rPr>
        <w:t xml:space="preserve">★第一标段：</w:t>
      </w:r>
      <w:r>
        <w:rPr>
          <w:b/>
          <w:bCs/>
          <w:sz w:val="28"/>
          <w:szCs w:val="28"/>
        </w:rPr>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301"/>
        </w:trPr>
        <w:tc>
          <w:tcPr>
            <w:tcW w:w="1562"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w:t>
            </w:r>
            <w:r>
              <w:rPr>
                <w:rFonts w:ascii="仿宋" w:hAnsi="仿宋" w:eastAsia="仿宋" w:cs="仿宋"/>
                <w:b/>
                <w:bCs/>
                <w:color w:val="000000"/>
                <w:sz w:val="24"/>
              </w:rPr>
            </w:r>
            <w:r/>
          </w:p>
        </w:tc>
        <w:tc>
          <w:tcPr>
            <w:tcW w:w="1080" w:type="dxa"/>
            <w:vAlign w:val="center"/>
            <w:textDirection w:val="lrTb"/>
            <w:noWrap w:val="false"/>
          </w:tcPr>
          <w:p>
            <w:pPr>
              <w:pStyle w:val="895"/>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数量（株）</w:t>
            </w:r>
            <w:r>
              <w:rPr>
                <w:rFonts w:ascii="仿宋" w:hAnsi="仿宋" w:eastAsia="仿宋" w:cs="仿宋"/>
                <w:b/>
                <w:bCs/>
                <w:color w:val="000000"/>
                <w:sz w:val="24"/>
              </w:rPr>
            </w:r>
            <w:r/>
          </w:p>
        </w:tc>
        <w:tc>
          <w:tcPr>
            <w:tcW w:w="753"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739"/>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淮海东西路（翔宇大道-动物园）</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人行道及分车带绿化及岔堆游园3600㎡，革命村游园6000平方米，加州城游园890㎡，水渡广场（西南）绿地2400㎡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64607</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淮海西路（动物园段）</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淮海东西路（翔宇大道-地质路）行道树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781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行道树柳树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健康路（翔宇大道—淮海西路）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健康东西路分车带绿地、人行道绿地及畅园825㎡、通衢广场1000㎡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27925</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健康东西路行道树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442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行道树三角枫</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68"/>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清河路（军营路-里运河）</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分车带及人行道绿化（含齿轮厂游园绿地）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行道树合欢</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Φ＞</w:t>
            </w:r>
            <w:r>
              <w:rPr>
                <w:color w:val="000000"/>
                <w:sz w:val="24"/>
                <w:lang w:bidi="ar"/>
              </w:rPr>
              <w:t xml:space="preserve">20</w:t>
            </w:r>
            <w:r>
              <w:rPr>
                <w:rFonts w:ascii="宋体" w:hAnsi="宋体" w:cs="宋体"/>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46"/>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清浦路（里运河-解放西路）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601"/>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漕运东西路（承德路—西安路）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分车带及人行道绿化带、大运河广场绿地20720㎡、漕运路游园4200㎡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45047</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832"/>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漕运东西路（承德路—西安路）行道树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行道树法桐（包含人民路以西路南侧河边大法桐）</w:t>
            </w:r>
            <w:r>
              <w:rPr>
                <w:rFonts w:ascii="仿宋" w:hAnsi="仿宋" w:eastAsia="仿宋" w:cs="仿宋"/>
                <w:color w:val="000000"/>
                <w:sz w:val="24"/>
                <w:lang w:bidi="ar"/>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791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699"/>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里运河风光带北岸（清河嘉园—西安路）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里运河风光带北岸（清河嘉园—西安路）</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大治西路（西安路-淮海路）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379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合欢</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德园</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79196</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水面</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35968</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31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vMerge w:val="restart"/>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草花（五次布置）</w:t>
            </w:r>
            <w:r>
              <w:rPr>
                <w:rFonts w:ascii="仿宋" w:hAnsi="仿宋" w:eastAsia="仿宋" w:cs="仿宋"/>
                <w:color w:val="000000"/>
                <w:sz w:val="24"/>
                <w:lang w:bidi="ar"/>
              </w:rPr>
            </w:r>
            <w:r/>
          </w:p>
          <w:p>
            <w:pPr>
              <w:pStyle w:val="895"/>
              <w:jc w:val="center"/>
              <w:widowControl/>
              <w:rPr>
                <w:rFonts w:ascii="仿宋" w:hAnsi="仿宋" w:eastAsia="仿宋" w:cs="仿宋"/>
                <w:color w:val="000000"/>
                <w:sz w:val="24"/>
              </w:rPr>
            </w:pPr>
            <w:r>
              <w:rPr>
                <w:rFonts w:hint="eastAsia" w:ascii="仿宋" w:hAnsi="仿宋" w:eastAsia="仿宋" w:cs="仿宋"/>
                <w:b/>
                <w:bCs/>
                <w:color w:val="000000"/>
                <w:sz w:val="24"/>
                <w:lang w:bidi="ar"/>
              </w:rPr>
              <w:t xml:space="preserve">注：本项为德园220平方米五次草花布置及养护，需单独报价，草花五次布置及养护最高限价为：600元/㎡，总价限价为132000元。。布置要求及草花种类以采购人出具的设计图纸为准，布置时间以采购人通知为准。</w:t>
            </w:r>
            <w:r>
              <w:rPr>
                <w:rFonts w:ascii="仿宋" w:hAnsi="仿宋" w:eastAsia="仿宋" w:cs="仿宋"/>
                <w:color w:val="000000"/>
                <w:sz w:val="24"/>
              </w:rPr>
            </w:r>
            <w:r/>
          </w:p>
        </w:tc>
        <w:tc>
          <w:tcPr>
            <w:tcW w:w="1095"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220</w:t>
            </w:r>
            <w:r>
              <w:rPr>
                <w:rFonts w:ascii="仿宋" w:hAnsi="仿宋" w:eastAsia="仿宋" w:cs="仿宋"/>
                <w:color w:val="000000"/>
                <w:sz w:val="24"/>
              </w:rPr>
            </w:r>
            <w:r/>
          </w:p>
        </w:tc>
        <w:tc>
          <w:tcPr>
            <w:tcW w:w="1080" w:type="dxa"/>
            <w:vAlign w:val="center"/>
            <w:vMerge w:val="restart"/>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vMerge w:val="restart"/>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433"/>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淮海南北路树箱石楠</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石楠</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榉树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243</w:t>
            </w:r>
            <w:r>
              <w:rPr>
                <w:rFonts w:ascii="仿宋" w:hAnsi="仿宋" w:eastAsia="仿宋" w:cs="仿宋"/>
                <w:color w:val="000000"/>
                <w:sz w:val="24"/>
              </w:rPr>
            </w:r>
            <w:r/>
          </w:p>
        </w:tc>
        <w:tc>
          <w:tcPr>
            <w:tcW w:w="753" w:type="dxa"/>
            <w:vAlign w:val="center"/>
            <w:textDirection w:val="lrTb"/>
            <w:noWrap w:val="false"/>
          </w:tcPr>
          <w:p>
            <w:pPr>
              <w:pStyle w:val="895"/>
              <w:rPr>
                <w:rFonts w:ascii="宋体" w:hAnsi="宋体" w:cs="宋体"/>
                <w:color w:val="000000"/>
                <w:sz w:val="22"/>
                <w:szCs w:val="22"/>
              </w:rPr>
            </w:pPr>
            <w:r>
              <w:rPr>
                <w:rFonts w:ascii="宋体" w:hAnsi="宋体" w:cs="宋体"/>
                <w:color w:val="000000"/>
                <w:sz w:val="22"/>
                <w:szCs w:val="22"/>
              </w:rPr>
            </w:r>
            <w:r/>
          </w:p>
        </w:tc>
      </w:tr>
      <w:tr>
        <w:trPr>
          <w:trHeight w:val="678"/>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淮海南北路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淮海南路城南接线（延安路-红旗河）人行道及分车带绿地（含汽车南站门前绿地）17660㎡； 淮海南北路中分带绿化及黄河桥上绿化1200㎡；风影园31000㎡；淮萃广场3000㎡（含原审批中心周边绿地）；淮海北路两侧人行道绿化4200㎡；交通三处游园2800㎡；天山华庭绿地600㎡，乐园广场1500㎡，随想园2520㎡、迎宾馆绿地19100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83580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636"/>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淮海南路（柯山路至南门立交）</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淮海南路城南接线段及宁连路辅道外侧王圩新村南侧绿化11000㎡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72030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淮海南路立交互通绿地</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淮海南路立交互通（包含原南门立交新增绿地）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139859</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环城东路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楚秀园外围水面</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49260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440"/>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环城东路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分车带绿化及环城河河北岸绿化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4800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行道树朴树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16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人民南、北路（淮海西路-解放西路）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绿化带</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29"/>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331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新民东西路（石桥路-长青路）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行道树合欢</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行道树广玉兰</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行道树栾树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天津路（延安路—翔宇大道）</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5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行道树青桐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56"/>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清风园</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延安路与港口路交叉口路北</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解放路（天津路-城西路）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解放东西路分车带（含化工路小游园1800㎡）</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7100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淮三路游园</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1340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81"/>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解放东西路行道树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行道树楝树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523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color w:val="000000"/>
                <w:sz w:val="22"/>
                <w:szCs w:val="22"/>
              </w:rPr>
            </w:pPr>
            <w:r>
              <w:rPr>
                <w:color w:val="000000"/>
                <w:sz w:val="22"/>
                <w:szCs w:val="22"/>
                <w:lang w:bidi="ar"/>
              </w:rPr>
              <w:t xml:space="preserve">25</w:t>
            </w:r>
            <w:r>
              <w:rPr>
                <w:color w:val="000000"/>
                <w:sz w:val="22"/>
                <w:szCs w:val="22"/>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color w:val="000000"/>
                <w:sz w:val="22"/>
                <w:szCs w:val="22"/>
              </w:rPr>
            </w:pPr>
            <w:r>
              <w:rPr>
                <w:color w:val="000000"/>
                <w:sz w:val="22"/>
                <w:szCs w:val="22"/>
                <w:lang w:bidi="ar"/>
              </w:rPr>
              <w:t xml:space="preserve">2</w:t>
            </w:r>
            <w:r>
              <w:rPr>
                <w:color w:val="000000"/>
                <w:sz w:val="22"/>
                <w:szCs w:val="22"/>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81"/>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行道树水杉</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color w:val="000000"/>
                <w:sz w:val="22"/>
                <w:szCs w:val="22"/>
              </w:rPr>
            </w:pPr>
            <w:r>
              <w:rPr>
                <w:color w:val="000000"/>
                <w:sz w:val="22"/>
                <w:szCs w:val="22"/>
                <w:lang w:bidi="ar"/>
              </w:rPr>
              <w:t xml:space="preserve">1</w:t>
            </w:r>
            <w:r>
              <w:rPr>
                <w:color w:val="000000"/>
                <w:sz w:val="22"/>
                <w:szCs w:val="22"/>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城西路（河南西路-延安西路）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化工路（城西路-公交停车场）</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18400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44"/>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746"/>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宁连路两侧绿地一期绿化（扳闸桥-枚皋路北侧绿化）（淮海路向西至小互通两侧绿化）K179-K180（延伸段）</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206211</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宁连路两侧绿地一期绿化（一标延伸段）k191-192.6</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48089.7</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5"/>
              <w:jc w:val="center"/>
              <w:widowControl/>
              <w:rPr>
                <w:rFonts w:ascii="仿宋" w:hAnsi="仿宋" w:eastAsia="仿宋" w:cs="仿宋"/>
                <w:sz w:val="24"/>
                <w:lang w:bidi="ar"/>
              </w:rPr>
            </w:pPr>
            <w:r/>
            <w:bookmarkStart w:id="41" w:name="_Hlk218607753"/>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5"/>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w:t>
            </w:r>
            <w:bookmarkStart w:id="42" w:name="OLE_LINK12"/>
            <w:r/>
            <w:bookmarkStart w:id="43" w:name="OLE_LINK13"/>
            <w:r>
              <w:rPr>
                <w:rFonts w:hint="eastAsia" w:ascii="仿宋" w:hAnsi="仿宋" w:eastAsia="仿宋" w:cs="仿宋"/>
                <w:sz w:val="24"/>
                <w:lang w:bidi="ar"/>
              </w:rPr>
              <w:t xml:space="preserve">乔灌木</w:t>
            </w:r>
            <w:bookmarkEnd w:id="42"/>
            <w:r/>
            <w:bookmarkEnd w:id="43"/>
            <w:r>
              <w:rPr>
                <w:rFonts w:hint="eastAsia" w:ascii="仿宋" w:hAnsi="仿宋" w:eastAsia="仿宋" w:cs="仿宋"/>
                <w:sz w:val="24"/>
                <w:lang w:bidi="ar"/>
              </w:rPr>
              <w:t xml:space="preserve">）</w:t>
            </w:r>
            <w:r>
              <w:rPr>
                <w:rFonts w:ascii="仿宋" w:hAnsi="仿宋" w:eastAsia="仿宋" w:cs="仿宋"/>
                <w:sz w:val="24"/>
                <w:lang w:bidi="ar"/>
              </w:rPr>
            </w:r>
            <w:r/>
          </w:p>
        </w:tc>
        <w:tc>
          <w:tcPr>
            <w:tcW w:w="1095"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5"/>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5"/>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r>
    </w:tbl>
    <w:p>
      <w:pPr>
        <w:pStyle w:val="895"/>
      </w:pPr>
      <w:r/>
      <w:bookmarkEnd w:id="41"/>
      <w:r>
        <w:rPr>
          <w:rFonts w:hint="eastAsia" w:ascii="仿宋" w:hAnsi="仿宋" w:eastAsia="仿宋" w:cs="仿宋"/>
          <w:b/>
          <w:bCs/>
          <w:sz w:val="28"/>
          <w:szCs w:val="28"/>
        </w:rPr>
        <w:t xml:space="preserve">★第二标段：</w:t>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383"/>
        </w:trPr>
        <w:tc>
          <w:tcPr>
            <w:tcW w:w="1562"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w:t>
            </w:r>
            <w:r>
              <w:rPr>
                <w:rFonts w:ascii="仿宋" w:hAnsi="仿宋" w:eastAsia="仿宋" w:cs="仿宋"/>
                <w:b/>
                <w:bCs/>
                <w:color w:val="000000"/>
                <w:sz w:val="24"/>
              </w:rPr>
            </w:r>
            <w:r/>
          </w:p>
        </w:tc>
        <w:tc>
          <w:tcPr>
            <w:tcW w:w="1080" w:type="dxa"/>
            <w:vAlign w:val="center"/>
            <w:textDirection w:val="lrTb"/>
            <w:noWrap w:val="false"/>
          </w:tcPr>
          <w:p>
            <w:pPr>
              <w:pStyle w:val="895"/>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数量（株）</w:t>
            </w:r>
            <w:r>
              <w:rPr>
                <w:rFonts w:ascii="仿宋" w:hAnsi="仿宋" w:eastAsia="仿宋" w:cs="仿宋"/>
                <w:b/>
                <w:bCs/>
                <w:color w:val="000000"/>
                <w:sz w:val="24"/>
              </w:rPr>
            </w:r>
            <w:r/>
          </w:p>
        </w:tc>
        <w:tc>
          <w:tcPr>
            <w:tcW w:w="753"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891"/>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古黄河风光带（桃花岛东门—南昌路）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古黄河风光带绿地、沈阳桥头绿地、大同路（翔宇大道—圩北路）南侧绿化及一座连通翔宇大道东西两侧的网红桥</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283949</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大同路（南昌路—北京路）行道树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行道树香樟（合肥路—南昌路）</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行道树重阳木（南昌路—翔宇大道）</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行道树无患子(翔宇大道—承德路）</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214</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行道树栾树（承德路-银川路）</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行道树榉树（银川路—淮海北路）</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行道树法桐（淮海北路—北京路）</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10"/>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人行道绿化带（南昌路—合肥路）</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2661</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1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大同路（承德路-银川路）北侧绿化带</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19260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1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人行道绿化带（淮海路-银川路）</w:t>
            </w:r>
            <w:r>
              <w:rPr>
                <w:rFonts w:ascii="仿宋" w:hAnsi="仿宋" w:eastAsia="仿宋" w:cs="仿宋"/>
                <w:color w:val="000000"/>
                <w:sz w:val="24"/>
              </w:rPr>
            </w:r>
            <w:r/>
          </w:p>
        </w:tc>
        <w:tc>
          <w:tcPr>
            <w:tcW w:w="109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2333</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46"/>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合肥路（大同路—水渡口大道）</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合肥路东侧人行道绿化、中分带及西侧墙边绿化带，不含水渡口大道与合肥路交叉口交通岛绿化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9328</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合肥路（水渡口大道—深圳路）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机非隔离带及人行道绿化带</w:t>
            </w:r>
            <w:r>
              <w:rPr>
                <w:rFonts w:ascii="仿宋" w:hAnsi="仿宋" w:eastAsia="仿宋" w:cs="仿宋"/>
                <w:color w:val="000000"/>
                <w:sz w:val="24"/>
              </w:rPr>
            </w:r>
            <w:r/>
          </w:p>
        </w:tc>
        <w:tc>
          <w:tcPr>
            <w:tcW w:w="109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9212</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9"/>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合肥路行道树（水渡口大道—深圳路）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杭州路（水渡口大道-大同路）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09"/>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64</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杭州路(水渡口大道-大同路)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杭州路分车带绿化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8612</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南昌路（黄河桥-珠海路）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6939</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3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南昌路（黄河桥-珠海路）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珠海路（翔宇大道—南昌路）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236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珠海路（翔宇大道—苏州河）</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珠海路人行道绿化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2600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72"/>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水渡口大道（水渡口-杭州路）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行道树榉树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行道树雪松</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78</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72"/>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_GB2312" w:hAnsi="宋体" w:eastAsia="仿宋_GB2312" w:cs="仿宋_GB2312"/>
                <w:color w:val="000000"/>
                <w:sz w:val="24"/>
              </w:rPr>
            </w:pPr>
            <w:r>
              <w:rPr>
                <w:rFonts w:ascii="仿宋_GB2312" w:hAnsi="宋体" w:eastAsia="仿宋_GB2312" w:cs="仿宋_GB2312"/>
                <w:color w:val="000000"/>
                <w:sz w:val="24"/>
                <w:lang w:bidi="ar"/>
              </w:rPr>
              <w:t xml:space="preserve">Φ</w:t>
            </w:r>
            <w:r>
              <w:rPr>
                <w:rFonts w:hint="eastAsia" w:ascii="仿宋" w:hAnsi="仿宋" w:eastAsia="仿宋" w:cs="仿宋"/>
                <w:color w:val="000000"/>
                <w:sz w:val="24"/>
                <w:lang w:bidi="ar"/>
              </w:rPr>
              <w:t xml:space="preserve">﹤</w:t>
            </w:r>
            <w:r>
              <w:rPr>
                <w:rFonts w:ascii="仿宋_GB2312" w:hAnsi="宋体" w:eastAsia="仿宋_GB2312" w:cs="仿宋_GB2312"/>
                <w:color w:val="000000"/>
                <w:sz w:val="24"/>
                <w:lang w:bidi="ar"/>
              </w:rPr>
              <w:t xml:space="preserve">20</w:t>
            </w:r>
            <w:r>
              <w:rPr>
                <w:rFonts w:ascii="仿宋_GB2312" w:hAnsi="宋体" w:eastAsia="仿宋_GB2312" w:cs="仿宋_GB2312"/>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891"/>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水渡口大道(翔宇大道-杭州路段)</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水渡口大道（翔宇大道—南昌路）两侧人行道绿化带及机非隔离带绿化；水渡口大道（南昌路—杭州路）两侧人行道绿化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8190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环宇路(越河路-翔宇大道)</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39"/>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环宇路（万达广场后侧，水渡口大道-翔宇大道）</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739"/>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环宇路（万达广场后侧，水渡口大道-翔宇大道）</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行道树香樟、银杏</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593"/>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三门楼路（淮海东路—越秀路）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2510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593"/>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三门楼路（淮海东路—越秀路）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行道树三角枫</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163</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12"/>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越秀路（越秀桥-翔宇大道）</w:t>
            </w:r>
            <w:r>
              <w:rPr>
                <w:rFonts w:ascii="仿宋" w:hAnsi="仿宋" w:eastAsia="仿宋" w:cs="仿宋"/>
                <w:color w:val="000000"/>
                <w:sz w:val="24"/>
              </w:rPr>
            </w:r>
            <w:r/>
          </w:p>
        </w:tc>
        <w:tc>
          <w:tcPr>
            <w:tcW w:w="3321"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越秀桥至翔宇大道两侧至河边绿化及机非隔离带绿化</w:t>
            </w:r>
            <w:r>
              <w:rPr>
                <w:rFonts w:ascii="仿宋" w:hAnsi="仿宋" w:eastAsia="仿宋" w:cs="仿宋"/>
                <w:color w:val="000000"/>
                <w:sz w:val="24"/>
              </w:rPr>
            </w:r>
            <w:r/>
          </w:p>
        </w:tc>
        <w:tc>
          <w:tcPr>
            <w:tcW w:w="1095"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7221</w:t>
            </w:r>
            <w:r>
              <w:rPr>
                <w:rFonts w:ascii="仿宋" w:hAnsi="仿宋" w:eastAsia="仿宋" w:cs="仿宋"/>
                <w:color w:val="000000"/>
                <w:sz w:val="24"/>
              </w:rPr>
            </w:r>
            <w:r/>
          </w:p>
        </w:tc>
        <w:tc>
          <w:tcPr>
            <w:tcW w:w="1080" w:type="dxa"/>
            <w:vAlign w:val="center"/>
            <w:vMerge w:val="restart"/>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vMerge w:val="restart"/>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0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106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00"/>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生态新城体育中心绿化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165000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86"/>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枚皋路（淮海路-西安路）分车带绿化，含食博城对面绿地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30419</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103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枚皋路（淮海路-西安路）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机非隔离带内月季花和树状月季、人行道绿地内月季花及月季球，面积5500㎡。              </w:t>
            </w:r>
            <w:r>
              <w:rPr>
                <w:rFonts w:hint="eastAsia" w:ascii="仿宋" w:hAnsi="仿宋" w:eastAsia="仿宋" w:cs="仿宋"/>
                <w:b/>
                <w:bCs/>
                <w:color w:val="000000"/>
                <w:sz w:val="24"/>
                <w:lang w:bidi="ar"/>
              </w:rPr>
              <w:t xml:space="preserve">注：因养护特殊性，该项算总价单独报价，</w:t>
            </w:r>
            <w:bookmarkStart w:id="44" w:name="OLE_LINK6"/>
            <w:r>
              <w:rPr>
                <w:rFonts w:hint="eastAsia" w:ascii="仿宋" w:hAnsi="仿宋" w:eastAsia="仿宋" w:cs="仿宋"/>
                <w:b/>
                <w:bCs/>
                <w:color w:val="000000"/>
                <w:sz w:val="24"/>
                <w:lang w:bidi="ar"/>
              </w:rPr>
              <w:t xml:space="preserve">总价限价为86000元。</w:t>
            </w:r>
            <w:bookmarkEnd w:id="44"/>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5500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          </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枚皋路（淮海南路-西安路）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704</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柯山路（淮海南路-北京南路）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16853</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427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柯山路（北京路-西安路）</w:t>
            </w:r>
            <w:r>
              <w:rPr>
                <w:rFonts w:ascii="仿宋" w:hAnsi="仿宋" w:eastAsia="仿宋" w:cs="仿宋"/>
                <w:color w:val="000000"/>
                <w:sz w:val="24"/>
              </w:rPr>
            </w:r>
            <w:r/>
          </w:p>
        </w:tc>
        <w:tc>
          <w:tcPr>
            <w:tcW w:w="3321"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柯山路机非隔离带及两侧绿化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8638</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柯山路（北京路-西安路）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458</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枚乘路（淮海南路-西安南路）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63015</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行道树朴树</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628</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南苑路（淮海南路-北京南路）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分车带及人行道绿化</w:t>
            </w:r>
            <w:r>
              <w:rPr>
                <w:rFonts w:ascii="仿宋" w:hAnsi="仿宋" w:eastAsia="仿宋" w:cs="仿宋"/>
                <w:color w:val="000000"/>
                <w:sz w:val="24"/>
              </w:rPr>
            </w:r>
            <w:r/>
          </w:p>
        </w:tc>
        <w:tc>
          <w:tcPr>
            <w:tcW w:w="109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19872</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top"/>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西安南路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诚医药业门口绿地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4100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淮安南互通绿地（A段）</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淮安南互通绿地（A段）</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75000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淮安南互通绿地（B段）</w:t>
            </w:r>
            <w:r>
              <w:rPr>
                <w:rFonts w:ascii="仿宋" w:hAnsi="仿宋" w:eastAsia="仿宋" w:cs="仿宋"/>
                <w:color w:val="000000"/>
                <w:sz w:val="24"/>
                <w:lang w:bidi="ar"/>
              </w:rPr>
            </w:r>
            <w:r/>
          </w:p>
        </w:tc>
        <w:tc>
          <w:tcPr>
            <w:tcW w:w="3321" w:type="dxa"/>
            <w:vAlign w:val="center"/>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淮安南互通绿地（B段）</w:t>
            </w:r>
            <w:r>
              <w:rPr>
                <w:rFonts w:ascii="仿宋" w:hAnsi="仿宋" w:eastAsia="仿宋" w:cs="仿宋"/>
                <w:color w:val="000000"/>
                <w:sz w:val="24"/>
                <w:lang w:bidi="ar"/>
              </w:rPr>
            </w:r>
            <w:r/>
          </w:p>
        </w:tc>
        <w:tc>
          <w:tcPr>
            <w:tcW w:w="1095" w:type="dxa"/>
            <w:vAlign w:val="center"/>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84220</w:t>
            </w:r>
            <w:r>
              <w:rPr>
                <w:rFonts w:ascii="仿宋" w:hAnsi="仿宋" w:eastAsia="仿宋" w:cs="仿宋"/>
                <w:color w:val="000000"/>
                <w:sz w:val="24"/>
                <w:lang w:bidi="ar"/>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二类</w:t>
            </w:r>
            <w:r>
              <w:rPr>
                <w:rFonts w:ascii="仿宋" w:hAnsi="仿宋" w:eastAsia="仿宋" w:cs="仿宋"/>
                <w:color w:val="000000"/>
                <w:sz w:val="24"/>
                <w:lang w:bidi="ar"/>
              </w:rPr>
            </w:r>
            <w:r/>
          </w:p>
        </w:tc>
      </w:tr>
      <w:tr>
        <w:trPr>
          <w:trHeight w:val="32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马头苗木暂存地</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（旧县、张庄、陶闸）</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202684</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三类</w:t>
            </w:r>
            <w:r>
              <w:rPr>
                <w:rFonts w:ascii="仿宋" w:hAnsi="仿宋" w:eastAsia="仿宋" w:cs="仿宋"/>
                <w:color w:val="000000"/>
                <w:sz w:val="24"/>
              </w:rPr>
            </w:r>
            <w:r/>
          </w:p>
        </w:tc>
      </w:tr>
      <w:tr>
        <w:trPr>
          <w:trHeight w:val="327"/>
        </w:trPr>
        <w:tc>
          <w:tcPr>
            <w:tcW w:w="1562" w:type="dxa"/>
            <w:vAlign w:val="center"/>
            <w:textDirection w:val="lrTb"/>
            <w:noWrap w:val="false"/>
          </w:tcPr>
          <w:p>
            <w:pPr>
              <w:pStyle w:val="895"/>
              <w:jc w:val="center"/>
              <w:widowControl/>
              <w:rPr>
                <w:rFonts w:ascii="仿宋" w:hAnsi="仿宋" w:eastAsia="仿宋" w:cs="仿宋"/>
                <w:sz w:val="24"/>
                <w:lang w:bidi="ar"/>
              </w:rPr>
            </w:pPr>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5"/>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对养护绿地内长势弱的残次苗进行清理（甲方指定乔灌木）</w:t>
            </w:r>
            <w:r>
              <w:rPr>
                <w:rFonts w:ascii="仿宋" w:hAnsi="仿宋" w:eastAsia="仿宋" w:cs="仿宋"/>
                <w:sz w:val="24"/>
                <w:lang w:bidi="ar"/>
              </w:rPr>
            </w:r>
            <w:r/>
          </w:p>
        </w:tc>
        <w:tc>
          <w:tcPr>
            <w:tcW w:w="1095"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5"/>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5"/>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r>
    </w:tbl>
    <w:p>
      <w:pPr>
        <w:pStyle w:val="895"/>
        <w:rPr>
          <w:rFonts w:ascii="仿宋" w:hAnsi="仿宋" w:eastAsia="仿宋" w:cs="仿宋"/>
          <w:b/>
          <w:bCs/>
          <w:sz w:val="28"/>
          <w:szCs w:val="28"/>
        </w:rPr>
      </w:pPr>
      <w:r>
        <w:rPr>
          <w:rFonts w:hint="eastAsia" w:ascii="仿宋" w:hAnsi="仿宋" w:eastAsia="仿宋" w:cs="仿宋"/>
          <w:b/>
          <w:bCs/>
          <w:sz w:val="28"/>
          <w:szCs w:val="28"/>
        </w:rPr>
        <w:t xml:space="preserve">★第三标段：</w:t>
      </w:r>
      <w:r>
        <w:rPr>
          <w:rFonts w:ascii="仿宋" w:hAnsi="仿宋" w:eastAsia="仿宋" w:cs="仿宋"/>
          <w:b/>
          <w:bCs/>
          <w:sz w:val="28"/>
          <w:szCs w:val="28"/>
        </w:rPr>
      </w:r>
      <w:r/>
    </w:p>
    <w:tbl>
      <w:tblPr>
        <w:tblW w:w="875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62"/>
        <w:gridCol w:w="3321"/>
        <w:gridCol w:w="1095"/>
        <w:gridCol w:w="1080"/>
        <w:gridCol w:w="945"/>
        <w:gridCol w:w="753"/>
      </w:tblGrid>
      <w:tr>
        <w:trPr>
          <w:trHeight w:val="617"/>
        </w:trPr>
        <w:tc>
          <w:tcPr>
            <w:tcW w:w="1562"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所在道路</w:t>
            </w:r>
            <w:r>
              <w:rPr>
                <w:rFonts w:ascii="仿宋" w:hAnsi="仿宋" w:eastAsia="仿宋" w:cs="仿宋"/>
                <w:b/>
                <w:bCs/>
                <w:color w:val="000000"/>
                <w:sz w:val="24"/>
              </w:rPr>
            </w:r>
            <w:r/>
          </w:p>
        </w:tc>
        <w:tc>
          <w:tcPr>
            <w:tcW w:w="3321"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绿地名称</w:t>
            </w:r>
            <w:r>
              <w:rPr>
                <w:rFonts w:ascii="仿宋" w:hAnsi="仿宋" w:eastAsia="仿宋" w:cs="仿宋"/>
                <w:b/>
                <w:bCs/>
                <w:color w:val="000000"/>
                <w:sz w:val="24"/>
              </w:rPr>
            </w:r>
            <w:r/>
          </w:p>
        </w:tc>
        <w:tc>
          <w:tcPr>
            <w:tcW w:w="109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面积   （㎡）</w:t>
            </w:r>
            <w:r>
              <w:rPr>
                <w:rFonts w:ascii="仿宋" w:hAnsi="仿宋" w:eastAsia="仿宋" w:cs="仿宋"/>
                <w:b/>
                <w:bCs/>
                <w:color w:val="000000"/>
                <w:sz w:val="24"/>
              </w:rPr>
            </w:r>
            <w:r/>
          </w:p>
        </w:tc>
        <w:tc>
          <w:tcPr>
            <w:tcW w:w="1080" w:type="dxa"/>
            <w:vAlign w:val="center"/>
            <w:textDirection w:val="lrTb"/>
            <w:noWrap w:val="false"/>
          </w:tcPr>
          <w:p>
            <w:pPr>
              <w:pStyle w:val="895"/>
              <w:jc w:val="center"/>
              <w:widowControl/>
              <w:rPr>
                <w:rFonts w:ascii="仿宋" w:hAnsi="仿宋" w:eastAsia="仿宋" w:cs="仿宋"/>
                <w:b/>
                <w:bCs/>
                <w:color w:val="000000"/>
                <w:sz w:val="24"/>
                <w:lang w:bidi="ar"/>
              </w:rPr>
            </w:pPr>
            <w:r>
              <w:rPr>
                <w:rFonts w:hint="eastAsia" w:ascii="仿宋" w:hAnsi="仿宋" w:eastAsia="仿宋" w:cs="仿宋"/>
                <w:b/>
                <w:bCs/>
                <w:color w:val="000000"/>
                <w:sz w:val="24"/>
                <w:lang w:bidi="ar"/>
              </w:rPr>
              <w:t xml:space="preserve">规格</w:t>
            </w:r>
            <w:r>
              <w:rPr>
                <w:rFonts w:ascii="仿宋" w:hAnsi="仿宋" w:eastAsia="仿宋" w:cs="仿宋"/>
                <w:b/>
                <w:bCs/>
                <w:color w:val="000000"/>
                <w:sz w:val="24"/>
                <w:lang w:bidi="ar"/>
              </w:rPr>
            </w:r>
            <w:r/>
          </w:p>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（cm）</w:t>
            </w:r>
            <w:r>
              <w:rPr>
                <w:rFonts w:ascii="仿宋" w:hAnsi="仿宋" w:eastAsia="仿宋" w:cs="仿宋"/>
                <w:b/>
                <w:bCs/>
                <w:color w:val="000000"/>
                <w:sz w:val="24"/>
              </w:rPr>
            </w:r>
            <w:r/>
          </w:p>
        </w:tc>
        <w:tc>
          <w:tcPr>
            <w:tcW w:w="945"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数量    （株）</w:t>
            </w:r>
            <w:r>
              <w:rPr>
                <w:rFonts w:ascii="仿宋" w:hAnsi="仿宋" w:eastAsia="仿宋" w:cs="仿宋"/>
                <w:b/>
                <w:bCs/>
                <w:color w:val="000000"/>
                <w:sz w:val="24"/>
              </w:rPr>
            </w:r>
            <w:r/>
          </w:p>
        </w:tc>
        <w:tc>
          <w:tcPr>
            <w:tcW w:w="753" w:type="dxa"/>
            <w:vAlign w:val="center"/>
            <w:textDirection w:val="lrTb"/>
            <w:noWrap w:val="false"/>
          </w:tcPr>
          <w:p>
            <w:pPr>
              <w:pStyle w:val="895"/>
              <w:jc w:val="center"/>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养护等级</w:t>
            </w:r>
            <w:r>
              <w:rPr>
                <w:rFonts w:ascii="仿宋" w:hAnsi="仿宋" w:eastAsia="仿宋" w:cs="仿宋"/>
                <w:b/>
                <w:bCs/>
                <w:color w:val="000000"/>
                <w:sz w:val="24"/>
              </w:rPr>
            </w:r>
            <w:r/>
          </w:p>
        </w:tc>
      </w:tr>
      <w:tr>
        <w:trPr>
          <w:trHeight w:val="290"/>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北京北路（古黄河大桥南—宁连路）行道树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80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330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行道树广玉兰</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548</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行道树重阳木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10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北京路（古黄河大桥南—宁连路）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中分带及两侧绿地及廉颂园9764㎡、华新桥游园18000㎡、西园曲韵游园5626㎡。</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284786</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132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北京路（健康路—宁连路）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机非隔离带内月季花、人行道绿地内月季花及花镜25200㎡。</w:t>
            </w:r>
            <w:r>
              <w:rPr>
                <w:rFonts w:hint="eastAsia" w:ascii="仿宋" w:hAnsi="仿宋" w:eastAsia="仿宋" w:cs="仿宋"/>
                <w:b/>
                <w:bCs/>
                <w:color w:val="000000"/>
                <w:sz w:val="24"/>
                <w:lang w:bidi="ar"/>
              </w:rPr>
              <w:t xml:space="preserve">注：因养护特殊性，该项算总价单独报价，总价限价为397000元。</w:t>
            </w:r>
            <w:r>
              <w:rPr>
                <w:rFonts w:hint="eastAsia" w:ascii="仿宋" w:hAnsi="仿宋" w:eastAsia="仿宋" w:cs="仿宋"/>
                <w:b/>
                <w:bCs/>
                <w:color w:val="000000"/>
                <w:sz w:val="24"/>
                <w:lang w:bidi="ar"/>
              </w:rPr>
              <w:br w:type="textWrapping" w:clear="all"/>
            </w:r>
            <w:r>
              <w:rPr>
                <w:rFonts w:hint="eastAsia" w:ascii="仿宋" w:hAnsi="仿宋" w:eastAsia="仿宋" w:cs="仿宋"/>
                <w:b/>
                <w:bCs/>
                <w:color w:val="000000"/>
                <w:sz w:val="24"/>
                <w:lang w:bidi="ar"/>
              </w:rPr>
              <w:t xml:space="preserve">中标人养护期内需完成5000株月季补植更新工作。</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25200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        </w:t>
            </w:r>
            <w:r>
              <w:rPr>
                <w:rFonts w:hint="eastAsia" w:ascii="仿宋" w:hAnsi="仿宋" w:eastAsia="仿宋" w:cs="仿宋"/>
                <w:b/>
                <w:bCs/>
                <w:color w:val="000000"/>
                <w:sz w:val="24"/>
                <w:lang w:bidi="ar"/>
              </w:rPr>
              <w:t xml:space="preserve">需要单独报价</w:t>
            </w:r>
            <w:r>
              <w:rPr>
                <w:rFonts w:ascii="仿宋" w:hAnsi="仿宋" w:eastAsia="仿宋" w:cs="仿宋"/>
                <w:color w:val="000000"/>
                <w:sz w:val="24"/>
              </w:rPr>
            </w:r>
            <w:r/>
          </w:p>
        </w:tc>
      </w:tr>
      <w:tr>
        <w:trPr>
          <w:trHeight w:val="776"/>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翔宇大道（大同路—板闸）</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电信大厦旁绿地(门前及东围墙外侧绿化)及健康新村东围墙外侧绿地1424㎡、机非隔离带、人行道绿地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99123</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翔宇大道行道树</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461</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行道树银杏</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565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轮埠路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里运河风光带（清隆桥向东）行道树香樟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184</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越河路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行道树（美食街-清隆桥）路北侧香樟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84"/>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越河路人行道绿化（清隆桥-美食街对面）</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4150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圩北路（健康路-大同路）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人行道绿化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2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行道树高杆女贞、无患子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承德南北路行道树（大同路—承德路桥）</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459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行道树女贞</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行道树国槐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317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行道树法桐（延安路—承德路桥）</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承德路（东大街-新民路）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承德南路两侧零星绿地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9720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有轨电车沿线绿化（淮海路体育馆至水渡口）</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15246</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行道树无患子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256</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290"/>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50</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739"/>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有轨电车沿线绿化（水渡口—板闸）翔宇大道沿线</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有轨电车沿线中分带绿化（不含轨道间草坪）</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43404</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6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开元路（交通路-承德路）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行道树马褂木</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35</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365"/>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行道树香樟</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开元路（交通路-承德路）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开元路分车带绿化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1226</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455"/>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宁连路二期绿地(铁路桥至承恩大道西150米)</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宋体" w:hAnsi="宋体" w:cs="宋体"/>
                <w:color w:val="000000"/>
                <w:sz w:val="24"/>
              </w:rPr>
            </w:pPr>
            <w:r>
              <w:rPr>
                <w:rFonts w:hint="eastAsia" w:ascii="宋体" w:hAnsi="宋体" w:cs="宋体"/>
                <w:color w:val="000000"/>
                <w:sz w:val="24"/>
                <w:lang w:bidi="ar"/>
              </w:rPr>
              <w:t xml:space="preserve">115612.6</w:t>
            </w:r>
            <w:r>
              <w:rPr>
                <w:rFonts w:ascii="宋体" w:hAnsi="宋体" w:cs="宋体"/>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47"/>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宁连路（承恩大道—铁路桥）</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宁连路东侧绿化</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19500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384"/>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铁路防护林</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南京路以东</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30000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384"/>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板闸立交</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板闸立交互通绿地</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9700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455"/>
        </w:trPr>
        <w:tc>
          <w:tcPr>
            <w:tcW w:w="1562" w:type="dxa"/>
            <w:vAlign w:val="center"/>
            <w:vMerge w:val="restart"/>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淮金路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淮海南路示范段绿地（通甫路—永济河大桥北）</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123822</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一类</w:t>
            </w:r>
            <w:r>
              <w:rPr>
                <w:rFonts w:ascii="仿宋" w:hAnsi="仿宋" w:eastAsia="仿宋" w:cs="仿宋"/>
                <w:color w:val="000000"/>
                <w:sz w:val="24"/>
              </w:rPr>
            </w:r>
            <w:r/>
          </w:p>
        </w:tc>
      </w:tr>
      <w:tr>
        <w:trPr>
          <w:trHeight w:val="337"/>
        </w:trPr>
        <w:tc>
          <w:tcPr>
            <w:tcW w:w="1562" w:type="dxa"/>
            <w:vAlign w:val="center"/>
            <w:vMerge w:val="continue"/>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行道树法桐</w:t>
            </w:r>
            <w:r>
              <w:rPr>
                <w:rFonts w:ascii="仿宋" w:hAnsi="仿宋" w:eastAsia="仿宋" w:cs="仿宋"/>
                <w:color w:val="000000"/>
                <w:sz w:val="24"/>
              </w:rPr>
            </w:r>
            <w:r/>
          </w:p>
        </w:tc>
        <w:tc>
          <w:tcPr>
            <w:tcW w:w="109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1080"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Φ＞20</w:t>
            </w:r>
            <w:r>
              <w:rPr>
                <w:rFonts w:ascii="仿宋" w:hAnsi="仿宋" w:eastAsia="仿宋" w:cs="仿宋"/>
                <w:color w:val="000000"/>
                <w:sz w:val="24"/>
              </w:rPr>
            </w:r>
            <w:r/>
          </w:p>
        </w:tc>
        <w:tc>
          <w:tcPr>
            <w:tcW w:w="94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197</w:t>
            </w:r>
            <w:r>
              <w:rPr>
                <w:rFonts w:ascii="仿宋" w:hAnsi="仿宋" w:eastAsia="仿宋" w:cs="仿宋"/>
                <w:color w:val="000000"/>
                <w:sz w:val="24"/>
              </w:rPr>
            </w:r>
            <w:r/>
          </w:p>
        </w:tc>
        <w:tc>
          <w:tcPr>
            <w:tcW w:w="753"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r>
      <w:tr>
        <w:trPr>
          <w:trHeight w:val="524"/>
        </w:trPr>
        <w:tc>
          <w:tcPr>
            <w:tcW w:w="1562"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w:t>
            </w:r>
            <w:r>
              <w:rPr>
                <w:rFonts w:ascii="仿宋" w:hAnsi="仿宋" w:eastAsia="仿宋" w:cs="仿宋"/>
                <w:color w:val="000000"/>
                <w:sz w:val="24"/>
              </w:rPr>
            </w:r>
            <w:r/>
          </w:p>
        </w:tc>
        <w:tc>
          <w:tcPr>
            <w:tcW w:w="3321"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宁连路两侧绿地一期绿化（枚皋路-淮海路两侧绿化）k180-183.6</w:t>
            </w:r>
            <w:r>
              <w:rPr>
                <w:rFonts w:ascii="仿宋" w:hAnsi="仿宋" w:eastAsia="仿宋" w:cs="仿宋"/>
                <w:color w:val="000000"/>
                <w:sz w:val="24"/>
              </w:rPr>
            </w:r>
            <w:r/>
          </w:p>
        </w:tc>
        <w:tc>
          <w:tcPr>
            <w:tcW w:w="1095"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212000</w:t>
            </w:r>
            <w:r>
              <w:rPr>
                <w:rFonts w:ascii="仿宋" w:hAnsi="仿宋" w:eastAsia="仿宋" w:cs="仿宋"/>
                <w:color w:val="000000"/>
                <w:sz w:val="24"/>
              </w:rPr>
            </w:r>
            <w:r/>
          </w:p>
        </w:tc>
        <w:tc>
          <w:tcPr>
            <w:tcW w:w="1080"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945" w:type="dxa"/>
            <w:vAlign w:val="center"/>
            <w:textDirection w:val="lrTb"/>
            <w:noWrap w:val="false"/>
          </w:tcPr>
          <w:p>
            <w:pPr>
              <w:pStyle w:val="895"/>
              <w:jc w:val="center"/>
              <w:rPr>
                <w:rFonts w:ascii="仿宋" w:hAnsi="仿宋" w:eastAsia="仿宋" w:cs="仿宋"/>
                <w:color w:val="000000"/>
                <w:sz w:val="24"/>
              </w:rPr>
            </w:pPr>
            <w:r>
              <w:rPr>
                <w:rFonts w:ascii="仿宋" w:hAnsi="仿宋" w:eastAsia="仿宋" w:cs="仿宋"/>
                <w:color w:val="000000"/>
                <w:sz w:val="24"/>
              </w:rPr>
            </w:r>
            <w:r/>
          </w:p>
        </w:tc>
        <w:tc>
          <w:tcPr>
            <w:tcW w:w="753" w:type="dxa"/>
            <w:vAlign w:val="center"/>
            <w:textDirection w:val="lrTb"/>
            <w:noWrap w:val="false"/>
          </w:tcPr>
          <w:p>
            <w:pPr>
              <w:pStyle w:val="895"/>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二类</w:t>
            </w:r>
            <w:r>
              <w:rPr>
                <w:rFonts w:ascii="仿宋" w:hAnsi="仿宋" w:eastAsia="仿宋" w:cs="仿宋"/>
                <w:color w:val="000000"/>
                <w:sz w:val="24"/>
              </w:rPr>
            </w:r>
            <w:r/>
          </w:p>
        </w:tc>
      </w:tr>
      <w:tr>
        <w:trPr>
          <w:trHeight w:val="524"/>
        </w:trPr>
        <w:tc>
          <w:tcPr>
            <w:tcW w:w="1562" w:type="dxa"/>
            <w:vAlign w:val="center"/>
            <w:textDirection w:val="lrTb"/>
            <w:noWrap w:val="false"/>
          </w:tcPr>
          <w:p>
            <w:pPr>
              <w:pStyle w:val="895"/>
              <w:jc w:val="center"/>
              <w:widowControl/>
              <w:rPr>
                <w:rFonts w:ascii="仿宋" w:hAnsi="仿宋" w:eastAsia="仿宋" w:cs="仿宋"/>
                <w:sz w:val="24"/>
                <w:lang w:bidi="ar"/>
              </w:rPr>
            </w:pPr>
            <w:r>
              <w:rPr>
                <w:rFonts w:hint="eastAsia" w:ascii="仿宋" w:hAnsi="仿宋" w:eastAsia="仿宋" w:cs="仿宋"/>
                <w:sz w:val="24"/>
                <w:lang w:bidi="ar"/>
              </w:rPr>
              <w:t xml:space="preserve">苗木调整</w:t>
            </w:r>
            <w:r>
              <w:rPr>
                <w:rFonts w:ascii="仿宋" w:hAnsi="仿宋" w:eastAsia="仿宋" w:cs="仿宋"/>
                <w:sz w:val="24"/>
                <w:lang w:bidi="ar"/>
              </w:rPr>
            </w:r>
            <w:r/>
          </w:p>
        </w:tc>
        <w:tc>
          <w:tcPr>
            <w:tcW w:w="3321" w:type="dxa"/>
            <w:vAlign w:val="center"/>
            <w:textDirection w:val="lrTb"/>
            <w:noWrap w:val="false"/>
          </w:tcPr>
          <w:p>
            <w:pPr>
              <w:pStyle w:val="895"/>
              <w:jc w:val="center"/>
              <w:widowControl/>
              <w:rPr>
                <w:rFonts w:ascii="仿宋" w:hAnsi="仿宋" w:eastAsia="仿宋" w:cs="仿宋"/>
                <w:sz w:val="24"/>
                <w:lang w:bidi="ar"/>
              </w:rPr>
            </w:pPr>
            <w:r>
              <w:rPr>
                <w:rFonts w:hint="eastAsia" w:ascii="仿宋" w:hAnsi="仿宋" w:eastAsia="仿宋" w:cs="仿宋"/>
                <w:sz w:val="24"/>
                <w:lang w:bidi="ar"/>
              </w:rPr>
              <w:t xml:space="preserve">对养护绿地内长势弱的残次苗进行清理（甲方指定乔灌木）</w:t>
            </w:r>
            <w:r>
              <w:rPr>
                <w:rFonts w:ascii="仿宋" w:hAnsi="仿宋" w:eastAsia="仿宋" w:cs="仿宋"/>
                <w:sz w:val="24"/>
                <w:lang w:bidi="ar"/>
              </w:rPr>
            </w:r>
            <w:r/>
          </w:p>
        </w:tc>
        <w:tc>
          <w:tcPr>
            <w:tcW w:w="1095"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c>
          <w:tcPr>
            <w:tcW w:w="1080" w:type="dxa"/>
            <w:vAlign w:val="center"/>
            <w:textDirection w:val="lrTb"/>
            <w:noWrap w:val="false"/>
          </w:tcPr>
          <w:p>
            <w:pPr>
              <w:pStyle w:val="895"/>
              <w:jc w:val="center"/>
              <w:rPr>
                <w:rFonts w:ascii="仿宋" w:hAnsi="仿宋" w:eastAsia="仿宋" w:cs="仿宋"/>
                <w:sz w:val="24"/>
              </w:rPr>
            </w:pPr>
            <w:r>
              <w:rPr>
                <w:rFonts w:ascii="仿宋" w:hAnsi="仿宋" w:eastAsia="仿宋" w:cs="仿宋"/>
                <w:sz w:val="24"/>
              </w:rPr>
            </w:r>
            <w:r/>
          </w:p>
        </w:tc>
        <w:tc>
          <w:tcPr>
            <w:tcW w:w="945" w:type="dxa"/>
            <w:vAlign w:val="center"/>
            <w:textDirection w:val="lrTb"/>
            <w:noWrap w:val="false"/>
          </w:tcPr>
          <w:p>
            <w:pPr>
              <w:pStyle w:val="895"/>
              <w:jc w:val="center"/>
              <w:rPr>
                <w:rFonts w:ascii="仿宋" w:hAnsi="仿宋" w:eastAsia="仿宋" w:cs="仿宋"/>
                <w:sz w:val="24"/>
              </w:rPr>
            </w:pPr>
            <w:r>
              <w:rPr>
                <w:rFonts w:hint="eastAsia" w:ascii="仿宋" w:hAnsi="仿宋" w:eastAsia="仿宋" w:cs="仿宋"/>
                <w:sz w:val="24"/>
              </w:rPr>
              <w:t xml:space="preserve">200</w:t>
            </w:r>
            <w:r>
              <w:rPr>
                <w:rFonts w:ascii="仿宋" w:hAnsi="仿宋" w:eastAsia="仿宋" w:cs="仿宋"/>
                <w:sz w:val="24"/>
              </w:rPr>
            </w:r>
            <w:r/>
          </w:p>
        </w:tc>
        <w:tc>
          <w:tcPr>
            <w:tcW w:w="753" w:type="dxa"/>
            <w:vAlign w:val="center"/>
            <w:textDirection w:val="lrTb"/>
            <w:noWrap w:val="false"/>
          </w:tcPr>
          <w:p>
            <w:pPr>
              <w:pStyle w:val="895"/>
              <w:jc w:val="center"/>
              <w:widowControl/>
              <w:rPr>
                <w:rFonts w:ascii="仿宋" w:hAnsi="仿宋" w:eastAsia="仿宋" w:cs="仿宋"/>
                <w:sz w:val="24"/>
                <w:lang w:bidi="ar"/>
              </w:rPr>
            </w:pPr>
            <w:r>
              <w:rPr>
                <w:rFonts w:ascii="仿宋" w:hAnsi="仿宋" w:eastAsia="仿宋" w:cs="仿宋"/>
                <w:sz w:val="24"/>
                <w:lang w:bidi="ar"/>
              </w:rPr>
            </w:r>
            <w:r/>
          </w:p>
        </w:tc>
      </w:tr>
    </w:tbl>
    <w:p>
      <w:pPr>
        <w:pStyle w:val="895"/>
        <w:ind w:firstLine="560"/>
        <w:spacing w:line="520" w:lineRule="exact"/>
        <w:rPr>
          <w:rFonts w:ascii="仿宋" w:hAnsi="仿宋" w:eastAsia="仿宋"/>
          <w:color w:val="000000"/>
          <w:sz w:val="28"/>
          <w:szCs w:val="28"/>
          <w:u w:val="single"/>
          <w:shd w:val="clear" w:color="ffffff" w:fill="d9d9d9"/>
        </w:rPr>
      </w:pPr>
      <w:r>
        <w:rPr>
          <w:rFonts w:hint="eastAsia" w:ascii="仿宋" w:hAnsi="仿宋" w:eastAsia="仿宋"/>
          <w:sz w:val="28"/>
          <w:szCs w:val="28"/>
        </w:rPr>
        <w:t xml:space="preserve">注：1、</w:t>
      </w:r>
      <w:r>
        <w:rPr>
          <w:rFonts w:hint="eastAsia" w:ascii="仿宋" w:hAnsi="仿宋" w:eastAsia="仿宋"/>
          <w:color w:val="000000"/>
          <w:sz w:val="28"/>
          <w:szCs w:val="28"/>
        </w:rPr>
        <w:t xml:space="preserve">养护绿地到期时立即</w:t>
      </w:r>
      <w:r>
        <w:rPr>
          <w:rFonts w:hint="eastAsia" w:ascii="仿宋" w:hAnsi="仿宋" w:eastAsia="仿宋"/>
          <w:sz w:val="28"/>
          <w:szCs w:val="28"/>
        </w:rPr>
        <w:t xml:space="preserve">现状移交，由新中标养护单位负责接手。除甲方指定养护绿地内长势弱的残次苗进行清理工作以外，移交时发现养护数量减少的，扣除原养护单位相应的费用，价格参考我市最新的苗木信息价。</w:t>
      </w:r>
      <w:r>
        <w:rPr>
          <w:rFonts w:ascii="仿宋" w:hAnsi="仿宋" w:eastAsia="仿宋"/>
          <w:color w:val="000000"/>
          <w:sz w:val="28"/>
          <w:szCs w:val="28"/>
          <w:u w:val="single"/>
          <w:shd w:val="clear" w:color="ffffff" w:fill="d9d9d9"/>
        </w:rPr>
      </w:r>
      <w:r/>
    </w:p>
    <w:p>
      <w:pPr>
        <w:pStyle w:val="895"/>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清单中的游园广场、沿河风光带等绿地养护内容均包含座椅板凳、铺装、栏杆、亭子、假山等所有园建设施。</w:t>
      </w:r>
      <w:r>
        <w:rPr>
          <w:rFonts w:ascii="仿宋" w:hAnsi="仿宋" w:eastAsia="仿宋"/>
          <w:sz w:val="28"/>
          <w:szCs w:val="28"/>
        </w:rPr>
      </w:r>
      <w:r/>
    </w:p>
    <w:p>
      <w:pPr>
        <w:pStyle w:val="895"/>
        <w:numPr>
          <w:ilvl w:val="0"/>
          <w:numId w:val="5"/>
        </w:numPr>
        <w:ind w:firstLine="560"/>
        <w:spacing w:line="520" w:lineRule="exact"/>
        <w:rPr>
          <w:rFonts w:ascii="仿宋" w:hAnsi="仿宋" w:eastAsia="仿宋"/>
          <w:b/>
          <w:bCs w:val="0"/>
          <w:sz w:val="28"/>
          <w:szCs w:val="28"/>
        </w:rPr>
      </w:pPr>
      <w:r>
        <w:rPr>
          <w:rFonts w:hint="eastAsia" w:ascii="仿宋" w:hAnsi="仿宋" w:eastAsia="仿宋"/>
          <w:b/>
          <w:bCs w:val="0"/>
          <w:sz w:val="28"/>
          <w:szCs w:val="28"/>
        </w:rPr>
        <w:t xml:space="preserve">商务部分</w:t>
      </w:r>
      <w:r>
        <w:rPr>
          <w:rFonts w:ascii="仿宋" w:hAnsi="仿宋" w:eastAsia="仿宋"/>
          <w:b/>
          <w:bCs w:val="0"/>
          <w:sz w:val="28"/>
          <w:szCs w:val="28"/>
        </w:rPr>
      </w:r>
      <w:r/>
    </w:p>
    <w:p>
      <w:pPr>
        <w:pStyle w:val="895"/>
        <w:ind w:firstLine="560"/>
        <w:spacing w:line="520" w:lineRule="exact"/>
        <w:rPr>
          <w:rFonts w:hint="eastAsia" w:eastAsia="宋体"/>
          <w:highlight w:val="none"/>
          <w:lang w:eastAsia="zh-CN"/>
        </w:rPr>
      </w:pPr>
      <w:r>
        <w:rPr>
          <w:rFonts w:hint="eastAsia" w:ascii="仿宋" w:hAnsi="仿宋" w:eastAsia="仿宋"/>
          <w:sz w:val="28"/>
          <w:szCs w:val="28"/>
          <w:highlight w:val="none"/>
        </w:rPr>
        <w:t xml:space="preserve">（一）服务时间：合同签订后一年（服务期满后，</w:t>
      </w:r>
      <w:r>
        <w:rPr>
          <w:rFonts w:hint="eastAsia" w:ascii="仿宋" w:hAnsi="仿宋" w:eastAsia="仿宋"/>
          <w:sz w:val="28"/>
          <w:szCs w:val="28"/>
          <w:highlight w:val="none"/>
          <w:lang w:eastAsia="zh-CN"/>
        </w:rPr>
        <w:t xml:space="preserve">采购人将对中标人在运行期间的服务情况</w:t>
      </w:r>
      <w:r>
        <w:rPr>
          <w:rFonts w:hint="eastAsia" w:ascii="仿宋" w:hAnsi="仿宋" w:eastAsia="仿宋"/>
          <w:sz w:val="28"/>
          <w:szCs w:val="28"/>
          <w:highlight w:val="none"/>
          <w:lang w:val="en-US" w:eastAsia="zh-CN"/>
        </w:rPr>
        <w:t xml:space="preserve">开展严格考核，待双方达成一致意见后，可续签次年合同，且续签次数最多为2次。） </w:t>
      </w:r>
      <w:r>
        <w:rPr>
          <w:rFonts w:hint="eastAsia" w:eastAsia="宋体"/>
          <w:highlight w:val="none"/>
          <w:lang w:eastAsia="zh-CN"/>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（二）服务地点：由采购人指定。</w:t>
      </w:r>
      <w:r>
        <w:rPr>
          <w:rFonts w:ascii="仿宋" w:hAnsi="仿宋" w:eastAsia="仿宋"/>
          <w:sz w:val="28"/>
          <w:szCs w:val="28"/>
        </w:rPr>
      </w:r>
      <w:r/>
    </w:p>
    <w:p>
      <w:pPr>
        <w:pStyle w:val="895"/>
        <w:ind w:firstLine="560"/>
        <w:spacing w:line="520" w:lineRule="exact"/>
        <w:rPr>
          <w:rFonts w:ascii="仿宋" w:hAnsi="仿宋" w:eastAsia="仿宋"/>
          <w:sz w:val="28"/>
          <w:szCs w:val="28"/>
        </w:rPr>
      </w:pPr>
      <w:r>
        <w:rPr>
          <w:rFonts w:hint="eastAsia" w:ascii="仿宋" w:hAnsi="仿宋" w:eastAsia="仿宋"/>
          <w:sz w:val="28"/>
          <w:szCs w:val="28"/>
        </w:rPr>
        <w:t xml:space="preserve">（三）付款方式：</w:t>
      </w:r>
      <w:r>
        <w:rPr>
          <w:rFonts w:ascii="仿宋" w:hAnsi="仿宋" w:eastAsia="仿宋"/>
          <w:sz w:val="28"/>
          <w:szCs w:val="28"/>
        </w:rPr>
      </w:r>
      <w:r/>
    </w:p>
    <w:p>
      <w:pPr>
        <w:pStyle w:val="89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（1）每季度末付合同价的相应款项，</w:t>
      </w:r>
      <w:r>
        <w:rPr>
          <w:rFonts w:hint="eastAsia" w:ascii="仿宋" w:hAnsi="仿宋" w:eastAsia="仿宋"/>
          <w:sz w:val="28"/>
          <w:szCs w:val="28"/>
        </w:rPr>
        <w:t xml:space="preserve">结算时以实际服务时间为准，不足一月的以天计算。</w:t>
      </w:r>
      <w:r>
        <w:rPr>
          <w:rFonts w:hint="eastAsia" w:ascii="仿宋" w:hAnsi="仿宋" w:eastAsia="仿宋"/>
          <w:color w:val="000000"/>
          <w:sz w:val="28"/>
          <w:szCs w:val="28"/>
        </w:rPr>
        <w:t xml:space="preserve">（依据考核结果奖惩兑现后支付）</w:t>
      </w:r>
      <w:r>
        <w:rPr>
          <w:rFonts w:hint="eastAsia" w:ascii="仿宋" w:hAnsi="仿宋" w:eastAsia="仿宋"/>
          <w:color w:val="000000"/>
          <w:sz w:val="28"/>
          <w:szCs w:val="28"/>
        </w:rPr>
      </w:r>
      <w:r/>
    </w:p>
    <w:p>
      <w:pPr>
        <w:pStyle w:val="895"/>
        <w:ind w:firstLine="560"/>
        <w:spacing w:line="520" w:lineRule="exact"/>
        <w:rPr>
          <w:rFonts w:ascii="仿宋" w:hAnsi="仿宋" w:eastAsia="仿宋"/>
          <w:color w:val="000000"/>
          <w:sz w:val="28"/>
          <w:szCs w:val="28"/>
          <w:highlight w:val="none"/>
        </w:rPr>
      </w:pPr>
      <w:r>
        <w:rPr>
          <w:rFonts w:hint="eastAsia" w:ascii="仿宋" w:hAnsi="仿宋" w:eastAsia="仿宋"/>
          <w:b w:val="0"/>
          <w:bCs w:val="0"/>
          <w:color w:val="000000"/>
          <w:sz w:val="28"/>
          <w:szCs w:val="28"/>
          <w:highlight w:val="none"/>
        </w:rPr>
        <w:t xml:space="preserve">（2）</w:t>
      </w:r>
      <w:r>
        <w:rPr>
          <w:rFonts w:hint="eastAsia" w:ascii="仿宋" w:hAnsi="仿宋" w:eastAsia="仿宋"/>
          <w:color w:val="000000"/>
          <w:spacing w:val="-20"/>
          <w:sz w:val="28"/>
          <w:szCs w:val="28"/>
          <w:highlight w:val="none"/>
        </w:rPr>
        <w:t xml:space="preserve">根据《</w:t>
      </w:r>
      <w:bookmarkStart w:id="45" w:name="OLE_LINK7"/>
      <w:r/>
      <w:bookmarkStart w:id="46" w:name="OLE_LINK8"/>
      <w:r/>
      <w:bookmarkStart w:id="47" w:name="OLE_LINK9"/>
      <w:r>
        <w:rPr>
          <w:rFonts w:hint="eastAsia" w:ascii="仿宋" w:hAnsi="仿宋" w:eastAsia="仿宋"/>
          <w:color w:val="000000"/>
          <w:spacing w:val="-20"/>
          <w:sz w:val="28"/>
          <w:szCs w:val="28"/>
          <w:highlight w:val="none"/>
        </w:rPr>
        <w:t xml:space="preserve">淮安市市管绿地精细化养护管理考核办法</w:t>
      </w:r>
      <w:bookmarkEnd w:id="45"/>
      <w:r/>
      <w:bookmarkEnd w:id="46"/>
      <w:r/>
      <w:bookmarkEnd w:id="47"/>
      <w:r>
        <w:rPr>
          <w:rFonts w:hint="eastAsia" w:ascii="仿宋" w:hAnsi="仿宋" w:eastAsia="仿宋"/>
          <w:color w:val="000000"/>
          <w:spacing w:val="-20"/>
          <w:sz w:val="28"/>
          <w:szCs w:val="28"/>
          <w:highlight w:val="none"/>
        </w:rPr>
        <w:t xml:space="preserve">》、《淮安市市管绿地精细化养护管理考核标准》进行日常考核管理，养护月考核成绩95分以上（含95分）为优秀，</w:t>
      </w:r>
      <w:r>
        <w:rPr>
          <w:rFonts w:hint="eastAsia" w:ascii="仿宋" w:hAnsi="仿宋" w:eastAsia="仿宋"/>
          <w:color w:val="000000"/>
          <w:spacing w:val="-20"/>
          <w:sz w:val="28"/>
          <w:szCs w:val="28"/>
          <w:highlight w:val="none"/>
          <w:lang w:val="en-US" w:eastAsia="zh-CN"/>
        </w:rPr>
        <w:t xml:space="preserve">养护费按照合同比例足额支付；</w:t>
      </w:r>
      <w:r>
        <w:rPr>
          <w:rFonts w:hint="eastAsia" w:ascii="仿宋" w:hAnsi="仿宋" w:eastAsia="仿宋"/>
          <w:color w:val="000000"/>
          <w:spacing w:val="-20"/>
          <w:sz w:val="28"/>
          <w:szCs w:val="28"/>
          <w:highlight w:val="none"/>
        </w:rPr>
        <w:t xml:space="preserve">养护月考核成绩90-95分（含90分）为良好，养 护 费按 照 考 核 成 绩 每 分 扣 1 0 0 0 元</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养护月考核成绩80-90分（含80分）为合格，养 护 费 则 按 照 考 核成 绩 每 分 扣 2 0 0 0 元 </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养护月考核成绩80分以下为不合格</w:t>
      </w:r>
      <w:r>
        <w:rPr>
          <w:rFonts w:hint="eastAsia" w:ascii="仿宋" w:hAnsi="仿宋" w:eastAsia="仿宋"/>
          <w:color w:val="000000"/>
          <w:spacing w:val="-20"/>
          <w:sz w:val="28"/>
          <w:szCs w:val="28"/>
          <w:highlight w:val="none"/>
          <w:lang w:eastAsia="zh-CN"/>
        </w:rPr>
        <w:t xml:space="preserve">，</w:t>
      </w:r>
      <w:r>
        <w:rPr>
          <w:rFonts w:hint="eastAsia" w:ascii="仿宋" w:hAnsi="仿宋" w:eastAsia="仿宋"/>
          <w:color w:val="000000"/>
          <w:spacing w:val="-20"/>
          <w:sz w:val="28"/>
          <w:szCs w:val="28"/>
          <w:highlight w:val="none"/>
        </w:rPr>
        <w:t xml:space="preserve">养 护 费 则 按 照 考 核 成 绩 每 分 扣 4 0 0 0元。</w:t>
      </w:r>
      <w:r>
        <w:rPr>
          <w:rFonts w:ascii="仿宋" w:hAnsi="仿宋" w:eastAsia="仿宋"/>
          <w:color w:val="000000"/>
          <w:sz w:val="28"/>
          <w:szCs w:val="28"/>
          <w:highlight w:val="none"/>
        </w:rPr>
      </w:r>
      <w:r/>
    </w:p>
    <w:p>
      <w:pPr>
        <w:pStyle w:val="89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养护单位于服务期满前按照采购方要求完成养护缺陷更正，并配合采购方和新中标单位办理移交手续后支付。如原中标人对养护缺陷不予更正，招标人有权另请其他单位更正，所发生的费用则在最后一季度养护费中扣除。</w:t>
      </w:r>
      <w:r>
        <w:rPr>
          <w:rFonts w:hint="eastAsia" w:ascii="仿宋" w:hAnsi="仿宋" w:eastAsia="仿宋"/>
          <w:color w:val="000000"/>
          <w:sz w:val="28"/>
          <w:szCs w:val="28"/>
        </w:rPr>
      </w:r>
      <w:r/>
    </w:p>
    <w:p>
      <w:pPr>
        <w:pStyle w:val="895"/>
        <w:ind w:firstLine="562"/>
        <w:spacing w:line="520" w:lineRule="exact"/>
        <w:rPr>
          <w:rFonts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七、履约验收基本要求</w:t>
      </w:r>
      <w:r>
        <w:rPr>
          <w:rFonts w:ascii="仿宋" w:hAnsi="仿宋" w:eastAsia="仿宋"/>
          <w:b/>
          <w:bCs/>
          <w:color w:val="000000"/>
          <w:sz w:val="28"/>
          <w:szCs w:val="28"/>
          <w:lang w:val="en-US" w:eastAsia="zh-CN"/>
        </w:rPr>
      </w:r>
      <w:r/>
    </w:p>
    <w:p>
      <w:pPr>
        <w:pStyle w:val="895"/>
        <w:ind w:firstLine="560"/>
        <w:spacing w:line="520" w:lineRule="exact"/>
        <w:rPr>
          <w:rFonts w:hint="eastAsia" w:eastAsia="宋体"/>
          <w:lang w:eastAsia="zh-CN"/>
        </w:rPr>
      </w:pPr>
      <w:r>
        <w:rPr>
          <w:rFonts w:hint="eastAsia" w:ascii="仿宋" w:hAnsi="仿宋" w:eastAsia="仿宋"/>
          <w:color w:val="000000"/>
          <w:sz w:val="28"/>
          <w:szCs w:val="28"/>
          <w:lang w:val="en-US" w:eastAsia="zh-CN"/>
        </w:rPr>
        <w:t xml:space="preserve">采购人依据《淮安市市管绿地精细化养护管理考核办法》《淮安市市管绿地精细化养护管理考核标准》以及合同中所约定的其他考核要求，对中标人的履约状况进行验收，并形成验收意见。若验收结果为合格，双方签署验收合格单；若验收结果为不合格，中标人须在规定期限内开展整改工作，整改完成后重新申请验收，直至验收合格为止。若经过多次整改仍未达到合格标准，采购人将按照合同的相关条款进行处理。 </w:t>
      </w:r>
      <w:r>
        <w:rPr>
          <w:rFonts w:hint="eastAsia" w:eastAsia="宋体"/>
          <w:lang w:eastAsia="zh-CN"/>
        </w:rPr>
      </w:r>
      <w:r/>
    </w:p>
    <w:p>
      <w:pPr>
        <w:pStyle w:val="895"/>
        <w:spacing w:line="520" w:lineRule="exact"/>
        <w:tabs>
          <w:tab w:val="left" w:pos="2467" w:leader="none"/>
        </w:tabs>
        <w:rPr>
          <w:rFonts w:ascii="仿宋" w:hAnsi="仿宋" w:eastAsia="仿宋"/>
          <w:bCs/>
          <w:sz w:val="28"/>
          <w:szCs w:val="28"/>
        </w:rPr>
      </w:pPr>
      <w:r>
        <w:rPr>
          <w:rFonts w:hint="eastAsia" w:ascii="黑体" w:hAnsi="黑体" w:eastAsia="黑体"/>
          <w:b/>
          <w:bCs/>
          <w:sz w:val="28"/>
          <w:szCs w:val="28"/>
        </w:rPr>
        <w:t xml:space="preserve">附：相关考核标准</w:t>
      </w:r>
      <w:r>
        <w:rPr>
          <w:rFonts w:ascii="仿宋" w:hAnsi="仿宋" w:eastAsia="仿宋"/>
          <w:bCs/>
          <w:sz w:val="28"/>
          <w:szCs w:val="28"/>
        </w:rPr>
      </w:r>
      <w:r/>
    </w:p>
    <w:p>
      <w:pPr>
        <w:pStyle w:val="895"/>
        <w:spacing w:line="520" w:lineRule="exact"/>
        <w:rPr>
          <w:rFonts w:ascii="仿宋" w:hAnsi="仿宋" w:eastAsia="仿宋"/>
          <w:bCs/>
          <w:sz w:val="28"/>
          <w:szCs w:val="28"/>
        </w:rPr>
      </w:pPr>
      <w:r>
        <w:rPr>
          <w:rFonts w:hint="eastAsia" w:ascii="仿宋" w:hAnsi="仿宋" w:eastAsia="仿宋"/>
          <w:bCs/>
          <w:sz w:val="28"/>
          <w:szCs w:val="28"/>
        </w:rPr>
        <w:t xml:space="preserve">（一）淮安市市区绿化养护管理考核标准</w:t>
      </w:r>
      <w:r>
        <w:rPr>
          <w:rFonts w:ascii="仿宋" w:hAnsi="仿宋" w:eastAsia="仿宋"/>
          <w:bCs/>
          <w:sz w:val="28"/>
          <w:szCs w:val="28"/>
        </w:rPr>
      </w:r>
      <w:r/>
    </w:p>
    <w:p>
      <w:pPr>
        <w:pStyle w:val="985"/>
        <w:ind w:firstLine="560"/>
        <w:spacing w:line="520" w:lineRule="exact"/>
        <w:rPr>
          <w:rFonts w:ascii="仿宋" w:hAnsi="仿宋" w:eastAsia="仿宋"/>
          <w:bCs/>
          <w:sz w:val="28"/>
          <w:szCs w:val="28"/>
          <w:highlight w:val="yellow"/>
        </w:rPr>
      </w:pPr>
      <w:r>
        <w:rPr>
          <w:rFonts w:hint="eastAsia" w:ascii="仿宋" w:hAnsi="仿宋" w:eastAsia="仿宋"/>
          <w:bCs/>
          <w:sz w:val="28"/>
          <w:szCs w:val="28"/>
        </w:rPr>
        <w:t xml:space="preserve">按照</w:t>
      </w:r>
      <w:r>
        <w:rPr>
          <w:rFonts w:hint="eastAsia" w:ascii="仿宋" w:hAnsi="仿宋" w:eastAsia="仿宋"/>
          <w:sz w:val="28"/>
        </w:rPr>
        <w:t xml:space="preserve">《关于下发市管绿地精细化养护管理考核办法的通知》</w:t>
      </w:r>
      <w:r>
        <w:rPr>
          <w:rFonts w:hint="eastAsia" w:ascii="仿宋" w:hAnsi="仿宋" w:eastAsia="仿宋"/>
          <w:color w:val="000000"/>
          <w:sz w:val="28"/>
        </w:rPr>
        <w:t xml:space="preserve">、《关于进一步规范绿化养护及审批等制度的通知》</w:t>
      </w:r>
      <w:r>
        <w:rPr>
          <w:rFonts w:hint="eastAsia" w:ascii="仿宋" w:hAnsi="仿宋" w:eastAsia="仿宋"/>
          <w:color w:val="000000"/>
          <w:sz w:val="28"/>
          <w:szCs w:val="28"/>
        </w:rPr>
        <w:t xml:space="preserve">及本招标、响应文件中的补充养护质量要求，淮安市园林绿化管理中心出台的其它养护质量要求及每月养护清单计划</w:t>
      </w:r>
      <w:r>
        <w:rPr>
          <w:rFonts w:hint="eastAsia" w:ascii="仿宋" w:hAnsi="仿宋" w:eastAsia="仿宋"/>
          <w:bCs/>
          <w:sz w:val="28"/>
          <w:szCs w:val="28"/>
        </w:rPr>
        <w:t xml:space="preserve">执行。</w:t>
      </w:r>
      <w:r>
        <w:rPr>
          <w:rFonts w:ascii="仿宋" w:hAnsi="仿宋" w:eastAsia="仿宋"/>
          <w:bCs/>
          <w:sz w:val="28"/>
          <w:szCs w:val="28"/>
          <w:highlight w:val="yellow"/>
        </w:rPr>
      </w:r>
      <w:r/>
    </w:p>
    <w:p>
      <w:pPr>
        <w:pStyle w:val="895"/>
        <w:spacing w:line="52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（二）淮安市市管绿地精细化养护管理考核标准</w:t>
      </w:r>
      <w:r>
        <w:rPr>
          <w:rFonts w:hint="eastAsia" w:ascii="仿宋" w:hAnsi="仿宋" w:eastAsia="仿宋" w:cs="Times New Roman"/>
          <w:color w:val="000000"/>
          <w:sz w:val="28"/>
          <w:szCs w:val="28"/>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4886"/>
        <w:gridCol w:w="4320"/>
      </w:tblGrid>
      <w:tr>
        <w:trPr>
          <w:trHeight w:val="452"/>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项 目</w:t>
            </w:r>
            <w:r>
              <w:rPr>
                <w:rFonts w:ascii="仿宋" w:hAnsi="仿宋" w:eastAsia="仿宋"/>
                <w:sz w:val="24"/>
              </w:rPr>
            </w:r>
            <w:r/>
          </w:p>
        </w:tc>
        <w:tc>
          <w:tcPr>
            <w:tcW w:w="4886"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质 量 要 求</w:t>
            </w:r>
            <w:r>
              <w:rPr>
                <w:rFonts w:ascii="仿宋" w:hAnsi="仿宋" w:eastAsia="仿宋"/>
                <w:sz w:val="24"/>
              </w:rPr>
            </w:r>
            <w:r/>
          </w:p>
        </w:tc>
        <w:tc>
          <w:tcPr>
            <w:tcW w:w="432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考 核 标 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队伍管理</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绿地内必须定人定岗，6000-8000</w:t>
            </w:r>
            <w:r>
              <w:rPr>
                <w:rFonts w:hint="eastAsia" w:ascii="仿宋" w:hAnsi="仿宋" w:eastAsia="仿宋" w:cs="宋体"/>
                <w:sz w:val="24"/>
              </w:rPr>
              <w:t xml:space="preserve">㎡/人；</w:t>
            </w:r>
            <w:r>
              <w:rPr>
                <w:rFonts w:hint="eastAsia" w:ascii="仿宋" w:hAnsi="仿宋" w:eastAsia="仿宋"/>
                <w:sz w:val="24"/>
              </w:rPr>
              <w:t xml:space="preserve">养护管理人员工作期间必须着园林统一工作服，绿化科将不定期组织人员在岗情况专项检查。</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工作时间内路段上无管理人员，每次扣2分；有未着工作服，每人每次扣1分；绿化科组织的人员在岗签到时，每少一人扣2分，项目经理及技术负责人不在岗每人每次扣5分。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游园广场秩序管理</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需符合文明城市创建的相关要求。确保游园广场内座椅板凳无随意躺卧的行为,无车辆乱停乱放现象(残疾人车、婴儿车除外)</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游园广场内无养护人员扣1分，有随意躺卧现象的扣1分，有车辆乱停乱放的扣1分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浇水、</w:t>
            </w:r>
            <w:r>
              <w:rPr>
                <w:rFonts w:ascii="仿宋" w:hAnsi="仿宋" w:eastAsia="仿宋"/>
                <w:sz w:val="24"/>
              </w:rPr>
            </w:r>
            <w:r/>
          </w:p>
          <w:p>
            <w:pPr>
              <w:pStyle w:val="895"/>
              <w:jc w:val="center"/>
              <w:spacing w:line="340" w:lineRule="exact"/>
              <w:rPr>
                <w:rFonts w:ascii="仿宋" w:hAnsi="仿宋" w:eastAsia="仿宋"/>
                <w:sz w:val="24"/>
              </w:rPr>
            </w:pPr>
            <w:r>
              <w:rPr>
                <w:rFonts w:hint="eastAsia" w:ascii="仿宋" w:hAnsi="仿宋" w:eastAsia="仿宋"/>
                <w:sz w:val="24"/>
              </w:rPr>
              <w:t xml:space="preserve">冲尘</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在4-11月期间每3天浇一次水，遇到雨水天气进行顺延；12月至次年3月每周至少浇水一次（冰冻季节除外）。主城区道路分车带平篱灌木等须确保植物表面无灰尘污浊</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未及时浇水扣5分，浇水不到位扣2分，浇水不规范，影响周边环境卫生的扣1分，主城区道路分车带平篱灌木表面污浊的扣2分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绿地内设施维护</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游园广场绿地内设施完好无损，定期擦拭座椅板凳，绿地附属设施每年油漆2次（4月、9月各一次），园路铺装、侧石完好无损，定期对杀虫灯进行维护，铺装路面无杂草</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园林设施损坏未及时修复的，每处扣1-2分；游园、广场内园椅园凳不干净无法下座的，每处扣1分；道路花坛边坐凳污渍未及时清理的，每处扣1分；绿地附属设施每年未按时油漆的，扣3分，油漆不到位的，每处扣2分；铺装路面有杂草的，每处扣1分。</w:t>
            </w:r>
            <w:r>
              <w:rPr>
                <w:rFonts w:ascii="仿宋" w:hAnsi="仿宋" w:eastAsia="仿宋"/>
                <w:sz w:val="24"/>
              </w:rPr>
            </w:r>
            <w:r/>
          </w:p>
        </w:tc>
      </w:tr>
      <w:tr>
        <w:trPr>
          <w:trHeight w:val="1267"/>
        </w:trPr>
        <w:tc>
          <w:tcPr>
            <w:tcW w:w="1135" w:type="dxa"/>
            <w:vAlign w:val="center"/>
            <w:vMerge w:val="restart"/>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护绿管理</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绿地有专人巡查，发现践踏绿地、攀枝摘花、摇晃树木等行为及时制止，发现重大毁绿行为要及时制止，并及时上报执法部门处理，同时按期恢复绿化后将结果上报</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24小时内未发现毁绿行为，每次扣5分</w:t>
            </w:r>
            <w:r>
              <w:rPr>
                <w:rFonts w:ascii="仿宋" w:hAnsi="仿宋" w:eastAsia="仿宋"/>
                <w:sz w:val="24"/>
              </w:rPr>
            </w:r>
            <w:r/>
          </w:p>
        </w:tc>
      </w:tr>
      <w:tr>
        <w:trPr>
          <w:trHeight w:val="1214"/>
        </w:trPr>
        <w:tc>
          <w:tcPr>
            <w:tcW w:w="1135"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绿地管理范围内有行政审批同意的事项时，要跟踪管理，监督施工单位在审批范围内操作，不得超范围或破坏其他绿化。</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树木移植或占用绿地施工过程中，管理力度不强，造成审批范围外绿地或植物受到损坏的，扣2-5分。</w:t>
            </w:r>
            <w:r>
              <w:rPr>
                <w:rFonts w:ascii="仿宋" w:hAnsi="仿宋" w:eastAsia="仿宋"/>
                <w:sz w:val="24"/>
              </w:rPr>
            </w:r>
            <w:r/>
          </w:p>
        </w:tc>
      </w:tr>
      <w:tr>
        <w:trPr>
          <w:trHeight w:val="1037"/>
        </w:trPr>
        <w:tc>
          <w:tcPr>
            <w:tcW w:w="1135"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协助城管做好绿地内、树池内无种菜、扣绳挂物、堆放杂物现象。</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有养护单位管理不到位造成绿地内、树池内有种菜、扣绳挂物、堆放杂物现象的，每处扣2分。</w:t>
            </w:r>
            <w:r>
              <w:rPr>
                <w:rFonts w:ascii="仿宋" w:hAnsi="仿宋" w:eastAsia="仿宋"/>
                <w:sz w:val="24"/>
              </w:rPr>
            </w:r>
            <w:r/>
          </w:p>
        </w:tc>
      </w:tr>
      <w:tr>
        <w:trPr>
          <w:trHeight w:val="2831"/>
        </w:trPr>
        <w:tc>
          <w:tcPr>
            <w:tcW w:w="1135" w:type="dxa"/>
            <w:vAlign w:val="center"/>
            <w:vMerge w:val="restart"/>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绿地养护</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修剪：1、绿篱的修剪应确保平篱线条整体，轮廓清晰，平篱顶面平整，高度一致；2、球类的修剪要注意大小结合、高矮结合，毛球剪成光球；3、乔木修剪应配合整形，除萌蘖枝、过密枝、内膛枝、交叉枝、病虫枝等；4、花灌木修剪应剪除萌蘖枝、病虫枝、不均衡枝，保持花灌木树形美观、匀称。影响景观的残花、残果应及时剪除； </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未及时修剪，每处扣2分，未达到要求的每株（平方）扣1分 </w:t>
            </w:r>
            <w:r>
              <w:rPr>
                <w:rFonts w:ascii="仿宋" w:hAnsi="仿宋" w:eastAsia="仿宋"/>
                <w:sz w:val="24"/>
              </w:rPr>
            </w:r>
            <w:r/>
          </w:p>
        </w:tc>
      </w:tr>
      <w:tr>
        <w:trPr/>
        <w:tc>
          <w:tcPr>
            <w:tcW w:w="1135"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涂白裹干：每年11月初开始对乔灌木进行涂白，树木涂白要求高度整齐一致，乔木及行道树涂白高度在1.3米左右，灌木涂白高度在1米左右，涂白后地面整洁干净。同时对不耐寒树种进行裹干。</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未按时间要求和质量要求进行涂白和裹干的每地段扣3分。</w:t>
            </w:r>
            <w:r>
              <w:rPr>
                <w:rFonts w:ascii="仿宋" w:hAnsi="仿宋" w:eastAsia="仿宋"/>
                <w:sz w:val="24"/>
              </w:rPr>
            </w:r>
            <w:r/>
          </w:p>
        </w:tc>
      </w:tr>
      <w:tr>
        <w:trPr/>
        <w:tc>
          <w:tcPr>
            <w:tcW w:w="1135"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靠近养护地段的沟边、道口5米范围内需确保无杂草、杂物等</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未按要求清除杂草杂物的每处扣2分</w:t>
            </w:r>
            <w:r>
              <w:rPr>
                <w:rFonts w:ascii="仿宋" w:hAnsi="仿宋" w:eastAsia="仿宋"/>
                <w:sz w:val="24"/>
              </w:rPr>
            </w:r>
            <w:r/>
          </w:p>
        </w:tc>
      </w:tr>
      <w:tr>
        <w:trPr/>
        <w:tc>
          <w:tcPr>
            <w:tcW w:w="1135"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绿化垃圾要日产日清，绿地内无焚烧树叶等现象，无枯枝落叶</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绿地内有绿化垃圾、枯枝落叶，每处扣3分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缺株补植</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树木、地被完好无缺，补植的苗木的品种与规格需与现场品种规格保持一致。</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树木、地被缺株在7日内（高温和冰冻季节除外）未补齐的，树木每株扣1分；地被每平方米扣1分。补植的苗木品种规格与现场品种与规格不一致的，扣5分。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草坪养护</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b/>
                <w:sz w:val="24"/>
              </w:rPr>
            </w:pPr>
            <w:r>
              <w:rPr>
                <w:rFonts w:hint="eastAsia" w:ascii="仿宋" w:hAnsi="仿宋" w:eastAsia="仿宋"/>
                <w:sz w:val="24"/>
              </w:rPr>
              <w:t xml:space="preserve">草坪生长茂盛，无秃斑、无明显杂草；草坪适时修剪，高度保持在5-12公分，无明显病虫为害症状，修剪及时，水肥适当；草坪覆盖率不低于95%，对绿地内与草坪交接处要进行切边，保持线条流畅清晰，乔灌木的根部保留5-10</w:t>
            </w:r>
            <w:r>
              <w:rPr>
                <w:rFonts w:hint="eastAsia" w:ascii="仿宋" w:hAnsi="仿宋" w:eastAsia="仿宋" w:cs="宋体"/>
                <w:sz w:val="24"/>
              </w:rPr>
              <w:t xml:space="preserve">㎝的环形隔离，</w:t>
            </w:r>
            <w:r>
              <w:rPr>
                <w:rFonts w:hint="eastAsia" w:ascii="仿宋" w:hAnsi="仿宋" w:eastAsia="仿宋"/>
                <w:sz w:val="24"/>
              </w:rPr>
              <w:t xml:space="preserve">切边后的泥土及时清运干净。无明显病虫为害症状。</w:t>
            </w:r>
            <w:r>
              <w:rPr>
                <w:rFonts w:ascii="仿宋" w:hAnsi="仿宋" w:eastAsia="仿宋"/>
                <w:b/>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草坪秃斑小于5</w:t>
            </w:r>
            <w:r>
              <w:rPr>
                <w:rFonts w:hint="eastAsia" w:ascii="仿宋" w:hAnsi="仿宋" w:eastAsia="仿宋" w:cs="宋体"/>
                <w:sz w:val="24"/>
              </w:rPr>
              <w:t xml:space="preserve">㎡</w:t>
            </w:r>
            <w:r>
              <w:rPr>
                <w:rFonts w:hint="eastAsia" w:ascii="仿宋" w:hAnsi="仿宋" w:eastAsia="仿宋" w:cs="仿宋_GB2312"/>
                <w:sz w:val="24"/>
              </w:rPr>
              <w:t xml:space="preserve">，每处扣</w:t>
            </w:r>
            <w:r>
              <w:rPr>
                <w:rFonts w:hint="eastAsia" w:ascii="仿宋" w:hAnsi="仿宋" w:eastAsia="仿宋"/>
                <w:sz w:val="24"/>
              </w:rPr>
              <w:t xml:space="preserve">1分，大于5</w:t>
            </w:r>
            <w:r>
              <w:rPr>
                <w:rFonts w:hint="eastAsia" w:ascii="仿宋" w:hAnsi="仿宋" w:eastAsia="仿宋" w:cs="宋体"/>
                <w:sz w:val="24"/>
              </w:rPr>
              <w:t xml:space="preserve">㎡</w:t>
            </w:r>
            <w:r>
              <w:rPr>
                <w:rFonts w:hint="eastAsia" w:ascii="仿宋" w:hAnsi="仿宋" w:eastAsia="仿宋" w:cs="仿宋_GB2312"/>
                <w:sz w:val="24"/>
              </w:rPr>
              <w:t xml:space="preserve">，每处扣</w:t>
            </w:r>
            <w:r>
              <w:rPr>
                <w:rFonts w:hint="eastAsia" w:ascii="仿宋" w:hAnsi="仿宋" w:eastAsia="仿宋"/>
                <w:sz w:val="24"/>
              </w:rPr>
              <w:t xml:space="preserve">2分；有明显杂草，每处扣2分；草坪未及时修剪或修剪高度过低,扣5分；病虫害防治不及时(出现明显病虫为害症状)，每处扣1分；草坪覆盖率低于95%，自行补植,未补植的,每10M</w:t>
            </w:r>
            <w:r>
              <w:rPr>
                <w:rFonts w:hint="eastAsia" w:ascii="仿宋" w:hAnsi="仿宋" w:eastAsia="仿宋"/>
                <w:sz w:val="24"/>
                <w:vertAlign w:val="superscript"/>
              </w:rPr>
              <w:t xml:space="preserve">2</w:t>
            </w:r>
            <w:r>
              <w:rPr>
                <w:rFonts w:hint="eastAsia" w:ascii="仿宋" w:hAnsi="仿宋" w:eastAsia="仿宋"/>
                <w:sz w:val="24"/>
              </w:rPr>
              <w:t xml:space="preserve">扣1分。未切边的每处扣2分，边缘不流畅的每处扣1分，切边后泥土未及时清运的扣2分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黑麦草加播</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每年9月底前完成黑麦草播种并及时浇水，确保出芽率要达到98%以上。11月上旬上报黑麦草播种报验单、及图片资料。</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黑麦草考核参照淮园发〔2016〕50号&lt;关于进一步规范绿化养护及审批等制度的通知&gt;</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病虫害防治</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3-11月份做好病虫害统防统治工作，尤其是美国白蛾，锦斑蛾等高发高危虫害的防治工作；发现树洞及时修补，防止腐朽进一步扩大；定期对虫情测报汇总并上报</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未及时进行病虫害防治的，扣5分。未及时上报虫情汇总表的，每次扣3分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档案管理</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日常养护管理作业资料齐全（包括机械设备、农药使用，安全管理台账等），做到有记录，有统计，并且资料与实际养护情况相符。年终对全年资料进行汇总装订。明确专职信息员，路段长将巡查发现的问题及时报长效办。每月23日报月总结（上报当月的亮点工作）。</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年底汇总的养护台账不健全的，扣5分，未及时报月总结或内容不符合要求的，扣2分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应急抢险</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成立抢险队伍，有24小时联系电话；紧急事件必须在30分钟内到现场，及时处理好事故现场；在台风季节和大雪天气等恶劣天气，有人值班，及时抢险，确保无不良影响。</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未成立抢险队伍的，扣5分；若遇突发事件无法联络的，每次扣5分，并从养护经费中扣除处理事件所需的经费；在台风季节和大雪天气不及时抢险，每次扣5分。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文明安全养护</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做到文明作业，随时保持道路的清洁、畅通，现场有专人负责安全。在夜间养护作业必须在作业地域内按交通规定设置警示标志，在水边等危险地段需增加安全警示牌</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未做到的，每次扣1分， 发生安全事故的，除承担相关责任外，每次扣10分。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交办单回复</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城管交办单、数字城管交办单、12345交办单、市民及媒体投诉、长效管理交办单、手机app交办单等按时整改并回复；针对交办单存在职责不清的，实行派单制。</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未按要求按期整改每单扣3分；对交办单推诿的扣10分；未按照派单制执行的，每件扣5分。</w:t>
            </w:r>
            <w:r>
              <w:rPr>
                <w:rFonts w:ascii="仿宋" w:hAnsi="仿宋" w:eastAsia="仿宋"/>
                <w:sz w:val="24"/>
              </w:rPr>
            </w:r>
            <w:r/>
          </w:p>
        </w:tc>
      </w:tr>
      <w:tr>
        <w:trPr/>
        <w:tc>
          <w:tcPr>
            <w:tcW w:w="113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淮安园林信息化系统使用</w:t>
            </w:r>
            <w:r>
              <w:rPr>
                <w:rFonts w:ascii="仿宋" w:hAnsi="仿宋" w:eastAsia="仿宋"/>
                <w:sz w:val="24"/>
              </w:rPr>
            </w:r>
            <w:r/>
          </w:p>
        </w:tc>
        <w:tc>
          <w:tcPr>
            <w:tcW w:w="4886"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按时通过淮安园林信息化系统上报相关计划总结；及时对中心安排的专项任务的完成情况进行反馈；在规定时间内完成巡查交办问题并及时通过系统进行反馈。</w:t>
            </w:r>
            <w:r>
              <w:rPr>
                <w:rFonts w:ascii="仿宋" w:hAnsi="仿宋" w:eastAsia="仿宋"/>
                <w:sz w:val="24"/>
              </w:rPr>
            </w:r>
            <w:r/>
          </w:p>
        </w:tc>
        <w:tc>
          <w:tcPr>
            <w:tcW w:w="4320" w:type="dxa"/>
            <w:vAlign w:val="center"/>
            <w:textDirection w:val="lrTb"/>
            <w:noWrap w:val="false"/>
          </w:tcPr>
          <w:p>
            <w:pPr>
              <w:pStyle w:val="895"/>
              <w:spacing w:line="340" w:lineRule="exact"/>
              <w:rPr>
                <w:rFonts w:ascii="仿宋" w:hAnsi="仿宋" w:eastAsia="仿宋"/>
                <w:sz w:val="24"/>
              </w:rPr>
            </w:pPr>
            <w:r>
              <w:rPr>
                <w:rFonts w:hint="eastAsia" w:ascii="仿宋" w:hAnsi="仿宋" w:eastAsia="仿宋"/>
                <w:sz w:val="24"/>
              </w:rPr>
              <w:t xml:space="preserve">未按照要求使用的，每次扣2分。</w:t>
            </w:r>
            <w:r>
              <w:rPr>
                <w:rFonts w:ascii="仿宋" w:hAnsi="仿宋" w:eastAsia="仿宋"/>
                <w:sz w:val="24"/>
              </w:rPr>
            </w:r>
            <w:r/>
          </w:p>
        </w:tc>
      </w:tr>
    </w:tbl>
    <w:p>
      <w:pPr>
        <w:pStyle w:val="895"/>
        <w:spacing w:line="520" w:lineRule="exact"/>
        <w:rPr>
          <w:rFonts w:ascii="仿宋" w:hAnsi="仿宋" w:eastAsia="仿宋"/>
          <w:sz w:val="28"/>
          <w:szCs w:val="28"/>
        </w:rPr>
      </w:pPr>
      <w:r>
        <w:rPr>
          <w:rFonts w:hint="eastAsia" w:ascii="仿宋" w:hAnsi="仿宋" w:eastAsia="仿宋"/>
          <w:sz w:val="28"/>
          <w:szCs w:val="28"/>
        </w:rPr>
        <w:t xml:space="preserve">（三）北京路（月季大道）养护管理考核标准</w:t>
      </w:r>
      <w:r>
        <w:rPr>
          <w:rFonts w:ascii="仿宋" w:hAnsi="仿宋" w:eastAsia="仿宋"/>
          <w:sz w:val="28"/>
          <w:szCs w:val="28"/>
        </w:rPr>
      </w:r>
      <w:r/>
    </w:p>
    <w:tbl>
      <w:tblPr>
        <w:tblW w:w="103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4875"/>
        <w:gridCol w:w="4320"/>
      </w:tblGrid>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项目</w:t>
            </w:r>
            <w:r>
              <w:rPr>
                <w:rFonts w:ascii="仿宋" w:hAnsi="仿宋" w:eastAsia="仿宋"/>
                <w:sz w:val="24"/>
              </w:rPr>
            </w:r>
            <w:r/>
          </w:p>
        </w:tc>
        <w:tc>
          <w:tcPr>
            <w:tcW w:w="4875"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质量要求</w:t>
            </w:r>
            <w:r>
              <w:rPr>
                <w:rFonts w:ascii="仿宋" w:hAnsi="仿宋" w:eastAsia="仿宋"/>
                <w:sz w:val="24"/>
              </w:rPr>
            </w:r>
            <w:r/>
          </w:p>
        </w:tc>
        <w:tc>
          <w:tcPr>
            <w:tcW w:w="432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考核标准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景观</w:t>
            </w:r>
            <w:r>
              <w:rPr>
                <w:rFonts w:ascii="仿宋" w:hAnsi="仿宋" w:eastAsia="仿宋"/>
                <w:sz w:val="24"/>
              </w:rPr>
            </w:r>
            <w:r/>
          </w:p>
          <w:p>
            <w:pPr>
              <w:pStyle w:val="895"/>
              <w:jc w:val="center"/>
              <w:spacing w:line="340" w:lineRule="exact"/>
              <w:rPr>
                <w:rFonts w:ascii="仿宋" w:hAnsi="仿宋" w:eastAsia="仿宋"/>
                <w:sz w:val="24"/>
              </w:rPr>
            </w:pPr>
            <w:r>
              <w:rPr>
                <w:rFonts w:hint="eastAsia" w:ascii="仿宋" w:hAnsi="仿宋" w:eastAsia="仿宋"/>
                <w:sz w:val="24"/>
              </w:rPr>
              <w:t xml:space="preserve">效果</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生长茂盛，花色明丽，花朵丰满，枝叶繁茂，姿态优雅，群落一致。</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生长势欠佳未积极采取措施的每段落扣2分；群落效果不到标准要求的扣5-10分。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种植土</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第一季花后及时疏松种植土一次；雨季及时排涝和松土；入冬季月季停止生长时，覆盖0.5-1cm园林粉碎基质后深翻土一次；按月季生长年代时长，合理对种植土杀菌杀虫消毒处理。</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花后未及时松种植土的每次扣2-5分；冬季未按要求加基质深翻土每次扣5-10分。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修剪</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ascii="仿宋" w:hAnsi="仿宋" w:eastAsia="仿宋"/>
                <w:sz w:val="24"/>
              </w:rPr>
              <w:t xml:space="preserve">要根据</w:t>
            </w:r>
            <w:r>
              <w:rPr>
                <w:rFonts w:hint="eastAsia" w:ascii="仿宋" w:hAnsi="仿宋" w:eastAsia="仿宋"/>
                <w:sz w:val="24"/>
              </w:rPr>
              <w:t xml:space="preserve">月季的</w:t>
            </w:r>
            <w:r>
              <w:rPr>
                <w:rFonts w:ascii="仿宋" w:hAnsi="仿宋" w:eastAsia="仿宋"/>
                <w:sz w:val="24"/>
              </w:rPr>
              <w:t xml:space="preserve">品种和形态进行修剪和整形</w:t>
            </w:r>
            <w:r>
              <w:rPr>
                <w:rFonts w:hint="eastAsia" w:ascii="仿宋" w:hAnsi="仿宋" w:eastAsia="仿宋"/>
                <w:sz w:val="24"/>
              </w:rPr>
              <w:t xml:space="preserve">。</w:t>
            </w:r>
            <w:r>
              <w:rPr>
                <w:rFonts w:ascii="仿宋" w:hAnsi="仿宋" w:eastAsia="仿宋"/>
                <w:sz w:val="24"/>
              </w:rPr>
              <w:t xml:space="preserve">春季：在月季花开始萌发新枝时进行大修剪</w:t>
            </w:r>
            <w:r>
              <w:rPr>
                <w:rFonts w:hint="eastAsia" w:ascii="仿宋" w:hAnsi="仿宋" w:eastAsia="仿宋"/>
                <w:sz w:val="24"/>
              </w:rPr>
              <w:t xml:space="preserve">一次</w:t>
            </w:r>
            <w:r>
              <w:rPr>
                <w:rFonts w:ascii="仿宋" w:hAnsi="仿宋" w:eastAsia="仿宋"/>
                <w:sz w:val="24"/>
              </w:rPr>
              <w:t xml:space="preserve">，去除冬季受损或老化的枝条，留下3-5个健壮而又有芽眼的枝条，每个枝条保留3-5个节位。夏季：在月季花开花后进行小修剪，</w:t>
            </w:r>
            <w:r>
              <w:rPr>
                <w:rFonts w:hint="eastAsia" w:ascii="仿宋" w:hAnsi="仿宋" w:eastAsia="仿宋"/>
                <w:sz w:val="24"/>
              </w:rPr>
              <w:t xml:space="preserve">及时</w:t>
            </w:r>
            <w:r>
              <w:rPr>
                <w:rFonts w:ascii="仿宋" w:hAnsi="仿宋" w:eastAsia="仿宋"/>
                <w:sz w:val="24"/>
              </w:rPr>
              <w:t xml:space="preserve">去除已经凋谢或残留的花朵和枝条。秋季：在月季花进入休眠前进行中修剪，去除过长或过密的枝条，保留一定的高度和形态。冬季：在月季花处于休眠期间进行少量修剪，去除枯萎或病虫害的枝叶。</w:t>
            </w:r>
            <w:r>
              <w:rPr>
                <w:rFonts w:hint="eastAsia" w:ascii="仿宋" w:hAnsi="仿宋" w:eastAsia="仿宋"/>
                <w:sz w:val="24"/>
              </w:rPr>
              <w:t xml:space="preserve">当天</w:t>
            </w:r>
            <w:r>
              <w:rPr>
                <w:rFonts w:ascii="仿宋" w:hAnsi="仿宋" w:eastAsia="仿宋"/>
                <w:sz w:val="24"/>
              </w:rPr>
              <w:t xml:space="preserve">清</w:t>
            </w:r>
            <w:r>
              <w:rPr>
                <w:rFonts w:hint="eastAsia" w:ascii="仿宋" w:hAnsi="仿宋" w:eastAsia="仿宋"/>
                <w:sz w:val="24"/>
              </w:rPr>
              <w:t xml:space="preserve">运</w:t>
            </w:r>
            <w:r>
              <w:rPr>
                <w:rFonts w:ascii="仿宋" w:hAnsi="仿宋" w:eastAsia="仿宋"/>
                <w:sz w:val="24"/>
              </w:rPr>
              <w:t xml:space="preserve">修剪和整形掉落的枝叶和花朵。</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未及时抹芽，每株扣0.5分；每年修剪达不到要求的每株扣0.5分；未及时修剪果实的，每株扣0.5分；修剪枝条未及时清运每发现一处扣1分。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施肥</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月季生长季节，本着薄肥勤施的原则，合理使用有机肥料配以无机化肥。当新梢叶片泛绿，每隔15天施一次薄肥，如复合肥加量磷肥（20g-30g/株+10g/株）；当新梢进入花蕾至露色阶段，可适当增加施肥浓度和次数，如复合肥+磷肥；进入秋冬后，施一次磷钾肥；</w:t>
            </w:r>
            <w:r>
              <w:rPr>
                <w:rFonts w:ascii="仿宋" w:hAnsi="仿宋" w:eastAsia="仿宋"/>
                <w:sz w:val="24"/>
              </w:rPr>
              <w:t xml:space="preserve">施肥的时候要注意先浇透水，然后将肥料均匀地撒在土壤表面，再轻轻地拌入土壤中</w:t>
            </w:r>
            <w:r>
              <w:rPr>
                <w:rFonts w:hint="eastAsia" w:ascii="仿宋" w:hAnsi="仿宋" w:eastAsia="仿宋"/>
                <w:sz w:val="24"/>
              </w:rPr>
              <w:t xml:space="preserve">，</w:t>
            </w:r>
            <w:r>
              <w:rPr>
                <w:rFonts w:ascii="仿宋" w:hAnsi="仿宋" w:eastAsia="仿宋"/>
                <w:sz w:val="24"/>
              </w:rPr>
              <w:t xml:space="preserve">施肥后要再次浇水</w:t>
            </w:r>
            <w:r>
              <w:rPr>
                <w:rFonts w:hint="eastAsia" w:ascii="仿宋" w:hAnsi="仿宋" w:eastAsia="仿宋"/>
                <w:sz w:val="24"/>
              </w:rPr>
              <w:t xml:space="preserve">。</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按施肥管理工作量清单进行考核。</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浇水</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应掌握间干间浇灌、干透浇透的原则。一般在腋芽萌动前需水较少，要适当控水；腋芽萌动期，应保持月季充足水分，经常保持土壤湿润；花败后干湿交替；入冬后适时控水。</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按浇水管理工作量清单进行考核。</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病虫害防治</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预防为主，无明显病虫害，无蛀干害虫；</w:t>
            </w:r>
            <w:r>
              <w:rPr>
                <w:rFonts w:ascii="仿宋" w:hAnsi="仿宋" w:eastAsia="仿宋"/>
                <w:sz w:val="24"/>
              </w:rPr>
              <w:t xml:space="preserve">早发现早治疗</w:t>
            </w:r>
            <w:r>
              <w:rPr>
                <w:rFonts w:hint="eastAsia" w:ascii="仿宋" w:hAnsi="仿宋" w:eastAsia="仿宋"/>
                <w:sz w:val="24"/>
              </w:rPr>
              <w:t xml:space="preserve">，防治黑斑病、白粉病为主，虫食叶片每株不超过2%；</w:t>
            </w:r>
            <w:r>
              <w:rPr>
                <w:rFonts w:ascii="仿宋" w:hAnsi="仿宋" w:eastAsia="仿宋"/>
                <w:sz w:val="24"/>
              </w:rPr>
              <w:t xml:space="preserve">避免交叉感染</w:t>
            </w:r>
            <w:r>
              <w:rPr>
                <w:rFonts w:hint="eastAsia" w:ascii="仿宋" w:hAnsi="仿宋" w:eastAsia="仿宋"/>
                <w:sz w:val="24"/>
              </w:rPr>
              <w:t xml:space="preserve">，应及时摘除病叶，控制其病情，促进其生长，开花。</w:t>
            </w:r>
            <w:r>
              <w:rPr>
                <w:rFonts w:ascii="仿宋" w:hAnsi="仿宋" w:eastAsia="仿宋"/>
                <w:sz w:val="24"/>
              </w:rPr>
            </w:r>
            <w:r/>
          </w:p>
          <w:p>
            <w:pPr>
              <w:pStyle w:val="895"/>
              <w:jc w:val="left"/>
              <w:spacing w:line="340" w:lineRule="exact"/>
              <w:rPr>
                <w:rFonts w:ascii="仿宋" w:hAnsi="仿宋" w:eastAsia="仿宋"/>
                <w:sz w:val="24"/>
              </w:rPr>
            </w:pP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未及时预防造成明显病虫害的，每路段扣5分；因病虫害问题受到市民投诉的，每次扣5分。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缺株补植</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枯死月季及时清理，缺株及时发现上报，春秋季在20天内补植完成，夏、冬季根据天气确定补植完成时间。</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未及时清理死树的每株扣2分，未按要求及时补植的每次扣5分。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保洁</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月季地内保持干净整洁，无明显的落叶堆积、修剪后的残花枝条。</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未做到每处扣0.5分。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设施维护</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月季花池发现破损及时上报，及时修补（15天内完成）。</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未及时上报的，每处扣1分；15天内未修补完成的每处扣2分。</w:t>
            </w:r>
            <w:r>
              <w:rPr>
                <w:rFonts w:ascii="仿宋" w:hAnsi="仿宋" w:eastAsia="仿宋"/>
                <w:sz w:val="24"/>
              </w:rPr>
            </w:r>
            <w:r/>
          </w:p>
        </w:tc>
      </w:tr>
      <w:tr>
        <w:trPr/>
        <w:tc>
          <w:tcPr>
            <w:tcW w:w="1170" w:type="dxa"/>
            <w:vAlign w:val="center"/>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突发应急处理</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成立突发应急处理队伍，接到相关指令后，必须在半小时内到达现场处理，遇恶劣天气要实行24小时值班制，保证电话畅通。</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未成立相关队伍扣2分；未能在半小时内到达现场的每次扣5分。</w:t>
            </w:r>
            <w:r>
              <w:rPr>
                <w:rFonts w:ascii="仿宋" w:hAnsi="仿宋" w:eastAsia="仿宋"/>
                <w:sz w:val="24"/>
              </w:rPr>
            </w:r>
            <w:r/>
          </w:p>
        </w:tc>
      </w:tr>
      <w:tr>
        <w:trPr>
          <w:cantSplit/>
        </w:trPr>
        <w:tc>
          <w:tcPr>
            <w:tcW w:w="1170" w:type="dxa"/>
            <w:vAlign w:val="center"/>
            <w:vMerge w:val="restart"/>
            <w:textDirection w:val="lrTb"/>
            <w:noWrap w:val="false"/>
          </w:tcPr>
          <w:p>
            <w:pPr>
              <w:pStyle w:val="895"/>
              <w:jc w:val="center"/>
              <w:spacing w:line="340" w:lineRule="exact"/>
              <w:rPr>
                <w:rFonts w:ascii="仿宋" w:hAnsi="仿宋" w:eastAsia="仿宋"/>
                <w:sz w:val="24"/>
              </w:rPr>
            </w:pPr>
            <w:r>
              <w:rPr>
                <w:rFonts w:hint="eastAsia" w:ascii="仿宋" w:hAnsi="仿宋" w:eastAsia="仿宋"/>
                <w:sz w:val="24"/>
              </w:rPr>
              <w:t xml:space="preserve">文明安全措施</w:t>
            </w: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看管巡查制度：对月季每日进行巡查，发现破坏月季现象及时劝阻和制止，检查月季的生长等有关情况，发现问题及时处理。枯枝、残枝及断枝要及时修剪清理。</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未巡查造成月季被损坏的，每处扣1-3分；未及时清理枯枝断枝等,发现一处扣0.5分,发生伤人事件除自行承担相应责任外,每起扣5-10分。</w:t>
            </w:r>
            <w:r>
              <w:rPr>
                <w:rFonts w:ascii="仿宋" w:hAnsi="仿宋" w:eastAsia="仿宋"/>
                <w:sz w:val="24"/>
              </w:rPr>
            </w:r>
            <w:r/>
          </w:p>
        </w:tc>
      </w:tr>
      <w:tr>
        <w:trPr>
          <w:cantSplit/>
        </w:trPr>
        <w:tc>
          <w:tcPr>
            <w:tcW w:w="1170" w:type="dxa"/>
            <w:vAlign w:val="center"/>
            <w:vMerge w:val="continue"/>
            <w:textDirection w:val="lrTb"/>
            <w:noWrap w:val="false"/>
          </w:tcPr>
          <w:p>
            <w:pPr>
              <w:pStyle w:val="895"/>
              <w:jc w:val="center"/>
              <w:spacing w:line="340" w:lineRule="exact"/>
              <w:rPr>
                <w:rFonts w:ascii="仿宋" w:hAnsi="仿宋" w:eastAsia="仿宋"/>
                <w:sz w:val="24"/>
              </w:rPr>
            </w:pPr>
            <w:r>
              <w:rPr>
                <w:rFonts w:ascii="仿宋" w:hAnsi="仿宋" w:eastAsia="仿宋"/>
                <w:sz w:val="24"/>
              </w:rPr>
            </w:r>
            <w:r/>
          </w:p>
        </w:tc>
        <w:tc>
          <w:tcPr>
            <w:tcW w:w="4875"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加强对员工安全生产教育和安全知识培训，月季修剪时设置修剪警示告示牌，隔离带有专职安全员到场指挥协调，注意行人和车辆安全。</w:t>
            </w:r>
            <w:r>
              <w:rPr>
                <w:rFonts w:ascii="仿宋" w:hAnsi="仿宋" w:eastAsia="仿宋"/>
                <w:sz w:val="24"/>
              </w:rPr>
            </w:r>
            <w:r/>
          </w:p>
        </w:tc>
        <w:tc>
          <w:tcPr>
            <w:tcW w:w="4320" w:type="dxa"/>
            <w:vAlign w:val="center"/>
            <w:textDirection w:val="lrTb"/>
            <w:noWrap w:val="false"/>
          </w:tcPr>
          <w:p>
            <w:pPr>
              <w:pStyle w:val="895"/>
              <w:jc w:val="left"/>
              <w:spacing w:line="340" w:lineRule="exact"/>
              <w:rPr>
                <w:rFonts w:ascii="仿宋" w:hAnsi="仿宋" w:eastAsia="仿宋"/>
                <w:sz w:val="24"/>
              </w:rPr>
            </w:pPr>
            <w:r>
              <w:rPr>
                <w:rFonts w:hint="eastAsia" w:ascii="仿宋" w:hAnsi="仿宋" w:eastAsia="仿宋"/>
                <w:sz w:val="24"/>
              </w:rPr>
              <w:t xml:space="preserve">修剪时现场不按标准要求实施的，每次扣2-5分，发生安全事故的除自行承担相应责任外，每起扣5-10分。</w:t>
            </w:r>
            <w:r>
              <w:rPr>
                <w:rFonts w:ascii="仿宋" w:hAnsi="仿宋" w:eastAsia="仿宋"/>
                <w:sz w:val="24"/>
              </w:rPr>
            </w:r>
            <w:r/>
          </w:p>
        </w:tc>
      </w:tr>
    </w:tbl>
    <w:p>
      <w:pPr>
        <w:pStyle w:val="895"/>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895"/>
        <w:jc w:val="both"/>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pStyle w:val="895"/>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1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5"/>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6"/>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7"/>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5"/>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5"/>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7"/>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rPr>
        <w:t xml:space="preserve">3、我们接受招标文件的所有的条</w:t>
      </w:r>
      <w:r>
        <w:rPr>
          <w:rFonts w:hint="eastAsia" w:ascii="仿宋" w:hAnsi="仿宋" w:eastAsia="仿宋"/>
          <w:color w:val="000000"/>
          <w:sz w:val="28"/>
          <w:szCs w:val="28"/>
          <w:highlight w:val="none"/>
        </w:rPr>
        <w:t xml:space="preserve">款和规定。</w:t>
      </w:r>
      <w:r>
        <w:rPr>
          <w:rFonts w:hint="eastAsia" w:ascii="仿宋" w:hAnsi="仿宋" w:eastAsia="仿宋"/>
          <w:sz w:val="28"/>
          <w:szCs w:val="28"/>
          <w:highlight w:val="none"/>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4、我们同意按照招标文件第二章第15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7"/>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7"/>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7"/>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5"/>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6"/>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5"/>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5"/>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5"/>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895"/>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6"/>
        <w:keepLines w:val="0"/>
        <w:keepNext w:val="0"/>
        <w:pageBreakBefore w:val="0"/>
        <w:rPr>
          <w:rFonts w:hint="eastAsia" w:hAnsi="宋体"/>
          <w:b/>
          <w:sz w:val="32"/>
          <w:szCs w:val="32"/>
        </w:rPr>
        <w:outlineLvl w:val="9"/>
      </w:pPr>
      <w:r/>
      <w:bookmarkStart w:id="48" w:name="_Toc157775468"/>
      <w:r>
        <w:rPr>
          <w:rFonts w:hint="eastAsia" w:hAnsi="宋体"/>
          <w:b/>
          <w:sz w:val="32"/>
          <w:szCs w:val="32"/>
        </w:rPr>
      </w:r>
      <w:r/>
    </w:p>
    <w:p>
      <w:pPr>
        <w:pStyle w:val="916"/>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6"/>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pPr w:horzAnchor="page" w:tblpX="1810" w:vertAnchor="text" w:tblpY="337" w:leftFromText="180" w:topFromText="0" w:rightFromText="180" w:bottomFromText="0"/>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91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hint="eastAsia" w:ascii="仿宋" w:hAnsi="仿宋" w:eastAsia="仿宋"/>
                <w:sz w:val="24"/>
                <w:szCs w:val="24"/>
                <w:lang w:eastAsia="zh-CN"/>
              </w:rPr>
              <w:t xml:space="preserve">投标</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91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framePr w:vAnchor="text" w:hAnchor="page" w:x="1810" w:y="337"/>
            </w:pPr>
            <w:r>
              <w:rPr>
                <w:rFonts w:ascii="仿宋" w:hAnsi="仿宋" w:eastAsia="仿宋"/>
                <w:sz w:val="24"/>
                <w:szCs w:val="24"/>
              </w:rPr>
              <w:t xml:space="preserve"> </w:t>
            </w:r>
            <w:r>
              <w:rPr>
                <w:rFonts w:ascii="仿宋" w:hAnsi="仿宋" w:eastAsia="仿宋"/>
                <w:sz w:val="24"/>
                <w:szCs w:val="24"/>
              </w:rPr>
            </w:r>
            <w:r/>
          </w:p>
        </w:tc>
      </w:tr>
    </w:tbl>
    <w:p>
      <w:pPr>
        <w:pStyle w:val="916"/>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lang w:eastAsia="zh-CN"/>
        </w:rPr>
        <w:t xml:space="preserve">投标</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lang w:eastAsia="zh-CN"/>
        </w:rPr>
        <w:t xml:space="preserve">采购</w:t>
      </w:r>
      <w:r>
        <w:rPr>
          <w:rFonts w:ascii="仿宋" w:hAnsi="仿宋" w:eastAsia="仿宋"/>
          <w:sz w:val="28"/>
          <w:szCs w:val="24"/>
        </w:rPr>
        <w:t xml:space="preserve">文件中另有规定的除外。</w:t>
      </w:r>
      <w:r>
        <w:rPr>
          <w:rFonts w:ascii="仿宋" w:hAnsi="仿宋" w:eastAsia="仿宋"/>
          <w:sz w:val="28"/>
          <w:szCs w:val="24"/>
        </w:rPr>
      </w:r>
      <w:r/>
    </w:p>
    <w:p>
      <w:pPr>
        <w:pStyle w:val="916"/>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16"/>
        <w:ind w:firstLine="0"/>
        <w:jc w:val="both"/>
        <w:keepLines w:val="0"/>
        <w:keepNext w:val="0"/>
        <w:pageBreakBefore w:val="0"/>
        <w:spacing w:line="520" w:lineRule="exact"/>
        <w:widowControl w:val="off"/>
        <w:rPr>
          <w:rFonts w:hint="eastAsia" w:ascii="仿宋" w:hAnsi="仿宋" w:eastAsia="仿宋"/>
          <w:sz w:val="28"/>
          <w:szCs w:val="28"/>
        </w:rPr>
        <w:outlineLvl w:val="9"/>
      </w:pPr>
      <w:r/>
      <w:bookmarkEnd w:id="48"/>
      <w:r>
        <w:rPr>
          <w:rFonts w:hint="eastAsia" w:ascii="仿宋" w:hAnsi="仿宋" w:eastAsia="仿宋"/>
          <w:sz w:val="28"/>
          <w:szCs w:val="28"/>
        </w:rPr>
        <w:t xml:space="preserve">注:（1）是否偏离用符号“+、=、-”分别表示正偏离、完全响应、负偏离。 </w:t>
      </w:r>
      <w:r>
        <w:rPr>
          <w:rFonts w:hint="eastAsia" w:ascii="仿宋" w:hAnsi="仿宋" w:eastAsia="仿宋"/>
          <w:sz w:val="28"/>
          <w:szCs w:val="28"/>
        </w:rPr>
      </w:r>
      <w:r/>
    </w:p>
    <w:p>
      <w:pPr>
        <w:pStyle w:val="916"/>
        <w:numPr>
          <w:ilvl w:val="0"/>
          <w:numId w:val="7"/>
        </w:numPr>
        <w:ind w:firstLine="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投标人必须仔细阅读本招标文件第五章中所有服务条款和相关要求，并将响应情况及偏离情况逐项填入上表，响应时不得对原有服务进行直接复制粘贴及简单表述为完全响应，否则将影响该项得分。</w:t>
      </w:r>
      <w:r>
        <w:rPr>
          <w:rFonts w:hint="eastAsia" w:ascii="仿宋" w:hAnsi="仿宋" w:eastAsia="仿宋"/>
          <w:sz w:val="28"/>
          <w:szCs w:val="28"/>
        </w:rPr>
      </w:r>
      <w:r/>
    </w:p>
    <w:p>
      <w:pPr>
        <w:pStyle w:val="916"/>
        <w:numPr>
          <w:ilvl w:val="0"/>
          <w:numId w:val="0"/>
        </w:numPr>
        <w:jc w:val="both"/>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szCs w:val="32"/>
        </w:rPr>
        <w:br w:type="page" w:clear="all"/>
      </w:r>
      <w:r>
        <w:rPr>
          <w:rFonts w:hint="eastAsia" w:ascii="仿宋" w:hAnsi="仿宋" w:eastAsia="仿宋"/>
          <w:b/>
          <w:bCs/>
          <w:sz w:val="32"/>
          <w:szCs w:val="32"/>
        </w:rPr>
      </w:r>
      <w:r/>
    </w:p>
    <w:p>
      <w:pPr>
        <w:pStyle w:val="916"/>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895"/>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895"/>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44" w:type="dxa"/>
            <w:vAlign w:val="center"/>
            <w:textDirection w:val="lrTb"/>
            <w:noWrap w:val="false"/>
          </w:tcPr>
          <w:p>
            <w:pPr>
              <w:pStyle w:val="895"/>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895"/>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95"/>
              <w:spacing w:line="520" w:lineRule="exact"/>
              <w:rPr>
                <w:rFonts w:ascii="仿宋" w:hAnsi="仿宋" w:eastAsia="仿宋" w:cs="仿宋"/>
                <w:sz w:val="28"/>
                <w:szCs w:val="28"/>
              </w:rPr>
            </w:pPr>
            <w:r>
              <w:rPr>
                <w:rFonts w:ascii="仿宋" w:hAnsi="仿宋" w:eastAsia="仿宋" w:cs="仿宋"/>
                <w:sz w:val="28"/>
                <w:szCs w:val="28"/>
              </w:rPr>
            </w:r>
            <w:r/>
          </w:p>
        </w:tc>
      </w:tr>
    </w:tbl>
    <w:p>
      <w:pPr>
        <w:pStyle w:val="895"/>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95"/>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916"/>
        <w:numPr>
          <w:ilvl w:val="0"/>
          <w:numId w:val="0"/>
        </w:numPr>
        <w:jc w:val="both"/>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br w:type="page" w:clear="all"/>
      </w:r>
      <w:r>
        <w:rPr>
          <w:rFonts w:hint="eastAsia" w:ascii="仿宋" w:hAnsi="仿宋" w:eastAsia="仿宋"/>
          <w:b/>
          <w:bCs/>
          <w:sz w:val="32"/>
        </w:rPr>
      </w:r>
      <w:r/>
    </w:p>
    <w:p>
      <w:pPr>
        <w:pStyle w:val="916"/>
        <w:numPr>
          <w:ilvl w:val="0"/>
          <w:numId w:val="0"/>
        </w:numPr>
        <w:jc w:val="both"/>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5"/>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5"/>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5"/>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lang w:val="zh-CN"/>
        </w:rPr>
        <w:t xml:space="preserve">、</w:t>
      </w:r>
      <w:r>
        <w:rPr>
          <w:rFonts w:hint="eastAsia" w:ascii="仿宋" w:hAnsi="仿宋" w:eastAsia="仿宋"/>
          <w:b/>
          <w:bCs/>
          <w:sz w:val="28"/>
          <w:szCs w:val="28"/>
        </w:rPr>
        <w:t xml:space="preserve">根据本项目的特定资格要求，</w:t>
      </w:r>
      <w:r>
        <w:rPr>
          <w:rFonts w:hint="eastAsia" w:ascii="仿宋" w:hAnsi="仿宋" w:eastAsia="仿宋"/>
          <w:b/>
          <w:bCs/>
          <w:color w:val="000000"/>
          <w:sz w:val="28"/>
          <w:szCs w:val="28"/>
          <w:lang w:val="zh-CN"/>
        </w:rPr>
        <w:t xml:space="preserve">投标人还须提供下列资料</w:t>
      </w:r>
      <w:r>
        <w:rPr>
          <w:rFonts w:hint="eastAsia" w:ascii="仿宋" w:hAnsi="仿宋" w:eastAsia="仿宋"/>
          <w:b/>
          <w:bCs/>
          <w:sz w:val="28"/>
          <w:szCs w:val="28"/>
        </w:rPr>
        <w:t xml:space="preserve">:</w:t>
      </w:r>
      <w:r>
        <w:rPr>
          <w:rFonts w:hint="eastAsia" w:ascii="仿宋" w:hAnsi="仿宋" w:eastAsia="仿宋"/>
          <w:b/>
          <w:bCs/>
          <w:sz w:val="28"/>
          <w:szCs w:val="28"/>
        </w:rPr>
      </w:r>
      <w:r/>
    </w:p>
    <w:p>
      <w:pPr>
        <w:pStyle w:val="895"/>
        <w:ind w:firstLine="562"/>
        <w:keepLines w:val="0"/>
        <w:keepNext w:val="0"/>
        <w:pageBreakBefore w:val="0"/>
        <w:spacing w:line="520" w:lineRule="exact"/>
        <w:rPr>
          <w:rFonts w:hint="eastAsia" w:ascii="仿宋" w:hAnsi="仿宋" w:eastAsia="仿宋"/>
          <w:b/>
          <w:bCs/>
          <w:sz w:val="28"/>
          <w:szCs w:val="28"/>
          <w:lang w:eastAsia="zh-CN"/>
        </w:rPr>
        <w:outlineLvl w:val="9"/>
      </w:pPr>
      <w:r>
        <w:rPr>
          <w:rFonts w:hint="eastAsia" w:ascii="仿宋" w:hAnsi="仿宋" w:eastAsia="仿宋"/>
          <w:b/>
          <w:bCs/>
          <w:sz w:val="28"/>
          <w:szCs w:val="28"/>
        </w:rPr>
        <w:t xml:space="preserve">投标人拟选派的项目负责人和技术负责人具有</w:t>
      </w:r>
      <w:r>
        <w:rPr>
          <w:rFonts w:hint="eastAsia" w:ascii="仿宋" w:hAnsi="仿宋" w:eastAsia="仿宋"/>
          <w:b/>
          <w:bCs/>
          <w:sz w:val="28"/>
          <w:szCs w:val="28"/>
          <w:lang w:eastAsia="zh-CN"/>
        </w:rPr>
        <w:t xml:space="preserve">的</w:t>
      </w:r>
      <w:r>
        <w:rPr>
          <w:rFonts w:hint="eastAsia" w:ascii="仿宋" w:hAnsi="仿宋" w:eastAsia="仿宋"/>
          <w:b/>
          <w:bCs/>
          <w:sz w:val="28"/>
          <w:szCs w:val="28"/>
        </w:rPr>
        <w:t xml:space="preserve">园林绿化（或者风景园林专业）中级及以上职称证书，若职称证书的专业是建设工程的,须提供专业为园林绿化相关专业的毕业证书</w:t>
      </w:r>
      <w:r>
        <w:rPr>
          <w:rFonts w:hint="eastAsia" w:ascii="仿宋" w:hAnsi="仿宋" w:eastAsia="仿宋"/>
          <w:b/>
          <w:bCs/>
          <w:sz w:val="28"/>
          <w:szCs w:val="28"/>
          <w:lang w:eastAsia="zh-CN"/>
        </w:rPr>
        <w:t xml:space="preserve">。相关人员须为投标单位的员工，同时提供能够证明其为本公司员工的材料。</w:t>
      </w:r>
      <w:r>
        <w:rPr>
          <w:rFonts w:hint="eastAsia" w:ascii="仿宋" w:hAnsi="仿宋" w:eastAsia="仿宋"/>
          <w:b/>
          <w:bCs/>
          <w:sz w:val="28"/>
          <w:szCs w:val="28"/>
          <w:lang w:eastAsia="zh-CN"/>
        </w:rPr>
      </w:r>
      <w:r/>
    </w:p>
    <w:p>
      <w:pPr>
        <w:pStyle w:val="895"/>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9"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5"/>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895"/>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5"/>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5"/>
        <w:ind w:firstLine="2891"/>
        <w:keepLines w:val="0"/>
        <w:keepNext w:val="0"/>
        <w:pageBreakBefore w:val="0"/>
        <w:spacing w:line="640" w:lineRule="exact"/>
        <w:rPr>
          <w:rFonts w:ascii="仿宋" w:hAnsi="仿宋" w:eastAsia="仿宋" w:cs="楷体_GB2312"/>
          <w:b/>
          <w:bCs/>
          <w:sz w:val="32"/>
          <w:szCs w:val="32"/>
          <w:lang w:val="zh-CN"/>
        </w:rPr>
        <w:outlineLvl w:val="9"/>
      </w:pPr>
      <w:r/>
      <w:bookmarkEnd w:id="4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5"/>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5"/>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5"/>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5"/>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7"/>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5"/>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5"/>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5"/>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5"/>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5"/>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5"/>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5"/>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5"/>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5"/>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5"/>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5"/>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5"/>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5"/>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p>
      <w:pPr>
        <w:pStyle w:val="895"/>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0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5"/>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5"/>
        <w:ind w:firstLine="565"/>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end"/>
    </w:r>
    <w:r>
      <w:rPr>
        <w:rStyle w:val="935"/>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8"/>
      <w:isLgl w:val="false"/>
      <w:suff w:val="nothing"/>
      <w:lvlText w:val="第%1章"/>
      <w:lvlJc w:val="left"/>
      <w:pPr>
        <w:pStyle w:val="895"/>
        <w:ind w:left="640" w:firstLine="0"/>
      </w:pPr>
      <w:rPr>
        <w:rFonts w:hint="eastAsia"/>
      </w:rPr>
    </w:lvl>
    <w:lvl w:ilvl="1">
      <w:start w:val="1"/>
      <w:numFmt w:val="decimal"/>
      <w:isLgl w:val="false"/>
      <w:suff w:val="nothing"/>
      <w:lvlText w:val=""/>
      <w:lvlJc w:val="left"/>
      <w:pPr>
        <w:pStyle w:val="895"/>
        <w:ind w:left="640" w:firstLine="0"/>
      </w:pPr>
      <w:rPr>
        <w:rFonts w:hint="eastAsia"/>
      </w:rPr>
    </w:lvl>
    <w:lvl w:ilvl="2">
      <w:start w:val="1"/>
      <w:numFmt w:val="decimal"/>
      <w:isLgl w:val="false"/>
      <w:suff w:val="nothing"/>
      <w:lvlText w:val=""/>
      <w:lvlJc w:val="left"/>
      <w:pPr>
        <w:pStyle w:val="895"/>
        <w:ind w:left="640" w:firstLine="0"/>
      </w:pPr>
      <w:rPr>
        <w:rFonts w:hint="eastAsia"/>
      </w:rPr>
    </w:lvl>
    <w:lvl w:ilvl="3">
      <w:start w:val="1"/>
      <w:numFmt w:val="decimal"/>
      <w:isLgl w:val="false"/>
      <w:suff w:val="nothing"/>
      <w:lvlText w:val=""/>
      <w:lvlJc w:val="left"/>
      <w:pPr>
        <w:pStyle w:val="895"/>
        <w:ind w:left="640" w:firstLine="0"/>
      </w:pPr>
      <w:rPr>
        <w:rFonts w:hint="eastAsia"/>
      </w:rPr>
    </w:lvl>
    <w:lvl w:ilvl="4">
      <w:start w:val="1"/>
      <w:numFmt w:val="decimal"/>
      <w:isLgl w:val="false"/>
      <w:suff w:val="nothing"/>
      <w:lvlText w:val=""/>
      <w:lvlJc w:val="left"/>
      <w:pPr>
        <w:pStyle w:val="895"/>
        <w:ind w:left="640" w:firstLine="0"/>
      </w:pPr>
      <w:rPr>
        <w:rFonts w:hint="eastAsia"/>
      </w:rPr>
    </w:lvl>
    <w:lvl w:ilvl="5">
      <w:start w:val="1"/>
      <w:numFmt w:val="decimal"/>
      <w:isLgl w:val="false"/>
      <w:suff w:val="nothing"/>
      <w:lvlText w:val=""/>
      <w:lvlJc w:val="left"/>
      <w:pPr>
        <w:pStyle w:val="895"/>
        <w:ind w:left="640" w:firstLine="0"/>
      </w:pPr>
      <w:rPr>
        <w:rFonts w:hint="eastAsia"/>
      </w:rPr>
    </w:lvl>
    <w:lvl w:ilvl="6">
      <w:start w:val="1"/>
      <w:numFmt w:val="decimal"/>
      <w:isLgl w:val="false"/>
      <w:suff w:val="nothing"/>
      <w:lvlText w:val=""/>
      <w:lvlJc w:val="left"/>
      <w:pPr>
        <w:pStyle w:val="895"/>
        <w:ind w:left="640" w:firstLine="0"/>
      </w:pPr>
      <w:rPr>
        <w:rFonts w:hint="eastAsia"/>
      </w:rPr>
    </w:lvl>
    <w:lvl w:ilvl="7">
      <w:start w:val="1"/>
      <w:numFmt w:val="decimal"/>
      <w:isLgl w:val="false"/>
      <w:suff w:val="nothing"/>
      <w:lvlText w:val=""/>
      <w:lvlJc w:val="left"/>
      <w:pPr>
        <w:pStyle w:val="895"/>
        <w:ind w:left="640" w:firstLine="0"/>
      </w:pPr>
      <w:rPr>
        <w:rFonts w:hint="eastAsia"/>
      </w:rPr>
    </w:lvl>
    <w:lvl w:ilvl="8">
      <w:start w:val="1"/>
      <w:numFmt w:val="decimal"/>
      <w:isLgl w:val="false"/>
      <w:suff w:val="nothing"/>
      <w:lvlText w:val=""/>
      <w:lvlJc w:val="left"/>
      <w:pPr>
        <w:pStyle w:val="895"/>
        <w:ind w:left="640" w:firstLine="0"/>
      </w:pPr>
      <w:rPr>
        <w:rFonts w:hint="eastAsia"/>
      </w:rPr>
    </w:lvl>
  </w:abstractNum>
  <w:abstractNum w:abstractNumId="3">
    <w:multiLevelType w:val="hybridMultilevel"/>
    <w:lvl w:ilvl="0">
      <w:start w:val="1"/>
      <w:numFmt w:val="chineseCountingThousand"/>
      <w:pStyle w:val="968"/>
      <w:isLgl w:val="false"/>
      <w:suff w:val="tab"/>
      <w:lvlText w:val="%1、"/>
      <w:lvlJc w:val="left"/>
      <w:pPr>
        <w:pStyle w:val="895"/>
        <w:ind w:left="420" w:hanging="420"/>
        <w:tabs>
          <w:tab w:val="num" w:pos="420" w:leader="none"/>
        </w:tabs>
      </w:pPr>
      <w:rPr>
        <w:rFonts w:hint="eastAsia"/>
        <w:b/>
        <w:i w:val="0"/>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4">
    <w:multiLevelType w:val="hybridMultilevel"/>
    <w:lvl w:ilvl="0">
      <w:start w:val="2"/>
      <w:numFmt w:val="chineseCountingThousand"/>
      <w:pStyle w:val="974"/>
      <w:isLgl w:val="false"/>
      <w:suff w:val="nothing"/>
      <w:lvlText w:val="第%1部分"/>
      <w:lvlJc w:val="center"/>
      <w:pPr>
        <w:pStyle w:val="895"/>
        <w:ind w:left="432" w:firstLine="288"/>
      </w:pPr>
      <w:rPr>
        <w:rFonts w:hint="eastAsia"/>
        <w:sz w:val="28"/>
        <w:szCs w:val="28"/>
        <w:lang w:val="en-US"/>
      </w:rPr>
    </w:lvl>
    <w:lvl w:ilvl="1">
      <w:start w:val="1"/>
      <w:numFmt w:val="chineseCountingThousand"/>
      <w:isLgl w:val="false"/>
      <w:suff w:val="nothing"/>
      <w:lvlText w:val="%2、"/>
      <w:lvlJc w:val="left"/>
      <w:pPr>
        <w:pStyle w:val="895"/>
        <w:ind w:left="360" w:firstLine="0"/>
      </w:pPr>
      <w:rPr>
        <w:rFonts w:hint="eastAsia"/>
        <w:lang w:val="en-US"/>
      </w:rPr>
    </w:lvl>
    <w:lvl w:ilvl="2">
      <w:start w:val="1"/>
      <w:numFmt w:val="chineseCountingThousand"/>
      <w:isLgl w:val="false"/>
      <w:suff w:val="nothing"/>
      <w:lvlText w:val="(%3)"/>
      <w:lvlJc w:val="left"/>
      <w:pPr>
        <w:pStyle w:val="895"/>
        <w:ind w:left="0" w:firstLine="0"/>
      </w:pPr>
      <w:rPr>
        <w:rFonts w:hint="eastAsia"/>
      </w:rPr>
    </w:lvl>
    <w:lvl w:ilvl="3">
      <w:start w:val="1"/>
      <w:numFmt w:val="decimal"/>
      <w:isLgl w:val="false"/>
      <w:suff w:val="nothing"/>
      <w:lvlText w:val="%4、"/>
      <w:lvlJc w:val="left"/>
      <w:pPr>
        <w:pStyle w:val="895"/>
        <w:ind w:left="0" w:firstLine="0"/>
      </w:pPr>
      <w:rPr>
        <w:rFonts w:hint="eastAsia"/>
      </w:rPr>
    </w:lvl>
    <w:lvl w:ilvl="4">
      <w:start w:val="1"/>
      <w:numFmt w:val="upperLetter"/>
      <w:isLgl w:val="false"/>
      <w:suff w:val="nothing"/>
      <w:lvlText w:val="%5、"/>
      <w:lvlJc w:val="left"/>
      <w:pPr>
        <w:pStyle w:val="895"/>
        <w:ind w:left="0" w:firstLine="0"/>
      </w:pPr>
      <w:rPr>
        <w:rFonts w:hint="eastAsia"/>
      </w:rPr>
    </w:lvl>
    <w:lvl w:ilvl="5">
      <w:start w:val="1"/>
      <w:numFmt w:val="decimal"/>
      <w:isLgl w:val="false"/>
      <w:suff w:val="nothing"/>
      <w:lvlText w:val=""/>
      <w:lvlJc w:val="left"/>
      <w:pPr>
        <w:pStyle w:val="895"/>
        <w:ind w:left="0" w:firstLine="0"/>
      </w:pPr>
      <w:rPr>
        <w:rFonts w:hint="eastAsia"/>
      </w:rPr>
    </w:lvl>
    <w:lvl w:ilvl="6">
      <w:start w:val="1"/>
      <w:numFmt w:val="decimal"/>
      <w:isLgl w:val="false"/>
      <w:suff w:val="nothing"/>
      <w:lvlText w:val=""/>
      <w:lvlJc w:val="left"/>
      <w:pPr>
        <w:pStyle w:val="895"/>
        <w:ind w:left="0" w:firstLine="0"/>
      </w:pPr>
      <w:rPr>
        <w:rFonts w:hint="eastAsia"/>
      </w:rPr>
    </w:lvl>
    <w:lvl w:ilvl="7">
      <w:start w:val="1"/>
      <w:numFmt w:val="decimal"/>
      <w:isLgl w:val="false"/>
      <w:suff w:val="nothing"/>
      <w:lvlText w:val=""/>
      <w:lvlJc w:val="left"/>
      <w:pPr>
        <w:pStyle w:val="895"/>
        <w:ind w:left="0" w:firstLine="0"/>
      </w:pPr>
      <w:rPr>
        <w:rFonts w:hint="eastAsia"/>
      </w:rPr>
    </w:lvl>
    <w:lvl w:ilvl="8">
      <w:start w:val="1"/>
      <w:numFmt w:val="decimal"/>
      <w:isLgl w:val="false"/>
      <w:suff w:val="nothing"/>
      <w:lvlText w:val=""/>
      <w:lvlJc w:val="left"/>
      <w:pPr>
        <w:pStyle w:val="895"/>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895"/>
      </w:pPr>
      <w:rPr>
        <w:rFonts w:hint="eastAsia"/>
      </w:r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4"/>
      <w:lang w:val="en-US" w:eastAsia="zh-CN" w:bidi="ar-SA"/>
    </w:rPr>
  </w:style>
  <w:style w:type="paragraph" w:styleId="896">
    <w:name w:val="标题 1"/>
    <w:basedOn w:val="895"/>
    <w:next w:val="895"/>
    <w:link w:val="895"/>
    <w:uiPriority w:val="9"/>
    <w:qFormat/>
    <w:pPr>
      <w:keepLines/>
      <w:keepNext/>
      <w:spacing w:before="340" w:after="330" w:line="578" w:lineRule="auto"/>
      <w:outlineLvl w:val="0"/>
    </w:pPr>
    <w:rPr>
      <w:b/>
      <w:bCs/>
      <w:sz w:val="44"/>
      <w:szCs w:val="44"/>
    </w:rPr>
  </w:style>
  <w:style w:type="paragraph" w:styleId="897">
    <w:name w:val="标题 2"/>
    <w:basedOn w:val="895"/>
    <w:next w:val="903"/>
    <w:link w:val="895"/>
    <w:uiPriority w:val="9"/>
    <w:qFormat/>
    <w:pPr>
      <w:keepLines/>
      <w:keepNext/>
      <w:spacing w:before="260" w:after="260" w:line="413" w:lineRule="auto"/>
      <w:outlineLvl w:val="1"/>
    </w:pPr>
    <w:rPr>
      <w:rFonts w:ascii="Arial" w:hAnsi="Arial" w:eastAsia="黑体"/>
      <w:b/>
      <w:sz w:val="32"/>
      <w:szCs w:val="20"/>
    </w:rPr>
  </w:style>
  <w:style w:type="paragraph" w:styleId="898">
    <w:name w:val="标题 3"/>
    <w:basedOn w:val="895"/>
    <w:next w:val="895"/>
    <w:link w:val="895"/>
    <w:uiPriority w:val="9"/>
    <w:qFormat/>
    <w:pPr>
      <w:keepLines/>
      <w:keepNext/>
      <w:spacing w:before="260" w:after="260" w:line="413" w:lineRule="auto"/>
      <w:outlineLvl w:val="2"/>
    </w:pPr>
    <w:rPr>
      <w:rFonts w:ascii="Arial" w:hAnsi="Arial"/>
      <w:b/>
      <w:sz w:val="32"/>
      <w:szCs w:val="20"/>
    </w:rPr>
  </w:style>
  <w:style w:type="paragraph" w:styleId="899">
    <w:name w:val="标题 4"/>
    <w:basedOn w:val="895"/>
    <w:next w:val="895"/>
    <w:link w:val="905"/>
    <w:uiPriority w:val="9"/>
    <w:qFormat/>
    <w:pPr>
      <w:keepLines/>
      <w:keepNext/>
      <w:spacing w:before="280" w:after="290" w:line="376" w:lineRule="auto"/>
      <w:outlineLvl w:val="3"/>
    </w:pPr>
    <w:rPr>
      <w:rFonts w:ascii="Cambria" w:hAnsi="Cambria"/>
      <w:b/>
      <w:bCs/>
      <w:sz w:val="28"/>
      <w:szCs w:val="28"/>
    </w:rPr>
  </w:style>
  <w:style w:type="paragraph" w:styleId="900">
    <w:name w:val="标题 5"/>
    <w:basedOn w:val="895"/>
    <w:next w:val="895"/>
    <w:link w:val="906"/>
    <w:uiPriority w:val="9"/>
    <w:qFormat/>
    <w:pPr>
      <w:keepLines/>
      <w:keepNext/>
      <w:spacing w:before="280" w:after="290" w:line="376" w:lineRule="auto"/>
      <w:outlineLvl w:val="4"/>
    </w:pPr>
    <w:rPr>
      <w:b/>
      <w:bCs/>
      <w:sz w:val="28"/>
      <w:szCs w:val="28"/>
    </w:rPr>
  </w:style>
  <w:style w:type="character" w:styleId="901">
    <w:name w:val="默认段落字体"/>
    <w:next w:val="901"/>
    <w:link w:val="895"/>
    <w:semiHidden/>
  </w:style>
  <w:style w:type="table" w:styleId="902">
    <w:name w:val="普通表格"/>
    <w:next w:val="902"/>
    <w:link w:val="89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3">
    <w:name w:val="正文缩进"/>
    <w:basedOn w:val="895"/>
    <w:next w:val="903"/>
    <w:link w:val="904"/>
    <w:pPr>
      <w:ind w:firstLine="420"/>
    </w:pPr>
    <w:rPr>
      <w:szCs w:val="20"/>
    </w:rPr>
  </w:style>
  <w:style w:type="character" w:styleId="904">
    <w:name w:val="正文缩进 Char"/>
    <w:next w:val="904"/>
    <w:link w:val="903"/>
    <w:rPr>
      <w:sz w:val="21"/>
    </w:rPr>
  </w:style>
  <w:style w:type="character" w:styleId="905">
    <w:name w:val="标题 4 Char"/>
    <w:next w:val="905"/>
    <w:link w:val="899"/>
    <w:uiPriority w:val="9"/>
    <w:rPr>
      <w:rFonts w:ascii="Cambria" w:hAnsi="Cambria"/>
      <w:b/>
      <w:bCs/>
      <w:sz w:val="28"/>
      <w:szCs w:val="28"/>
    </w:rPr>
  </w:style>
  <w:style w:type="character" w:styleId="906">
    <w:name w:val="标题 5 Char"/>
    <w:next w:val="906"/>
    <w:link w:val="900"/>
    <w:uiPriority w:val="9"/>
    <w:rPr>
      <w:b/>
      <w:bCs/>
      <w:sz w:val="28"/>
      <w:szCs w:val="28"/>
    </w:rPr>
  </w:style>
  <w:style w:type="paragraph" w:styleId="907">
    <w:name w:val="题注"/>
    <w:basedOn w:val="895"/>
    <w:next w:val="895"/>
    <w:link w:val="895"/>
    <w:uiPriority w:val="35"/>
    <w:qFormat/>
    <w:pPr>
      <w:jc w:val="center"/>
      <w:spacing w:before="156" w:after="156" w:line="360" w:lineRule="auto"/>
    </w:pPr>
    <w:rPr>
      <w:rFonts w:ascii="Arial" w:hAnsi="Arial" w:cs="Arial"/>
      <w:sz w:val="24"/>
      <w:szCs w:val="20"/>
    </w:rPr>
  </w:style>
  <w:style w:type="paragraph" w:styleId="908">
    <w:name w:val="文档结构图"/>
    <w:basedOn w:val="895"/>
    <w:next w:val="908"/>
    <w:link w:val="895"/>
    <w:semiHidden/>
    <w:pPr>
      <w:shd w:val="clear" w:color="auto" w:fill="000080"/>
    </w:pPr>
  </w:style>
  <w:style w:type="paragraph" w:styleId="909">
    <w:name w:val="批注文字"/>
    <w:basedOn w:val="895"/>
    <w:next w:val="909"/>
    <w:link w:val="910"/>
    <w:uiPriority w:val="99"/>
    <w:unhideWhenUsed/>
    <w:pPr>
      <w:jc w:val="left"/>
    </w:pPr>
  </w:style>
  <w:style w:type="character" w:styleId="910">
    <w:name w:val="批注文字 Char"/>
    <w:next w:val="910"/>
    <w:link w:val="909"/>
    <w:uiPriority w:val="99"/>
    <w:rPr>
      <w:sz w:val="21"/>
      <w:szCs w:val="24"/>
    </w:rPr>
  </w:style>
  <w:style w:type="paragraph" w:styleId="911">
    <w:name w:val="正文文本 3"/>
    <w:basedOn w:val="895"/>
    <w:next w:val="911"/>
    <w:link w:val="895"/>
    <w:rPr>
      <w:rFonts w:ascii="楷体_GB2312" w:hAnsi="Arial" w:eastAsia="楷体_GB2312" w:cs="Arial"/>
      <w:b/>
      <w:bCs/>
      <w:color w:val="000000"/>
      <w:sz w:val="24"/>
    </w:rPr>
  </w:style>
  <w:style w:type="paragraph" w:styleId="912">
    <w:name w:val="正文文本"/>
    <w:basedOn w:val="895"/>
    <w:next w:val="912"/>
    <w:link w:val="89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3">
    <w:name w:val="正文文本缩进"/>
    <w:basedOn w:val="895"/>
    <w:next w:val="913"/>
    <w:link w:val="895"/>
    <w:pPr>
      <w:ind w:firstLine="630"/>
    </w:pPr>
    <w:rPr>
      <w:rFonts w:ascii="楷体_GB2312" w:eastAsia="楷体_GB2312"/>
      <w:sz w:val="32"/>
      <w:szCs w:val="20"/>
    </w:rPr>
  </w:style>
  <w:style w:type="paragraph" w:styleId="914">
    <w:name w:val="文本块"/>
    <w:basedOn w:val="895"/>
    <w:next w:val="914"/>
    <w:link w:val="895"/>
    <w:pPr>
      <w:ind w:left="420" w:right="33"/>
      <w:jc w:val="left"/>
    </w:pPr>
    <w:rPr>
      <w:sz w:val="24"/>
      <w:szCs w:val="20"/>
    </w:rPr>
  </w:style>
  <w:style w:type="paragraph" w:styleId="915">
    <w:name w:val="目录 3"/>
    <w:basedOn w:val="895"/>
    <w:next w:val="895"/>
    <w:link w:val="895"/>
    <w:semiHidden/>
    <w:pPr>
      <w:ind w:left="840"/>
      <w:spacing w:line="300" w:lineRule="auto"/>
      <w:tabs>
        <w:tab w:val="right" w:pos="9344" w:leader="dot"/>
      </w:tabs>
    </w:pPr>
    <w:rPr>
      <w:rFonts w:ascii="Arial" w:hAnsi="Arial" w:cs="Arial"/>
      <w:szCs w:val="21"/>
    </w:rPr>
  </w:style>
  <w:style w:type="paragraph" w:styleId="916">
    <w:name w:val="纯文本"/>
    <w:basedOn w:val="895"/>
    <w:next w:val="916"/>
    <w:link w:val="917"/>
    <w:rPr>
      <w:rFonts w:ascii="宋体" w:hAnsi="Courier New"/>
      <w:szCs w:val="20"/>
    </w:rPr>
  </w:style>
  <w:style w:type="character" w:styleId="917">
    <w:name w:val="纯文本 Char"/>
    <w:next w:val="917"/>
    <w:link w:val="916"/>
    <w:rPr>
      <w:rFonts w:ascii="宋体" w:hAnsi="Courier New" w:eastAsia="宋体"/>
      <w:sz w:val="21"/>
      <w:lang w:val="en-US" w:eastAsia="zh-CN" w:bidi="ar-SA"/>
    </w:rPr>
  </w:style>
  <w:style w:type="paragraph" w:styleId="918">
    <w:name w:val="正文文本缩进 2"/>
    <w:basedOn w:val="895"/>
    <w:next w:val="918"/>
    <w:link w:val="895"/>
    <w:pPr>
      <w:ind w:left="420"/>
      <w:spacing w:after="120" w:line="480" w:lineRule="auto"/>
    </w:pPr>
  </w:style>
  <w:style w:type="paragraph" w:styleId="919">
    <w:name w:val="批注框文本"/>
    <w:basedOn w:val="895"/>
    <w:next w:val="919"/>
    <w:link w:val="920"/>
    <w:rPr>
      <w:sz w:val="18"/>
      <w:szCs w:val="18"/>
    </w:rPr>
  </w:style>
  <w:style w:type="character" w:styleId="920">
    <w:name w:val="批注框文本 Char"/>
    <w:next w:val="920"/>
    <w:link w:val="919"/>
    <w:rPr>
      <w:sz w:val="18"/>
      <w:szCs w:val="18"/>
    </w:rPr>
  </w:style>
  <w:style w:type="paragraph" w:styleId="921">
    <w:name w:val="页脚"/>
    <w:basedOn w:val="895"/>
    <w:next w:val="921"/>
    <w:link w:val="922"/>
    <w:pPr>
      <w:jc w:val="left"/>
      <w:tabs>
        <w:tab w:val="center" w:pos="4153" w:leader="none"/>
        <w:tab w:val="right" w:pos="8306" w:leader="none"/>
      </w:tabs>
    </w:pPr>
    <w:rPr>
      <w:sz w:val="18"/>
      <w:szCs w:val="18"/>
    </w:rPr>
  </w:style>
  <w:style w:type="character" w:styleId="922">
    <w:name w:val="页脚 Char"/>
    <w:next w:val="922"/>
    <w:link w:val="921"/>
    <w:rPr>
      <w:sz w:val="18"/>
      <w:szCs w:val="18"/>
    </w:rPr>
  </w:style>
  <w:style w:type="paragraph" w:styleId="923">
    <w:name w:val="页眉"/>
    <w:basedOn w:val="895"/>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sz w:val="18"/>
      <w:szCs w:val="18"/>
    </w:rPr>
  </w:style>
  <w:style w:type="paragraph" w:styleId="925">
    <w:name w:val="目录 1"/>
    <w:basedOn w:val="895"/>
    <w:next w:val="895"/>
    <w:link w:val="895"/>
    <w:semiHidden/>
  </w:style>
  <w:style w:type="paragraph" w:styleId="926">
    <w:name w:val="正文文本缩进 3"/>
    <w:basedOn w:val="895"/>
    <w:next w:val="926"/>
    <w:link w:val="895"/>
    <w:uiPriority w:val="99"/>
    <w:pPr>
      <w:ind w:firstLine="420"/>
    </w:pPr>
    <w:rPr>
      <w:rFonts w:eastAsia="楷体_GB2312"/>
    </w:rPr>
  </w:style>
  <w:style w:type="paragraph" w:styleId="927">
    <w:name w:val="目录 2"/>
    <w:basedOn w:val="895"/>
    <w:next w:val="895"/>
    <w:link w:val="895"/>
    <w:semiHidden/>
    <w:pPr>
      <w:ind w:left="420"/>
    </w:pPr>
    <w:rPr>
      <w:szCs w:val="20"/>
    </w:rPr>
  </w:style>
  <w:style w:type="paragraph" w:styleId="928">
    <w:name w:val="正文文本 2"/>
    <w:basedOn w:val="895"/>
    <w:next w:val="928"/>
    <w:link w:val="929"/>
    <w:pPr>
      <w:spacing w:line="440" w:lineRule="exact"/>
    </w:pPr>
    <w:rPr>
      <w:rFonts w:ascii="楷体_GB2312" w:eastAsia="楷体_GB2312"/>
      <w:sz w:val="28"/>
    </w:rPr>
  </w:style>
  <w:style w:type="character" w:styleId="929">
    <w:name w:val="正文文本 2 Char"/>
    <w:next w:val="929"/>
    <w:link w:val="928"/>
    <w:rPr>
      <w:rFonts w:ascii="楷体_GB2312" w:eastAsia="楷体_GB2312"/>
      <w:sz w:val="28"/>
      <w:szCs w:val="24"/>
    </w:rPr>
  </w:style>
  <w:style w:type="paragraph" w:styleId="930">
    <w:name w:val="批注主题"/>
    <w:basedOn w:val="909"/>
    <w:next w:val="909"/>
    <w:link w:val="931"/>
    <w:rPr>
      <w:b/>
      <w:bCs/>
    </w:rPr>
  </w:style>
  <w:style w:type="character" w:styleId="931">
    <w:name w:val="批注主题 Char"/>
    <w:next w:val="931"/>
    <w:link w:val="930"/>
    <w:rPr>
      <w:b/>
      <w:bCs/>
      <w:sz w:val="21"/>
      <w:szCs w:val="24"/>
    </w:rPr>
  </w:style>
  <w:style w:type="paragraph" w:styleId="932">
    <w:name w:val="正文首行缩进 2"/>
    <w:basedOn w:val="913"/>
    <w:next w:val="932"/>
    <w:link w:val="895"/>
    <w:pPr>
      <w:ind w:left="420" w:firstLine="420"/>
      <w:spacing w:after="120"/>
      <w:widowControl/>
    </w:pPr>
    <w:rPr>
      <w:rFonts w:ascii="仿宋_GB2312" w:eastAsia="仿宋_GB2312"/>
      <w:color w:val="ff6600"/>
      <w:sz w:val="21"/>
    </w:rPr>
  </w:style>
  <w:style w:type="table" w:styleId="933">
    <w:name w:val="网格型"/>
    <w:basedOn w:val="902"/>
    <w:next w:val="933"/>
    <w:link w:val="89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4">
    <w:name w:val="要点"/>
    <w:next w:val="934"/>
    <w:link w:val="895"/>
    <w:qFormat/>
    <w:rPr>
      <w:b w:val="0"/>
      <w:i w:val="0"/>
    </w:rPr>
  </w:style>
  <w:style w:type="character" w:styleId="935">
    <w:name w:val="页码"/>
    <w:next w:val="935"/>
    <w:link w:val="895"/>
  </w:style>
  <w:style w:type="character" w:styleId="936">
    <w:name w:val="已访问的超链接"/>
    <w:next w:val="936"/>
    <w:link w:val="895"/>
    <w:rPr>
      <w:color w:val="800080"/>
      <w:u w:val="none"/>
    </w:rPr>
  </w:style>
  <w:style w:type="character" w:styleId="937">
    <w:name w:val="强调"/>
    <w:next w:val="937"/>
    <w:link w:val="895"/>
    <w:qFormat/>
    <w:rPr>
      <w:b w:val="0"/>
      <w:i w:val="0"/>
    </w:rPr>
  </w:style>
  <w:style w:type="character" w:styleId="938">
    <w:name w:val="HTML 定义"/>
    <w:next w:val="938"/>
    <w:link w:val="895"/>
    <w:rPr>
      <w:b w:val="0"/>
      <w:i w:val="0"/>
    </w:rPr>
  </w:style>
  <w:style w:type="character" w:styleId="939">
    <w:name w:val="HTML 打字机"/>
    <w:next w:val="939"/>
    <w:link w:val="895"/>
    <w:rPr>
      <w:rFonts w:ascii="monospace" w:hAnsi="monospace" w:eastAsia="monospace" w:cs="monospace"/>
      <w:sz w:val="20"/>
    </w:rPr>
  </w:style>
  <w:style w:type="character" w:styleId="940">
    <w:name w:val="HTML 缩写"/>
    <w:next w:val="940"/>
    <w:link w:val="895"/>
  </w:style>
  <w:style w:type="character" w:styleId="941">
    <w:name w:val="HTML 变量"/>
    <w:next w:val="941"/>
    <w:link w:val="895"/>
    <w:rPr>
      <w:b w:val="0"/>
      <w:i w:val="0"/>
    </w:rPr>
  </w:style>
  <w:style w:type="character" w:styleId="942">
    <w:name w:val="超链接"/>
    <w:next w:val="942"/>
    <w:link w:val="895"/>
    <w:rPr>
      <w:color w:val="0000ff"/>
      <w:u w:val="none"/>
    </w:rPr>
  </w:style>
  <w:style w:type="character" w:styleId="943">
    <w:name w:val="HTML 代码"/>
    <w:next w:val="943"/>
    <w:link w:val="895"/>
    <w:rPr>
      <w:rFonts w:ascii="monospace" w:hAnsi="monospace" w:eastAsia="monospace" w:cs="monospace"/>
      <w:b w:val="0"/>
      <w:i w:val="0"/>
      <w:sz w:val="20"/>
    </w:rPr>
  </w:style>
  <w:style w:type="character" w:styleId="944">
    <w:name w:val="批注引用"/>
    <w:next w:val="944"/>
    <w:link w:val="895"/>
    <w:rPr>
      <w:sz w:val="21"/>
      <w:szCs w:val="21"/>
    </w:rPr>
  </w:style>
  <w:style w:type="character" w:styleId="945">
    <w:name w:val="HTML 引文"/>
    <w:next w:val="945"/>
    <w:link w:val="895"/>
    <w:rPr>
      <w:b w:val="0"/>
      <w:i w:val="0"/>
    </w:rPr>
  </w:style>
  <w:style w:type="character" w:styleId="946">
    <w:name w:val="HTML 键盘"/>
    <w:next w:val="946"/>
    <w:link w:val="895"/>
    <w:rPr>
      <w:rFonts w:ascii="monospace" w:hAnsi="monospace" w:eastAsia="monospace" w:cs="monospace"/>
      <w:sz w:val="20"/>
    </w:rPr>
  </w:style>
  <w:style w:type="character" w:styleId="947">
    <w:name w:val="HTML 样本"/>
    <w:next w:val="947"/>
    <w:link w:val="895"/>
    <w:rPr>
      <w:rFonts w:ascii="monospace" w:hAnsi="monospace" w:eastAsia="monospace" w:cs="monospace"/>
    </w:rPr>
  </w:style>
  <w:style w:type="character" w:styleId="948">
    <w:name w:val="Font Style30"/>
    <w:next w:val="948"/>
    <w:link w:val="895"/>
    <w:rPr>
      <w:rFonts w:ascii="宋体" w:eastAsia="宋体" w:cs="宋体"/>
      <w:sz w:val="14"/>
      <w:szCs w:val="14"/>
    </w:rPr>
  </w:style>
  <w:style w:type="character" w:styleId="949">
    <w:name w:val="glyphicon"/>
    <w:next w:val="949"/>
    <w:link w:val="895"/>
  </w:style>
  <w:style w:type="character" w:styleId="950">
    <w:name w:val="Font Style36"/>
    <w:next w:val="950"/>
    <w:link w:val="895"/>
    <w:rPr>
      <w:rFonts w:ascii="宋体" w:eastAsia="宋体" w:cs="宋体"/>
      <w:sz w:val="16"/>
      <w:szCs w:val="16"/>
    </w:rPr>
  </w:style>
  <w:style w:type="character" w:styleId="951">
    <w:name w:val="hour_am"/>
    <w:next w:val="951"/>
    <w:link w:val="895"/>
  </w:style>
  <w:style w:type="character" w:styleId="952">
    <w:name w:val="old"/>
    <w:next w:val="952"/>
    <w:link w:val="895"/>
    <w:rPr>
      <w:color w:val="999999"/>
    </w:rPr>
  </w:style>
  <w:style w:type="character" w:styleId="953">
    <w:name w:val="标题 2 Char,节 Char,Heading 2 Hidden Char,Heading 2 CCBS Char,H2 Char,sect 1.2 Char,H21 Char,sect 1.21 Char,H22 Char,sect 1.22 Char,H211 Char,sect 1.211 Char,H23 Char,sect 1.23 Char,H212 Char,sect 1.212 Char,2nd level Char,h2 Char,2 Char,Header 2 Char"/>
    <w:next w:val="953"/>
    <w:link w:val="895"/>
    <w:rPr>
      <w:rFonts w:ascii="Arial" w:hAnsi="Arial" w:eastAsia="黑体"/>
      <w:b/>
      <w:sz w:val="32"/>
      <w:lang w:val="en-US" w:eastAsia="zh-CN"/>
    </w:rPr>
  </w:style>
  <w:style w:type="character" w:styleId="954">
    <w:name w:val="hover"/>
    <w:next w:val="954"/>
    <w:link w:val="895"/>
    <w:rPr>
      <w:shd w:val="clear" w:color="auto" w:fill="eeeeee"/>
    </w:rPr>
  </w:style>
  <w:style w:type="character" w:styleId="955">
    <w:name w:val="hour_pm"/>
    <w:next w:val="955"/>
    <w:link w:val="895"/>
  </w:style>
  <w:style w:type="character" w:styleId="956">
    <w:name w:val="Font Style28"/>
    <w:next w:val="956"/>
    <w:link w:val="895"/>
    <w:rPr>
      <w:rFonts w:ascii="Constantia" w:hAnsi="Constantia" w:cs="Constantia"/>
      <w:sz w:val="28"/>
      <w:szCs w:val="28"/>
    </w:rPr>
  </w:style>
  <w:style w:type="character" w:styleId="957">
    <w:name w:val="Font Style29"/>
    <w:next w:val="957"/>
    <w:link w:val="895"/>
    <w:rPr>
      <w:rFonts w:ascii="Arial" w:hAnsi="Arial" w:cs="Arial"/>
      <w:sz w:val="14"/>
      <w:szCs w:val="14"/>
    </w:rPr>
  </w:style>
  <w:style w:type="character" w:styleId="958">
    <w:name w:val="Font Style37"/>
    <w:next w:val="958"/>
    <w:link w:val="895"/>
    <w:rPr>
      <w:rFonts w:ascii="Arial" w:hAnsi="Arial" w:cs="Arial"/>
      <w:sz w:val="16"/>
      <w:szCs w:val="16"/>
    </w:rPr>
  </w:style>
  <w:style w:type="character" w:styleId="959">
    <w:name w:val="Plain Text Char"/>
    <w:next w:val="959"/>
    <w:link w:val="895"/>
    <w:rPr>
      <w:rFonts w:ascii="宋体" w:hAnsi="Courier New" w:eastAsia="宋体"/>
      <w:sz w:val="21"/>
      <w:lang w:val="en-US" w:eastAsia="zh-CN" w:bidi="ar-SA"/>
    </w:rPr>
  </w:style>
  <w:style w:type="paragraph" w:styleId="960">
    <w:name w:val="Default"/>
    <w:next w:val="960"/>
    <w:link w:val="895"/>
    <w:pPr>
      <w:widowControl w:val="off"/>
    </w:pPr>
    <w:rPr>
      <w:rFonts w:ascii="仿宋" w:eastAsia="仿宋" w:cs="仿宋"/>
      <w:color w:val="000000"/>
      <w:sz w:val="24"/>
      <w:szCs w:val="24"/>
      <w:lang w:val="en-US" w:eastAsia="zh-CN" w:bidi="ar-SA"/>
    </w:rPr>
  </w:style>
  <w:style w:type="paragraph" w:styleId="961">
    <w:name w:val="默认段落字体 Para Char Char Char Char Char Char Char Char Char1 Char Char Char Char Char Char Char"/>
    <w:basedOn w:val="908"/>
    <w:next w:val="961"/>
    <w:link w:val="895"/>
    <w:rPr>
      <w:rFonts w:ascii="Tahoma" w:hAnsi="Tahoma"/>
      <w:sz w:val="24"/>
    </w:rPr>
  </w:style>
  <w:style w:type="paragraph" w:styleId="962">
    <w:name w:val="Style9"/>
    <w:basedOn w:val="895"/>
    <w:next w:val="962"/>
    <w:link w:val="895"/>
    <w:pPr>
      <w:jc w:val="left"/>
    </w:pPr>
    <w:rPr>
      <w:rFonts w:ascii="宋体"/>
      <w:sz w:val="24"/>
    </w:rPr>
  </w:style>
  <w:style w:type="paragraph" w:styleId="963">
    <w:name w:val="Char"/>
    <w:basedOn w:val="895"/>
    <w:next w:val="963"/>
    <w:link w:val="895"/>
    <w:pPr>
      <w:tabs>
        <w:tab w:val="left" w:pos="360" w:leader="none"/>
      </w:tabs>
    </w:pPr>
    <w:rPr>
      <w:sz w:val="24"/>
    </w:rPr>
  </w:style>
  <w:style w:type="paragraph" w:styleId="964">
    <w:name w:val=" Char Char Char1 Char Char Char Char"/>
    <w:basedOn w:val="895"/>
    <w:next w:val="964"/>
    <w:link w:val="895"/>
    <w:pPr>
      <w:jc w:val="left"/>
      <w:spacing w:after="160" w:line="240" w:lineRule="exact"/>
      <w:widowControl/>
    </w:pPr>
    <w:rPr>
      <w:rFonts w:ascii="宋体" w:hAnsi="宋体"/>
      <w:b/>
      <w:sz w:val="28"/>
      <w:szCs w:val="28"/>
    </w:rPr>
  </w:style>
  <w:style w:type="paragraph" w:styleId="965">
    <w:name w:val="Style10"/>
    <w:basedOn w:val="895"/>
    <w:next w:val="965"/>
    <w:link w:val="895"/>
    <w:pPr>
      <w:jc w:val="left"/>
    </w:pPr>
    <w:rPr>
      <w:rFonts w:ascii="宋体"/>
      <w:sz w:val="24"/>
    </w:rPr>
  </w:style>
  <w:style w:type="paragraph" w:styleId="966">
    <w:name w:val="首行缩进"/>
    <w:basedOn w:val="895"/>
    <w:next w:val="966"/>
    <w:link w:val="895"/>
    <w:qFormat/>
    <w:pPr>
      <w:ind w:firstLine="420"/>
      <w:spacing w:line="360" w:lineRule="auto"/>
    </w:pPr>
    <w:rPr>
      <w:sz w:val="20"/>
    </w:rPr>
  </w:style>
  <w:style w:type="paragraph" w:styleId="967">
    <w:name w:val="普通正文"/>
    <w:basedOn w:val="895"/>
    <w:next w:val="967"/>
    <w:link w:val="895"/>
    <w:pPr>
      <w:ind w:firstLine="480"/>
      <w:jc w:val="left"/>
      <w:spacing w:before="120" w:after="120" w:line="360" w:lineRule="auto"/>
    </w:pPr>
    <w:rPr>
      <w:rFonts w:ascii="Arial" w:hAnsi="Arial"/>
      <w:sz w:val="24"/>
    </w:rPr>
  </w:style>
  <w:style w:type="paragraph" w:styleId="968">
    <w:name w:val="要点标题"/>
    <w:basedOn w:val="895"/>
    <w:next w:val="968"/>
    <w:link w:val="895"/>
    <w:pPr>
      <w:numPr>
        <w:ilvl w:val="0"/>
        <w:numId w:val="1"/>
      </w:numPr>
      <w:jc w:val="left"/>
      <w:tabs>
        <w:tab w:val="left" w:pos="420" w:leader="none"/>
      </w:tabs>
    </w:pPr>
    <w:rPr>
      <w:rFonts w:ascii="宋体" w:hAnsi="宋体"/>
      <w:b/>
      <w:sz w:val="24"/>
    </w:rPr>
  </w:style>
  <w:style w:type="paragraph" w:styleId="969">
    <w:name w:val="文档正文"/>
    <w:basedOn w:val="895"/>
    <w:next w:val="969"/>
    <w:link w:val="895"/>
    <w:pPr>
      <w:ind w:firstLine="567"/>
      <w:spacing w:line="480" w:lineRule="atLeast"/>
    </w:pPr>
    <w:rPr>
      <w:rFonts w:ascii="仿宋_GB2312"/>
      <w:szCs w:val="20"/>
    </w:rPr>
  </w:style>
  <w:style w:type="paragraph" w:styleId="970">
    <w:name w:val="Char Char Char Char"/>
    <w:basedOn w:val="908"/>
    <w:next w:val="970"/>
    <w:link w:val="895"/>
    <w:pPr>
      <w:spacing w:line="360" w:lineRule="auto"/>
    </w:pPr>
    <w:rPr>
      <w:rFonts w:ascii="Tahoma" w:hAnsi="Tahoma"/>
      <w:sz w:val="24"/>
    </w:rPr>
  </w:style>
  <w:style w:type="paragraph" w:styleId="971">
    <w:name w:val=" Char"/>
    <w:basedOn w:val="895"/>
    <w:next w:val="971"/>
    <w:link w:val="895"/>
    <w:pPr>
      <w:ind w:left="420" w:hanging="420"/>
      <w:jc w:val="left"/>
      <w:tabs>
        <w:tab w:val="left" w:pos="420" w:leader="none"/>
      </w:tabs>
    </w:pPr>
    <w:rPr>
      <w:szCs w:val="20"/>
    </w:rPr>
  </w:style>
  <w:style w:type="paragraph" w:styleId="972">
    <w:name w:val="正文（无缩进）"/>
    <w:basedOn w:val="895"/>
    <w:next w:val="972"/>
    <w:link w:val="895"/>
    <w:qFormat/>
    <w:pPr>
      <w:spacing w:line="360" w:lineRule="auto"/>
    </w:pPr>
    <w:rPr>
      <w:rFonts w:ascii="Calibri" w:hAnsi="Calibri"/>
      <w:sz w:val="24"/>
      <w:szCs w:val="21"/>
    </w:rPr>
  </w:style>
  <w:style w:type="paragraph" w:styleId="973">
    <w:name w:val="Style11"/>
    <w:basedOn w:val="895"/>
    <w:next w:val="973"/>
    <w:link w:val="895"/>
    <w:pPr>
      <w:jc w:val="left"/>
      <w:spacing w:line="446" w:lineRule="exact"/>
    </w:pPr>
    <w:rPr>
      <w:rFonts w:ascii="宋体"/>
      <w:sz w:val="24"/>
    </w:rPr>
  </w:style>
  <w:style w:type="paragraph" w:styleId="974">
    <w:name w:val="样式1"/>
    <w:basedOn w:val="895"/>
    <w:next w:val="974"/>
    <w:link w:val="895"/>
    <w:pPr>
      <w:numPr>
        <w:ilvl w:val="0"/>
        <w:numId w:val="2"/>
      </w:numPr>
      <w:tabs>
        <w:tab w:val="left" w:pos="1110" w:leader="none"/>
      </w:tabs>
    </w:pPr>
    <w:rPr>
      <w:rFonts w:ascii="宋体" w:hAnsi="宋体"/>
      <w:szCs w:val="21"/>
    </w:rPr>
  </w:style>
  <w:style w:type="paragraph" w:styleId="975">
    <w:name w:val="_Style 56"/>
    <w:basedOn w:val="908"/>
    <w:next w:val="975"/>
    <w:link w:val="895"/>
    <w:pPr>
      <w:spacing w:line="436" w:lineRule="exact"/>
    </w:pPr>
    <w:rPr>
      <w:szCs w:val="20"/>
    </w:rPr>
  </w:style>
  <w:style w:type="paragraph" w:styleId="976">
    <w:name w:val="Char Char1 Char Char Char Char Char Char"/>
    <w:basedOn w:val="895"/>
    <w:next w:val="976"/>
    <w:link w:val="895"/>
    <w:pPr>
      <w:jc w:val="center"/>
      <w:widowControl/>
    </w:pPr>
    <w:rPr>
      <w:rFonts w:ascii="宋体" w:hAnsi="宋体"/>
      <w:b/>
      <w:sz w:val="24"/>
      <w:lang w:eastAsia="en-US"/>
    </w:rPr>
  </w:style>
  <w:style w:type="paragraph" w:styleId="977">
    <w:name w:val="Char1"/>
    <w:basedOn w:val="895"/>
    <w:next w:val="977"/>
    <w:link w:val="895"/>
    <w:pPr>
      <w:ind w:left="840" w:hanging="420"/>
      <w:tabs>
        <w:tab w:val="left" w:pos="840" w:leader="none"/>
      </w:tabs>
    </w:pPr>
    <w:rPr>
      <w:sz w:val="24"/>
    </w:rPr>
  </w:style>
  <w:style w:type="paragraph" w:styleId="978">
    <w:name w:val="我的样式"/>
    <w:basedOn w:val="896"/>
    <w:next w:val="895"/>
    <w:link w:val="895"/>
    <w:pPr>
      <w:numPr>
        <w:ilvl w:val="0"/>
        <w:numId w:val="3"/>
      </w:numPr>
      <w:spacing w:line="360" w:lineRule="auto"/>
    </w:pPr>
    <w:rPr>
      <w:rFonts w:ascii="仿宋_GB2312" w:eastAsia="仿宋_GB2312"/>
      <w:sz w:val="32"/>
      <w:szCs w:val="30"/>
    </w:rPr>
  </w:style>
  <w:style w:type="paragraph" w:styleId="979">
    <w:name w:val="表格正文"/>
    <w:next w:val="979"/>
    <w:link w:val="895"/>
    <w:pPr>
      <w:spacing w:line="0" w:lineRule="atLeast"/>
    </w:pPr>
    <w:rPr>
      <w:sz w:val="24"/>
      <w:szCs w:val="24"/>
      <w:lang w:val="en-US" w:eastAsia="zh-CN" w:bidi="he-IL"/>
    </w:rPr>
  </w:style>
  <w:style w:type="paragraph" w:styleId="980">
    <w:name w:val=" Char Char Char Char Char Char Char Char Char Char Char Char Char"/>
    <w:basedOn w:val="895"/>
    <w:next w:val="980"/>
    <w:link w:val="895"/>
    <w:pPr>
      <w:jc w:val="left"/>
      <w:spacing w:after="160" w:line="240" w:lineRule="exact"/>
      <w:widowControl/>
    </w:pPr>
    <w:rPr>
      <w:rFonts w:ascii="Verdana" w:hAnsi="Verdana"/>
      <w:sz w:val="20"/>
      <w:szCs w:val="20"/>
      <w:lang w:eastAsia="en-US"/>
    </w:rPr>
  </w:style>
  <w:style w:type="paragraph" w:styleId="981">
    <w:name w:val="标题1"/>
    <w:basedOn w:val="896"/>
    <w:next w:val="895"/>
    <w:link w:val="895"/>
    <w:pPr>
      <w:numPr>
        <w:ilvl w:val="0"/>
        <w:numId w:val="2"/>
      </w:numPr>
      <w:jc w:val="left"/>
      <w:spacing w:line="578" w:lineRule="atLeast"/>
    </w:pPr>
  </w:style>
  <w:style w:type="paragraph" w:styleId="982">
    <w:name w:val="正文（缩进） Char1"/>
    <w:basedOn w:val="895"/>
    <w:next w:val="982"/>
    <w:link w:val="895"/>
    <w:pPr>
      <w:ind w:firstLine="480"/>
      <w:spacing w:before="156" w:after="156" w:line="360" w:lineRule="auto"/>
    </w:pPr>
    <w:rPr>
      <w:sz w:val="24"/>
    </w:rPr>
  </w:style>
  <w:style w:type="paragraph" w:styleId="983">
    <w:name w:val="修订"/>
    <w:next w:val="983"/>
    <w:link w:val="895"/>
    <w:uiPriority w:val="99"/>
    <w:semiHidden/>
    <w:rPr>
      <w:sz w:val="21"/>
      <w:szCs w:val="24"/>
      <w:lang w:val="en-US" w:eastAsia="zh-CN" w:bidi="ar-SA"/>
    </w:rPr>
  </w:style>
  <w:style w:type="paragraph" w:styleId="984">
    <w:name w:val="Style12"/>
    <w:basedOn w:val="895"/>
    <w:next w:val="984"/>
    <w:link w:val="895"/>
    <w:pPr>
      <w:jc w:val="left"/>
    </w:pPr>
    <w:rPr>
      <w:rFonts w:ascii="宋体"/>
      <w:sz w:val="24"/>
    </w:rPr>
  </w:style>
  <w:style w:type="paragraph" w:styleId="985">
    <w:name w:val="纯文本1"/>
    <w:basedOn w:val="895"/>
    <w:next w:val="960"/>
    <w:link w:val="895"/>
    <w:qFormat/>
    <w:rPr>
      <w:rFonts w:ascii="宋体" w:hAnsi="Courier New"/>
      <w:szCs w:val="20"/>
    </w:rPr>
  </w:style>
  <w:style w:type="paragraph" w:styleId="986">
    <w:name w:val="纯文本111"/>
    <w:basedOn w:val="895"/>
    <w:next w:val="986"/>
    <w:link w:val="895"/>
    <w:qFormat/>
    <w:rPr>
      <w:rFonts w:ascii="宋体" w:hAnsi="Courier New"/>
      <w:szCs w:val="20"/>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6</cp:revision>
  <dcterms:created xsi:type="dcterms:W3CDTF">2024-01-08T08:47:00Z</dcterms:created>
  <dcterms:modified xsi:type="dcterms:W3CDTF">2026-03-26T07:20:27Z</dcterms:modified>
</cp:coreProperties>
</file>