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ind w:firstLine="0"/>
        <w:jc w:val="both"/>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r>
      <w:r/>
    </w:p>
    <w:p>
      <w:pPr>
        <w:pStyle w:val="993"/>
        <w:ind w:firstLine="0"/>
        <w:jc w:val="center"/>
        <w:rPr>
          <w:rFonts w:hint="eastAsia" w:ascii="宋体" w:hAnsi="宋体" w:eastAsia="宋体" w:cs="宋体"/>
          <w:b/>
          <w:color w:val="auto"/>
          <w:sz w:val="52"/>
          <w:szCs w:val="52"/>
          <w:highlight w:val="none"/>
        </w:rPr>
      </w:pPr>
      <w:r>
        <w:rPr>
          <w:rFonts w:hint="eastAsia" w:ascii="宋体" w:hAnsi="宋体" w:eastAsia="宋体" w:cs="宋体"/>
          <w:b/>
          <w:bCs/>
          <w:color w:val="auto"/>
          <w:spacing w:val="80"/>
          <w:sz w:val="72"/>
          <w:szCs w:val="72"/>
          <w:highlight w:val="none"/>
        </w:rPr>
        <w:t xml:space="preserve">连云港市政府采购</w:t>
      </w:r>
      <w:r/>
      <w:r>
        <w:rPr>
          <w:rFonts w:hint="eastAsia" w:ascii="宋体" w:hAnsi="宋体" w:eastAsia="宋体" w:cs="宋体"/>
          <w:b/>
          <w:color w:val="auto"/>
          <w:sz w:val="52"/>
          <w:szCs w:val="52"/>
          <w:highlight w:val="none"/>
        </w:rPr>
      </w:r>
      <w:r/>
      <w:r>
        <w:rPr>
          <w:rFonts w:hint="eastAsia" w:ascii="宋体" w:hAnsi="宋体" w:eastAsia="宋体" w:cs="宋体"/>
          <w:b/>
          <w:color w:val="auto"/>
          <w:sz w:val="52"/>
          <w:szCs w:val="52"/>
          <w:highlight w:val="none"/>
        </w:rPr>
      </w:r>
    </w:p>
    <w:p>
      <w:pPr>
        <w:pStyle w:val="993"/>
        <w:ind w:firstLine="0"/>
        <w:jc w:val="center"/>
        <w:rPr>
          <w:rFonts w:hint="eastAsia" w:ascii="宋体" w:hAnsi="宋体" w:eastAsia="宋体" w:cs="宋体"/>
          <w:b/>
          <w:bCs/>
          <w:color w:val="auto"/>
          <w:sz w:val="72"/>
          <w:szCs w:val="72"/>
          <w:highlight w:val="none"/>
        </w:rPr>
      </w:pPr>
      <w:r/>
      <w:bookmarkStart w:id="0" w:name="_Toc19999"/>
      <w:r>
        <w:rPr>
          <w:rFonts w:hint="eastAsia" w:ascii="宋体" w:hAnsi="宋体" w:eastAsia="宋体" w:cs="宋体"/>
          <w:b/>
          <w:bCs/>
          <w:color w:val="auto"/>
          <w:sz w:val="72"/>
          <w:szCs w:val="72"/>
          <w:highlight w:val="none"/>
        </w:rPr>
        <w:t xml:space="preserve">竞争性磋商文件</w:t>
      </w:r>
      <w:bookmarkEnd w:id="0"/>
      <w:r/>
      <w:r/>
      <w:r>
        <w:rPr>
          <w:rFonts w:hint="eastAsia" w:ascii="宋体" w:hAnsi="宋体" w:eastAsia="宋体" w:cs="宋体"/>
          <w:b/>
          <w:bCs/>
          <w:color w:val="auto"/>
          <w:sz w:val="32"/>
          <w:szCs w:val="32"/>
          <w:highlight w:val="none"/>
        </w:rPr>
      </w:r>
      <w:r/>
      <w:r>
        <w:rPr>
          <w:rFonts w:hint="eastAsia" w:ascii="宋体" w:hAnsi="宋体" w:eastAsia="宋体" w:cs="宋体"/>
          <w:b/>
          <w:bCs/>
          <w:color w:val="auto"/>
          <w:sz w:val="72"/>
          <w:szCs w:val="72"/>
          <w:highlight w:val="none"/>
        </w:rPr>
      </w:r>
    </w:p>
    <w:p>
      <w:pPr>
        <w:pStyle w:val="993"/>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759"/>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048"/>
        <w:gridCol w:w="6480"/>
      </w:tblGrid>
      <w:tr>
        <w:trPr>
          <w:jc w:val="center"/>
          <w:trHeight w:val="855"/>
        </w:trPr>
        <w:tc>
          <w:tcPr>
            <w:tcW w:w="1200" w:type="pct"/>
            <w:vAlign w:val="center"/>
            <w:textDirection w:val="lrTb"/>
            <w:noWrap/>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3799" w:type="pct"/>
            <w:vAlign w:val="center"/>
            <w:textDirection w:val="lrTb"/>
            <w:noWrap/>
          </w:tcPr>
          <w:p>
            <w:pPr>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cs="宋体"/>
                <w:b/>
                <w:bCs/>
                <w:color w:val="auto"/>
                <w:sz w:val="32"/>
                <w:highlight w:val="none"/>
                <w:lang w:eastAsia="zh-CN"/>
              </w:rPr>
              <w:t xml:space="preserve">2025年地膜科学使用回收项目（专门面向中小企业采购）</w:t>
            </w:r>
            <w:r/>
          </w:p>
        </w:tc>
      </w:tr>
      <w:tr>
        <w:trPr>
          <w:jc w:val="center"/>
          <w:trHeight w:val="855"/>
        </w:trPr>
        <w:tc>
          <w:tcPr>
            <w:tcW w:w="1200" w:type="pct"/>
            <w:vAlign w:val="center"/>
            <w:textDirection w:val="lrTb"/>
            <w:noWrap/>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3799" w:type="pct"/>
            <w:vAlign w:val="center"/>
            <w:textDirection w:val="lrTb"/>
            <w:noWrap/>
          </w:tcPr>
          <w:p>
            <w:pPr>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eastAsia="zh-CN"/>
              </w:rPr>
            </w:r>
            <w:r>
              <w:rPr>
                <w:rFonts w:ascii="SimSun" w:hAnsi="SimSun" w:eastAsia="SimSun" w:cs="SimSun"/>
                <w:b/>
                <w:color w:val="000000"/>
                <w:spacing w:val="16"/>
                <w:sz w:val="32"/>
              </w:rPr>
              <w:t xml:space="preserve">JSZC-320707-YGHZ-C2026-0006</w:t>
            </w:r>
            <w:r>
              <w:rPr>
                <w:rFonts w:hint="eastAsia" w:ascii="宋体" w:hAnsi="宋体" w:eastAsia="宋体" w:cs="宋体"/>
                <w:b/>
                <w:bCs/>
                <w:color w:val="auto"/>
                <w:spacing w:val="16"/>
                <w:sz w:val="32"/>
                <w:szCs w:val="32"/>
                <w:highlight w:val="none"/>
                <w:lang w:eastAsia="zh-CN"/>
              </w:rPr>
            </w:r>
            <w:r/>
          </w:p>
        </w:tc>
      </w:tr>
    </w:tbl>
    <w:p>
      <w:pPr>
        <w:pStyle w:val="993"/>
        <w:ind w:firstLine="0"/>
        <w:jc w:val="left"/>
        <w:rPr>
          <w:rFonts w:hint="eastAsia" w:ascii="宋体" w:hAnsi="宋体" w:eastAsia="宋体" w:cs="宋体"/>
          <w:b/>
          <w:bCs/>
          <w:color w:val="auto"/>
          <w:sz w:val="32"/>
          <w:highlight w:val="none"/>
          <w:u w:val="single"/>
        </w:rPr>
      </w:pPr>
      <w:r>
        <w:rPr>
          <w:rFonts w:hint="eastAsia" w:ascii="宋体" w:hAnsi="宋体" w:eastAsia="宋体" w:cs="宋体"/>
          <w:b/>
          <w:bCs/>
          <w:color w:val="auto"/>
          <w:sz w:val="32"/>
          <w:highlight w:val="none"/>
          <w:u w:val="single"/>
        </w:rPr>
      </w:r>
      <w:r/>
    </w:p>
    <w:p>
      <w:pPr>
        <w:pStyle w:val="993"/>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759"/>
        <w:tblW w:w="4997" w:type="pct"/>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465"/>
        <w:gridCol w:w="6058"/>
      </w:tblGrid>
      <w:tr>
        <w:trPr>
          <w:trHeight w:val="827"/>
        </w:trPr>
        <w:tc>
          <w:tcPr>
            <w:tcW w:w="1317" w:type="pct"/>
            <w:vAlign w:val="center"/>
            <w:textDirection w:val="lrTb"/>
            <w:noWrap/>
          </w:tcPr>
          <w:p>
            <w:pPr>
              <w:jc w:val="center"/>
              <w:spacing w:line="360" w:lineRule="auto"/>
              <w:rPr>
                <w:rFonts w:hint="eastAsia" w:ascii="宋体" w:hAnsi="宋体" w:eastAsia="宋体" w:cs="宋体"/>
                <w:color w:val="auto"/>
                <w:highlight w:val="none"/>
              </w:rPr>
            </w:pPr>
            <w:r/>
            <w:bookmarkStart w:id="1" w:name="OLE_LINK31"/>
            <w:r/>
            <w:bookmarkStart w:id="2" w:name="OLE_LINK4"/>
            <w:r>
              <w:rPr>
                <w:rFonts w:hint="eastAsia" w:ascii="宋体" w:hAnsi="宋体" w:eastAsia="宋体" w:cs="宋体"/>
                <w:b/>
                <w:bCs/>
                <w:color w:val="auto"/>
                <w:sz w:val="32"/>
                <w:highlight w:val="none"/>
              </w:rPr>
              <w:t xml:space="preserve">采   购   人：</w:t>
            </w:r>
            <w:bookmarkEnd w:id="1"/>
            <w:r/>
            <w:bookmarkEnd w:id="2"/>
            <w:r/>
            <w:r/>
          </w:p>
        </w:tc>
        <w:tc>
          <w:tcPr>
            <w:tcW w:w="3682" w:type="pct"/>
            <w:vAlign w:val="center"/>
            <w:textDirection w:val="lrTb"/>
            <w:noWrap/>
          </w:tcPr>
          <w:p>
            <w:pPr>
              <w:pStyle w:val="772"/>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连云港市赣榆区农村能源环境保护办公室</w:t>
            </w:r>
            <w:r/>
          </w:p>
        </w:tc>
      </w:tr>
      <w:tr>
        <w:trPr>
          <w:trHeight w:val="797"/>
        </w:trPr>
        <w:tc>
          <w:tcPr>
            <w:tcW w:w="1317" w:type="pct"/>
            <w:vAlign w:val="center"/>
            <w:textDirection w:val="lrTb"/>
            <w:noWrap/>
          </w:tcPr>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3682" w:type="pct"/>
            <w:vAlign w:val="center"/>
            <w:textDirection w:val="lrTb"/>
            <w:noWrap/>
          </w:tcPr>
          <w:p>
            <w:pPr>
              <w:pStyle w:val="772"/>
              <w:spacing w:line="360" w:lineRule="auto"/>
              <w:rPr>
                <w:rFonts w:hint="eastAsia" w:ascii="宋体" w:hAnsi="宋体" w:eastAsia="宋体" w:cs="宋体"/>
                <w:b/>
                <w:bCs/>
                <w:color w:val="auto"/>
                <w:sz w:val="28"/>
                <w:szCs w:val="28"/>
                <w:highlight w:val="none"/>
                <w:lang w:eastAsia="zh-CN"/>
              </w:rPr>
            </w:pPr>
            <w:r>
              <w:rPr>
                <w:rFonts w:hint="eastAsia" w:hAnsi="宋体" w:cs="宋体"/>
                <w:b/>
                <w:bCs/>
                <w:color w:val="auto"/>
                <w:spacing w:val="20"/>
                <w:sz w:val="32"/>
                <w:highlight w:val="none"/>
                <w:lang w:eastAsia="zh-CN"/>
              </w:rPr>
              <w:t xml:space="preserve">连云港衡致工程造价咨询有限公司</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59"/>
        <w:tblW w:w="4428" w:type="dxa"/>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W w:w="4428" w:type="dxa"/>
            <w:textDirection w:val="lrTb"/>
            <w:noWrap/>
          </w:tcPr>
          <w:p>
            <w:pPr>
              <w:pStyle w:val="772"/>
              <w:jc w:val="center"/>
              <w:spacing w:line="360" w:lineRule="auto"/>
              <w:rPr>
                <w:rFonts w:hint="eastAsia" w:ascii="宋体" w:hAnsi="宋体" w:eastAsia="宋体" w:cs="宋体"/>
                <w:b/>
                <w:color w:val="auto"/>
                <w:sz w:val="32"/>
                <w:szCs w:val="32"/>
                <w:highlight w:val="none"/>
              </w:rPr>
            </w:pPr>
            <w:r/>
            <w:bookmarkStart w:id="3" w:name="OLE_LINK35"/>
            <w:r/>
            <w:bookmarkStart w:id="4" w:name="OLE_LINK12"/>
            <w:r>
              <w:rPr>
                <w:rFonts w:hint="eastAsia" w:ascii="宋体" w:hAnsi="宋体" w:eastAsia="宋体" w:cs="宋体"/>
                <w:b/>
                <w:color w:val="auto"/>
                <w:sz w:val="32"/>
                <w:szCs w:val="32"/>
                <w:highlight w:val="none"/>
              </w:rPr>
              <w:t xml:space="preserve">202</w:t>
            </w:r>
            <w:r>
              <w:rPr>
                <w:rFonts w:hint="eastAsia" w:hAnsi="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hAnsi="宋体" w:cs="宋体"/>
                <w:b/>
                <w:color w:val="auto"/>
                <w:sz w:val="32"/>
                <w:szCs w:val="32"/>
                <w:highlight w:val="none"/>
                <w:lang w:val="en-US" w:eastAsia="zh-CN"/>
              </w:rPr>
              <w:t xml:space="preserve">03</w:t>
            </w:r>
            <w:r>
              <w:rPr>
                <w:rFonts w:hint="eastAsia" w:ascii="宋体" w:hAnsi="宋体" w:eastAsia="宋体" w:cs="宋体"/>
                <w:b/>
                <w:color w:val="auto"/>
                <w:sz w:val="32"/>
                <w:szCs w:val="32"/>
                <w:highlight w:val="none"/>
              </w:rPr>
              <w:t xml:space="preserve">月</w:t>
            </w:r>
            <w:bookmarkEnd w:id="3"/>
            <w:r/>
            <w:bookmarkEnd w:id="4"/>
            <w:r/>
            <w:r/>
          </w:p>
        </w:tc>
      </w:tr>
    </w:tbl>
    <w:p>
      <w:pPr>
        <w:rPr>
          <w:rFonts w:hint="eastAsia" w:ascii="宋体" w:hAnsi="宋体" w:eastAsia="宋体" w:cs="宋体"/>
          <w:b/>
          <w:color w:val="auto"/>
          <w:sz w:val="44"/>
          <w:szCs w:val="21"/>
          <w:highlight w:val="none"/>
        </w:rPr>
      </w:pPr>
      <w:r/>
      <w:bookmarkStart w:id="5" w:name="_Toc1185"/>
      <w:r/>
      <w:bookmarkEnd w:id="5"/>
      <w:r/>
      <w:bookmarkStart w:id="6" w:name="_Toc32753"/>
      <w:r/>
      <w:bookmarkEnd w:id="6"/>
      <w:r/>
      <w:bookmarkStart w:id="7" w:name="_Toc28507"/>
      <w:r/>
      <w:bookmarkEnd w:id="7"/>
      <w:r>
        <w:rPr>
          <w:rFonts w:hint="eastAsia" w:ascii="宋体" w:hAnsi="宋体" w:eastAsia="宋体" w:cs="宋体"/>
          <w:b/>
          <w:color w:val="auto"/>
          <w:sz w:val="44"/>
          <w:szCs w:val="21"/>
          <w:highlight w:val="none"/>
        </w:rPr>
        <w:br w:type="page" w:clear="all"/>
      </w:r>
      <w:r/>
    </w:p>
    <w:sdt>
      <w:sdtPr>
        <w15:appearance w15:val="boundingBox"/>
        <w:id w:val="147474154"/>
        <w:docPartObj>
          <w:docPartGallery w:val="Table of Contents"/>
          <w:docPartUnique w:val="true"/>
        </w:docPartObj>
        <w:rPr>
          <w:rFonts w:hint="eastAsia" w:ascii="宋体" w:hAnsi="宋体" w:eastAsia="宋体" w:cs="宋体"/>
          <w:b/>
          <w:bCs/>
          <w:color w:val="auto"/>
          <w:sz w:val="32"/>
          <w:szCs w:val="32"/>
          <w:highlight w:val="none"/>
        </w:rPr>
      </w:sdtPr>
      <w:sdtContent>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目  录</w:t>
          </w:r>
          <w:r/>
        </w:p>
        <w:p>
          <w:pPr>
            <w:pStyle w:val="1002"/>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"_Toc30400"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竞争性磋商采购公告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_Toc30400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02"/>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"_Toc23310"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_Toc23310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02"/>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"_Toc19303"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_Toc19303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02"/>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"_Toc24319"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第四章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_Toc24319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02"/>
            <w:jc w:val="center"/>
            <w:spacing w:line="360" w:lineRule="auto"/>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02"/>
            <w:jc w:val="center"/>
            <w:spacing w:line="360" w:lineRule="auto"/>
            <w:tabs>
              <w:tab w:val="right" w:pos="9746"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"_Toc9369"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第六章 响应文件格式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28"/>
              <w:szCs w:val="28"/>
              <w:highlight w:val="none"/>
            </w:rPr>
            <w:fldChar w:fldCharType="end"/>
          </w:r>
          <w:r/>
        </w:p>
      </w:sdtContent>
    </w:sdt>
    <w:p>
      <w:pPr>
        <w:pStyle w:val="749"/>
        <w:ind w:left="1470" w:right="1470"/>
        <w:rPr>
          <w:rFonts w:hint="eastAsia" w:ascii="宋体" w:hAnsi="宋体" w:eastAsia="宋体" w:cs="宋体"/>
          <w:color w:val="auto"/>
          <w:szCs w:val="44"/>
          <w:highlight w:val="none"/>
        </w:rPr>
      </w:pPr>
      <w:r>
        <w:rPr>
          <w:rFonts w:hint="eastAsia" w:ascii="宋体" w:hAnsi="宋体" w:eastAsia="宋体" w:cs="宋体"/>
          <w:color w:val="auto"/>
          <w:szCs w:val="44"/>
          <w:highlight w:val="none"/>
        </w:rPr>
      </w:r>
      <w:r/>
    </w:p>
    <w:p>
      <w:pPr>
        <w:pStyle w:val="749"/>
        <w:ind w:left="1470" w:right="1470"/>
        <w:rPr>
          <w:rFonts w:hint="eastAsia" w:ascii="宋体" w:hAnsi="宋体" w:eastAsia="宋体" w:cs="宋体"/>
          <w:color w:val="auto"/>
          <w:szCs w:val="44"/>
          <w:highlight w:val="none"/>
        </w:rPr>
      </w:pPr>
      <w:r>
        <w:rPr>
          <w:rFonts w:hint="eastAsia" w:ascii="宋体" w:hAnsi="宋体" w:eastAsia="宋体" w:cs="宋体"/>
          <w:color w:val="auto"/>
          <w:szCs w:val="44"/>
          <w:highlight w:val="none"/>
        </w:rPr>
      </w:r>
      <w:r/>
    </w:p>
    <w:p>
      <w:pPr>
        <w:pStyle w:val="749"/>
        <w:ind w:left="1470" w:right="1470"/>
        <w:rPr>
          <w:rFonts w:hint="eastAsia" w:ascii="宋体" w:hAnsi="宋体" w:eastAsia="宋体" w:cs="宋体"/>
          <w:color w:val="auto"/>
          <w:szCs w:val="44"/>
          <w:highlight w:val="none"/>
        </w:rPr>
      </w:pPr>
      <w:r>
        <w:rPr>
          <w:rFonts w:hint="eastAsia" w:ascii="宋体" w:hAnsi="宋体" w:eastAsia="宋体" w:cs="宋体"/>
          <w:color w:val="auto"/>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49"/>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9"/>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9"/>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9"/>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9"/>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9"/>
        <w:jc w:val="left"/>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bookmarkStart w:id="8" w:name="_Toc12508"/>
      <w:r/>
      <w:bookmarkStart w:id="9" w:name="_Toc30400"/>
      <w:r/>
      <w:bookmarkStart w:id="10" w:name="_Toc18255"/>
      <w:r>
        <w:rPr>
          <w:rFonts w:hint="eastAsia" w:ascii="宋体" w:hAnsi="宋体" w:eastAsia="宋体" w:cs="宋体"/>
          <w:color w:val="auto"/>
          <w:highlight w:val="none"/>
        </w:rPr>
        <w:br w:type="page" w:clear="all"/>
      </w:r>
      <w:r/>
    </w:p>
    <w:p>
      <w:pPr>
        <w:pStyle w:val="749"/>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第一章 竞争性磋商采购公告</w:t>
      </w:r>
      <w:bookmarkEnd w:id="8"/>
      <w:r/>
      <w:bookmarkEnd w:id="9"/>
      <w:r/>
      <w:bookmarkEnd w:id="10"/>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u w:val="single"/>
          <w:lang w:val="en-US" w:eastAsia="zh-CN"/>
        </w:rPr>
        <w:t xml:space="preserve">连</w:t>
      </w:r>
      <w:r>
        <w:rPr>
          <w:rFonts w:hint="eastAsia" w:ascii="宋体" w:hAnsi="宋体" w:eastAsia="宋体" w:cs="宋体"/>
          <w:color w:val="000000"/>
          <w:sz w:val="24"/>
          <w:u w:val="single"/>
          <w:lang w:eastAsia="zh-CN"/>
        </w:rPr>
        <w:t xml:space="preserve">云港市赣榆区农村能源环境保护办公室</w:t>
      </w:r>
      <w:r>
        <w:rPr>
          <w:rFonts w:ascii="宋体" w:hAnsi="宋体" w:eastAsia="宋体" w:cs="宋体"/>
          <w:color w:val="000000"/>
          <w:sz w:val="24"/>
        </w:rPr>
        <w:t xml:space="preserve">〕的委托，</w:t>
      </w:r>
      <w:r>
        <w:rPr>
          <w:rFonts w:ascii="宋体" w:hAnsi="宋体" w:eastAsia="宋体" w:cs="宋体"/>
          <w:color w:val="000000"/>
          <w:sz w:val="24"/>
          <w:u w:val="single"/>
        </w:rPr>
        <w:t xml:space="preserve">连云港衡致工程造价咨询有限公司</w:t>
      </w:r>
      <w:r>
        <w:rPr>
          <w:rFonts w:ascii="宋体" w:hAnsi="宋体" w:eastAsia="宋体" w:cs="宋体"/>
          <w:color w:val="000000"/>
          <w:sz w:val="24"/>
        </w:rPr>
        <w:t xml:space="preserve">就〔</w:t>
      </w:r>
      <w:r>
        <w:rPr>
          <w:rFonts w:hint="eastAsia" w:ascii="宋体" w:hAnsi="宋体" w:cs="宋体"/>
          <w:color w:val="000000"/>
          <w:sz w:val="24"/>
          <w:u w:val="single"/>
          <w:lang w:eastAsia="zh-CN"/>
        </w:rPr>
        <w:t xml:space="preserve">2025年地膜科学使用回收项目（专门面向中小企业采购）</w:t>
      </w:r>
      <w:r>
        <w:rPr>
          <w:rFonts w:ascii="宋体" w:hAnsi="宋体" w:eastAsia="宋体" w:cs="宋体"/>
          <w:color w:val="000000"/>
          <w:sz w:val="24"/>
        </w:rPr>
        <w:t xml:space="preserve">〕(〔</w:t>
      </w:r>
      <w:r>
        <w:rPr>
          <w:rFonts w:ascii="Segoe UI" w:hAnsi="Segoe UI" w:eastAsia="Segoe UI" w:cs="Segoe UI"/>
          <w:color w:val="000000"/>
          <w:sz w:val="21"/>
          <w:highlight w:val="white"/>
        </w:rPr>
        <w:t xml:space="preserve">JSZC-320707-YGHZ-C2026-0006</w:t>
      </w:r>
      <w:r>
        <w:rPr>
          <w:rFonts w:ascii="宋体" w:hAnsi="宋体" w:eastAsia="宋体" w:cs="宋体"/>
          <w:color w:val="000000"/>
          <w:sz w:val="24"/>
        </w:rPr>
        <w:t xml:space="preserve">〕)项目进行竞争性磋商，欢迎符合条件的供应商投标。</w:t>
      </w:r>
      <w:r/>
    </w:p>
    <w:p>
      <w:pPr>
        <w:rPr>
          <w:rFonts w:hint="eastAsia"/>
        </w:rPr>
      </w:pPr>
      <w:r>
        <w:rPr>
          <w:rFonts w:hint="eastAsia"/>
        </w:rPr>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8"/>
          <w:highlight w:val="none"/>
        </w:rPr>
        <w:t xml:space="preserve">项目概况：</w:t>
      </w:r>
      <w:r>
        <w:rPr>
          <w:rFonts w:hint="eastAsia" w:ascii="宋体" w:hAnsi="宋体" w:cs="宋体"/>
          <w:color w:val="auto"/>
          <w:sz w:val="24"/>
          <w:szCs w:val="28"/>
          <w:highlight w:val="none"/>
          <w:u w:val="single"/>
          <w:lang w:eastAsia="zh-CN"/>
        </w:rPr>
        <w:t xml:space="preserve">2025年地膜科学使用回收项目（专门面向中小企业采购）</w:t>
      </w:r>
      <w:r>
        <w:rPr>
          <w:rFonts w:hint="eastAsia" w:ascii="宋体" w:hAnsi="宋体" w:eastAsia="宋体" w:cs="宋体"/>
          <w:color w:val="auto"/>
          <w:sz w:val="24"/>
          <w:szCs w:val="28"/>
          <w:highlight w:val="none"/>
        </w:rPr>
        <w:t xml:space="preserve">竞争性磋商项目的潜在供应商可在</w:t>
      </w:r>
      <w:r>
        <w:rPr>
          <w:rFonts w:hint="eastAsia" w:ascii="宋体" w:hAnsi="宋体" w:eastAsia="宋体" w:cs="宋体"/>
          <w:color w:val="auto"/>
          <w:sz w:val="24"/>
          <w:highlight w:val="none"/>
          <w:u w:val="single"/>
        </w:rPr>
        <w:t xml:space="preserve">“江苏政府采购网”自行免费下载</w:t>
      </w:r>
      <w:r>
        <w:rPr>
          <w:rFonts w:hint="eastAsia" w:ascii="宋体" w:hAnsi="宋体" w:eastAsia="宋体" w:cs="宋体"/>
          <w:color w:val="auto"/>
          <w:sz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white"/>
          <w:u w:val="single"/>
        </w:rPr>
        <w:t xml:space="preserve">202</w:t>
      </w:r>
      <w:r>
        <w:rPr>
          <w:rFonts w:hint="eastAsia" w:ascii="宋体" w:hAnsi="宋体" w:cs="宋体"/>
          <w:b/>
          <w:bCs/>
          <w:color w:val="auto"/>
          <w:sz w:val="24"/>
          <w:szCs w:val="28"/>
          <w:highlight w:val="white"/>
          <w:u w:val="single"/>
          <w:lang w:val="en-US" w:eastAsia="zh-CN"/>
        </w:rPr>
        <w:t xml:space="preserve">6</w:t>
      </w:r>
      <w:r>
        <w:rPr>
          <w:rFonts w:hint="eastAsia" w:ascii="宋体" w:hAnsi="宋体" w:eastAsia="宋体" w:cs="宋体"/>
          <w:b/>
          <w:bCs/>
          <w:color w:val="auto"/>
          <w:sz w:val="24"/>
          <w:szCs w:val="28"/>
          <w:highlight w:val="white"/>
          <w:u w:val="single"/>
        </w:rPr>
        <w:t xml:space="preserve">年</w:t>
      </w:r>
      <w:r>
        <w:rPr>
          <w:rFonts w:hint="eastAsia" w:ascii="宋体" w:hAnsi="宋体" w:cs="宋体"/>
          <w:b/>
          <w:bCs/>
          <w:color w:val="auto"/>
          <w:sz w:val="24"/>
          <w:szCs w:val="28"/>
          <w:highlight w:val="white"/>
          <w:u w:val="single"/>
          <w:lang w:val="en-US" w:eastAsia="zh-CN"/>
        </w:rPr>
        <w:t xml:space="preserve">03</w:t>
      </w:r>
      <w:r>
        <w:rPr>
          <w:rFonts w:hint="eastAsia" w:ascii="宋体" w:hAnsi="宋体" w:eastAsia="宋体" w:cs="宋体"/>
          <w:b/>
          <w:bCs/>
          <w:color w:val="auto"/>
          <w:sz w:val="24"/>
          <w:szCs w:val="28"/>
          <w:highlight w:val="white"/>
          <w:u w:val="single"/>
        </w:rPr>
        <w:t xml:space="preserve">月25</w:t>
      </w:r>
      <w:r>
        <w:rPr>
          <w:rFonts w:hint="eastAsia" w:ascii="宋体" w:hAnsi="宋体" w:eastAsia="宋体" w:cs="宋体"/>
          <w:b/>
          <w:bCs/>
          <w:color w:val="auto"/>
          <w:sz w:val="24"/>
          <w:szCs w:val="28"/>
          <w:highlight w:val="white"/>
          <w:u w:val="single"/>
        </w:rPr>
        <w:t xml:space="preserve">日09时00分00秒</w:t>
      </w:r>
      <w:r>
        <w:rPr>
          <w:rFonts w:hint="eastAsia" w:ascii="宋体" w:hAnsi="宋体" w:eastAsia="宋体" w:cs="宋体"/>
          <w:color w:val="auto"/>
          <w:sz w:val="24"/>
          <w:szCs w:val="28"/>
          <w:highlight w:val="none"/>
        </w:rPr>
        <w:t xml:space="preserve">（北京时间）前递交响应文件。 </w:t>
      </w:r>
      <w:r/>
    </w:p>
    <w:p>
      <w:pPr>
        <w:spacing w:line="360" w:lineRule="auto"/>
        <w:rPr>
          <w:rFonts w:hint="eastAsia" w:ascii="宋体" w:hAnsi="宋体" w:eastAsia="宋体" w:cs="宋体"/>
          <w:b/>
          <w:color w:val="auto"/>
          <w:sz w:val="24"/>
          <w:highlight w:val="none"/>
        </w:rPr>
      </w:pPr>
      <w:r/>
      <w:bookmarkStart w:id="11" w:name="_Toc35393798"/>
      <w:r/>
      <w:bookmarkStart w:id="12" w:name="_Toc28359012"/>
      <w:r/>
      <w:bookmarkStart w:id="13" w:name="_Toc35393629"/>
      <w:r/>
      <w:bookmarkStart w:id="14" w:name="_Toc28359089"/>
      <w:r>
        <w:rPr>
          <w:rFonts w:hint="eastAsia" w:ascii="宋体" w:hAnsi="宋体" w:eastAsia="宋体" w:cs="宋体"/>
          <w:b/>
          <w:color w:val="auto"/>
          <w:sz w:val="24"/>
          <w:highlight w:val="none"/>
        </w:rPr>
        <w:t xml:space="preserve">一、项目基本情况</w:t>
      </w:r>
      <w:bookmarkEnd w:id="11"/>
      <w:r/>
      <w:bookmarkEnd w:id="12"/>
      <w:r/>
      <w:bookmarkEnd w:id="13"/>
      <w:r/>
      <w:bookmarkEnd w:id="14"/>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ascii="Segoe UI" w:hAnsi="Segoe UI" w:eastAsia="Segoe UI" w:cs="Segoe UI"/>
          <w:color w:val="000000"/>
          <w:sz w:val="21"/>
          <w:highlight w:val="white"/>
        </w:rPr>
        <w:t xml:space="preserve">JSZC-320707-YGHZ-C2026-0006</w:t>
      </w: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cs="宋体"/>
          <w:color w:val="auto"/>
          <w:sz w:val="24"/>
          <w:szCs w:val="28"/>
          <w:highlight w:val="none"/>
          <w:lang w:eastAsia="zh-CN"/>
        </w:rPr>
        <w:t xml:space="preserve">2025年地膜科学使用回收项目（专门面向中小企业采购）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3、预算金额：</w:t>
      </w:r>
      <w:r/>
    </w:p>
    <w:tbl>
      <w:tblPr>
        <w:tblStyle w:val="75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139.65</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800" w:type="dxa"/>
            <w:vAlign w:val="top"/>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72</w:t>
            </w:r>
            <w:r/>
          </w:p>
        </w:tc>
      </w:tr>
    </w:tbl>
    <w:p>
      <w:pPr>
        <w:ind w:firstLine="480"/>
        <w:spacing w:line="360" w:lineRule="auto"/>
        <w:rPr>
          <w:rFonts w:ascii="宋体" w:hAnsi="宋体"/>
          <w:sz w:val="24"/>
          <w:szCs w:val="24"/>
        </w:rPr>
      </w:pPr>
      <w:r>
        <w:rPr>
          <w:rFonts w:hint="eastAsia" w:ascii="宋体" w:hAnsi="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w:t>
      </w:r>
      <w:r>
        <w:rPr>
          <w:rFonts w:hint="eastAsia" w:ascii="宋体" w:hAnsi="宋体"/>
          <w:sz w:val="24"/>
          <w:szCs w:val="24"/>
        </w:rPr>
        <w:t xml:space="preserve">最高</w:t>
      </w:r>
      <w:r>
        <w:rPr>
          <w:rFonts w:ascii="宋体" w:hAnsi="宋体"/>
          <w:sz w:val="24"/>
          <w:szCs w:val="24"/>
        </w:rPr>
        <w:t xml:space="preserve">限价</w:t>
      </w:r>
      <w:r>
        <w:rPr>
          <w:rFonts w:hint="eastAsia" w:ascii="宋体" w:hAnsi="宋体" w:eastAsia="宋体" w:cs="宋体"/>
          <w:color w:val="auto"/>
          <w:sz w:val="24"/>
          <w:highlight w:val="none"/>
        </w:rPr>
        <w:t xml:space="preserve">：</w:t>
      </w:r>
      <w:r/>
    </w:p>
    <w:tbl>
      <w:tblPr>
        <w:tblStyle w:val="75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vAlign w:val="top"/>
            <w:textDirection w:val="lrTb"/>
            <w:noWrap w:val="false"/>
          </w:tcPr>
          <w:p>
            <w:pPr>
              <w:jc w:val="center"/>
              <w:spacing w:line="0" w:lineRule="atLeast"/>
              <w:rPr>
                <w:rFonts w:hint="default" w:ascii="宋体" w:hAnsi="宋体"/>
                <w:sz w:val="24"/>
                <w:szCs w:val="24"/>
                <w:lang w:val="en-US"/>
              </w:rPr>
            </w:pPr>
            <w:r>
              <w:rPr>
                <w:rFonts w:hint="eastAsia" w:ascii="宋体" w:hAnsi="宋体"/>
                <w:sz w:val="24"/>
                <w:szCs w:val="24"/>
                <w:lang w:val="en-US" w:eastAsia="zh-CN"/>
              </w:rPr>
              <w:t xml:space="preserve">139.65</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vAlign w:val="top"/>
            <w:textDirection w:val="lrTb"/>
            <w:noWrap w:val="false"/>
          </w:tcPr>
          <w:p>
            <w:pPr>
              <w:jc w:val="center"/>
              <w:spacing w:line="0" w:lineRule="atLeast"/>
              <w:rPr>
                <w:rFonts w:hint="default" w:ascii="宋体" w:hAnsi="宋体"/>
                <w:sz w:val="24"/>
                <w:szCs w:val="24"/>
                <w:lang w:val="en-US"/>
              </w:rPr>
            </w:pPr>
            <w:r>
              <w:rPr>
                <w:rFonts w:hint="eastAsia" w:ascii="宋体" w:hAnsi="宋体"/>
                <w:sz w:val="24"/>
                <w:szCs w:val="24"/>
                <w:lang w:val="en-US" w:eastAsia="zh-CN"/>
              </w:rPr>
              <w:t xml:space="preserve">72</w:t>
            </w:r>
            <w:r/>
          </w:p>
        </w:tc>
      </w:tr>
    </w:tbl>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、采购需求：</w:t>
      </w:r>
      <w:r>
        <w:rPr>
          <w:rFonts w:hint="eastAsia" w:ascii="宋体" w:hAnsi="宋体" w:eastAsia="宋体" w:cs="宋体"/>
          <w:color w:val="auto"/>
          <w:sz w:val="24"/>
          <w:szCs w:val="28"/>
          <w:highlight w:val="none"/>
          <w:lang w:val="en-US" w:eastAsia="zh-CN"/>
        </w:rPr>
        <w:t xml:space="preserve">2025年地膜科学使用回收项目（专门面向中小企业采购）</w:t>
      </w:r>
      <w:r>
        <w:rPr>
          <w:rFonts w:hint="eastAsia" w:ascii="宋体" w:hAnsi="宋体" w:eastAsia="宋体" w:cs="宋体"/>
          <w:color w:val="auto"/>
          <w:sz w:val="24"/>
          <w:szCs w:val="28"/>
          <w:highlight w:val="none"/>
        </w:rPr>
        <w:t xml:space="preserve">采购分包</w:t>
      </w:r>
      <w:r>
        <w:rPr>
          <w:rFonts w:hint="eastAsia" w:ascii="宋体" w:hAnsi="宋体" w:eastAsia="宋体" w:cs="宋体"/>
          <w:color w:val="auto"/>
          <w:sz w:val="24"/>
          <w:szCs w:val="28"/>
          <w:highlight w:val="none"/>
          <w:lang w:eastAsia="zh-CN"/>
        </w:rPr>
        <w:t xml:space="preserve">一：</w:t>
      </w:r>
      <w:r>
        <w:rPr>
          <w:rFonts w:hint="eastAsia" w:ascii="宋体" w:hAnsi="宋体" w:eastAsia="宋体" w:cs="宋体"/>
          <w:color w:val="auto"/>
          <w:sz w:val="24"/>
          <w:szCs w:val="28"/>
          <w:highlight w:val="none"/>
          <w:lang w:val="en-US" w:eastAsia="zh-CN"/>
        </w:rPr>
        <w:t xml:space="preserve">采购加厚高强度地膜139.65万元，主要应用于瓜类、茄果类、豆类蔬菜、西瓜、甜瓜、草莓等适宜作物</w:t>
      </w:r>
      <w:r>
        <w:rPr>
          <w:rFonts w:hint="eastAsia" w:ascii="宋体" w:hAnsi="宋体" w:eastAsia="宋体" w:cs="宋体"/>
          <w:color w:val="auto"/>
          <w:sz w:val="24"/>
          <w:szCs w:val="28"/>
          <w:highlight w:val="none"/>
          <w:lang w:eastAsia="zh-CN"/>
        </w:rPr>
        <w:t xml:space="preserve">；分包二：</w:t>
      </w:r>
      <w:r>
        <w:rPr>
          <w:rFonts w:hint="eastAsia" w:ascii="宋体" w:hAnsi="宋体" w:eastAsia="宋体" w:cs="宋体"/>
          <w:color w:val="auto"/>
          <w:sz w:val="24"/>
          <w:szCs w:val="28"/>
          <w:highlight w:val="none"/>
          <w:lang w:val="en-US" w:eastAsia="zh-CN"/>
        </w:rPr>
        <w:t xml:space="preserve">采购全生物降解地膜72万元，主要应用于甘蓝类、根茎类蔬菜、花生、芋头、马铃薯、水稻等适宜作物</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lang w:val="en-US" w:eastAsia="zh-CN"/>
        </w:rPr>
        <w:t xml:space="preserve">二</w:t>
      </w:r>
      <w:r>
        <w:rPr>
          <w:rFonts w:hint="eastAsia" w:ascii="宋体" w:hAnsi="宋体" w:eastAsia="宋体" w:cs="宋体"/>
          <w:color w:val="auto"/>
          <w:sz w:val="24"/>
          <w:szCs w:val="28"/>
          <w:highlight w:val="none"/>
          <w:lang w:eastAsia="zh-CN"/>
        </w:rPr>
        <w:t xml:space="preserve">个标段合计</w:t>
      </w:r>
      <w:r>
        <w:rPr>
          <w:rFonts w:hint="eastAsia" w:ascii="宋体" w:hAnsi="宋体" w:cs="宋体"/>
          <w:color w:val="auto"/>
          <w:sz w:val="24"/>
          <w:szCs w:val="28"/>
          <w:highlight w:val="none"/>
          <w:lang w:val="en-US" w:eastAsia="zh-CN"/>
        </w:rPr>
        <w:t xml:space="preserve">211.65</w:t>
      </w:r>
      <w:r>
        <w:rPr>
          <w:rFonts w:hint="eastAsia" w:ascii="宋体" w:hAnsi="宋体" w:eastAsia="宋体" w:cs="宋体"/>
          <w:color w:val="auto"/>
          <w:sz w:val="24"/>
          <w:szCs w:val="28"/>
          <w:highlight w:val="none"/>
          <w:lang w:eastAsia="zh-CN"/>
        </w:rPr>
        <w:t xml:space="preserve">万元，具体要求详见招标文件第四章项目需求。</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对项目需求部分的询问、质疑请与采购人联系；</w:t>
      </w:r>
      <w:r/>
    </w:p>
    <w:p>
      <w:pPr>
        <w:pStyle w:val="1037"/>
        <w:numPr>
          <w:ilvl w:val="0"/>
          <w:numId w:val="3"/>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供货方式：分批次供货（接到采购人通知3日内送达指定</w:t>
      </w:r>
      <w:r>
        <w:rPr>
          <w:rFonts w:hint="eastAsia" w:ascii="宋体" w:hAnsi="宋体" w:eastAsia="宋体" w:cs="宋体"/>
          <w:color w:val="auto"/>
          <w:sz w:val="24"/>
          <w:szCs w:val="24"/>
          <w:highlight w:val="none"/>
          <w:lang w:val="en-US" w:eastAsia="zh-CN"/>
        </w:rPr>
        <w:t xml:space="preserve">乡镇</w:t>
      </w:r>
      <w:r>
        <w:rPr>
          <w:rFonts w:hint="eastAsia" w:ascii="宋体" w:hAnsi="宋体" w:eastAsia="宋体" w:cs="宋体"/>
          <w:color w:val="auto"/>
          <w:sz w:val="24"/>
          <w:szCs w:val="24"/>
          <w:highlight w:val="none"/>
        </w:rPr>
        <w:t xml:space="preserve">地点）；</w:t>
      </w:r>
      <w:r/>
    </w:p>
    <w:p>
      <w:pPr>
        <w:pStyle w:val="1037"/>
        <w:ind w:firstLine="480"/>
        <w:jc w:val="left"/>
        <w:spacing w:line="360" w:lineRule="auto"/>
        <w:rPr>
          <w:rFonts w:hint="eastAsia"/>
          <w:color w:val="ff0000"/>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、供货期限：</w:t>
      </w:r>
      <w:r>
        <w:rPr>
          <w:rFonts w:hint="eastAsia" w:ascii="宋体" w:hAnsi="宋体" w:eastAsia="宋体" w:cs="宋体"/>
          <w:color w:val="ff0000"/>
          <w:sz w:val="24"/>
          <w:szCs w:val="24"/>
          <w:highlight w:val="none"/>
        </w:rPr>
        <w:t xml:space="preserve">合同签订之日起</w:t>
      </w:r>
      <w:r>
        <w:rPr>
          <w:rFonts w:hint="eastAsia" w:ascii="宋体" w:hAnsi="宋体" w:cs="宋体"/>
          <w:color w:val="ff0000"/>
          <w:sz w:val="24"/>
          <w:szCs w:val="24"/>
          <w:highlight w:val="none"/>
          <w:lang w:val="en-US" w:eastAsia="zh-CN"/>
        </w:rPr>
        <w:t xml:space="preserve">1</w:t>
      </w:r>
      <w:r>
        <w:rPr>
          <w:rFonts w:hint="eastAsia" w:ascii="宋体" w:hAnsi="宋体" w:eastAsia="宋体" w:cs="宋体"/>
          <w:color w:val="ff0000"/>
          <w:sz w:val="24"/>
          <w:szCs w:val="24"/>
          <w:highlight w:val="none"/>
        </w:rPr>
        <w:t xml:space="preserve">个月内完成供货；</w:t>
      </w:r>
      <w:r/>
    </w:p>
    <w:p>
      <w:pPr>
        <w:spacing w:line="360" w:lineRule="auto"/>
        <w:rPr>
          <w:rFonts w:hint="eastAsia" w:ascii="宋体" w:hAnsi="宋体" w:eastAsia="宋体" w:cs="宋体"/>
          <w:b/>
          <w:color w:val="auto"/>
          <w:sz w:val="24"/>
          <w:highlight w:val="none"/>
        </w:rPr>
      </w:pPr>
      <w:r/>
      <w:bookmarkStart w:id="15" w:name="_Toc28359090"/>
      <w:r/>
      <w:bookmarkStart w:id="16" w:name="_Toc28359013"/>
      <w:r/>
      <w:bookmarkStart w:id="17" w:name="_Toc35393630"/>
      <w:r/>
      <w:bookmarkStart w:id="18" w:name="_Toc35393799"/>
      <w:r>
        <w:rPr>
          <w:rFonts w:hint="eastAsia" w:ascii="宋体" w:hAnsi="宋体" w:eastAsia="宋体" w:cs="宋体"/>
          <w:b/>
          <w:color w:val="auto"/>
          <w:sz w:val="24"/>
          <w:highlight w:val="none"/>
        </w:rPr>
        <w:t xml:space="preserve">二、申请人的资格要求</w:t>
      </w:r>
      <w:bookmarkEnd w:id="15"/>
      <w:r/>
      <w:bookmarkEnd w:id="16"/>
      <w:r/>
      <w:bookmarkEnd w:id="17"/>
      <w:r/>
      <w:bookmarkEnd w:id="18"/>
      <w:r/>
      <w:r/>
    </w:p>
    <w:p>
      <w:pPr>
        <w:ind w:left="0" w:right="0" w:firstLine="480"/>
        <w:jc w:val="both"/>
        <w:spacing w:before="0" w:after="0" w:line="85"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（一）</w:t>
      </w:r>
      <w:r>
        <w:rPr>
          <w:rFonts w:ascii="宋体" w:hAnsi="宋体" w:eastAsia="宋体" w:cs="宋体"/>
          <w:color w:val="auto"/>
          <w:sz w:val="24"/>
          <w:u w:val="none"/>
        </w:rPr>
        <w:t xml:space="preserve">通用资格要求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1、满足《中华人民共和国政府采购法》第二十二条规定，并提供下列材料：</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具有良好的商业信誉和健全的财务会计制度；（按连财购〔2023〕4号文件要求，符合要求的提交《财务状况报告及税收、社会保障资金缴纳情况承诺函》，并上传至电子响应文件中，详见采购文件）；</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依法缴纳税收和社会保障资金的相关材料；（按连财购〔2023〕4号文件要求，符合要求的提交《财务状况报告及税收、社会保障资金缴纳情况承诺函》，并上传至电子响应文件中，详见采购文件）；</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具备履行合同所必需的设备和专业技术能力的声明及证明材料；</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参加政府采购活动前三年内在经营活动中没有重大违法记录的书面声明；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ascii="宋体" w:hAnsi="宋体" w:eastAsia="宋体" w:cs="宋体"/>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360" w:lineRule="auto"/>
        <w:rPr>
          <w:rFonts w:hint="eastAsia" w:ascii="宋体" w:hAnsi="宋体" w:eastAsia="宋体" w:cs="宋体"/>
          <w:color w:val="auto"/>
          <w:sz w:val="24"/>
          <w:highlight w:val="none"/>
        </w:rPr>
      </w:pPr>
      <w:r/>
      <w:bookmarkStart w:id="19" w:name="_Toc28359091"/>
      <w:r/>
      <w:bookmarkStart w:id="20" w:name="_Toc28359014"/>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、支持中小企业发展</w:t>
      </w:r>
      <w:r/>
    </w:p>
    <w:p>
      <w:pPr>
        <w:ind w:firstLine="480"/>
        <w:spacing w:line="360" w:lineRule="auto"/>
        <w:rPr>
          <w:rFonts w:hint="eastAsia" w:ascii="宋体" w:hAnsi="宋体" w:eastAsia="宋体" w:cs="宋体"/>
          <w:color w:val="auto"/>
          <w:sz w:val="24"/>
          <w:highlight w:val="none"/>
        </w:rPr>
      </w:pPr>
      <w:r>
        <w:rPr>
          <w:rFonts w:ascii="宋体" w:hAnsi="宋体" w:eastAsia="宋体" w:cs="宋体"/>
          <w:color w:val="000000"/>
          <w:sz w:val="24"/>
        </w:rPr>
        <w:t xml:space="preserve">①</w:t>
      </w:r>
      <w:r>
        <w:rPr>
          <w:rFonts w:hint="eastAsia" w:ascii="宋体" w:hAnsi="宋体" w:eastAsia="宋体" w:cs="宋体"/>
          <w:color w:val="auto"/>
          <w:sz w:val="24"/>
          <w:highlight w:val="none"/>
        </w:rPr>
        <w:t xml:space="preserve"> 执行财政部、工业和信息化部关于印发《政府采购促进中小企业发展管理办法》的通知（财库〔2020〕46号）、苏财购[2022]45号，本项目专门面向中型企业、小型企业、微型企业、残疾人福利性单位、监狱企业进行采购，符合文件要求的供应商应提交《中小企业声明函》。</w:t>
      </w:r>
      <w:r/>
    </w:p>
    <w:p>
      <w:pPr>
        <w:ind w:firstLine="480"/>
        <w:spacing w:line="360" w:lineRule="auto"/>
        <w:rPr>
          <w:rFonts w:hint="eastAsia" w:ascii="宋体" w:hAnsi="宋体" w:eastAsia="宋体" w:cs="宋体"/>
          <w:color w:val="auto"/>
          <w:sz w:val="24"/>
          <w:highlight w:val="none"/>
        </w:rPr>
      </w:pPr>
      <w:r>
        <w:rPr>
          <w:rFonts w:ascii="宋体" w:hAnsi="宋体" w:eastAsia="宋体" w:cs="宋体"/>
          <w:color w:val="000000"/>
          <w:sz w:val="24"/>
        </w:rPr>
        <w:t xml:space="preserve">②</w:t>
      </w:r>
      <w:r>
        <w:rPr>
          <w:rFonts w:hint="eastAsia" w:ascii="宋体" w:hAnsi="宋体" w:eastAsia="宋体" w:cs="宋体"/>
          <w:color w:val="auto"/>
          <w:sz w:val="24"/>
          <w:highlight w:val="none"/>
        </w:rPr>
        <w:t xml:space="preserve">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color w:val="auto"/>
          <w:sz w:val="24"/>
          <w:highlight w:val="none"/>
        </w:rPr>
      </w:pPr>
      <w:r>
        <w:rPr>
          <w:rFonts w:ascii="宋体" w:hAnsi="宋体" w:eastAsia="宋体" w:cs="宋体"/>
          <w:color w:val="000000"/>
          <w:sz w:val="24"/>
        </w:rPr>
        <w:t xml:space="preserve">③</w:t>
      </w:r>
      <w:r>
        <w:rPr>
          <w:rFonts w:hint="eastAsia" w:ascii="宋体" w:hAnsi="宋体" w:eastAsia="宋体" w:cs="宋体"/>
          <w:color w:val="auto"/>
          <w:sz w:val="24"/>
          <w:highlight w:val="none"/>
        </w:rPr>
        <w:t xml:space="preserve"> 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highlight w:val="none"/>
        </w:rP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w:t>
      </w:r>
      <w:r>
        <w:rPr>
          <w:rFonts w:hint="eastAsia" w:ascii="宋体" w:hAnsi="宋体" w:eastAsia="宋体" w:cs="宋体"/>
          <w:color w:val="auto"/>
          <w:sz w:val="24"/>
          <w:highlight w:val="none"/>
        </w:rPr>
        <w:t xml:space="preserve">、支持绿色发展</w:t>
      </w:r>
      <w:r/>
    </w:p>
    <w:p>
      <w:pPr>
        <w:ind w:firstLine="480"/>
        <w:spacing w:line="360" w:lineRule="auto"/>
        <w:rPr>
          <w:rFonts w:hint="eastAsia" w:ascii="宋体" w:hAnsi="宋体" w:eastAsia="宋体" w:cs="宋体"/>
          <w:color w:val="auto"/>
          <w:sz w:val="24"/>
          <w:highlight w:val="none"/>
        </w:rPr>
      </w:pPr>
      <w:r>
        <w:rPr>
          <w:rFonts w:ascii="宋体" w:hAnsi="宋体" w:eastAsia="宋体" w:cs="宋体"/>
          <w:color w:val="000000"/>
          <w:sz w:val="24"/>
        </w:rPr>
        <w:t xml:space="preserve">①</w:t>
      </w:r>
      <w:r>
        <w:rPr>
          <w:rFonts w:hint="eastAsia" w:ascii="宋体" w:hAnsi="宋体" w:eastAsia="宋体" w:cs="宋体"/>
          <w:color w:val="auto"/>
          <w:sz w:val="24"/>
          <w:highlight w:val="none"/>
        </w:rPr>
        <w:t xml:space="preserve">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auto"/>
          <w:sz w:val="24"/>
          <w:highlight w:val="none"/>
        </w:rPr>
      </w:pPr>
      <w:r>
        <w:rPr>
          <w:rFonts w:ascii="宋体" w:hAnsi="宋体" w:eastAsia="宋体" w:cs="宋体"/>
          <w:color w:val="000000"/>
          <w:sz w:val="24"/>
        </w:rPr>
        <w:t xml:space="preserve">②</w:t>
      </w:r>
      <w:r>
        <w:rPr>
          <w:rFonts w:hint="eastAsia" w:ascii="宋体" w:hAnsi="宋体" w:eastAsia="宋体" w:cs="宋体"/>
          <w:color w:val="auto"/>
          <w:sz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ascii="宋体" w:hAnsi="宋体" w:eastAsia="宋体" w:cs="宋体"/>
          <w:color w:val="000000"/>
          <w:sz w:val="24"/>
        </w:rPr>
        <w:t xml:space="preserve">③</w:t>
      </w:r>
      <w:r>
        <w:rPr>
          <w:rFonts w:hint="eastAsia" w:ascii="宋体" w:hAnsi="宋体" w:eastAsia="宋体" w:cs="宋体"/>
          <w:color w:val="auto"/>
          <w:sz w:val="24"/>
          <w:highlight w:val="none"/>
        </w:rPr>
        <w:t xml:space="preserve"> 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rPr>
      </w:pPr>
      <w:r>
        <w:rPr>
          <w:rFonts w:ascii="宋体" w:hAnsi="宋体" w:eastAsia="宋体" w:cs="宋体"/>
          <w:color w:val="000000"/>
          <w:sz w:val="24"/>
        </w:rPr>
        <w:t xml:space="preserve">④</w:t>
      </w:r>
      <w:r>
        <w:rPr>
          <w:rFonts w:hint="eastAsia" w:ascii="宋体" w:hAnsi="宋体" w:eastAsia="宋体" w:cs="宋体"/>
          <w:color w:val="auto"/>
          <w:sz w:val="24"/>
          <w:highlight w:val="none"/>
        </w:rPr>
        <w:t xml:space="preserve"> 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color w:val="auto"/>
          <w:sz w:val="24"/>
          <w:highlight w:val="none"/>
        </w:rP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w:t>
      </w:r>
      <w:r>
        <w:rPr>
          <w:rFonts w:hint="eastAsia" w:ascii="宋体" w:hAnsi="宋体" w:eastAsia="宋体" w:cs="宋体"/>
          <w:color w:val="auto"/>
          <w:sz w:val="24"/>
          <w:highlight w:val="none"/>
        </w:rPr>
        <w:t xml:space="preserve">、采购本国产品的支持政策</w:t>
      </w:r>
      <w:r/>
    </w:p>
    <w:p>
      <w:pPr>
        <w:ind w:firstLine="480"/>
        <w:spacing w:line="360" w:lineRule="auto"/>
        <w:rPr>
          <w:rFonts w:hint="eastAsia" w:ascii="宋体" w:hAnsi="宋体" w:eastAsia="宋体" w:cs="宋体"/>
          <w:color w:val="auto"/>
          <w:sz w:val="24"/>
          <w:highlight w:val="none"/>
        </w:rPr>
      </w:pPr>
      <w:r>
        <w:rPr>
          <w:rFonts w:ascii="宋体" w:hAnsi="宋体" w:eastAsia="宋体" w:cs="宋体"/>
          <w:color w:val="000000"/>
          <w:sz w:val="24"/>
        </w:rPr>
        <w:t xml:space="preserve">①</w:t>
      </w:r>
      <w:r>
        <w:rPr>
          <w:rFonts w:hint="eastAsia" w:ascii="宋体" w:hAnsi="宋体" w:eastAsia="宋体" w:cs="宋体"/>
          <w:color w:val="auto"/>
          <w:sz w:val="24"/>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4"/>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联合体磋商</w:t>
      </w:r>
      <w:r/>
    </w:p>
    <w:tbl>
      <w:tblPr>
        <w:tblStyle w:val="759"/>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3645"/>
        <w:gridCol w:w="3658"/>
      </w:tblGrid>
      <w:tr>
        <w:trPr>
          <w:jc w:val="center"/>
          <w:trHeight w:val="0"/>
          <w:tblHeader/>
        </w:trPr>
        <w:tc>
          <w:tcPr>
            <w:tcW w:w="0" w:type="auto"/>
            <w:vAlign w:val="center"/>
            <w:textDirection w:val="lrTb"/>
            <w:noWrap w:val="false"/>
          </w:tcPr>
          <w:p>
            <w:pPr>
              <w:ind w:left="0" w:right="0" w:firstLine="0"/>
              <w:jc w:val="center"/>
              <w:spacing w:line="240" w:lineRule="auto"/>
              <w:rPr>
                <w:rFonts w:hint="eastAsia" w:ascii="宋体" w:hAnsi="宋体"/>
                <w:b/>
                <w:sz w:val="24"/>
                <w:szCs w:val="24"/>
              </w:rPr>
            </w:pPr>
            <w:r>
              <w:rPr>
                <w:rFonts w:hint="eastAsia" w:ascii="宋体" w:hAnsi="宋体"/>
                <w:b/>
                <w:sz w:val="24"/>
                <w:szCs w:val="24"/>
              </w:rPr>
              <w:t xml:space="preserve">采购包号</w:t>
            </w:r>
            <w:r/>
          </w:p>
        </w:tc>
        <w:tc>
          <w:tcPr>
            <w:tcW w:w="3645" w:type="dxa"/>
            <w:vAlign w:val="center"/>
            <w:textDirection w:val="lrTb"/>
            <w:noWrap w:val="false"/>
          </w:tcPr>
          <w:p>
            <w:pPr>
              <w:ind w:left="0" w:right="0" w:firstLine="0"/>
              <w:jc w:val="center"/>
              <w:spacing w:line="240" w:lineRule="auto"/>
              <w:rPr>
                <w:rFonts w:hint="eastAsia" w:ascii="宋体" w:hAnsi="宋体"/>
                <w:b/>
                <w:sz w:val="24"/>
                <w:szCs w:val="24"/>
              </w:rPr>
            </w:pPr>
            <w:r>
              <w:rPr>
                <w:rFonts w:hint="eastAsia" w:ascii="宋体" w:hAnsi="宋体"/>
                <w:b/>
                <w:sz w:val="24"/>
                <w:szCs w:val="24"/>
              </w:rPr>
              <w:t xml:space="preserve">是否接受联合体</w:t>
            </w:r>
            <w:r>
              <w:rPr>
                <w:rFonts w:hint="eastAsia" w:ascii="宋体" w:hAnsi="宋体"/>
                <w:b/>
                <w:sz w:val="24"/>
                <w:szCs w:val="24"/>
                <w:lang w:val="en-US" w:eastAsia="zh-CN"/>
              </w:rPr>
              <w:t xml:space="preserve">磋商</w:t>
            </w:r>
            <w:r>
              <w:rPr>
                <w:rFonts w:ascii="宋体" w:hAnsi="宋体"/>
                <w:b/>
                <w:sz w:val="24"/>
                <w:szCs w:val="24"/>
              </w:rPr>
              <w:t xml:space="preserve">（</w:t>
            </w:r>
            <w:r>
              <w:rPr>
                <w:rFonts w:hint="eastAsia" w:ascii="宋体" w:hAnsi="宋体"/>
                <w:b/>
                <w:sz w:val="24"/>
                <w:szCs w:val="24"/>
              </w:rPr>
              <w:t xml:space="preserve">是/否</w:t>
            </w:r>
            <w:r>
              <w:rPr>
                <w:rFonts w:ascii="宋体" w:hAnsi="宋体"/>
                <w:b/>
                <w:sz w:val="24"/>
                <w:szCs w:val="24"/>
              </w:rPr>
              <w:t xml:space="preserve">）</w:t>
            </w:r>
            <w:r/>
          </w:p>
        </w:tc>
        <w:tc>
          <w:tcPr>
            <w:tcW w:w="3658" w:type="dxa"/>
            <w:vAlign w:val="center"/>
            <w:textDirection w:val="lrTb"/>
            <w:noWrap w:val="false"/>
          </w:tcPr>
          <w:p>
            <w:pPr>
              <w:ind w:left="0" w:right="0" w:firstLine="0"/>
              <w:jc w:val="center"/>
              <w:spacing w:line="240" w:lineRule="auto"/>
              <w:rPr>
                <w:rFonts w:hint="eastAsia" w:ascii="宋体" w:hAnsi="宋体"/>
                <w:b/>
                <w:sz w:val="24"/>
                <w:szCs w:val="24"/>
              </w:rPr>
            </w:pPr>
            <w:r>
              <w:rPr>
                <w:rFonts w:hint="eastAsia" w:ascii="宋体" w:hAnsi="宋体"/>
                <w:b/>
                <w:sz w:val="24"/>
                <w:szCs w:val="24"/>
              </w:rPr>
              <w:t xml:space="preserve">该采购包中</w:t>
            </w:r>
            <w:r>
              <w:rPr>
                <w:rFonts w:ascii="宋体" w:hAnsi="宋体"/>
                <w:b/>
                <w:sz w:val="24"/>
                <w:szCs w:val="24"/>
              </w:rPr>
              <w:t xml:space="preserve">联合体成员数量</w:t>
            </w:r>
            <w:r>
              <w:rPr>
                <w:rFonts w:hint="eastAsia" w:ascii="宋体" w:hAnsi="宋体"/>
                <w:b/>
                <w:sz w:val="24"/>
                <w:szCs w:val="24"/>
              </w:rPr>
              <w:t xml:space="preserve">上限</w:t>
            </w:r>
            <w:r/>
          </w:p>
        </w:tc>
      </w:tr>
      <w:tr>
        <w:trPr>
          <w:jc w:val="center"/>
          <w:trHeight w:val="0"/>
        </w:trPr>
        <w:tc>
          <w:tcPr>
            <w:tcW w:w="0" w:type="auto"/>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1</w:t>
            </w:r>
            <w:r/>
          </w:p>
        </w:tc>
        <w:tc>
          <w:tcPr>
            <w:tcW w:w="3645"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否</w:t>
            </w:r>
            <w:r/>
          </w:p>
        </w:tc>
        <w:tc>
          <w:tcPr>
            <w:tcW w:w="3658"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w:t>
            </w:r>
            <w:r/>
          </w:p>
        </w:tc>
      </w:tr>
      <w:tr>
        <w:trPr>
          <w:jc w:val="center"/>
          <w:trHeight w:val="0"/>
        </w:trPr>
        <w:tc>
          <w:tcPr>
            <w:tcW w:w="0" w:type="auto"/>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2</w:t>
            </w:r>
            <w:r/>
          </w:p>
        </w:tc>
        <w:tc>
          <w:tcPr>
            <w:tcW w:w="3645"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否</w:t>
            </w:r>
            <w:r/>
          </w:p>
        </w:tc>
        <w:tc>
          <w:tcPr>
            <w:tcW w:w="3658" w:type="dxa"/>
            <w:vAlign w:val="center"/>
            <w:textDirection w:val="lrTb"/>
            <w:noWrap w:val="false"/>
          </w:tcPr>
          <w:p>
            <w:pPr>
              <w:ind w:left="0" w:right="0" w:firstLine="0"/>
              <w:jc w:val="center"/>
              <w:spacing w:line="240" w:lineRule="auto"/>
              <w:rPr>
                <w:rFonts w:hint="eastAsia" w:ascii="宋体" w:hAnsi="宋体"/>
                <w:sz w:val="24"/>
                <w:szCs w:val="24"/>
              </w:rPr>
            </w:pPr>
            <w:r>
              <w:rPr>
                <w:rFonts w:hint="eastAsia" w:ascii="宋体" w:hAnsi="宋体"/>
                <w:sz w:val="24"/>
                <w:szCs w:val="24"/>
              </w:rPr>
              <w:t xml:space="preserve">/</w:t>
            </w:r>
            <w:r/>
          </w:p>
        </w:tc>
      </w:tr>
    </w:tbl>
    <w:p>
      <w:pPr>
        <w:ind w:firstLine="480"/>
        <w:spacing w:line="360" w:lineRule="auto"/>
        <w:rPr>
          <w:rFonts w:hint="eastAsia" w:ascii="宋体" w:hAnsi="宋体" w:eastAsia="宋体" w:cs="宋体"/>
          <w:color w:val="auto"/>
          <w:sz w:val="24"/>
          <w:highlight w:val="none"/>
        </w:rPr>
      </w:pPr>
      <w:r>
        <w:rPr>
          <w:rFonts w:ascii="宋体" w:hAnsi="宋体" w:eastAsia="宋体" w:cs="宋体"/>
          <w:color w:val="000000"/>
          <w:sz w:val="24"/>
        </w:rPr>
        <w:t xml:space="preserve">（二）</w:t>
      </w:r>
      <w:r>
        <w:rPr>
          <w:rFonts w:hint="eastAsia" w:ascii="宋体" w:hAnsi="宋体" w:eastAsia="宋体" w:cs="宋体"/>
          <w:color w:val="auto"/>
          <w:sz w:val="24"/>
          <w:highlight w:val="none"/>
        </w:rPr>
        <w:t xml:space="preserve">、本项目的特定资格要求：</w:t>
      </w:r>
      <w:r/>
    </w:p>
    <w:tbl>
      <w:tblPr>
        <w:tblStyle w:val="759"/>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9"/>
        <w:gridCol w:w="7129"/>
      </w:tblGrid>
      <w:tr>
        <w:trPr>
          <w:jc w:val="center"/>
          <w:trHeight w:val="0"/>
          <w:tblHeader/>
        </w:trPr>
        <w:tc>
          <w:tcPr>
            <w:tcW w:w="1399" w:type="dxa"/>
            <w:vAlign w:val="center"/>
            <w:textDirection w:val="lrTb"/>
            <w:noWrap w:val="false"/>
          </w:tcPr>
          <w:p>
            <w:pPr>
              <w:ind w:left="0" w:right="0" w:firstLine="0"/>
              <w:jc w:val="center"/>
              <w:spacing w:line="240" w:lineRule="auto"/>
              <w:rPr>
                <w:rFonts w:hint="eastAsia" w:ascii="宋体" w:hAnsi="宋体"/>
                <w:b/>
                <w:sz w:val="24"/>
                <w:szCs w:val="24"/>
              </w:rPr>
            </w:pPr>
            <w:r/>
            <w:bookmarkStart w:id="21" w:name="_Toc35393800"/>
            <w:r/>
            <w:bookmarkStart w:id="22" w:name="_Toc35393631"/>
            <w:r>
              <w:rPr>
                <w:rFonts w:hint="eastAsia" w:ascii="宋体" w:hAnsi="宋体"/>
                <w:b/>
                <w:sz w:val="24"/>
                <w:szCs w:val="24"/>
              </w:rPr>
              <w:t xml:space="preserve">采购包号</w:t>
            </w:r>
            <w:r/>
          </w:p>
        </w:tc>
        <w:tc>
          <w:tcPr>
            <w:tcW w:w="7129" w:type="dxa"/>
            <w:vAlign w:val="center"/>
            <w:textDirection w:val="lrTb"/>
            <w:noWrap w:val="false"/>
          </w:tcPr>
          <w:p>
            <w:pPr>
              <w:ind w:left="0" w:right="0" w:firstLine="0"/>
              <w:jc w:val="center"/>
              <w:spacing w:line="240" w:lineRule="auto"/>
              <w:rPr>
                <w:rFonts w:hint="eastAsia" w:ascii="宋体" w:hAnsi="宋体"/>
                <w:b/>
                <w:sz w:val="24"/>
                <w:szCs w:val="24"/>
              </w:rPr>
            </w:pPr>
            <w:r>
              <w:rPr>
                <w:rFonts w:hint="eastAsia" w:ascii="宋体" w:hAnsi="宋体"/>
                <w:b/>
                <w:sz w:val="24"/>
                <w:szCs w:val="24"/>
              </w:rPr>
              <w:t xml:space="preserve">特定</w:t>
            </w:r>
            <w:r>
              <w:rPr>
                <w:rFonts w:ascii="宋体" w:hAnsi="宋体"/>
                <w:b/>
                <w:sz w:val="24"/>
                <w:szCs w:val="24"/>
              </w:rPr>
              <w:t xml:space="preserve">资格要求</w:t>
            </w:r>
            <w:r/>
          </w:p>
        </w:tc>
      </w:tr>
      <w:tr>
        <w:trPr>
          <w:jc w:val="center"/>
          <w:trHeight w:val="0"/>
        </w:trPr>
        <w:tc>
          <w:tcPr>
            <w:tcW w:w="1399"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1</w:t>
            </w:r>
            <w:r/>
          </w:p>
        </w:tc>
        <w:tc>
          <w:tcPr>
            <w:tcW w:w="7129"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w:t>
            </w:r>
            <w:r>
              <w:rPr>
                <w:rFonts w:hint="eastAsia" w:ascii="宋体" w:hAnsi="宋体" w:cs="宋体"/>
                <w:color w:val="auto"/>
                <w:sz w:val="24"/>
                <w:szCs w:val="24"/>
                <w:highlight w:val="yellow"/>
                <w:lang w:val="en-US" w:eastAsia="zh-CN"/>
              </w:rPr>
              <w:t xml:space="preserve">1</w:t>
            </w:r>
            <w:r>
              <w:rPr>
                <w:rFonts w:hint="eastAsia" w:ascii="宋体" w:hAnsi="宋体" w:eastAsia="宋体" w:cs="宋体"/>
                <w:color w:val="auto"/>
                <w:sz w:val="24"/>
                <w:szCs w:val="24"/>
                <w:highlight w:val="yellow"/>
                <w:lang w:val="en-US" w:eastAsia="zh-CN"/>
              </w:rPr>
              <w:t xml:space="preserve">）响应供应商必须为生产厂家</w:t>
            </w:r>
            <w:r/>
          </w:p>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）供应商/投标主体及其法定代表人、项目负责人未被列入“连云港市赣榆区行贿人联合惩戒信息库。”</w:t>
            </w:r>
            <w:r/>
          </w:p>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备注：采购人/招标人和区公共资源交易中心通过赣榆区行贿人联合惩戒信息库，对供应商/投标主体情况进行内部查询，查询结果页面打印留存。</w:t>
            </w:r>
            <w:r/>
          </w:p>
          <w:p>
            <w:pPr>
              <w:ind w:left="0" w:right="0" w:firstLine="0"/>
              <w:jc w:val="left"/>
              <w:spacing w:line="240" w:lineRule="auto"/>
              <w:rPr>
                <w:rFonts w:ascii="宋体" w:hAnsi="宋体"/>
                <w:sz w:val="24"/>
                <w:szCs w:val="24"/>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）中标后不允许分包或转包。</w:t>
            </w:r>
            <w:r/>
          </w:p>
        </w:tc>
      </w:tr>
      <w:tr>
        <w:trPr>
          <w:jc w:val="center"/>
          <w:trHeight w:val="0"/>
        </w:trPr>
        <w:tc>
          <w:tcPr>
            <w:tcW w:w="1399"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2</w:t>
            </w:r>
            <w:r/>
          </w:p>
        </w:tc>
        <w:tc>
          <w:tcPr>
            <w:tcW w:w="7129" w:type="dxa"/>
            <w:vAlign w:val="center"/>
            <w:textDirection w:val="lrTb"/>
            <w:noWrap w:val="false"/>
          </w:tcPr>
          <w:p>
            <w:pPr>
              <w:ind w:left="0" w:right="0" w:firstLine="0"/>
              <w:jc w:val="left"/>
              <w:spacing w:line="240" w:lineRule="auto"/>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 xml:space="preserve">（</w:t>
            </w:r>
            <w:r>
              <w:rPr>
                <w:rFonts w:hint="eastAsia" w:ascii="宋体" w:hAnsi="宋体" w:cs="宋体"/>
                <w:color w:val="auto"/>
                <w:sz w:val="24"/>
                <w:szCs w:val="24"/>
                <w:highlight w:val="yellow"/>
                <w:lang w:val="en-US" w:eastAsia="zh-CN"/>
              </w:rPr>
              <w:t xml:space="preserve">1</w:t>
            </w:r>
            <w:r>
              <w:rPr>
                <w:rFonts w:hint="eastAsia" w:ascii="宋体" w:hAnsi="宋体" w:eastAsia="宋体" w:cs="宋体"/>
                <w:color w:val="auto"/>
                <w:sz w:val="24"/>
                <w:szCs w:val="24"/>
                <w:highlight w:val="yellow"/>
                <w:lang w:val="en-US" w:eastAsia="zh-CN"/>
              </w:rPr>
              <w:t xml:space="preserve">）响应供应商必须为生产厂家</w:t>
            </w:r>
            <w:r/>
          </w:p>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）供应商/投标主体及其法定代表人、项目负责人未被列入“连云港市赣榆区行贿人联合惩戒信息库。”</w:t>
            </w:r>
            <w:r/>
          </w:p>
          <w:p>
            <w:pPr>
              <w:ind w:left="0" w:right="0" w:firstLine="0"/>
              <w:jc w:val="left"/>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备注：采购人/招标人和区公共资源交易中心通过赣榆区行贿人联合惩戒信息库，对供应商/投标主体情况进行内部查询，查询结果页面打印留存。</w:t>
            </w:r>
            <w:r/>
          </w:p>
          <w:p>
            <w:pPr>
              <w:ind w:left="0" w:right="0" w:firstLine="0"/>
              <w:jc w:val="left"/>
              <w:spacing w:line="240" w:lineRule="auto"/>
              <w:rPr>
                <w:rFonts w:hint="eastAsia" w:ascii="宋体" w:hAnsi="宋体"/>
                <w:sz w:val="24"/>
                <w:szCs w:val="24"/>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）中标后不允许分包或转包。</w:t>
            </w:r>
            <w:r/>
          </w:p>
        </w:tc>
      </w:tr>
    </w:tbl>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三、获取</w:t>
      </w:r>
      <w:bookmarkEnd w:id="19"/>
      <w:r/>
      <w:bookmarkEnd w:id="20"/>
      <w:r/>
      <w:bookmarkEnd w:id="21"/>
      <w:r/>
      <w:bookmarkEnd w:id="22"/>
      <w:r>
        <w:rPr>
          <w:rFonts w:hint="eastAsia" w:ascii="宋体" w:hAnsi="宋体" w:eastAsia="宋体" w:cs="宋体"/>
          <w:b/>
          <w:color w:val="auto"/>
          <w:sz w:val="24"/>
          <w:highlight w:val="none"/>
        </w:rPr>
        <w:t xml:space="preserve">磋商文件</w:t>
      </w:r>
      <w:r/>
    </w:p>
    <w:p>
      <w:pPr>
        <w:ind w:firstLine="480"/>
        <w:spacing w:line="360" w:lineRule="auto"/>
        <w:rPr>
          <w:rFonts w:hint="eastAsia" w:ascii="宋体" w:hAnsi="宋体" w:eastAsia="宋体" w:cs="宋体"/>
          <w:color w:val="auto"/>
          <w:sz w:val="24"/>
          <w:highlight w:val="none"/>
        </w:rPr>
      </w:pPr>
      <w:r/>
      <w:bookmarkStart w:id="23" w:name="_Toc35393632"/>
      <w:r/>
      <w:bookmarkStart w:id="24" w:name="_Toc28359092"/>
      <w:r/>
      <w:bookmarkStart w:id="25" w:name="_Toc28359015"/>
      <w:r/>
      <w:bookmarkStart w:id="26" w:name="_Toc35393801"/>
      <w:r>
        <w:rPr>
          <w:rFonts w:hint="eastAsia" w:ascii="宋体" w:hAnsi="宋体" w:eastAsia="宋体" w:cs="宋体"/>
          <w:color w:val="auto"/>
          <w:sz w:val="24"/>
          <w:highlight w:val="none"/>
        </w:rPr>
        <w:t xml:space="preserve">1、时间：自磋商文件公告发布之日起5个工作日。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2、方式：在“江苏政府采购网”自行免费下载磋商文件。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3、售价：0元。</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bookmarkEnd w:id="23"/>
      <w:r/>
      <w:bookmarkEnd w:id="24"/>
      <w:r/>
      <w:bookmarkEnd w:id="25"/>
      <w:r/>
      <w:bookmarkEnd w:id="26"/>
      <w:r/>
      <w:bookmarkStart w:id="27" w:name="_Toc20177"/>
      <w:r/>
      <w:bookmarkStart w:id="28" w:name="_Toc28359017"/>
      <w:r/>
      <w:bookmarkStart w:id="29" w:name="_Toc35393634"/>
      <w:r/>
      <w:bookmarkStart w:id="30" w:name="_Toc35393803"/>
      <w:r/>
      <w:bookmarkStart w:id="31" w:name="_Toc28359094"/>
      <w:r>
        <w:rPr>
          <w:rFonts w:hint="eastAsia" w:ascii="宋体" w:hAnsi="宋体" w:eastAsia="宋体" w:cs="宋体"/>
          <w:b/>
          <w:color w:val="auto"/>
          <w:sz w:val="24"/>
          <w:highlight w:val="none"/>
        </w:rPr>
        <w:t xml:space="preserve">电子响应文件递交及开标时间和地点</w:t>
      </w:r>
      <w:bookmarkEnd w:id="27"/>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1、响应文件接收截止时间：</w:t>
      </w:r>
      <w:r>
        <w:rPr>
          <w:rFonts w:hint="eastAsia" w:ascii="宋体" w:hAnsi="宋体" w:eastAsia="宋体" w:cs="宋体"/>
          <w:color w:val="auto"/>
          <w:sz w:val="24"/>
          <w:szCs w:val="28"/>
          <w:highlight w:val="white"/>
        </w:rPr>
        <w:t xml:space="preserve">202</w:t>
      </w:r>
      <w:r>
        <w:rPr>
          <w:rFonts w:hint="eastAsia" w:ascii="宋体" w:hAnsi="宋体" w:cs="宋体"/>
          <w:color w:val="auto"/>
          <w:sz w:val="24"/>
          <w:szCs w:val="28"/>
          <w:highlight w:val="white"/>
          <w:lang w:val="en-US" w:eastAsia="zh-CN"/>
        </w:rPr>
        <w:t xml:space="preserve">6</w:t>
      </w:r>
      <w:r>
        <w:rPr>
          <w:rFonts w:hint="eastAsia" w:ascii="宋体" w:hAnsi="宋体" w:eastAsia="宋体" w:cs="宋体"/>
          <w:color w:val="auto"/>
          <w:sz w:val="24"/>
          <w:szCs w:val="28"/>
          <w:highlight w:val="white"/>
        </w:rPr>
        <w:t xml:space="preserve">年</w:t>
      </w:r>
      <w:r>
        <w:rPr>
          <w:rFonts w:hint="eastAsia" w:ascii="宋体" w:hAnsi="宋体" w:cs="宋体"/>
          <w:color w:val="auto"/>
          <w:sz w:val="24"/>
          <w:szCs w:val="28"/>
          <w:highlight w:val="white"/>
          <w:lang w:val="en-US" w:eastAsia="zh-CN"/>
        </w:rPr>
        <w:t xml:space="preserve">03</w:t>
      </w:r>
      <w:r>
        <w:rPr>
          <w:rFonts w:hint="eastAsia" w:ascii="宋体" w:hAnsi="宋体" w:eastAsia="宋体" w:cs="宋体"/>
          <w:color w:val="auto"/>
          <w:sz w:val="24"/>
          <w:szCs w:val="28"/>
          <w:highlight w:val="white"/>
        </w:rPr>
        <w:t xml:space="preserve">月25</w:t>
      </w:r>
      <w:r>
        <w:rPr>
          <w:rFonts w:hint="eastAsia" w:ascii="宋体" w:hAnsi="宋体" w:eastAsia="宋体" w:cs="宋体"/>
          <w:color w:val="auto"/>
          <w:sz w:val="24"/>
          <w:szCs w:val="28"/>
          <w:highlight w:val="white"/>
        </w:rPr>
        <w:t xml:space="preserve">日09:00:00</w:t>
      </w:r>
      <w:r>
        <w:rPr>
          <w:rFonts w:hint="eastAsia" w:ascii="宋体" w:hAnsi="宋体" w:eastAsia="宋体" w:cs="宋体"/>
          <w:color w:val="auto"/>
          <w:sz w:val="24"/>
          <w:szCs w:val="28"/>
          <w:highlight w:val="none"/>
        </w:rPr>
        <w:t xml:space="preserve">（北京时间）；</w:t>
      </w:r>
      <w:r>
        <w:rPr>
          <w:rFonts w:hint="eastAsia" w:ascii="宋体" w:hAnsi="宋体" w:eastAsia="宋体" w:cs="宋体"/>
          <w:color w:val="auto"/>
          <w:sz w:val="24"/>
          <w:highlight w:val="none"/>
        </w:rPr>
        <w:t xml:space="preserve">逾时，交易系统将拒绝接受上</w:t>
      </w:r>
      <w:r>
        <w:rPr>
          <w:rFonts w:hint="eastAsia" w:ascii="宋体" w:hAnsi="宋体" w:eastAsia="宋体" w:cs="宋体"/>
          <w:color w:val="auto"/>
          <w:sz w:val="24"/>
          <w:szCs w:val="28"/>
          <w:highlight w:val="none"/>
        </w:rPr>
        <w:t xml:space="preserve">传响应文件电子文档。</w:t>
      </w:r>
      <w:r/>
    </w:p>
    <w:p>
      <w:pPr>
        <w:ind w:firstLine="480"/>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注：本项目采购方式为竞争性磋商，评审过程中依次有磋商环节和二次（最后）报价环节，各供应商请及时关注开标大厅交流区，在开标结束后，请勿离开开标大厅。初步评审环节结束后苏彩云系统将通知供应商在规定时间内进行磋商及最后报价填报，如供应商因个人原因错过相应环节，责任自负。</w:t>
      </w:r>
      <w:r/>
    </w:p>
    <w:p>
      <w:pPr>
        <w:ind w:firstLine="480"/>
        <w:spacing w:line="360" w:lineRule="auto"/>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所有的响应供应商须在苏彩云系统规定时间内填写并提交最后报价，未在磋商小组规定的时间内完成最后报价的视为放弃磋商，其磋商响应按无效响应处理。</w:t>
      </w:r>
      <w:r/>
    </w:p>
    <w:p>
      <w:pPr>
        <w:ind w:firstLine="480"/>
        <w:spacing w:line="360" w:lineRule="auto"/>
        <w:rPr>
          <w:rFonts w:hint="eastAsia" w:ascii="宋体" w:hAnsi="宋体" w:eastAsia="宋体" w:cs="宋体"/>
          <w:color w:val="auto"/>
          <w:sz w:val="24"/>
          <w:szCs w:val="28"/>
          <w:highlight w:val="none"/>
        </w:rPr>
      </w:pPr>
      <w:r/>
      <w:bookmarkStart w:id="32" w:name="_Toc35393802"/>
      <w:r/>
      <w:bookmarkStart w:id="33" w:name="_Toc28359016"/>
      <w:r/>
      <w:bookmarkStart w:id="34" w:name="_Toc28359093"/>
      <w:r/>
      <w:bookmarkStart w:id="35" w:name="_Toc35393633"/>
      <w:r>
        <w:rPr>
          <w:rFonts w:hint="eastAsia" w:ascii="宋体" w:hAnsi="宋体" w:eastAsia="宋体" w:cs="宋体"/>
          <w:color w:val="auto"/>
          <w:sz w:val="24"/>
          <w:szCs w:val="28"/>
          <w:highlight w:val="none"/>
        </w:rPr>
        <w:t xml:space="preserve">2、线上开标地点：“苏采云”系统（网址：http://jszfcg.jsczt.cn/）“开标大厅”。</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3、响应文件的解密：开标当天各供应商及时登录不见面开标大厅，响应文件递交截止时间后，采购</w:t>
      </w:r>
      <w:r>
        <w:rPr>
          <w:rFonts w:hint="eastAsia" w:ascii="宋体" w:hAnsi="宋体" w:eastAsia="宋体" w:cs="宋体"/>
          <w:color w:val="auto"/>
          <w:sz w:val="24"/>
          <w:szCs w:val="28"/>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32"/>
      <w:r/>
      <w:bookmarkEnd w:id="33"/>
      <w:r/>
      <w:bookmarkEnd w:id="34"/>
      <w:r/>
      <w:bookmarkEnd w:id="35"/>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bookmarkEnd w:id="28"/>
      <w:r/>
      <w:bookmarkEnd w:id="29"/>
      <w:r/>
      <w:bookmarkEnd w:id="30"/>
      <w:r/>
      <w:bookmarkEnd w:id="31"/>
      <w:r>
        <w:rPr>
          <w:rFonts w:hint="eastAsia" w:ascii="宋体" w:hAnsi="宋体" w:eastAsia="宋体" w:cs="宋体"/>
          <w:b/>
          <w:color w:val="auto"/>
          <w:sz w:val="24"/>
          <w:highlight w:val="none"/>
        </w:rPr>
        <w:t xml:space="preserve">公告期限</w:t>
      </w:r>
      <w:r/>
    </w:p>
    <w:p>
      <w:pPr>
        <w:ind w:firstLine="480"/>
        <w:spacing w:line="360" w:lineRule="auto"/>
        <w:rPr>
          <w:rFonts w:hint="eastAsia" w:ascii="宋体" w:hAnsi="宋体" w:eastAsia="宋体" w:cs="宋体"/>
          <w:color w:val="auto"/>
          <w:sz w:val="24"/>
          <w:highlight w:val="none"/>
        </w:rPr>
      </w:pPr>
      <w:r/>
      <w:bookmarkStart w:id="36" w:name="_Toc35393626"/>
      <w:r/>
      <w:bookmarkStart w:id="37" w:name="_Toc38985268"/>
      <w:r/>
      <w:bookmarkStart w:id="38" w:name="_Toc35393795"/>
      <w:r>
        <w:rPr>
          <w:rFonts w:hint="eastAsia" w:ascii="宋体" w:hAnsi="宋体" w:eastAsia="宋体" w:cs="宋体"/>
          <w:color w:val="auto"/>
          <w:sz w:val="24"/>
          <w:highlight w:val="none"/>
        </w:rPr>
        <w:t xml:space="preserve">自本公告发布之日起3个工作日。</w:t>
      </w:r>
      <w:bookmarkEnd w:id="36"/>
      <w:r/>
      <w:bookmarkEnd w:id="37"/>
      <w:r/>
      <w:bookmarkEnd w:id="38"/>
      <w:r/>
      <w:r/>
    </w:p>
    <w:p>
      <w:pPr>
        <w:spacing w:line="360" w:lineRule="auto"/>
        <w:rPr>
          <w:rFonts w:hint="eastAsia" w:ascii="宋体" w:hAnsi="宋体" w:eastAsia="宋体" w:cs="宋体"/>
          <w:b/>
          <w:color w:val="auto"/>
          <w:sz w:val="24"/>
          <w:highlight w:val="none"/>
        </w:rPr>
      </w:pPr>
      <w:r/>
      <w:bookmarkStart w:id="39" w:name="_Toc35393804"/>
      <w:r/>
      <w:bookmarkStart w:id="40" w:name="_Toc35393635"/>
      <w:r>
        <w:rPr>
          <w:rFonts w:hint="eastAsia" w:ascii="宋体" w:hAnsi="宋体" w:eastAsia="宋体" w:cs="宋体"/>
          <w:b/>
          <w:color w:val="auto"/>
          <w:sz w:val="24"/>
          <w:highlight w:val="none"/>
        </w:rPr>
        <w:t xml:space="preserve">六、其他补充事宜</w:t>
      </w:r>
      <w:bookmarkEnd w:id="39"/>
      <w:r/>
      <w:bookmarkEnd w:id="40"/>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1、本次磋商采购不收取保证金。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2、本磋商文件中标注★的款项为实质性响应要求和条件，如不满足将按无效响应文件处理。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论出于何种原因，采购人在采购活动开始前可对采购文件进行修改、补充或变更，其内容作为采购文件的重要组成部分，请各供应商关注江苏政府采购网站。若因供应商自身原因未及时关注本项目有关修改、补充或变更信息，导致响应文件编制或提交失误，由此造成的一切损失由供应商自行承担。</w:t>
      </w:r>
      <w:r/>
    </w:p>
    <w:p>
      <w:pPr>
        <w:spacing w:line="360" w:lineRule="auto"/>
        <w:rPr>
          <w:rFonts w:hint="eastAsia" w:ascii="宋体" w:hAnsi="宋体" w:eastAsia="宋体" w:cs="宋体"/>
          <w:b/>
          <w:color w:val="auto"/>
          <w:sz w:val="24"/>
          <w:highlight w:val="none"/>
        </w:rPr>
      </w:pPr>
      <w:r/>
      <w:bookmarkStart w:id="41" w:name="_Toc35393805"/>
      <w:r/>
      <w:bookmarkStart w:id="42" w:name="_Toc28359018"/>
      <w:r/>
      <w:bookmarkStart w:id="43" w:name="_Toc35393636"/>
      <w:r/>
      <w:bookmarkStart w:id="44" w:name="_Toc28359095"/>
      <w:r>
        <w:rPr>
          <w:rFonts w:hint="eastAsia" w:ascii="宋体" w:hAnsi="宋体" w:eastAsia="宋体" w:cs="宋体"/>
          <w:b/>
          <w:color w:val="auto"/>
          <w:sz w:val="24"/>
          <w:highlight w:val="none"/>
        </w:rPr>
        <w:t xml:space="preserve">七、</w:t>
      </w:r>
      <w:bookmarkEnd w:id="41"/>
      <w:r/>
      <w:bookmarkEnd w:id="42"/>
      <w:r/>
      <w:bookmarkEnd w:id="43"/>
      <w:r/>
      <w:bookmarkEnd w:id="44"/>
      <w:r>
        <w:rPr>
          <w:rFonts w:hint="eastAsia" w:ascii="宋体" w:hAnsi="宋体" w:eastAsia="宋体" w:cs="宋体"/>
          <w:b/>
          <w:color w:val="auto"/>
          <w:sz w:val="24"/>
          <w:highlight w:val="none"/>
        </w:rPr>
        <w:t xml:space="preserve">本次磋商联系方式</w:t>
      </w:r>
      <w:r/>
    </w:p>
    <w:p>
      <w:pPr>
        <w:ind w:firstLine="480"/>
        <w:spacing w:line="360" w:lineRule="auto"/>
        <w:rPr>
          <w:rFonts w:hint="eastAsia" w:ascii="宋体" w:hAnsi="宋体" w:eastAsia="宋体" w:cs="宋体"/>
          <w:color w:val="auto"/>
          <w:sz w:val="24"/>
          <w:highlight w:val="none"/>
        </w:rPr>
      </w:pPr>
      <w:r/>
      <w:bookmarkStart w:id="45" w:name="_Toc28359019"/>
      <w:r/>
      <w:bookmarkStart w:id="46" w:name="_Toc35393806"/>
      <w:r/>
      <w:bookmarkStart w:id="47" w:name="_Toc35393637"/>
      <w:r/>
      <w:bookmarkStart w:id="48" w:name="_Toc28359096"/>
      <w:r>
        <w:rPr>
          <w:rFonts w:hint="eastAsia" w:ascii="宋体" w:hAnsi="宋体" w:eastAsia="宋体" w:cs="宋体"/>
          <w:color w:val="auto"/>
          <w:sz w:val="24"/>
          <w:highlight w:val="none"/>
        </w:rPr>
        <w:t xml:space="preserve">1、采购人信息</w:t>
      </w:r>
      <w:bookmarkEnd w:id="45"/>
      <w:r/>
      <w:bookmarkEnd w:id="46"/>
      <w:r/>
      <w:bookmarkEnd w:id="47"/>
      <w:r/>
      <w:bookmarkEnd w:id="48"/>
      <w:r/>
      <w:r/>
    </w:p>
    <w:p>
      <w:pPr>
        <w:ind w:firstLine="480"/>
        <w:spacing w:line="360" w:lineRule="auto"/>
        <w:rPr>
          <w:rFonts w:hint="eastAsia" w:ascii="宋体" w:hAnsi="宋体" w:eastAsia="宋体" w:cs="宋体"/>
          <w:color w:val="auto"/>
          <w:sz w:val="24"/>
          <w:highlight w:val="none"/>
          <w:lang w:eastAsia="zh-CN"/>
        </w:rPr>
      </w:pPr>
      <w:r/>
      <w:bookmarkStart w:id="49" w:name="_Toc35393807"/>
      <w:r/>
      <w:bookmarkStart w:id="50" w:name="_Toc35393638"/>
      <w:r/>
      <w:bookmarkStart w:id="51" w:name="_Toc28359020"/>
      <w:r/>
      <w:bookmarkStart w:id="52" w:name="_Toc28359097"/>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连云港市赣榆区农村能源环境保护办公室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地址：连云港市赣榆区黄海东路303号</w:t>
      </w:r>
      <w:r/>
    </w:p>
    <w:p>
      <w:pPr>
        <w:ind w:firstLine="480"/>
        <w:spacing w:line="360" w:lineRule="auto"/>
        <w:rPr>
          <w:rFonts w:hint="default" w:ascii="宋体" w:hAnsi="宋体" w:eastAsia="宋体" w:cs="宋体"/>
          <w:color w:val="ff0000"/>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cs="宋体"/>
          <w:color w:val="ff0000"/>
          <w:sz w:val="24"/>
          <w:highlight w:val="none"/>
          <w:lang w:val="en-US" w:eastAsia="zh-CN"/>
        </w:rPr>
        <w:t xml:space="preserve">蒋科</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cs="宋体"/>
          <w:color w:val="auto"/>
          <w:sz w:val="24"/>
          <w:highlight w:val="none"/>
          <w:lang w:val="en-US" w:eastAsia="zh-CN"/>
        </w:rPr>
        <w:t xml:space="preserve">0518-87181818</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bookmarkEnd w:id="49"/>
      <w:r/>
      <w:bookmarkEnd w:id="50"/>
      <w:r/>
      <w:bookmarkEnd w:id="51"/>
      <w:r/>
      <w:bookmarkEnd w:id="52"/>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连云港衡致工程造价咨询有限公司</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江苏省连云港市赣榆区青口镇富山东城海岸小区C区140号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尹工</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联系方式：13337879959</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八、电子采购说明</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1、根据省财政厅《关</w:t>
      </w:r>
      <w:r>
        <w:rPr>
          <w:rFonts w:hint="eastAsia" w:ascii="宋体" w:hAnsi="宋体" w:eastAsia="宋体" w:cs="宋体"/>
          <w:color w:val="auto"/>
          <w:sz w:val="24"/>
          <w:highlight w:val="none"/>
        </w:rPr>
        <w:t xml:space="preserve">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请至连云港市财政局(海州区海连中路66号)西门向南约20米，由铁门进入办理窗口办理。因交通条件限制，请尽量绿色出行。具体联系方式见《苏采云系统供应商操作手册》（以下简称《操作手册》）}、进行注册并按《操作手册》要求制作、上传电子响应文件。</w:t>
      </w:r>
      <w:r/>
    </w:p>
    <w:p>
      <w:pPr>
        <w:numPr>
          <w:ilvl w:val="0"/>
          <w:numId w:val="5"/>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有关本次磋商的事项若存在变动或修改，敬请及时关注“江苏政府采购网”发布的更正公告。</w:t>
      </w:r>
      <w:r/>
    </w:p>
    <w:p>
      <w:pPr>
        <w:jc w:val="center"/>
        <w:spacing w:line="360" w:lineRule="auto"/>
        <w:rPr>
          <w:rFonts w:hint="eastAsia" w:ascii="宋体" w:hAnsi="宋体" w:eastAsia="宋体" w:cs="宋体"/>
          <w:b/>
          <w:bCs/>
          <w:color w:val="auto"/>
          <w:sz w:val="44"/>
          <w:szCs w:val="44"/>
          <w:highlight w:val="none"/>
        </w:rPr>
        <w:outlineLvl w:val="0"/>
      </w:pPr>
      <w:r>
        <w:rPr>
          <w:rFonts w:hint="eastAsia" w:ascii="宋体" w:hAnsi="宋体" w:eastAsia="宋体" w:cs="宋体"/>
          <w:color w:val="auto"/>
          <w:sz w:val="24"/>
          <w:highlight w:val="none"/>
        </w:rPr>
        <w:br w:type="page" w:clear="all"/>
      </w:r>
      <w:bookmarkStart w:id="53" w:name="_Toc7098"/>
      <w:r/>
      <w:bookmarkStart w:id="54" w:name="_Toc465856612"/>
      <w:r/>
      <w:bookmarkStart w:id="55" w:name="_Toc10836"/>
      <w:r/>
      <w:bookmarkStart w:id="56" w:name="_Toc61149549"/>
      <w:r/>
      <w:bookmarkStart w:id="57" w:name="_Toc513029209"/>
      <w:r/>
      <w:bookmarkStart w:id="58" w:name="_Toc14577347"/>
      <w:r/>
      <w:bookmarkStart w:id="59" w:name="_Toc23310"/>
      <w:r>
        <w:rPr>
          <w:rFonts w:hint="eastAsia" w:ascii="宋体" w:hAnsi="宋体" w:eastAsia="宋体" w:cs="宋体"/>
          <w:b/>
          <w:color w:val="auto"/>
          <w:sz w:val="44"/>
          <w:szCs w:val="20"/>
          <w:highlight w:val="none"/>
        </w:rPr>
        <w:t xml:space="preserve">第二章 </w:t>
      </w:r>
      <w:bookmarkEnd w:id="53"/>
      <w:r/>
      <w:bookmarkEnd w:id="54"/>
      <w:r/>
      <w:bookmarkEnd w:id="55"/>
      <w:r>
        <w:rPr>
          <w:rFonts w:hint="eastAsia" w:ascii="宋体" w:hAnsi="宋体" w:eastAsia="宋体" w:cs="宋体"/>
          <w:b/>
          <w:color w:val="auto"/>
          <w:sz w:val="44"/>
          <w:szCs w:val="20"/>
          <w:highlight w:val="none"/>
        </w:rPr>
        <w:t xml:space="preserve">供应商须知</w:t>
      </w:r>
      <w:bookmarkEnd w:id="56"/>
      <w:r/>
      <w:bookmarkEnd w:id="57"/>
      <w:r/>
      <w:bookmarkEnd w:id="58"/>
      <w:r/>
      <w:bookmarkEnd w:id="59"/>
      <w:r/>
      <w:r/>
    </w:p>
    <w:p>
      <w:pPr>
        <w:ind w:left="0" w:right="0" w:firstLine="498"/>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u w:val="none"/>
        </w:rPr>
        <w:t xml:space="preserve">1</w:t>
      </w:r>
      <w:r>
        <w:rPr>
          <w:rFonts w:ascii="黑体" w:hAnsi="黑体" w:eastAsia="黑体" w:cs="黑体"/>
          <w:color w:val="000000"/>
          <w:sz w:val="28"/>
        </w:rPr>
        <w:t xml:space="preserve">、招标方式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本次招标采取竞争性磋商方式，本招标文件仅适用于公告中所述项目。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u w:val="none"/>
        </w:rPr>
        <w:t xml:space="preserve">2</w:t>
      </w:r>
      <w:r>
        <w:rPr>
          <w:rFonts w:ascii="黑体" w:hAnsi="黑体" w:eastAsia="黑体" w:cs="黑体"/>
          <w:color w:val="000000"/>
          <w:sz w:val="28"/>
          <w:u w:val="none"/>
        </w:rPr>
        <w:t xml:space="preserve">、合格的</w:t>
      </w:r>
      <w:r>
        <w:rPr>
          <w:rFonts w:ascii="黑体" w:hAnsi="黑体" w:eastAsia="黑体" w:cs="黑体"/>
          <w:color w:val="000000"/>
          <w:sz w:val="28"/>
        </w:rPr>
        <w:t xml:space="preserve">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ff0000"/>
          <w:sz w:val="28"/>
          <w:u w:val="none"/>
        </w:rPr>
        <w:t xml:space="preserve">3、适用法律</w:t>
      </w:r>
      <w:r>
        <w:rPr>
          <w:rFonts w:ascii="Arial" w:hAnsi="Arial" w:eastAsia="Arial" w:cs="Arial"/>
          <w:color w:val="ff0000"/>
          <w:sz w:val="28"/>
        </w:rPr>
        <w:t xml:space="preserve">和标准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ff0000"/>
          <w:sz w:val="24"/>
        </w:rPr>
        <w:t xml:space="preserve">3.2 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u w:val="none"/>
        </w:rPr>
        <w:t xml:space="preserve">4</w:t>
      </w:r>
      <w:r>
        <w:rPr>
          <w:rFonts w:ascii="黑体" w:hAnsi="黑体" w:eastAsia="黑体" w:cs="黑体"/>
          <w:color w:val="000000"/>
          <w:sz w:val="28"/>
          <w:u w:val="none"/>
        </w:rPr>
        <w:t xml:space="preserve">、投标费用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供应商应自行承担所有与参加投标有关的费用，无论投标过程中的做法和结果如何，连云港衡致工程造价咨询有限公司（以下简称代理机构）在任何情况下均无义务和责任承担这些费用。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4.2本次招标代理机构和采购人不收取标书工本费。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4.3本次磋商代理服务费由成交供应商支付，在接收成交通知书前按苏政采协【2024】20号关于印发《江苏省政府采购代理服务收费指导意见》的通知货物类标准的</w:t>
      </w:r>
      <w:r>
        <w:rPr>
          <w:rFonts w:hint="eastAsia" w:ascii="宋体" w:hAnsi="宋体" w:cs="宋体"/>
          <w:color w:val="000000"/>
          <w:sz w:val="24"/>
          <w:lang w:val="en-US" w:eastAsia="zh-CN"/>
        </w:rPr>
        <w:t xml:space="preserve">48</w:t>
      </w:r>
      <w:r>
        <w:rPr>
          <w:rFonts w:ascii="宋体" w:hAnsi="宋体" w:eastAsia="宋体" w:cs="宋体"/>
          <w:color w:val="000000"/>
          <w:sz w:val="24"/>
        </w:rPr>
        <w:t xml:space="preserve">%一次性向代理机构支付。上述费用由供应商在报价时综合考虑，不单列。</w:t>
      </w:r>
      <w:r/>
    </w:p>
    <w:p>
      <w:pPr>
        <w:ind w:left="0" w:right="0" w:firstLine="45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5</w:t>
      </w:r>
      <w:r>
        <w:rPr>
          <w:rFonts w:ascii="黑体" w:hAnsi="黑体" w:eastAsia="黑体" w:cs="黑体"/>
          <w:b/>
          <w:color w:val="000000"/>
          <w:sz w:val="30"/>
        </w:rPr>
        <w:t xml:space="preserve">、</w:t>
      </w:r>
      <w:r>
        <w:rPr>
          <w:rFonts w:ascii="黑体" w:hAnsi="黑体" w:eastAsia="黑体" w:cs="黑体"/>
          <w:color w:val="000000"/>
          <w:sz w:val="28"/>
        </w:rPr>
        <w:t xml:space="preserve">磋商文件的约束力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供应商一旦参加本项目采购活动，即被认为接受了本磋商文件的规定和约束。</w:t>
      </w:r>
      <w:r/>
    </w:p>
    <w:p>
      <w:pPr>
        <w:ind w:left="0" w:right="0" w:firstLine="321"/>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u w:val="none"/>
        </w:rPr>
        <w:t xml:space="preserve">6</w:t>
      </w:r>
      <w:r>
        <w:rPr>
          <w:rFonts w:ascii="黑体" w:hAnsi="黑体" w:eastAsia="黑体" w:cs="黑体"/>
          <w:color w:val="000000"/>
          <w:sz w:val="28"/>
          <w:u w:val="none"/>
        </w:rPr>
        <w:t xml:space="preserve">、</w:t>
      </w:r>
      <w:r>
        <w:rPr>
          <w:rFonts w:ascii="黑体" w:hAnsi="黑体" w:eastAsia="黑体" w:cs="黑体"/>
          <w:color w:val="000000"/>
          <w:sz w:val="28"/>
        </w:rPr>
        <w:t xml:space="preserve">磋商文件构成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磋商文件由以下部分组成：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（1）竞争性磋商采购公告</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请仔细检查招标文件是否齐全，如有缺漏请立即与代理机构联系解决。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在投标截止时间前，代理机构可以对招标文件进行修改。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代理机构有权按照法定的要求推迟投标截止日期和开标日期。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招标文件的修改将在江苏政府采购网公布，补充文件将作为磋商文件的组成部分，并对供应商具有约束力。</w:t>
      </w:r>
      <w:r/>
    </w:p>
    <w:p>
      <w:pPr>
        <w:ind w:left="0" w:right="0" w:firstLine="482"/>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供应商提交的投标文件以及供应商与代理机构就有关投标的所有来往通知、函件和文件均应使用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供应商编写的投标文件应包括资格证明文件、实质性要求响应及偏离表、投标分项报价表、技术要求响应及偏离表、商务要求响应及偏离表、其他证明文件、投标函、开标一览表等部分。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如标书制作工具中格式和内容与“江苏政府采购网”发布的招标文件不一致，请以“江苏政府采购网”发布的招标文件为准。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u w:val="none"/>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、证明供应商及投标标的符合招标文件规定的文件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供应商应按照招标文件要求提交证明文件，证明其及投标标的符合招标文件规定。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供应商按照招标文件规定格式填报投标分项报价表。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供应商需对招标文件中的技术要求与商务要求逐项作出响应或偏离，并说明原因。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供应商需按照招标文件要求，在投标文件中提供与技术要求和商务要求相关的证明材料。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供应商需根据招标文件要求提供有关售后服务的管理制度，售后服务机构的分布情况，售后服务人员的数量、素质、技术水平及售后服务的反应能力等。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供应商需根据招标文件要求提供培训计划。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供应商需根据招标文件要求提供所投标的的主要组成部分、功能设计、实现思路及关键技术等。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u w:val="none"/>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供应商应按照招标文件中提供的格式完整、正确填写投标函、开标一览表。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15.1投标有效期为代理机构规定的开标之日后</w:t>
      </w:r>
      <w:r>
        <w:rPr>
          <w:rFonts w:ascii="宋体" w:hAnsi="宋体" w:eastAsia="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eastAsia="宋体" w:cs="宋体"/>
          <w:b/>
          <w:color w:val="000000"/>
          <w:sz w:val="24"/>
          <w:u w:val="single"/>
        </w:rPr>
        <w:t xml:space="preserve">）天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代理机构于原投标有效期满之前，可向供应商提出延长投标有效期的要求。这种要求与答复均应采用书面形式。供应商可以拒绝代理机构的这一要求而放弃投标，同意延长投标有效期的供应商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u w:val="none"/>
        </w:rPr>
        <w:t xml:space="preserve">1</w:t>
      </w:r>
      <w:r>
        <w:rPr>
          <w:rFonts w:ascii="Arial" w:hAnsi="Arial" w:eastAsia="Arial" w:cs="Arial"/>
          <w:color w:val="000000"/>
          <w:sz w:val="28"/>
        </w:rPr>
        <w:t xml:space="preserve">7</w:t>
      </w:r>
      <w:r>
        <w:rPr>
          <w:rFonts w:ascii="黑体" w:hAnsi="黑体" w:eastAsia="黑体" w:cs="黑体"/>
          <w:color w:val="000000"/>
          <w:sz w:val="28"/>
        </w:rPr>
        <w:t xml:space="preserve">、电子投标文件的递交</w:t>
      </w:r>
      <w:r/>
    </w:p>
    <w:p>
      <w:pPr>
        <w:ind w:left="525"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17.1供应商应当按照《操作手册》规定，在投标截止时间前制作并上传电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280" w:after="29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18</w:t>
      </w:r>
      <w:r>
        <w:rPr>
          <w:rFonts w:ascii="黑体" w:hAnsi="黑体" w:eastAsia="黑体" w:cs="黑体"/>
          <w:color w:val="000000"/>
          <w:sz w:val="28"/>
        </w:rPr>
        <w:t xml:space="preserve">、投标截止日期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 供应商上传电子投标文件的时间不得迟于招标公告中规定的投标截止时间。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供应商应充分考虑到网络环境、网络带宽等风险因素，如因供应商自身原因造成的电子投标文件上传不成功的按照本招标文件第二章第26.1.2条规定做无效投标处理。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 代理机构可以按照规定，通过修改招标文件酌情延长投标截止日期，在此情况下，供应商的所有权利和义务以及供应商受制的截止日期均应以延长后新的截止日期为准。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代理机构拒绝接收在其规定的投标截止时间后上传的任何投标文件。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u w:val="none"/>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 供应商撤回电子投标文件，则认为其不再参与本项目投标活动。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20.2.1供应商可在投标截止时间前，对其电子投标文件进行修改，具体操作方法见《操作手册》。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 在投标截止时间之后，供应商不得对其电子投标文件作任何修改。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 在投标截止时间至招标文件中规定的投标有效期满之间的这段时间内，供应商不得撤回其投标。</w:t>
      </w:r>
      <w:r/>
    </w:p>
    <w:p>
      <w:pPr>
        <w:ind w:left="0" w:right="0" w:firstLine="482"/>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u w:val="none"/>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代理机构将在招标公告中规定的时间和地点组织公开开标。供应商应当按照《操作手册》规定，参加开标活动和在苏采云系统规定的时间内对投标文件进行解密。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21.2开标仪式由代理机构组织。苏采云系统将自动对项目进行开标，并宣布各供应商名称和投标价格。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21.3供应商在开标过程中涉及到的投标文件解密、开标结果确认等工作，应按照《操作手册》规定执行。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21.4供应商如果对开标过程和开标记录有疑义，应当根据《操作手册》规定提出，如苏采云系统中《开标记录表》宣布后5分钟内未提出的，视同认可开标结果。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u w:val="none"/>
        </w:rPr>
        <w:t xml:space="preserve">2</w:t>
      </w:r>
      <w:r>
        <w:rPr>
          <w:rFonts w:ascii="Arial" w:hAnsi="Arial" w:eastAsia="Arial" w:cs="Arial"/>
          <w:color w:val="000000"/>
          <w:sz w:val="28"/>
        </w:rPr>
        <w:t xml:space="preserve">2</w:t>
      </w:r>
      <w:r>
        <w:rPr>
          <w:rFonts w:ascii="黑体" w:hAnsi="黑体" w:eastAsia="黑体" w:cs="黑体"/>
          <w:color w:val="000000"/>
          <w:sz w:val="28"/>
        </w:rPr>
        <w:t xml:space="preserve">、评标委员会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 22.1</w:t>
      </w:r>
      <w:r>
        <w:rPr>
          <w:rFonts w:ascii="宋体" w:hAnsi="宋体" w:eastAsia="宋体" w:cs="宋体"/>
          <w:b/>
          <w:color w:val="000000"/>
          <w:sz w:val="24"/>
        </w:rPr>
        <w:t xml:space="preserve"> </w:t>
      </w:r>
      <w:r>
        <w:rPr>
          <w:rFonts w:ascii="宋体" w:hAnsi="宋体" w:eastAsia="宋体" w:cs="宋体"/>
          <w:color w:val="000000"/>
          <w:sz w:val="24"/>
        </w:rPr>
        <w:t xml:space="preserve">开标后，代理机构将立即组织评标委员会（以下简称评委会）进行评标。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 22.2 评委会由采购人代表和有关技术、经济等方面的专家组成，且人员构成符合政府采购有关规定。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 22.3评委会独立工作，负责评审所有投标文件并确定中标侯选人。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23、评标过程的保密与公正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23.1凡是与审查、澄清、评价和比较投标的有关资料以及授标建议等，采购人、评委、代理机构均不得向供应商或与评标无关的其他人员透露。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23.2在评标过程中，供应商不得以任何行为影响评标过程，否则其投标文件将被作为无效投标文件。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 代理机构和评标委员会不向未中标的供应商解释未中标原因，也不公布评标过程中的相关细节。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 采用综合评分法的项目，未中标的供应商可于中标结果公告期限届满之日起通过苏采云系统查看自己的评审得分及排序情况。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u w:val="none"/>
        </w:rPr>
        <w:t xml:space="preserve">2</w:t>
      </w:r>
      <w:r>
        <w:rPr>
          <w:rFonts w:ascii="Arial" w:hAnsi="Arial" w:eastAsia="Arial" w:cs="Arial"/>
          <w:color w:val="000000"/>
          <w:sz w:val="28"/>
        </w:rPr>
        <w:t xml:space="preserve">4</w:t>
      </w:r>
      <w:r>
        <w:rPr>
          <w:rFonts w:ascii="黑体" w:hAnsi="黑体" w:eastAsia="黑体" w:cs="黑体"/>
          <w:color w:val="000000"/>
          <w:sz w:val="28"/>
        </w:rPr>
        <w:t xml:space="preserve">、投标文件的澄清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 ，有权要求供应商作出必要的澄清、说明或者补正。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评标委员会并非对每个供应商都做澄清要求。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接到评委会澄清、说明和补正要求的供应商如未按规定做出澄清、说明和补正，其风险由供应商自行承担。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t>
      </w: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www.creditchina.gov.cn</w:t>
      </w:r>
      <w:r>
        <w:rPr>
          <w:rFonts w:ascii="宋体" w:hAnsi="宋体" w:eastAsia="宋体" w:cs="宋体"/>
          <w:color w:val="000000"/>
          <w:sz w:val="21"/>
        </w:rPr>
        <w:t xml:space="preserve">）</w:t>
      </w:r>
      <w:r>
        <w:rPr>
          <w:rFonts w:ascii="宋体" w:hAnsi="宋体" w:eastAsia="宋体" w:cs="宋体"/>
          <w:color w:val="000000"/>
          <w:sz w:val="24"/>
        </w:rPr>
        <w:t xml:space="preserve">查询供应商的信用记录，以确定供应商是否具备投标资格,查询结果留存并归档。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未通过资格审查或符合性审查的供应商，代理机构将在苏采云系统中告知未通过资格审查或符合性审查的原因，评审结束后，代理机构将不再告知未通过资格审查或符合性审查的原因。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25.3如果投标文件实质上没有响应招标文件的要求，评委会将予以拒绝，供应商不得通过修改或撤销不合要求的偏离或保留而使其投标成为实质性响应的投标。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25.4评委会将对确定为实质性响应的投标进行进一步审核，看其是否有计算上或累加上的算术错误，修正错误的原则如下：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w:t>
      </w:r>
      <w:r>
        <w:rPr>
          <w:rFonts w:ascii="宋体" w:hAnsi="宋体" w:eastAsia="宋体" w:cs="宋体"/>
          <w:color w:val="000000"/>
          <w:sz w:val="24"/>
        </w:rPr>
        <w:t xml:space="preserve">5.6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非单一产品采购项目，招标文件中将载明其中的核心产品。多家供应商提供的核心产品品牌相同的，按前两款规定处理。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25.7供应商在开、评标全过程中应保持通讯畅通，及时登录苏采云系统查阅、答复相关信息，并安排专人与代理机构及评标委员会联系。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25.8 异常低价投标审查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25.8.1 评标过程中出现下列情形之一的，评标委员会应当启动异常低价投标审查程序：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（3）投标(响应)报价低于采购项目最高限价45%的，即投标(响应)报价&lt;采购项目最高限价×45%；</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（4）评标委员会认定的供应商报价过低、有可能影响产品质量或者不能诚信履约的其他情形。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26</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w:t>
      </w:r>
      <w:r>
        <w:rPr>
          <w:rFonts w:ascii="宋体" w:hAnsi="宋体" w:eastAsia="宋体" w:cs="宋体"/>
          <w:color w:val="000000"/>
          <w:sz w:val="24"/>
        </w:rPr>
        <w:t xml:space="preserve">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 供应商在苏采云系统规定的时间内未成功解密电子投标文件的。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 供应商未按照招标文件要求上传电子投标文件的。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 供应商同一采购包提交两个（含两个）以上不同的投标报价的。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26.1.4供应商不具备招标文件中规定资格要求的。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26.1.5供应商的报价超过了采购预算或最高限价的。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26.1.7不符合招标文件中规定的实质性要求的</w:t>
      </w:r>
      <w:r>
        <w:rPr>
          <w:rFonts w:ascii="宋体" w:hAnsi="宋体" w:eastAsia="宋体" w:cs="宋体"/>
          <w:b/>
          <w:color w:val="000000"/>
          <w:sz w:val="24"/>
        </w:rPr>
        <w:t xml:space="preserve">（本招标文件中</w:t>
      </w:r>
      <w:r>
        <w:rPr>
          <w:rFonts w:ascii="宋体" w:hAnsi="宋体" w:eastAsia="宋体" w:cs="宋体"/>
          <w:b/>
          <w:i/>
          <w:color w:val="000000"/>
          <w:sz w:val="24"/>
          <w:u w:val="single"/>
        </w:rPr>
        <w:t xml:space="preserve">斜体且有下划线部分</w:t>
      </w:r>
      <w:r>
        <w:rPr>
          <w:rFonts w:ascii="宋体" w:hAnsi="宋体" w:eastAsia="宋体" w:cs="宋体"/>
          <w:b/>
          <w:color w:val="000000"/>
          <w:sz w:val="24"/>
        </w:rPr>
        <w:t xml:space="preserve">或加*号条款为实质性要求）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  投标文件含有采购人不能接受的附加条件的。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26.1.10 评标委员会按照本招标文件规定对供应商进行异常低价投标审查后，认为供应商不能证明其报价合理性的。</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ff0000"/>
          <w:sz w:val="28"/>
        </w:rPr>
        <w:t xml:space="preserve">26.1.11 如本项目采购产品被财政部、国家发改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ff0000"/>
          <w:sz w:val="28"/>
        </w:rPr>
        <w:t xml:space="preserve">26.1.13 供应商所投标产品不符合招标文件中所列国家强制性标准的。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 </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26.2.1符合专业条件的供应商或者对招标文件作实质响应的供应商不足三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26.2.4评标委员会认定招标文件存在歧义、重大缺陷导致评审工作无法进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 因苏采云系统故障原因造成开标不成功的。  </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u w:val="none"/>
        </w:rPr>
        <w:t xml:space="preserve">2</w:t>
      </w:r>
      <w:r>
        <w:rPr>
          <w:rFonts w:ascii="黑体" w:hAnsi="黑体" w:eastAsia="黑体" w:cs="黑体"/>
          <w:color w:val="000000"/>
          <w:sz w:val="30"/>
        </w:rPr>
        <w:t xml:space="preserve">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代理机构将在“江苏政府采购网”发布中标公告，公告期限为1个工作日。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27.4.2向采购人、代理机构行贿或者提供其他不正当利益的。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有下列情形之一的，视为供应商串通投标，投标无效：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27.5.1不同供应商的投标文件由同一单位或者个人编制。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27.5.2不同供应商委托同一单位或者个人办理投标事宜。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不同供应商的投标文件载明的项目管理成员或者联系人员为同一人。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27.5.4不同供应商的投标文件异常一致或者投标报价呈规律性差异。</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rPr>
          <w:rFonts w:ascii="宋体" w:hAnsi="宋体" w:eastAsia="宋体" w:cs="宋体"/>
          <w:color w:val="000000"/>
          <w:sz w:val="24"/>
        </w:rPr>
        <w:br/>
      </w: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代理机构提出，由代理机构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供应商（含潜在供应商）对与本项目有关的所有询问、质疑均请向采购人提出，由采购人负责答复。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采购人及代理机构只接收以纸质原件形式送达的质疑,建议供应商尽量通过邮寄方式提交质疑（采购人和代理机构不接受无快递运单号的快递）。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 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结果确定后，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30.l</w:t>
      </w:r>
      <w:r>
        <w:rPr>
          <w:rFonts w:ascii="宋体" w:hAnsi="宋体" w:eastAsia="宋体" w:cs="宋体"/>
          <w:color w:val="000000"/>
          <w:sz w:val="24"/>
          <w:highlight w:val="yellow"/>
        </w:rPr>
        <w:t xml:space="preserve">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 </w:t>
      </w:r>
      <w:r>
        <w:rPr>
          <w:rFonts w:ascii="宋体" w:hAnsi="宋体" w:eastAsia="宋体" w:cs="宋体"/>
          <w:color w:val="000000"/>
          <w:sz w:val="24"/>
          <w:highlight w:val="yellow"/>
        </w:rPr>
        <w:t xml:space="preserve">自政府采购合同签订之日起2个工作日内，将政府采购合同在指定的媒体上公告。</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 磋商文件、成交供应商的响应文件及磋商过程中有关澄清、承诺文件均应作为合同附件。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30.4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31、货物（包含与货物相关的服务）的追加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32、政府采购履约资金扶持政策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八、政策功能</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33、支持中小企业发展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.1 执行财政部、工业和信息化部关于印发《政府采购促进中小企业发展管理办法》的通知（财库〔2020〕46号）、苏财购[2022]45号，本项目专门面向中型企业、小型企业、微型企业、残疾人福利性单位、监狱企业进行采购，符合文件要求的供应商应提交《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.2 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.3 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34、支持绿色发展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 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35.采购本国产品的支持政策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bookmarkStart w:id="60" w:name="_Toc18421"/>
      <w:r/>
      <w:bookmarkStart w:id="61" w:name="_Toc465856613"/>
      <w:r/>
      <w:bookmarkStart w:id="62" w:name="_Toc948"/>
      <w:r/>
      <w:bookmarkStart w:id="63" w:name="_Toc26254"/>
      <w:r/>
      <w:bookmarkStart w:id="64" w:name="_Toc19303"/>
      <w:r>
        <w:rPr>
          <w:rFonts w:hint="eastAsia" w:ascii="宋体" w:hAnsi="宋体" w:eastAsia="宋体" w:cs="宋体"/>
          <w:color w:val="auto"/>
          <w:highlight w:val="none"/>
        </w:rPr>
        <w:br w:type="page" w:clear="all"/>
      </w:r>
      <w:r/>
    </w:p>
    <w:p>
      <w:pPr>
        <w:pStyle w:val="749"/>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第三章 </w:t>
      </w:r>
      <w:bookmarkEnd w:id="60"/>
      <w:r/>
      <w:bookmarkEnd w:id="61"/>
      <w:r/>
      <w:bookmarkEnd w:id="62"/>
      <w:r/>
      <w:bookmarkEnd w:id="63"/>
      <w:r>
        <w:rPr>
          <w:rFonts w:hint="eastAsia" w:ascii="宋体" w:hAnsi="宋体" w:eastAsia="宋体" w:cs="宋体"/>
          <w:color w:val="auto"/>
          <w:highlight w:val="none"/>
        </w:rPr>
        <w:t xml:space="preserve">合同文本</w:t>
      </w:r>
      <w:bookmarkEnd w:id="64"/>
      <w:r/>
      <w:r/>
    </w:p>
    <w:p>
      <w:pPr>
        <w:spacing w:line="400" w:lineRule="exact"/>
        <w:rPr>
          <w:rFonts w:ascii="宋体" w:hAnsi="宋体"/>
          <w:bCs/>
          <w:color w:val="ff0000"/>
          <w:sz w:val="24"/>
          <w:szCs w:val="24"/>
          <w:highlight w:val="yellow"/>
        </w:rPr>
      </w:pPr>
      <w:r/>
      <w:bookmarkStart w:id="65" w:name="_Toc513029243"/>
      <w:r/>
      <w:bookmarkStart w:id="66" w:name="_Toc3995"/>
      <w:r/>
      <w:bookmarkStart w:id="67" w:name="_Toc16938559"/>
      <w:r/>
      <w:bookmarkStart w:id="68" w:name="_Toc20823315"/>
      <w:r/>
      <w:r/>
    </w:p>
    <w:p>
      <w:pPr>
        <w:spacing w:line="500" w:lineRule="exact"/>
        <w:rPr>
          <w:rFonts w:hint="eastAsia" w:ascii="宋体" w:hAnsi="宋体"/>
          <w:bCs/>
          <w:color w:val="000000"/>
          <w:sz w:val="24"/>
          <w:szCs w:val="24"/>
        </w:rPr>
      </w:pPr>
      <w:r>
        <w:rPr>
          <w:rFonts w:hint="eastAsia" w:ascii="宋体" w:hAnsi="宋体"/>
          <w:bCs/>
          <w:color w:val="000000"/>
          <w:sz w:val="24"/>
          <w:szCs w:val="24"/>
        </w:rPr>
      </w:r>
      <w:bookmarkEnd w:id="65"/>
      <w:r/>
      <w:bookmarkEnd w:id="66"/>
      <w:r/>
      <w:bookmarkEnd w:id="67"/>
      <w:r/>
      <w:bookmarkEnd w:id="68"/>
      <w:r/>
      <w:r/>
    </w:p>
    <w:p>
      <w:pPr>
        <w:pStyle w:val="767"/>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67"/>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67"/>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67"/>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br w:type="page" w:clear="all"/>
      </w: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750"/>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50"/>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768"/>
        <w:ind w:left="0" w:firstLine="64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2"/>
        <w:spacing w:line="400" w:lineRule="exact"/>
        <w:rPr>
          <w:rFonts w:ascii="宋体" w:hAnsi="宋体"/>
          <w:b/>
          <w:szCs w:val="21"/>
        </w:rPr>
      </w:pPr>
      <w:r>
        <w:rPr>
          <w:rFonts w:hint="eastAsia" w:ascii="宋体" w:hAnsi="宋体"/>
          <w:b/>
          <w:szCs w:val="21"/>
        </w:rPr>
        <w:t xml:space="preserve">项目信息</w:t>
      </w:r>
      <w:r/>
    </w:p>
    <w:p>
      <w:pPr>
        <w:pStyle w:val="768"/>
        <w:numPr>
          <w:ilvl w:val="0"/>
          <w:numId w:val="7"/>
        </w:numPr>
        <w:ind w:left="0" w:firstLine="64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68"/>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68"/>
        <w:ind w:left="0" w:firstLine="64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4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46"/>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46"/>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46"/>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4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4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46"/>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46"/>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46"/>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46"/>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46"/>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46"/>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46"/>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46"/>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46"/>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6"/>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89"/>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全额付款：</w:t>
      </w:r>
      <w:r>
        <w:rPr>
          <w:rFonts w:hint="eastAsia" w:ascii="宋体" w:hAnsi="宋体"/>
          <w:szCs w:val="21"/>
          <w:highlight w:val="yellow"/>
          <w:u w:val="single"/>
          <w:lang w:val="en-US" w:eastAsia="zh-CN"/>
        </w:rPr>
        <w:t xml:space="preserve">供货</w:t>
      </w:r>
      <w:r>
        <w:rPr>
          <w:rFonts w:hint="eastAsia" w:ascii="宋体" w:hAnsi="宋体"/>
          <w:szCs w:val="21"/>
          <w:highlight w:val="yellow"/>
          <w:u w:val="single"/>
        </w:rPr>
        <w:t xml:space="preserve">完成并经验收合格后，根据项目实施相关规定，财政报账制一次性支付（无息）。付款前乙方应向甲方开具正规发票，</w:t>
      </w:r>
      <w:r>
        <w:rPr>
          <w:rFonts w:hint="eastAsia" w:ascii="宋体" w:hAnsi="宋体"/>
          <w:szCs w:val="21"/>
          <w:highlight w:val="yellow"/>
          <w:u w:val="single"/>
          <w:lang w:val="en-US" w:eastAsia="zh-CN"/>
        </w:rPr>
        <w:t xml:space="preserve">供货交接单，质量检验证书，</w:t>
      </w:r>
      <w:r>
        <w:rPr>
          <w:rFonts w:hint="eastAsia" w:ascii="宋体" w:hAnsi="宋体"/>
          <w:szCs w:val="21"/>
          <w:highlight w:val="yellow"/>
          <w:u w:val="single"/>
        </w:rPr>
        <w:t xml:space="preserve">甲方自收到发票后10个工作日内将资金支付至合同约定的乙方账户（发票开具日期计算）。</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6"/>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46"/>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046"/>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46"/>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46"/>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p>
    <w:p>
      <w:pPr>
        <w:pStyle w:val="989"/>
        <w:rPr>
          <w:lang w:eastAsia="zh-CN"/>
        </w:rPr>
      </w:pPr>
      <w:r>
        <w:rPr>
          <w:lang w:eastAsia="zh-CN"/>
        </w:rPr>
      </w:r>
      <w:r/>
    </w:p>
    <w:tbl>
      <w:tblPr>
        <w:tblStyle w:val="759"/>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19"/>
        <w:gridCol w:w="2313"/>
        <w:gridCol w:w="247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68"/>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50"/>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46"/>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72"/>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2"/>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46"/>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46"/>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46"/>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46"/>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46"/>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46"/>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46"/>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46"/>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46"/>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46"/>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46"/>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759"/>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46"/>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767"/>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rPr>
          <w:rFonts w:hint="eastAsia"/>
        </w:rPr>
      </w:pPr>
      <w:r>
        <w:rPr>
          <w:rFonts w:hint="eastAsia"/>
        </w:rPr>
        <w:br w:type="page" w:clear="all"/>
      </w:r>
      <w:r/>
    </w:p>
    <w:p>
      <w:pPr>
        <w:rPr>
          <w:rFonts w:hint="eastAsia"/>
        </w:rPr>
      </w:pPr>
      <w:r>
        <w:rPr>
          <w:rFonts w:hint="eastAsia"/>
        </w:rPr>
      </w:r>
      <w:r/>
    </w:p>
    <w:p>
      <w:pPr>
        <w:pStyle w:val="749"/>
        <w:numPr>
          <w:ilvl w:val="0"/>
          <w:numId w:val="13"/>
        </w:numPr>
        <w:keepNext w:val="0"/>
        <w:spacing w:line="360" w:lineRule="auto"/>
        <w:rPr>
          <w:rFonts w:hint="eastAsia" w:ascii="宋体" w:hAnsi="宋体" w:eastAsia="宋体" w:cs="宋体"/>
          <w:color w:val="auto"/>
          <w:highlight w:val="none"/>
        </w:rPr>
      </w:pPr>
      <w:r/>
      <w:bookmarkStart w:id="69" w:name="_Toc24319"/>
      <w:r/>
      <w:bookmarkStart w:id="70" w:name="_Toc26554097"/>
      <w:r/>
      <w:bookmarkStart w:id="71" w:name="_Toc23828480"/>
      <w:r/>
      <w:bookmarkStart w:id="72" w:name="_Toc61149622"/>
      <w:r>
        <w:rPr>
          <w:rFonts w:hint="eastAsia" w:ascii="宋体" w:hAnsi="宋体" w:eastAsia="宋体" w:cs="宋体"/>
          <w:color w:val="auto"/>
          <w:highlight w:val="none"/>
        </w:rPr>
        <w:t xml:space="preserve">采购需求</w:t>
      </w:r>
      <w:bookmarkEnd w:id="69"/>
      <w:r/>
      <w:r/>
    </w:p>
    <w:p>
      <w:pPr>
        <w:spacing w:line="0" w:lineRule="atLeast"/>
        <w:rPr>
          <w:rFonts w:ascii="宋体" w:hAnsi="宋体"/>
          <w:b/>
          <w:color w:val="000000"/>
          <w:sz w:val="24"/>
          <w:szCs w:val="24"/>
        </w:rPr>
      </w:pPr>
      <w:r/>
      <w:bookmarkStart w:id="73" w:name="_Toc22066"/>
      <w:r/>
      <w:bookmarkStart w:id="74" w:name="_Toc25773"/>
      <w:r/>
      <w:bookmarkStart w:id="75" w:name="_Toc255"/>
      <w:r/>
      <w:bookmarkStart w:id="76" w:name="_Toc4295"/>
      <w:r/>
      <w:bookmarkStart w:id="77" w:name="_Toc46585661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759"/>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0"/>
        <w:gridCol w:w="693"/>
        <w:gridCol w:w="2767"/>
        <w:gridCol w:w="3378"/>
      </w:tblGrid>
      <w:tr>
        <w:trPr>
          <w:jc w:val="center"/>
          <w:trHeight w:val="0"/>
          <w:tblHeader/>
        </w:trPr>
        <w:tc>
          <w:tcPr>
            <w:tcW w:w="1690" w:type="dxa"/>
            <w:vAlign w:val="center"/>
            <w:textDirection w:val="lrTb"/>
            <w:noWrap w:val="false"/>
          </w:tcPr>
          <w:p>
            <w:pPr>
              <w:ind w:left="0" w:right="0" w:firstLine="0"/>
              <w:jc w:val="center"/>
              <w:spacing w:line="240" w:lineRule="auto"/>
              <w:rPr>
                <w:rFonts w:hint="eastAsia" w:ascii="宋体" w:hAnsi="宋体"/>
                <w:b/>
                <w:sz w:val="24"/>
                <w:szCs w:val="24"/>
              </w:rPr>
            </w:pPr>
            <w:r>
              <w:rPr>
                <w:rFonts w:hint="eastAsia" w:ascii="宋体" w:hAnsi="宋体"/>
                <w:b/>
                <w:sz w:val="24"/>
                <w:szCs w:val="24"/>
              </w:rPr>
              <w:t xml:space="preserve">采购包</w:t>
            </w:r>
            <w:r/>
          </w:p>
        </w:tc>
        <w:tc>
          <w:tcPr>
            <w:tcW w:w="693"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序号</w:t>
            </w:r>
            <w:r/>
          </w:p>
        </w:tc>
        <w:tc>
          <w:tcPr>
            <w:tcW w:w="2767"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w:t>
            </w:r>
            <w:r/>
          </w:p>
        </w:tc>
        <w:tc>
          <w:tcPr>
            <w:tcW w:w="3378"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对应中</w:t>
            </w:r>
            <w:r>
              <w:rPr>
                <w:rFonts w:ascii="宋体" w:hAnsi="宋体"/>
                <w:b/>
                <w:sz w:val="24"/>
                <w:szCs w:val="24"/>
              </w:rPr>
              <w:t xml:space="preserve">小企业划分标准所属行业</w:t>
            </w:r>
            <w:r/>
          </w:p>
        </w:tc>
      </w:tr>
      <w:tr>
        <w:trPr>
          <w:jc w:val="center"/>
          <w:trHeight w:val="928"/>
        </w:trPr>
        <w:tc>
          <w:tcPr>
            <w:tcW w:w="1690" w:type="dxa"/>
            <w:vAlign w:val="center"/>
            <w:vMerge w:val="restart"/>
            <w:textDirection w:val="lrTb"/>
            <w:noWrap w:val="false"/>
          </w:tcPr>
          <w:p>
            <w:pPr>
              <w:ind w:left="0" w:right="0" w:firstLine="0"/>
              <w:jc w:val="center"/>
              <w:spacing w:line="240" w:lineRule="auto"/>
              <w:rPr>
                <w:rFonts w:hint="eastAsia" w:ascii="宋体" w:hAnsi="宋体"/>
                <w:sz w:val="24"/>
                <w:szCs w:val="24"/>
              </w:rPr>
            </w:pPr>
            <w:r>
              <w:rPr>
                <w:rFonts w:hint="eastAsia" w:ascii="宋体" w:hAnsi="宋体" w:eastAsia="宋体" w:cs="Times New Roman"/>
                <w:sz w:val="24"/>
                <w:szCs w:val="24"/>
                <w:lang w:val="en-US" w:eastAsia="zh-CN"/>
              </w:rPr>
              <w:t xml:space="preserve">2025年地膜科学使用回收项目（专门面向中小企业采购）</w:t>
            </w:r>
            <w:r/>
          </w:p>
        </w:tc>
        <w:tc>
          <w:tcPr>
            <w:tcW w:w="693"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1</w:t>
            </w:r>
            <w:r/>
          </w:p>
        </w:tc>
        <w:tc>
          <w:tcPr>
            <w:tcW w:w="2767" w:type="dxa"/>
            <w:vAlign w:val="center"/>
            <w:textDirection w:val="lrTb"/>
            <w:noWrap w:val="false"/>
          </w:tcPr>
          <w:p>
            <w:pPr>
              <w:ind w:left="0" w:right="0" w:firstLine="0"/>
              <w:jc w:val="center"/>
              <w:spacing w:line="240" w:lineRule="auto"/>
              <w:rPr>
                <w:rFonts w:hint="eastAsia" w:ascii="宋体" w:hAnsi="宋体" w:eastAsia="宋体" w:cs="Times New Roman"/>
                <w:sz w:val="24"/>
                <w:szCs w:val="24"/>
              </w:rPr>
            </w:pPr>
            <w:r>
              <w:rPr>
                <w:rFonts w:hint="eastAsia" w:ascii="宋体" w:hAnsi="宋体" w:eastAsia="宋体" w:cs="宋体"/>
                <w:color w:val="auto"/>
                <w:szCs w:val="21"/>
                <w:highlight w:val="none"/>
              </w:rPr>
              <w:t xml:space="preserve">高强度加厚地膜</w:t>
            </w:r>
            <w:r/>
          </w:p>
        </w:tc>
        <w:tc>
          <w:tcPr>
            <w:tcW w:w="3378" w:type="dxa"/>
            <w:vAlign w:val="center"/>
            <w:textDirection w:val="lrTb"/>
            <w:noWrap w:val="false"/>
          </w:tcPr>
          <w:p>
            <w:pPr>
              <w:ind w:left="0" w:right="0" w:firstLine="0"/>
              <w:jc w:val="center"/>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工业</w:t>
            </w:r>
            <w:r/>
          </w:p>
        </w:tc>
      </w:tr>
      <w:tr>
        <w:trPr>
          <w:jc w:val="center"/>
          <w:trHeight w:val="884"/>
        </w:trPr>
        <w:tc>
          <w:tcPr>
            <w:tcW w:w="1690" w:type="dxa"/>
            <w:vAlign w:val="center"/>
            <w:vMerge w:val="continue"/>
            <w:textDirection w:val="lrTb"/>
            <w:noWrap w:val="false"/>
          </w:tcPr>
          <w:p>
            <w:pPr>
              <w:ind w:left="0" w:right="0" w:firstLine="0"/>
              <w:jc w:val="center"/>
              <w:spacing w:line="240" w:lineRule="auto"/>
              <w:rPr>
                <w:rFonts w:hint="eastAsia" w:ascii="宋体" w:hAnsi="宋体"/>
                <w:sz w:val="24"/>
                <w:szCs w:val="24"/>
              </w:rPr>
            </w:pPr>
            <w:r>
              <w:rPr>
                <w:rFonts w:hint="eastAsia" w:ascii="宋体" w:hAnsi="宋体"/>
                <w:sz w:val="24"/>
                <w:szCs w:val="24"/>
              </w:rPr>
            </w:r>
            <w:r/>
          </w:p>
        </w:tc>
        <w:tc>
          <w:tcPr>
            <w:tcW w:w="693"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2</w:t>
            </w:r>
            <w:r/>
          </w:p>
        </w:tc>
        <w:tc>
          <w:tcPr>
            <w:tcW w:w="2767" w:type="dxa"/>
            <w:vAlign w:val="center"/>
            <w:textDirection w:val="lrTb"/>
            <w:noWrap w:val="false"/>
          </w:tcPr>
          <w:p>
            <w:pPr>
              <w:ind w:left="0" w:right="0" w:firstLine="0"/>
              <w:jc w:val="center"/>
              <w:spacing w:line="240" w:lineRule="auto"/>
              <w:rPr>
                <w:rFonts w:hint="eastAsia" w:ascii="宋体" w:hAnsi="宋体" w:eastAsia="宋体" w:cs="Times New Roman"/>
                <w:sz w:val="24"/>
                <w:szCs w:val="24"/>
              </w:rPr>
            </w:pPr>
            <w:r>
              <w:rPr>
                <w:rFonts w:hint="eastAsia" w:ascii="宋体" w:hAnsi="宋体" w:eastAsia="宋体" w:cs="宋体"/>
                <w:color w:val="auto"/>
                <w:szCs w:val="21"/>
                <w:highlight w:val="none"/>
              </w:rPr>
              <w:t xml:space="preserve">全生物降解地膜</w:t>
            </w:r>
            <w:r/>
          </w:p>
        </w:tc>
        <w:tc>
          <w:tcPr>
            <w:tcW w:w="3378" w:type="dxa"/>
            <w:vAlign w:val="center"/>
            <w:textDirection w:val="lrTb"/>
            <w:noWrap w:val="false"/>
          </w:tcPr>
          <w:p>
            <w:pPr>
              <w:ind w:left="0" w:right="0" w:firstLine="0"/>
              <w:jc w:val="center"/>
              <w:spacing w:line="24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工业</w:t>
            </w:r>
            <w:r/>
          </w:p>
        </w:tc>
      </w:tr>
    </w:tbl>
    <w:p>
      <w:pPr>
        <w:spacing w:line="0" w:lineRule="atLeast"/>
        <w:rPr>
          <w:rFonts w:hint="eastAsia" w:ascii="宋体" w:hAnsi="宋体"/>
          <w:sz w:val="24"/>
          <w:szCs w:val="24"/>
          <w:highlight w:val="yellow"/>
        </w:rPr>
      </w:pPr>
      <w:r>
        <w:rPr>
          <w:rFonts w:hint="eastAsia" w:ascii="宋体" w:hAnsi="宋体"/>
          <w:sz w:val="24"/>
          <w:szCs w:val="24"/>
          <w:highlight w:val="yellow"/>
        </w:rPr>
      </w:r>
      <w:r/>
    </w:p>
    <w:p>
      <w:pPr>
        <w:keepLines/>
        <w:keepNext/>
        <w:spacing w:line="400" w:lineRule="exact"/>
        <w:rPr>
          <w:rFonts w:hint="eastAsia" w:ascii="方正魏碑_GBK" w:hAnsi="方正魏碑_GBK" w:eastAsia="方正魏碑_GBK" w:cs="方正魏碑_GBK"/>
          <w:bCs/>
          <w:color w:val="ff0000"/>
          <w:sz w:val="28"/>
          <w:szCs w:val="28"/>
        </w:rPr>
        <w:outlineLvl w:val="3"/>
      </w:pPr>
      <w:r>
        <w:rPr>
          <w:rFonts w:hint="eastAsia" w:ascii="方正魏碑_GBK" w:hAnsi="方正魏碑_GBK" w:eastAsia="方正魏碑_GBK" w:cs="方正魏碑_GBK"/>
          <w:bCs/>
          <w:color w:val="ff0000"/>
          <w:sz w:val="28"/>
          <w:szCs w:val="28"/>
        </w:rPr>
        <w:t xml:space="preserve">二、政府采购中实施本国产品标准及相关政策</w:t>
      </w:r>
      <w:r/>
    </w:p>
    <w:p>
      <w:pPr>
        <w:ind w:firstLine="555"/>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t xml:space="preserve">1.本项目对采购本国产品给予政策支持，具体内容见招标文件“第五章 评标方法与评标标准”。</w:t>
      </w:r>
      <w:r/>
    </w:p>
    <w:p>
      <w:pPr>
        <w:ind w:firstLine="555"/>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p>
    <w:p>
      <w:pPr>
        <w:spacing w:line="0" w:lineRule="atLeast"/>
        <w:rPr>
          <w:rFonts w:hint="eastAsia" w:ascii="宋体" w:hAnsi="宋体"/>
          <w:b/>
          <w:bCs/>
          <w:sz w:val="24"/>
          <w:szCs w:val="21"/>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tbl>
      <w:tblPr>
        <w:tblStyle w:val="1045"/>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628"/>
        <w:gridCol w:w="7371"/>
        <w:gridCol w:w="963"/>
      </w:tblGrid>
      <w:tr>
        <w:trPr>
          <w:jc w:val="center"/>
          <w:trHeight w:val="0"/>
          <w:tblHeader/>
        </w:trPr>
        <w:tc>
          <w:tcPr>
            <w:tcW w:w="0" w:type="auto"/>
            <w:vAlign w:val="center"/>
            <w:textDirection w:val="lrTb"/>
            <w:noWrap w:val="false"/>
          </w:tcPr>
          <w:p>
            <w:pPr>
              <w:ind w:left="0" w:right="0" w:firstLine="0"/>
              <w:jc w:val="center"/>
              <w:keepNext/>
              <w:rPr>
                <w:rFonts w:hint="eastAsia" w:ascii="Times New Roman" w:hAnsi="宋体" w:eastAsia="宋体" w:cs="宋体"/>
                <w:b/>
                <w:color w:val="auto"/>
                <w:sz w:val="21"/>
                <w:highlight w:val="none"/>
              </w:rPr>
            </w:pPr>
            <w:r>
              <w:rPr>
                <w:rFonts w:hint="eastAsia" w:ascii="Times New Roman" w:hAnsi="宋体" w:eastAsia="宋体" w:cs="宋体"/>
                <w:b/>
                <w:color w:val="auto"/>
                <w:sz w:val="21"/>
                <w:highlight w:val="none"/>
              </w:rPr>
              <w:t xml:space="preserve">名称</w:t>
            </w:r>
            <w:r/>
          </w:p>
        </w:tc>
        <w:tc>
          <w:tcPr>
            <w:tcW w:w="7371" w:type="dxa"/>
            <w:vAlign w:val="center"/>
            <w:textDirection w:val="lrTb"/>
            <w:noWrap w:val="false"/>
          </w:tcPr>
          <w:p>
            <w:pPr>
              <w:ind w:left="0" w:right="0" w:firstLine="0"/>
              <w:jc w:val="center"/>
              <w:keepNext/>
              <w:rPr>
                <w:rFonts w:hint="eastAsia" w:ascii="Times New Roman" w:hAnsi="宋体" w:eastAsia="宋体" w:cs="宋体"/>
                <w:b/>
                <w:color w:val="auto"/>
                <w:sz w:val="21"/>
                <w:highlight w:val="none"/>
              </w:rPr>
            </w:pPr>
            <w:r>
              <w:rPr>
                <w:rFonts w:hint="eastAsia" w:ascii="Times New Roman" w:hAnsi="宋体" w:eastAsia="宋体" w:cs="宋体"/>
                <w:b/>
                <w:color w:val="auto"/>
                <w:sz w:val="21"/>
                <w:szCs w:val="22"/>
                <w:highlight w:val="none"/>
              </w:rPr>
              <w:t xml:space="preserve">技术规格</w:t>
            </w:r>
            <w:r/>
          </w:p>
        </w:tc>
        <w:tc>
          <w:tcPr>
            <w:tcW w:w="963" w:type="dxa"/>
            <w:vAlign w:val="center"/>
            <w:textDirection w:val="lrTb"/>
            <w:noWrap w:val="false"/>
          </w:tcPr>
          <w:p>
            <w:pPr>
              <w:ind w:left="0" w:right="0" w:firstLine="0"/>
              <w:jc w:val="center"/>
              <w:keepNext/>
              <w:rPr>
                <w:rFonts w:ascii="Times New Roman" w:eastAsia="宋体"/>
                <w:b/>
                <w:color w:val="auto"/>
                <w:sz w:val="21"/>
                <w:highlight w:val="none"/>
              </w:rPr>
            </w:pPr>
            <w:r>
              <w:rPr>
                <w:rFonts w:ascii="Times New Roman" w:eastAsia="宋体"/>
                <w:b/>
                <w:color w:val="auto"/>
                <w:sz w:val="21"/>
                <w:highlight w:val="none"/>
              </w:rPr>
              <w:t xml:space="preserve">最高限价</w:t>
            </w:r>
            <w:r/>
          </w:p>
          <w:p>
            <w:pPr>
              <w:ind w:left="0" w:right="0" w:firstLine="0"/>
              <w:jc w:val="center"/>
              <w:keepNext/>
              <w:rPr>
                <w:rFonts w:ascii="Times New Roman" w:eastAsia="宋体"/>
                <w:b/>
                <w:color w:val="auto"/>
                <w:sz w:val="21"/>
                <w:highlight w:val="none"/>
              </w:rPr>
            </w:pPr>
            <w:r>
              <w:rPr>
                <w:rFonts w:ascii="Times New Roman" w:eastAsia="宋体"/>
                <w:b/>
                <w:color w:val="auto"/>
                <w:sz w:val="21"/>
                <w:highlight w:val="none"/>
              </w:rPr>
              <w:t xml:space="preserve">(元/吨)</w:t>
            </w:r>
            <w:r/>
          </w:p>
        </w:tc>
      </w:tr>
      <w:tr>
        <w:trPr>
          <w:jc w:val="center"/>
          <w:trHeight w:val="0"/>
        </w:trPr>
        <w:tc>
          <w:tcPr>
            <w:tcW w:w="1628" w:type="dxa"/>
            <w:vAlign w:val="center"/>
            <w:vMerge w:val="restart"/>
            <w:textDirection w:val="lrTb"/>
            <w:noWrap w:val="false"/>
          </w:tcPr>
          <w:p>
            <w:pPr>
              <w:ind w:left="0" w:right="0" w:firstLine="0"/>
              <w:jc w:val="center"/>
              <w:keepNext/>
              <w:rPr>
                <w:rFonts w:hint="eastAsia" w:ascii="Times New Roman" w:hAnsi="宋体" w:eastAsia="宋体" w:cs="宋体"/>
                <w:color w:val="auto"/>
                <w:sz w:val="21"/>
                <w:highlight w:val="none"/>
                <w:lang w:val="en-US" w:eastAsia="zh-CN"/>
              </w:rPr>
            </w:pPr>
            <w:r>
              <w:rPr>
                <w:rFonts w:hint="eastAsia" w:ascii="Times New Roman" w:eastAsia="宋体"/>
                <w:b/>
                <w:bCs/>
                <w:color w:val="000000" w:themeColor="text1"/>
                <w:sz w:val="21"/>
                <w14:textFill>
                  <w14:solidFill>
                    <w14:schemeClr w14:val="tx1"/>
                  </w14:solidFill>
                </w14:textFill>
              </w:rPr>
              <w:t xml:space="preserve">加厚高强度地膜</w:t>
            </w:r>
            <w:r/>
          </w:p>
        </w:tc>
        <w:tc>
          <w:tcPr>
            <w:tcW w:w="7371" w:type="dxa"/>
            <w:vAlign w:val="center"/>
            <w:textDirection w:val="lrTb"/>
            <w:noWrap w:val="false"/>
          </w:tcPr>
          <w:p>
            <w:pPr>
              <w:ind w:left="0" w:right="0" w:firstLine="0"/>
              <w:jc w:val="center"/>
              <w:keepNext/>
              <w:rPr>
                <w:rFonts w:hint="eastAsia" w:ascii="Times New Roman" w:eastAsia="宋体"/>
                <w:color w:val="000000" w:themeColor="text1"/>
                <w:sz w:val="21"/>
                <w14:textFill>
                  <w14:solidFill>
                    <w14:schemeClr w14:val="tx1"/>
                  </w14:solidFill>
                </w14:textFill>
              </w:rPr>
            </w:pPr>
            <w:r>
              <w:rPr>
                <w:rFonts w:ascii="Times New Roman" w:eastAsia="宋体" w:hAnsiTheme="minorEastAsia" w:cstheme="majorBidi"/>
                <w:b/>
                <w:bCs/>
                <w:color w:val="000000"/>
                <w:sz w:val="21"/>
                <w:szCs w:val="28"/>
              </w:rPr>
              <w:t xml:space="preserve">执行标准</w:t>
            </w:r>
            <w:r>
              <w:rPr>
                <w:rFonts w:hint="eastAsia" w:ascii="Times New Roman" w:eastAsia="宋体" w:hAnsiTheme="minorEastAsia" w:cstheme="majorBidi"/>
                <w:b/>
                <w:bCs/>
                <w:color w:val="000000"/>
                <w:sz w:val="21"/>
                <w:szCs w:val="28"/>
                <w:lang w:eastAsia="zh-CN"/>
              </w:rPr>
              <w:t xml:space="preserve">：</w:t>
            </w:r>
            <w:r>
              <w:rPr>
                <w:rFonts w:hint="eastAsia" w:ascii="Times New Roman" w:eastAsia="宋体"/>
                <w:color w:val="000000" w:themeColor="text1"/>
                <w:sz w:val="21"/>
                <w14:textFill>
                  <w14:solidFill>
                    <w14:schemeClr w14:val="tx1"/>
                  </w14:solidFill>
                </w14:textFill>
              </w:rPr>
              <w:t xml:space="preserve">加厚高强度地膜覆盖使用时间和力学性能指标应不低于《聚乙烯吹塑农用地面覆盖薄膜 》(GB13735-2017)中I类耐老化地膜有关要求，且使用后最大拉伸负荷、断裂标称应变等力学性能指标不小于初始值的50%</w:t>
            </w:r>
            <w:r>
              <w:rPr>
                <w:rFonts w:hint="eastAsia" w:ascii="Times New Roman" w:eastAsia="宋体"/>
                <w:color w:val="000000" w:themeColor="text1"/>
                <w:sz w:val="21"/>
                <w:lang w:val="en-US" w:eastAsia="zh-CN"/>
                <w14:textFill>
                  <w14:solidFill>
                    <w14:schemeClr w14:val="tx1"/>
                  </w14:solidFill>
                </w14:textFill>
              </w:rPr>
              <w:t xml:space="preserve">。</w:t>
            </w:r>
            <w:r>
              <w:rPr>
                <w:rFonts w:hint="eastAsia" w:ascii="Times New Roman" w:hAnsi="Times New Roman" w:eastAsia="宋体" w:cs="Times New Roman"/>
                <w:i/>
                <w:iCs/>
                <w:color w:val="ff0000"/>
                <w:szCs w:val="24"/>
                <w:u w:val="single"/>
                <w:lang w:val="en-US" w:eastAsia="zh-CN"/>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Times New Roman" w:hAnsi="Times New Roman" w:eastAsia="宋体" w:cs="Times New Roman"/>
                <w:i/>
                <w:iCs/>
                <w:color w:val="ff0000"/>
                <w:szCs w:val="24"/>
                <w:u w:val="single"/>
                <w:lang w:val="en-US" w:eastAsia="zh-CN"/>
              </w:rPr>
              <w:t xml:space="preserve">）</w:t>
            </w:r>
            <w:r/>
          </w:p>
        </w:tc>
        <w:tc>
          <w:tcPr>
            <w:tcW w:w="963" w:type="dxa"/>
            <w:vAlign w:val="center"/>
            <w:vMerge w:val="restart"/>
            <w:textDirection w:val="lrTb"/>
            <w:noWrap w:val="false"/>
          </w:tcPr>
          <w:p>
            <w:pPr>
              <w:ind w:left="0" w:right="0" w:firstLine="0"/>
              <w:jc w:val="left"/>
              <w:keepNext/>
              <w:rPr>
                <w:rFonts w:hint="eastAsia" w:ascii="Times New Roman" w:eastAsia="宋体"/>
                <w:sz w:val="21"/>
                <w:lang w:val="en-US" w:eastAsia="zh-CN"/>
              </w:rPr>
            </w:pPr>
            <w:r>
              <w:rPr>
                <w:rFonts w:hint="eastAsia" w:ascii="Times New Roman" w:eastAsia="宋体"/>
                <w:sz w:val="21"/>
                <w:lang w:val="en-US" w:eastAsia="zh-CN"/>
              </w:rPr>
              <w:t xml:space="preserve">14000.00</w:t>
            </w:r>
            <w:r/>
          </w:p>
          <w:p>
            <w:pPr>
              <w:ind w:left="0" w:right="0" w:firstLine="0"/>
              <w:jc w:val="left"/>
              <w:keepNext/>
              <w:rPr>
                <w:rFonts w:hint="default" w:ascii="Times New Roman" w:eastAsia="宋体"/>
                <w:sz w:val="21"/>
                <w:lang w:val="en-US" w:eastAsia="zh-CN"/>
              </w:rPr>
            </w:pPr>
            <w:r>
              <w:rPr>
                <w:rFonts w:hint="eastAsia" w:ascii="宋体" w:hAnsi="宋体" w:eastAsia="宋体" w:cs="宋体"/>
                <w:bCs/>
                <w:color w:val="auto"/>
                <w:szCs w:val="21"/>
                <w:highlight w:val="none"/>
              </w:rPr>
              <w:t xml:space="preserve">投标报价高于限价(单价)的投价文件视为无效投价文件</w:t>
            </w:r>
            <w:r/>
          </w:p>
        </w:tc>
      </w:tr>
      <w:tr>
        <w:trPr>
          <w:jc w:val="center"/>
          <w:trHeight w:val="0"/>
        </w:trPr>
        <w:tc>
          <w:tcPr>
            <w:tcW w:w="1628" w:type="dxa"/>
            <w:vAlign w:val="center"/>
            <w:vMerge w:val="continue"/>
            <w:textDirection w:val="lrTb"/>
            <w:noWrap w:val="false"/>
          </w:tcPr>
          <w:p>
            <w:pPr>
              <w:ind w:left="0" w:right="0" w:firstLine="0"/>
              <w:jc w:val="center"/>
              <w:keepNext/>
              <w:rPr>
                <w:rFonts w:hint="eastAsia" w:ascii="Times New Roman" w:hAnsi="宋体" w:eastAsia="宋体" w:cs="宋体"/>
                <w:color w:val="auto"/>
                <w:sz w:val="21"/>
                <w:highlight w:val="none"/>
                <w:lang w:val="en-US" w:eastAsia="zh-CN"/>
              </w:rPr>
            </w:pPr>
            <w:r>
              <w:rPr>
                <w:rFonts w:hint="eastAsia" w:ascii="Times New Roman" w:hAnsi="宋体" w:eastAsia="宋体" w:cs="宋体"/>
                <w:color w:val="auto"/>
                <w:sz w:val="21"/>
                <w:highlight w:val="none"/>
                <w:lang w:val="en-US" w:eastAsia="zh-CN"/>
              </w:rPr>
            </w:r>
            <w:r/>
          </w:p>
        </w:tc>
        <w:tc>
          <w:tcPr>
            <w:tcW w:w="7371" w:type="dxa"/>
            <w:vAlign w:val="center"/>
            <w:textDirection w:val="lrTb"/>
            <w:noWrap w:val="false"/>
          </w:tcPr>
          <w:p>
            <w:pPr>
              <w:ind w:left="0" w:right="0" w:firstLine="0"/>
              <w:jc w:val="center"/>
              <w:keepNext/>
              <w:rPr>
                <w:rFonts w:hint="eastAsia" w:ascii="Times New Roman" w:hAnsi="宋体" w:eastAsia="宋体" w:cs="宋体"/>
                <w:color w:val="auto"/>
                <w:sz w:val="21"/>
                <w:szCs w:val="28"/>
                <w:highlight w:val="none"/>
              </w:rPr>
            </w:pPr>
            <w:r>
              <w:rPr>
                <w:rFonts w:ascii="Times New Roman" w:eastAsia="宋体" w:hAnsiTheme="minorEastAsia" w:cstheme="majorBidi"/>
                <w:b/>
                <w:bCs/>
                <w:color w:val="000000"/>
                <w:sz w:val="21"/>
                <w:szCs w:val="28"/>
              </w:rPr>
              <w:t xml:space="preserve">主要原料</w:t>
            </w:r>
            <w:r>
              <w:rPr>
                <w:rFonts w:hint="eastAsia" w:ascii="Times New Roman" w:eastAsia="宋体" w:hAnsiTheme="minorEastAsia" w:cstheme="majorBidi"/>
                <w:b/>
                <w:bCs/>
                <w:color w:val="000000"/>
                <w:sz w:val="21"/>
                <w:szCs w:val="28"/>
                <w:lang w:eastAsia="zh-CN"/>
              </w:rPr>
              <w:t xml:space="preserve">：</w:t>
            </w:r>
            <w:r>
              <w:rPr>
                <w:rFonts w:hint="eastAsia" w:ascii="Times New Roman" w:eastAsia="宋体"/>
                <w:color w:val="000000" w:themeColor="text1"/>
                <w:sz w:val="21"/>
                <w14:textFill>
                  <w14:solidFill>
                    <w14:schemeClr w14:val="tx1"/>
                  </w14:solidFill>
                </w14:textFill>
              </w:rPr>
              <w:t xml:space="preserve">主要成分包括聚乙烯、增塑剂和抗氧化剂</w:t>
            </w:r>
            <w:r>
              <w:rPr>
                <w:rFonts w:hint="eastAsia" w:ascii="Times New Roman" w:hAnsi="Times New Roman" w:eastAsia="宋体" w:cs="Times New Roman"/>
                <w:i/>
                <w:iCs/>
                <w:color w:val="ff0000"/>
                <w:szCs w:val="24"/>
                <w:u w:val="single"/>
                <w:lang w:val="en-US" w:eastAsia="zh-CN"/>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Times New Roman" w:hAnsi="Times New Roman" w:eastAsia="宋体" w:cs="Times New Roman"/>
                <w:i/>
                <w:iCs/>
                <w:color w:val="ff0000"/>
                <w:szCs w:val="24"/>
                <w:u w:val="single"/>
                <w:lang w:val="en-US" w:eastAsia="zh-CN"/>
              </w:rPr>
              <w:t xml:space="preserve">）</w:t>
            </w:r>
            <w:r>
              <w:rPr>
                <w:rFonts w:hint="eastAsia" w:ascii="Times New Roman" w:eastAsia="宋体"/>
                <w:color w:val="000000" w:themeColor="text1"/>
                <w:sz w:val="21"/>
                <w14:textFill>
                  <w14:solidFill>
                    <w14:schemeClr w14:val="tx1"/>
                  </w14:solidFill>
                </w14:textFill>
              </w:rPr>
              <w:t xml:space="preserve">‌。聚乙烯（PE）是地膜的基础材质，具有优良的耐化学腐蚀、耐低温、电绝缘性等特点‌。增塑剂的添加提高了地膜的柔韧性和延展性，使其更加柔软、易于拉伸，从而增强地膜的耐用性和抗拉伸性能。抗氧化剂的加入可以延缓聚乙烯材料的氧化过程，延长地膜的使用寿命</w:t>
            </w:r>
            <w:r>
              <w:rPr>
                <w:rFonts w:hint="eastAsia" w:ascii="Times New Roman" w:eastAsia="宋体"/>
                <w:color w:val="000000" w:themeColor="text1"/>
                <w:sz w:val="21"/>
                <w:lang w:eastAsia="zh-CN"/>
                <w14:textFill>
                  <w14:solidFill>
                    <w14:schemeClr w14:val="tx1"/>
                  </w14:solidFill>
                </w14:textFill>
              </w:rPr>
              <w:t xml:space="preserve">。</w:t>
            </w:r>
            <w:r>
              <w:rPr>
                <w:rFonts w:hint="eastAsia" w:ascii="Times New Roman" w:eastAsia="宋体"/>
                <w:color w:val="000000" w:themeColor="text1"/>
                <w:sz w:val="21"/>
                <w14:textFill>
                  <w14:solidFill>
                    <w14:schemeClr w14:val="tx1"/>
                  </w14:solidFill>
                </w14:textFill>
              </w:rPr>
              <w:t xml:space="preserve">产品原材料中不</w:t>
            </w:r>
            <w:r>
              <w:rPr>
                <w:rFonts w:hint="eastAsia" w:ascii="Times New Roman" w:eastAsia="宋体"/>
                <w:color w:val="000000" w:themeColor="text1"/>
                <w:sz w:val="21"/>
                <w:lang w:val="en-US" w:eastAsia="zh-CN"/>
                <w14:textFill>
                  <w14:solidFill>
                    <w14:schemeClr w14:val="tx1"/>
                  </w14:solidFill>
                </w14:textFill>
              </w:rPr>
              <w:t xml:space="preserve">再</w:t>
            </w:r>
            <w:r>
              <w:rPr>
                <w:rFonts w:hint="eastAsia" w:ascii="Times New Roman" w:eastAsia="宋体"/>
                <w:color w:val="000000" w:themeColor="text1"/>
                <w:sz w:val="21"/>
                <w14:textFill>
                  <w14:solidFill>
                    <w14:schemeClr w14:val="tx1"/>
                  </w14:solidFill>
                </w14:textFill>
              </w:rPr>
              <w:t xml:space="preserve">加入再生料及国家明确禁止使用、不利于作物生长、有害土壤的助剂</w:t>
            </w:r>
            <w:r>
              <w:rPr>
                <w:rFonts w:hint="eastAsia" w:ascii="Times New Roman" w:eastAsia="宋体"/>
                <w:color w:val="000000" w:themeColor="text1"/>
                <w:sz w:val="21"/>
                <w:lang w:eastAsia="zh-CN"/>
                <w14:textFill>
                  <w14:solidFill>
                    <w14:schemeClr w14:val="tx1"/>
                  </w14:solidFill>
                </w14:textFill>
              </w:rPr>
              <w:t xml:space="preserve">。</w:t>
            </w:r>
            <w:r/>
          </w:p>
        </w:tc>
        <w:tc>
          <w:tcPr>
            <w:tcW w:w="963" w:type="dxa"/>
            <w:vAlign w:val="center"/>
            <w:vMerge w:val="continue"/>
            <w:textDirection w:val="lrTb"/>
            <w:noWrap w:val="false"/>
          </w:tcPr>
          <w:p>
            <w:pPr>
              <w:ind w:left="0" w:right="0" w:firstLine="0"/>
              <w:jc w:val="left"/>
              <w:keepNext/>
              <w:rPr>
                <w:rFonts w:hint="default" w:ascii="Times New Roman" w:eastAsia="宋体"/>
                <w:color w:val="auto"/>
                <w:sz w:val="21"/>
                <w:highlight w:val="none"/>
                <w:lang w:val="en-US"/>
              </w:rPr>
            </w:pPr>
            <w:r>
              <w:rPr>
                <w:rFonts w:hint="default" w:ascii="Times New Roman" w:eastAsia="宋体"/>
                <w:color w:val="auto"/>
                <w:sz w:val="21"/>
                <w:highlight w:val="none"/>
                <w:lang w:val="en-US"/>
              </w:rPr>
            </w:r>
            <w:r/>
          </w:p>
        </w:tc>
      </w:tr>
      <w:tr>
        <w:trPr>
          <w:jc w:val="center"/>
          <w:trHeight w:val="0"/>
        </w:trPr>
        <w:tc>
          <w:tcPr>
            <w:tcW w:w="1628" w:type="dxa"/>
            <w:vAlign w:val="center"/>
            <w:vMerge w:val="continue"/>
            <w:textDirection w:val="lrTb"/>
            <w:noWrap w:val="false"/>
          </w:tcPr>
          <w:p>
            <w:pPr>
              <w:ind w:left="0" w:right="0" w:firstLine="0"/>
              <w:jc w:val="center"/>
              <w:keepNext/>
              <w:rPr>
                <w:rFonts w:hint="eastAsia" w:ascii="Times New Roman" w:hAnsi="宋体" w:eastAsia="宋体" w:cs="宋体"/>
                <w:color w:val="auto"/>
                <w:sz w:val="21"/>
                <w:highlight w:val="none"/>
                <w:lang w:val="en-US" w:eastAsia="zh-CN"/>
              </w:rPr>
            </w:pPr>
            <w:r>
              <w:rPr>
                <w:rFonts w:hint="eastAsia" w:ascii="Times New Roman" w:hAnsi="宋体" w:eastAsia="宋体" w:cs="宋体"/>
                <w:color w:val="auto"/>
                <w:sz w:val="21"/>
                <w:highlight w:val="none"/>
                <w:lang w:val="en-US" w:eastAsia="zh-CN"/>
              </w:rPr>
            </w:r>
            <w:r/>
          </w:p>
        </w:tc>
        <w:tc>
          <w:tcPr>
            <w:tcW w:w="7371" w:type="dxa"/>
            <w:vAlign w:val="center"/>
            <w:textDirection w:val="lrTb"/>
            <w:noWrap w:val="false"/>
          </w:tcPr>
          <w:p>
            <w:pPr>
              <w:ind w:left="0" w:right="0" w:firstLine="0"/>
              <w:jc w:val="center"/>
              <w:keepNext/>
              <w:rPr>
                <w:rFonts w:hint="eastAsia" w:ascii="Times New Roman" w:hAnsi="宋体" w:eastAsia="宋体" w:cs="宋体"/>
                <w:color w:val="auto"/>
                <w:sz w:val="21"/>
                <w:szCs w:val="28"/>
                <w:highlight w:val="none"/>
              </w:rPr>
            </w:pPr>
            <w:r>
              <w:rPr>
                <w:rFonts w:ascii="Times New Roman" w:eastAsia="宋体" w:hAnsiTheme="minorEastAsia" w:cstheme="majorBidi"/>
                <w:b/>
                <w:bCs/>
                <w:color w:val="000000"/>
                <w:sz w:val="21"/>
                <w:szCs w:val="28"/>
              </w:rPr>
              <w:t xml:space="preserve">有效</w:t>
            </w:r>
            <w:r>
              <w:rPr>
                <w:rFonts w:hint="eastAsia" w:ascii="Times New Roman" w:eastAsia="宋体" w:hAnsiTheme="minorEastAsia" w:cstheme="majorBidi"/>
                <w:b/>
                <w:bCs/>
                <w:color w:val="000000"/>
                <w:sz w:val="21"/>
                <w:szCs w:val="28"/>
                <w:lang w:val="en-US" w:eastAsia="zh-CN"/>
              </w:rPr>
              <w:t xml:space="preserve">使用</w:t>
            </w:r>
            <w:r>
              <w:rPr>
                <w:rFonts w:ascii="Times New Roman" w:eastAsia="宋体" w:hAnsiTheme="minorEastAsia" w:cstheme="majorBidi"/>
                <w:b/>
                <w:bCs/>
                <w:color w:val="000000"/>
                <w:sz w:val="21"/>
                <w:szCs w:val="28"/>
              </w:rPr>
              <w:t xml:space="preserve">时间</w:t>
            </w:r>
            <w:r>
              <w:rPr>
                <w:rFonts w:hint="eastAsia" w:ascii="Times New Roman" w:eastAsia="宋体" w:hAnsiTheme="minorEastAsia" w:cstheme="majorBidi"/>
                <w:b/>
                <w:bCs/>
                <w:color w:val="000000"/>
                <w:sz w:val="21"/>
                <w:szCs w:val="28"/>
                <w:lang w:eastAsia="zh-CN"/>
              </w:rPr>
              <w:t xml:space="preserve">：</w:t>
            </w:r>
            <w:r>
              <w:rPr>
                <w:rFonts w:hint="eastAsia" w:ascii="Times New Roman" w:eastAsia="宋体" w:cs="Times New Roman" w:hAnsiTheme="minorEastAsia"/>
                <w:color w:val="auto"/>
                <w:sz w:val="21"/>
                <w:szCs w:val="28"/>
              </w:rPr>
              <w:t xml:space="preserve">有效使用时间≥</w:t>
            </w:r>
            <w:r>
              <w:rPr>
                <w:rFonts w:hint="eastAsia" w:ascii="Times New Roman" w:eastAsia="宋体" w:cs="Times New Roman" w:hAnsiTheme="minorEastAsia"/>
                <w:color w:val="auto"/>
                <w:sz w:val="21"/>
                <w:szCs w:val="28"/>
                <w:lang w:val="en-US" w:eastAsia="zh-CN"/>
              </w:rPr>
              <w:t xml:space="preserve">180天</w:t>
            </w:r>
            <w:r>
              <w:rPr>
                <w:rFonts w:hint="eastAsia" w:ascii="Times New Roman" w:hAnsi="Times New Roman" w:eastAsia="宋体" w:cs="Times New Roman"/>
                <w:i/>
                <w:iCs/>
                <w:color w:val="ff0000"/>
                <w:szCs w:val="24"/>
                <w:u w:val="single"/>
                <w:lang w:val="en-US" w:eastAsia="zh-CN"/>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Times New Roman" w:hAnsi="Times New Roman" w:eastAsia="宋体" w:cs="Times New Roman"/>
                <w:i/>
                <w:iCs/>
                <w:color w:val="ff0000"/>
                <w:szCs w:val="24"/>
                <w:u w:val="single"/>
                <w:lang w:val="en-US" w:eastAsia="zh-CN"/>
              </w:rPr>
              <w:t xml:space="preserve">）</w:t>
            </w:r>
            <w:r/>
          </w:p>
        </w:tc>
        <w:tc>
          <w:tcPr>
            <w:tcW w:w="963" w:type="dxa"/>
            <w:vAlign w:val="center"/>
            <w:vMerge w:val="continue"/>
            <w:textDirection w:val="lrTb"/>
            <w:noWrap w:val="false"/>
          </w:tcPr>
          <w:p>
            <w:pPr>
              <w:ind w:left="0" w:right="0" w:firstLine="0"/>
              <w:jc w:val="left"/>
              <w:keepNext/>
              <w:rPr>
                <w:rFonts w:hint="default" w:ascii="Times New Roman" w:eastAsia="宋体"/>
                <w:color w:val="auto"/>
                <w:sz w:val="21"/>
                <w:highlight w:val="none"/>
                <w:lang w:val="en-US"/>
              </w:rPr>
            </w:pPr>
            <w:r>
              <w:rPr>
                <w:rFonts w:hint="default" w:ascii="Times New Roman" w:eastAsia="宋体"/>
                <w:color w:val="auto"/>
                <w:sz w:val="21"/>
                <w:highlight w:val="none"/>
                <w:lang w:val="en-US"/>
              </w:rPr>
            </w:r>
            <w:r/>
          </w:p>
        </w:tc>
      </w:tr>
      <w:tr>
        <w:trPr>
          <w:jc w:val="center"/>
          <w:trHeight w:val="0"/>
        </w:trPr>
        <w:tc>
          <w:tcPr>
            <w:tcW w:w="1628" w:type="dxa"/>
            <w:vAlign w:val="center"/>
            <w:vMerge w:val="continue"/>
            <w:textDirection w:val="lrTb"/>
            <w:noWrap w:val="false"/>
          </w:tcPr>
          <w:p>
            <w:pPr>
              <w:ind w:left="0" w:right="0" w:firstLine="0"/>
              <w:jc w:val="center"/>
              <w:keepNext/>
              <w:rPr>
                <w:rFonts w:hint="eastAsia" w:ascii="Times New Roman" w:hAnsi="宋体" w:eastAsia="宋体" w:cs="宋体"/>
                <w:color w:val="auto"/>
                <w:sz w:val="21"/>
                <w:highlight w:val="none"/>
                <w:lang w:val="en-US" w:eastAsia="zh-CN"/>
              </w:rPr>
            </w:pPr>
            <w:r>
              <w:rPr>
                <w:rFonts w:hint="eastAsia" w:ascii="Times New Roman" w:hAnsi="宋体" w:eastAsia="宋体" w:cs="宋体"/>
                <w:color w:val="auto"/>
                <w:sz w:val="21"/>
                <w:highlight w:val="none"/>
                <w:lang w:val="en-US" w:eastAsia="zh-CN"/>
              </w:rPr>
            </w:r>
            <w:r/>
          </w:p>
        </w:tc>
        <w:tc>
          <w:tcPr>
            <w:tcW w:w="7371" w:type="dxa"/>
            <w:vAlign w:val="center"/>
            <w:textDirection w:val="lrTb"/>
            <w:noWrap w:val="false"/>
          </w:tcPr>
          <w:p>
            <w:pPr>
              <w:ind w:left="0" w:right="0" w:firstLine="0"/>
              <w:jc w:val="center"/>
              <w:keepNext/>
              <w:widowControl/>
              <w:rPr>
                <w:rFonts w:hint="default" w:ascii="Times New Roman" w:eastAsia="宋体" w:cs="Times New Roman" w:hAnsiTheme="minorEastAsia"/>
                <w:color w:val="auto"/>
                <w:sz w:val="21"/>
                <w:szCs w:val="28"/>
                <w:lang w:val="en-US" w:eastAsia="zh-CN"/>
              </w:rPr>
            </w:pPr>
            <w:r>
              <w:rPr>
                <w:rFonts w:ascii="Times New Roman" w:eastAsia="宋体" w:hAnsiTheme="minorEastAsia" w:cstheme="majorBidi"/>
                <w:b/>
                <w:bCs/>
                <w:color w:val="000000"/>
                <w:sz w:val="21"/>
                <w:szCs w:val="28"/>
              </w:rPr>
              <w:t xml:space="preserve">地膜规格</w:t>
            </w:r>
            <w:r>
              <w:rPr>
                <w:rFonts w:hint="eastAsia" w:ascii="Times New Roman" w:eastAsia="宋体" w:hAnsiTheme="minorEastAsia" w:cstheme="majorBidi"/>
                <w:b/>
                <w:bCs/>
                <w:color w:val="000000"/>
                <w:sz w:val="21"/>
                <w:szCs w:val="28"/>
                <w:lang w:eastAsia="zh-CN"/>
              </w:rPr>
              <w:t xml:space="preserve">：</w:t>
            </w:r>
            <w:r>
              <w:rPr>
                <w:rFonts w:hint="eastAsia" w:ascii="Times New Roman" w:eastAsia="宋体" w:hAnsiTheme="minorEastAsia" w:cstheme="majorBidi"/>
                <w:b/>
                <w:bCs/>
                <w:color w:val="000000"/>
                <w:sz w:val="21"/>
                <w:szCs w:val="28"/>
                <w:lang w:val="en-US" w:eastAsia="zh-CN"/>
              </w:rPr>
              <w:t xml:space="preserve">   </w:t>
            </w:r>
            <w:r>
              <w:rPr>
                <w:rFonts w:hint="eastAsia" w:ascii="Times New Roman" w:eastAsia="宋体" w:cs="Times New Roman" w:hAnsiTheme="minorEastAsia"/>
                <w:color w:val="auto"/>
                <w:sz w:val="21"/>
                <w:szCs w:val="28"/>
                <w:lang w:val="en-US" w:eastAsia="zh-CN"/>
              </w:rPr>
              <w:t xml:space="preserve">宽度：90~120 厘米(具体根据甲方实际需求）</w:t>
            </w:r>
            <w:r/>
          </w:p>
          <w:p>
            <w:pPr>
              <w:ind w:left="0" w:right="0" w:firstLine="0"/>
              <w:jc w:val="center"/>
              <w:keepNext/>
              <w:widowControl/>
              <w:rPr>
                <w:rFonts w:hint="default" w:ascii="Times New Roman" w:eastAsia="宋体" w:cs="Times New Roman" w:hAnsiTheme="minorEastAsia"/>
                <w:color w:val="auto"/>
                <w:sz w:val="21"/>
                <w:szCs w:val="28"/>
                <w:lang w:val="en-US" w:eastAsia="zh-CN"/>
              </w:rPr>
            </w:pPr>
            <w:r>
              <w:rPr>
                <w:rFonts w:hint="eastAsia" w:ascii="Times New Roman" w:eastAsia="宋体" w:cs="Times New Roman" w:hAnsiTheme="minorEastAsia"/>
                <w:color w:val="auto"/>
                <w:sz w:val="21"/>
                <w:szCs w:val="28"/>
              </w:rPr>
              <w:t xml:space="preserve">厚度:</w:t>
            </w:r>
            <w:r>
              <w:rPr>
                <w:rFonts w:hint="eastAsia" w:ascii="Times New Roman" w:eastAsia="宋体" w:cs="Times New Roman" w:hAnsiTheme="minorEastAsia"/>
                <w:color w:val="auto"/>
                <w:sz w:val="21"/>
                <w:szCs w:val="28"/>
                <w:lang w:val="en-US" w:eastAsia="zh-CN"/>
              </w:rPr>
              <w:t xml:space="preserve">≥ 0.015mm</w:t>
            </w:r>
            <w:r/>
          </w:p>
          <w:p>
            <w:pPr>
              <w:ind w:left="0" w:right="0" w:firstLine="0"/>
              <w:jc w:val="center"/>
              <w:keepNext/>
              <w:widowControl/>
              <w:rPr>
                <w:rFonts w:hint="default" w:ascii="Times New Roman" w:eastAsia="宋体" w:cs="Times New Roman" w:hAnsiTheme="minorEastAsia"/>
                <w:color w:val="auto"/>
                <w:sz w:val="21"/>
                <w:szCs w:val="28"/>
                <w:lang w:val="en-US" w:eastAsia="zh-CN"/>
              </w:rPr>
            </w:pPr>
            <w:r>
              <w:rPr>
                <w:rFonts w:hint="eastAsia" w:ascii="Times New Roman" w:eastAsia="宋体" w:cs="Times New Roman" w:hAnsiTheme="minorEastAsia"/>
                <w:color w:val="auto"/>
                <w:sz w:val="21"/>
                <w:szCs w:val="28"/>
                <w:lang w:val="en-US" w:eastAsia="zh-CN"/>
              </w:rPr>
              <w:t xml:space="preserve">每卷重量：10Kg/卷（自身净重，不含轴重、外包装等）</w:t>
            </w:r>
            <w:r/>
          </w:p>
          <w:p>
            <w:pPr>
              <w:ind w:left="0" w:right="0" w:firstLine="0"/>
              <w:jc w:val="center"/>
              <w:keepNext/>
              <w:rPr>
                <w:rFonts w:hint="default" w:ascii="Times New Roman" w:hAnsi="宋体" w:eastAsia="宋体" w:cs="宋体"/>
                <w:color w:val="auto"/>
                <w:sz w:val="21"/>
                <w:szCs w:val="28"/>
                <w:highlight w:val="none"/>
                <w:lang w:val="en-US"/>
              </w:rPr>
            </w:pPr>
            <w:r>
              <w:rPr>
                <w:rFonts w:hint="eastAsia" w:ascii="Times New Roman" w:eastAsia="宋体" w:cs="Times New Roman" w:hAnsiTheme="minorEastAsia"/>
                <w:color w:val="auto"/>
                <w:sz w:val="21"/>
                <w:szCs w:val="28"/>
                <w:lang w:val="en-US" w:eastAsia="zh-CN"/>
              </w:rPr>
              <w:t xml:space="preserve">颜色：银灰色</w:t>
            </w:r>
            <w:r/>
          </w:p>
        </w:tc>
        <w:tc>
          <w:tcPr>
            <w:tcW w:w="963" w:type="dxa"/>
            <w:vAlign w:val="center"/>
            <w:vMerge w:val="continue"/>
            <w:textDirection w:val="lrTb"/>
            <w:noWrap w:val="false"/>
          </w:tcPr>
          <w:p>
            <w:pPr>
              <w:ind w:left="0" w:right="0" w:firstLine="0"/>
              <w:jc w:val="left"/>
              <w:keepNext/>
              <w:rPr>
                <w:rFonts w:hint="default" w:ascii="Times New Roman" w:eastAsia="宋体"/>
                <w:color w:val="auto"/>
                <w:sz w:val="21"/>
                <w:highlight w:val="none"/>
                <w:lang w:val="en-US"/>
              </w:rPr>
            </w:pPr>
            <w:r>
              <w:rPr>
                <w:rFonts w:hint="default" w:ascii="Times New Roman" w:eastAsia="宋体"/>
                <w:color w:val="auto"/>
                <w:sz w:val="21"/>
                <w:highlight w:val="none"/>
                <w:lang w:val="en-US"/>
              </w:rPr>
            </w:r>
            <w:r/>
          </w:p>
        </w:tc>
      </w:tr>
      <w:tr>
        <w:trPr>
          <w:jc w:val="center"/>
          <w:trHeight w:val="0"/>
        </w:trPr>
        <w:tc>
          <w:tcPr>
            <w:tcW w:w="1628" w:type="dxa"/>
            <w:vAlign w:val="center"/>
            <w:vMerge w:val="continue"/>
            <w:textDirection w:val="lrTb"/>
            <w:noWrap w:val="false"/>
          </w:tcPr>
          <w:p>
            <w:pPr>
              <w:ind w:left="0" w:right="0" w:firstLine="0"/>
              <w:jc w:val="center"/>
              <w:keepNext/>
              <w:rPr>
                <w:rFonts w:hint="eastAsia" w:ascii="Times New Roman" w:hAnsi="宋体" w:eastAsia="宋体" w:cs="宋体"/>
                <w:color w:val="auto"/>
                <w:sz w:val="21"/>
                <w:highlight w:val="none"/>
                <w:lang w:val="en-US" w:eastAsia="zh-CN"/>
              </w:rPr>
            </w:pPr>
            <w:r>
              <w:rPr>
                <w:rFonts w:hint="eastAsia" w:ascii="Times New Roman" w:hAnsi="宋体" w:eastAsia="宋体" w:cs="宋体"/>
                <w:color w:val="auto"/>
                <w:sz w:val="21"/>
                <w:highlight w:val="none"/>
                <w:lang w:val="en-US" w:eastAsia="zh-CN"/>
              </w:rPr>
            </w:r>
            <w:r/>
          </w:p>
        </w:tc>
        <w:tc>
          <w:tcPr>
            <w:tcW w:w="7371" w:type="dxa"/>
            <w:vAlign w:val="center"/>
            <w:textDirection w:val="lrTb"/>
            <w:noWrap w:val="false"/>
          </w:tcPr>
          <w:p>
            <w:pPr>
              <w:jc w:val="left"/>
              <w:rPr>
                <w:rFonts w:hint="eastAsia" w:ascii="Times New Roman" w:hAnsi="Times New Roman" w:eastAsia="宋体" w:cs="Times New Roman"/>
                <w:i/>
                <w:iCs/>
                <w:color w:val="ff0000"/>
                <w:szCs w:val="24"/>
                <w:u w:val="single"/>
                <w:lang w:eastAsia="zh-CN"/>
              </w:rPr>
            </w:pPr>
            <w:r>
              <w:rPr>
                <w:rFonts w:ascii="Times New Roman" w:eastAsia="宋体" w:hAnsiTheme="minorEastAsia" w:cstheme="majorBidi"/>
                <w:b/>
                <w:bCs/>
                <w:color w:val="000000"/>
                <w:sz w:val="21"/>
                <w:szCs w:val="28"/>
              </w:rPr>
              <w:t xml:space="preserve">技术指标</w:t>
            </w:r>
            <w:r>
              <w:rPr>
                <w:rFonts w:hint="eastAsia" w:ascii="Times New Roman" w:eastAsia="宋体" w:hAnsiTheme="minorEastAsia" w:cstheme="majorBidi"/>
                <w:b/>
                <w:bCs/>
                <w:color w:val="000000"/>
                <w:sz w:val="21"/>
                <w:szCs w:val="28"/>
                <w:lang w:eastAsia="zh-CN"/>
              </w:rPr>
              <w:t xml:space="preserve">：</w:t>
            </w:r>
            <w:r>
              <w:rPr>
                <w:rFonts w:hint="eastAsia" w:ascii="宋体" w:hAnsi="宋体" w:eastAsia="宋体" w:cs="宋体"/>
                <w:i/>
                <w:iCs/>
                <w:color w:val="ff0000"/>
                <w:sz w:val="24"/>
                <w:szCs w:val="20"/>
                <w:highlight w:val="none"/>
                <w:u w:val="single"/>
                <w:lang w:val="en-US" w:eastAsia="zh-CN" w:bidi="ar-SA"/>
              </w:rPr>
              <w:t xml:space="preserve">★</w:t>
            </w:r>
            <w:r>
              <w:rPr>
                <w:rFonts w:hint="eastAsia" w:ascii="Times New Roman" w:hAnsi="Times New Roman" w:eastAsia="宋体" w:cs="Times New Roman"/>
                <w:i/>
                <w:iCs/>
                <w:color w:val="ff0000"/>
                <w:szCs w:val="24"/>
                <w:u w:val="single"/>
              </w:rPr>
              <w:t xml:space="preserve">拉伸负荷(纵、横向)≥</w:t>
            </w:r>
            <w:r>
              <w:rPr>
                <w:rFonts w:hint="eastAsia" w:ascii="Times New Roman" w:hAnsi="Times New Roman" w:eastAsia="宋体" w:cs="Times New Roman"/>
                <w:i/>
                <w:iCs/>
                <w:color w:val="ff0000"/>
                <w:szCs w:val="24"/>
                <w:u w:val="single"/>
                <w:lang w:val="en-US" w:eastAsia="zh-CN"/>
              </w:rPr>
              <w:t xml:space="preserve">1.6</w:t>
            </w:r>
            <w:r>
              <w:rPr>
                <w:rFonts w:hint="eastAsia" w:ascii="Times New Roman" w:hAnsi="Times New Roman" w:eastAsia="宋体" w:cs="Times New Roman"/>
                <w:i/>
                <w:iCs/>
                <w:color w:val="ff0000"/>
                <w:szCs w:val="24"/>
                <w:u w:val="single"/>
              </w:rPr>
              <w:t xml:space="preserve">N</w:t>
            </w:r>
            <w:r>
              <w:rPr>
                <w:rFonts w:hint="eastAsia" w:ascii="Times New Roman" w:hAnsi="Times New Roman" w:eastAsia="宋体" w:cs="Times New Roman"/>
                <w:i/>
                <w:iCs/>
                <w:color w:val="ff0000"/>
                <w:szCs w:val="24"/>
                <w:u w:val="single"/>
                <w:lang w:eastAsia="zh-CN"/>
              </w:rPr>
              <w:t xml:space="preserve">；</w:t>
            </w:r>
            <w:r>
              <w:rPr>
                <w:rFonts w:hint="eastAsia" w:ascii="Times New Roman" w:hAnsi="Times New Roman" w:eastAsia="宋体" w:cs="Times New Roman"/>
                <w:i/>
                <w:iCs/>
                <w:color w:val="ff0000"/>
                <w:szCs w:val="24"/>
                <w:u w:val="single"/>
                <w:lang w:val="en-US" w:eastAsia="zh-CN"/>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Times New Roman" w:hAnsi="Times New Roman" w:eastAsia="宋体" w:cs="Times New Roman"/>
                <w:i/>
                <w:iCs/>
                <w:color w:val="ff0000"/>
                <w:szCs w:val="24"/>
                <w:u w:val="single"/>
                <w:lang w:val="en-US" w:eastAsia="zh-CN"/>
              </w:rPr>
              <w:t xml:space="preserve">）</w:t>
            </w:r>
            <w:r/>
          </w:p>
          <w:p>
            <w:pPr>
              <w:ind w:firstLine="1050"/>
              <w:jc w:val="left"/>
              <w:rPr>
                <w:rFonts w:hint="eastAsia" w:ascii="Times New Roman" w:hAnsi="Times New Roman" w:eastAsia="宋体" w:cs="Times New Roman"/>
                <w:i/>
                <w:iCs/>
                <w:color w:val="ff0000"/>
                <w:szCs w:val="24"/>
                <w:u w:val="single"/>
                <w:lang w:eastAsia="zh-CN"/>
              </w:rPr>
            </w:pPr>
            <w:r>
              <w:rPr>
                <w:rFonts w:hint="eastAsia" w:ascii="宋体" w:hAnsi="宋体" w:eastAsia="宋体" w:cs="宋体"/>
                <w:i/>
                <w:iCs/>
                <w:color w:val="ff0000"/>
                <w:sz w:val="24"/>
                <w:szCs w:val="20"/>
                <w:highlight w:val="none"/>
                <w:u w:val="single"/>
                <w:lang w:val="en-US" w:eastAsia="zh-CN" w:bidi="ar-SA"/>
              </w:rPr>
              <w:t xml:space="preserve">★</w:t>
            </w:r>
            <w:r>
              <w:rPr>
                <w:rFonts w:hint="eastAsia" w:ascii="Times New Roman" w:hAnsi="Times New Roman" w:eastAsia="宋体" w:cs="Times New Roman"/>
                <w:i/>
                <w:iCs/>
                <w:color w:val="ff0000"/>
                <w:szCs w:val="24"/>
                <w:u w:val="single"/>
              </w:rPr>
              <w:t xml:space="preserve">大断裂标称应变(纵、横向)≥</w:t>
            </w:r>
            <w:r>
              <w:rPr>
                <w:rFonts w:hint="eastAsia" w:ascii="Times New Roman" w:hAnsi="Times New Roman" w:eastAsia="宋体" w:cs="Times New Roman"/>
                <w:i/>
                <w:iCs/>
                <w:color w:val="ff0000"/>
                <w:szCs w:val="24"/>
                <w:u w:val="single"/>
                <w:lang w:val="en-US" w:eastAsia="zh-CN"/>
              </w:rPr>
              <w:t xml:space="preserve">260</w:t>
            </w:r>
            <w:r>
              <w:rPr>
                <w:rFonts w:hint="eastAsia" w:ascii="Times New Roman" w:hAnsi="Times New Roman" w:eastAsia="宋体" w:cs="Times New Roman"/>
                <w:i/>
                <w:iCs/>
                <w:color w:val="ff0000"/>
                <w:szCs w:val="24"/>
                <w:u w:val="single"/>
              </w:rPr>
              <w:t xml:space="preserve">%</w:t>
            </w:r>
            <w:r>
              <w:rPr>
                <w:rFonts w:hint="eastAsia" w:ascii="Times New Roman" w:hAnsi="Times New Roman" w:eastAsia="宋体" w:cs="Times New Roman"/>
                <w:i/>
                <w:iCs/>
                <w:color w:val="ff0000"/>
                <w:szCs w:val="24"/>
                <w:u w:val="single"/>
                <w:lang w:eastAsia="zh-CN"/>
              </w:rPr>
              <w:t xml:space="preserve">；</w:t>
            </w:r>
            <w:r>
              <w:rPr>
                <w:rFonts w:hint="eastAsia" w:ascii="Times New Roman" w:hAnsi="Times New Roman" w:eastAsia="宋体" w:cs="Times New Roman"/>
                <w:i/>
                <w:iCs/>
                <w:color w:val="ff0000"/>
                <w:szCs w:val="24"/>
                <w:u w:val="single"/>
                <w:lang w:val="en-US" w:eastAsia="zh-CN"/>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Times New Roman" w:hAnsi="Times New Roman" w:eastAsia="宋体" w:cs="Times New Roman"/>
                <w:i/>
                <w:iCs/>
                <w:color w:val="ff0000"/>
                <w:szCs w:val="24"/>
                <w:u w:val="single"/>
                <w:lang w:val="en-US" w:eastAsia="zh-CN"/>
              </w:rPr>
              <w:t xml:space="preserve">）</w:t>
            </w:r>
            <w:r/>
          </w:p>
          <w:p>
            <w:pPr>
              <w:ind w:firstLine="1050"/>
              <w:jc w:val="left"/>
              <w:rPr>
                <w:rFonts w:hint="eastAsia" w:ascii="Times New Roman" w:hAnsi="Times New Roman" w:eastAsia="宋体" w:cs="Times New Roman"/>
                <w:i/>
                <w:iCs/>
                <w:color w:val="ff0000"/>
                <w:szCs w:val="24"/>
                <w:u w:val="single"/>
                <w:lang w:eastAsia="zh-CN"/>
              </w:rPr>
            </w:pPr>
            <w:r>
              <w:rPr>
                <w:rFonts w:hint="eastAsia" w:ascii="宋体" w:hAnsi="宋体" w:eastAsia="宋体" w:cs="宋体"/>
                <w:i/>
                <w:iCs/>
                <w:color w:val="ff0000"/>
                <w:sz w:val="24"/>
                <w:szCs w:val="20"/>
                <w:highlight w:val="none"/>
                <w:u w:val="single"/>
                <w:lang w:val="en-US" w:eastAsia="zh-CN" w:bidi="ar-SA"/>
              </w:rPr>
              <w:t xml:space="preserve">★</w:t>
            </w:r>
            <w:r>
              <w:rPr>
                <w:rFonts w:hint="eastAsia" w:ascii="Times New Roman" w:hAnsi="Times New Roman" w:eastAsia="宋体" w:cs="Times New Roman"/>
                <w:i/>
                <w:iCs/>
                <w:color w:val="ff0000"/>
                <w:szCs w:val="24"/>
                <w:u w:val="single"/>
              </w:rPr>
              <w:t xml:space="preserve">直角撕裂负荷(纵、横向)≥</w:t>
            </w:r>
            <w:r>
              <w:rPr>
                <w:rFonts w:hint="eastAsia" w:ascii="Times New Roman" w:hAnsi="Times New Roman" w:eastAsia="宋体" w:cs="Times New Roman"/>
                <w:i/>
                <w:iCs/>
                <w:color w:val="ff0000"/>
                <w:szCs w:val="24"/>
                <w:u w:val="single"/>
                <w:lang w:val="en-US" w:eastAsia="zh-CN"/>
              </w:rPr>
              <w:t xml:space="preserve">1.2</w:t>
            </w:r>
            <w:r>
              <w:rPr>
                <w:rFonts w:hint="eastAsia" w:ascii="Times New Roman" w:hAnsi="Times New Roman" w:eastAsia="宋体" w:cs="Times New Roman"/>
                <w:i/>
                <w:iCs/>
                <w:color w:val="ff0000"/>
                <w:szCs w:val="24"/>
                <w:u w:val="single"/>
              </w:rPr>
              <w:t xml:space="preserve">N</w:t>
            </w:r>
            <w:r>
              <w:rPr>
                <w:rFonts w:hint="eastAsia" w:ascii="Times New Roman" w:hAnsi="Times New Roman" w:eastAsia="宋体" w:cs="Times New Roman"/>
                <w:i/>
                <w:iCs/>
                <w:color w:val="ff0000"/>
                <w:szCs w:val="24"/>
                <w:u w:val="single"/>
                <w:lang w:eastAsia="zh-CN"/>
              </w:rPr>
              <w:t xml:space="preserve">；</w:t>
            </w:r>
            <w:r>
              <w:rPr>
                <w:rFonts w:hint="eastAsia" w:ascii="Times New Roman" w:hAnsi="Times New Roman" w:eastAsia="宋体" w:cs="Times New Roman"/>
                <w:i/>
                <w:iCs/>
                <w:color w:val="ff0000"/>
                <w:szCs w:val="24"/>
                <w:u w:val="single"/>
                <w:lang w:val="en-US" w:eastAsia="zh-CN"/>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Times New Roman" w:hAnsi="Times New Roman" w:eastAsia="宋体" w:cs="Times New Roman"/>
                <w:i/>
                <w:iCs/>
                <w:color w:val="ff0000"/>
                <w:szCs w:val="24"/>
                <w:u w:val="single"/>
                <w:lang w:val="en-US" w:eastAsia="zh-CN"/>
              </w:rPr>
              <w:t xml:space="preserve">）</w:t>
            </w:r>
            <w:r/>
          </w:p>
          <w:p>
            <w:pPr>
              <w:ind w:left="0" w:right="0" w:firstLine="0"/>
              <w:jc w:val="center"/>
              <w:keepNext/>
              <w:rPr>
                <w:rFonts w:hint="eastAsia" w:ascii="Times New Roman" w:eastAsia="宋体"/>
                <w:color w:val="000000" w:themeColor="text1"/>
                <w:sz w:val="21"/>
                <w:lang w:eastAsia="zh-CN"/>
                <w14:textFill>
                  <w14:solidFill>
                    <w14:schemeClr w14:val="tx1"/>
                  </w14:solidFill>
                </w14:textFill>
              </w:rPr>
            </w:pPr>
            <w:r>
              <w:rPr>
                <w:rFonts w:hint="eastAsia" w:ascii="Times New Roman" w:eastAsia="宋体"/>
                <w:color w:val="000000" w:themeColor="text1"/>
                <w:sz w:val="21"/>
                <w:lang w:eastAsia="zh-CN"/>
                <w14:textFill>
                  <w14:solidFill>
                    <w14:schemeClr w14:val="tx1"/>
                  </w14:solidFill>
                </w14:textFill>
              </w:rPr>
            </w:r>
            <w:r/>
          </w:p>
          <w:p>
            <w:pPr>
              <w:ind w:left="0" w:right="0" w:firstLine="0"/>
              <w:jc w:val="center"/>
              <w:keepNext/>
              <w:rPr>
                <w:rFonts w:hint="eastAsia" w:ascii="Times New Roman" w:hAnsi="宋体" w:eastAsia="宋体" w:cs="宋体"/>
                <w:color w:val="auto"/>
                <w:sz w:val="21"/>
                <w:szCs w:val="28"/>
                <w:highlight w:val="none"/>
              </w:rPr>
            </w:pPr>
            <w:r>
              <w:rPr>
                <w:rFonts w:hint="eastAsia" w:ascii="Times New Roman" w:eastAsia="宋体"/>
                <w:color w:val="000000" w:themeColor="text1"/>
                <w:sz w:val="21"/>
                <w14:textFill>
                  <w14:solidFill>
                    <w14:schemeClr w14:val="tx1"/>
                  </w14:solidFill>
                </w14:textFill>
              </w:rPr>
              <w:t xml:space="preserve">外观方面:地膜不应有影响使用的气泡、杂质、条纹、穿孔、褶皱等缺陷，膜卷应卷绕整齐，不应有明显的暴筋。</w:t>
            </w:r>
            <w:r/>
          </w:p>
        </w:tc>
        <w:tc>
          <w:tcPr>
            <w:tcW w:w="963" w:type="dxa"/>
            <w:vAlign w:val="center"/>
            <w:vMerge w:val="continue"/>
            <w:textDirection w:val="lrTb"/>
            <w:noWrap w:val="false"/>
          </w:tcPr>
          <w:p>
            <w:pPr>
              <w:ind w:left="0" w:right="0" w:firstLine="0"/>
              <w:jc w:val="left"/>
              <w:keepNext/>
              <w:rPr>
                <w:rFonts w:hint="default" w:ascii="Times New Roman" w:eastAsia="宋体"/>
                <w:color w:val="auto"/>
                <w:sz w:val="21"/>
                <w:highlight w:val="none"/>
                <w:lang w:val="en-US"/>
              </w:rPr>
            </w:pPr>
            <w:r>
              <w:rPr>
                <w:rFonts w:hint="default" w:ascii="Times New Roman" w:eastAsia="宋体"/>
                <w:color w:val="auto"/>
                <w:sz w:val="21"/>
                <w:highlight w:val="none"/>
                <w:lang w:val="en-US"/>
              </w:rPr>
            </w:r>
            <w:r/>
          </w:p>
        </w:tc>
      </w:tr>
      <w:tr>
        <w:trPr>
          <w:jc w:val="center"/>
          <w:trHeight w:val="0"/>
        </w:trPr>
        <w:tc>
          <w:tcPr>
            <w:tcW w:w="1628" w:type="dxa"/>
            <w:vAlign w:val="center"/>
            <w:vMerge w:val="continue"/>
            <w:textDirection w:val="lrTb"/>
            <w:noWrap w:val="false"/>
          </w:tcPr>
          <w:p>
            <w:pPr>
              <w:ind w:left="0" w:right="0" w:firstLine="0"/>
              <w:jc w:val="center"/>
              <w:keepNext/>
              <w:rPr>
                <w:rFonts w:hint="eastAsia" w:ascii="Times New Roman" w:hAnsi="宋体" w:eastAsia="宋体" w:cs="宋体"/>
                <w:color w:val="auto"/>
                <w:sz w:val="21"/>
                <w:highlight w:val="none"/>
                <w:lang w:val="en-US" w:eastAsia="zh-CN"/>
              </w:rPr>
            </w:pPr>
            <w:r>
              <w:rPr>
                <w:rFonts w:hint="eastAsia" w:ascii="Times New Roman" w:hAnsi="宋体" w:eastAsia="宋体" w:cs="宋体"/>
                <w:color w:val="auto"/>
                <w:sz w:val="21"/>
                <w:highlight w:val="none"/>
                <w:lang w:val="en-US" w:eastAsia="zh-CN"/>
              </w:rPr>
            </w:r>
            <w:r/>
          </w:p>
        </w:tc>
        <w:tc>
          <w:tcPr>
            <w:tcW w:w="7371" w:type="dxa"/>
            <w:vAlign w:val="center"/>
            <w:textDirection w:val="lrTb"/>
            <w:noWrap w:val="false"/>
          </w:tcPr>
          <w:p>
            <w:pPr>
              <w:ind w:left="0" w:right="0" w:firstLine="0"/>
              <w:jc w:val="center"/>
              <w:keepNext/>
              <w:rPr>
                <w:rFonts w:hint="eastAsia" w:ascii="Times New Roman" w:hAnsi="宋体" w:eastAsia="宋体" w:cs="宋体"/>
                <w:color w:val="auto"/>
                <w:sz w:val="21"/>
                <w:szCs w:val="28"/>
                <w:highlight w:val="none"/>
              </w:rPr>
            </w:pPr>
            <w:r>
              <w:rPr>
                <w:rFonts w:hint="eastAsia" w:ascii="Times New Roman" w:eastAsia="宋体" w:cs="Times New Roman" w:hAnsiTheme="minorEastAsia"/>
                <w:color w:val="auto"/>
                <w:sz w:val="21"/>
                <w:szCs w:val="28"/>
              </w:rPr>
              <w:t xml:space="preserve">售后服务期限：1年。</w:t>
            </w:r>
            <w:r>
              <w:rPr>
                <w:rFonts w:hint="eastAsia" w:ascii="宋体" w:hAnsi="宋体" w:eastAsia="宋体" w:cs="Times New Roman"/>
                <w:i/>
                <w:iCs/>
                <w:color w:val="ff0000"/>
                <w:szCs w:val="28"/>
                <w:highlight w:val="none"/>
                <w:u w:val="single"/>
                <w:lang w:eastAsia="zh-CN"/>
              </w:rPr>
              <w:t xml:space="preserve">（</w:t>
            </w:r>
            <w:r>
              <w:rPr>
                <w:rFonts w:hint="eastAsia" w:ascii="宋体" w:hAnsi="宋体" w:eastAsia="宋体" w:cs="Times New Roman"/>
                <w:i/>
                <w:iCs/>
                <w:color w:val="ff0000"/>
                <w:szCs w:val="28"/>
                <w:highlight w:val="none"/>
                <w:u w:val="single"/>
                <w:lang w:val="en-US" w:eastAsia="zh-CN"/>
              </w:rPr>
              <w:t xml:space="preserve">提供承诺函加盖公章</w:t>
            </w:r>
            <w:r>
              <w:rPr>
                <w:rFonts w:hint="eastAsia" w:ascii="宋体" w:hAnsi="宋体" w:eastAsia="宋体" w:cs="Times New Roman"/>
                <w:i/>
                <w:iCs/>
                <w:color w:val="ff0000"/>
                <w:szCs w:val="28"/>
                <w:highlight w:val="none"/>
                <w:u w:val="single"/>
                <w:lang w:eastAsia="zh-CN"/>
              </w:rPr>
              <w:t xml:space="preserve">）</w:t>
            </w:r>
            <w:r/>
          </w:p>
        </w:tc>
        <w:tc>
          <w:tcPr>
            <w:tcW w:w="963" w:type="dxa"/>
            <w:vAlign w:val="center"/>
            <w:vMerge w:val="continue"/>
            <w:textDirection w:val="lrTb"/>
            <w:noWrap w:val="false"/>
          </w:tcPr>
          <w:p>
            <w:pPr>
              <w:ind w:left="0" w:right="0" w:firstLine="0"/>
              <w:jc w:val="left"/>
              <w:keepNext/>
              <w:rPr>
                <w:rFonts w:hint="default" w:ascii="Times New Roman" w:eastAsia="宋体"/>
                <w:color w:val="auto"/>
                <w:sz w:val="21"/>
                <w:highlight w:val="none"/>
                <w:lang w:val="en-US"/>
              </w:rPr>
            </w:pPr>
            <w:r>
              <w:rPr>
                <w:rFonts w:hint="default" w:ascii="Times New Roman" w:eastAsia="宋体"/>
                <w:color w:val="auto"/>
                <w:sz w:val="21"/>
                <w:highlight w:val="none"/>
                <w:lang w:val="en-US"/>
              </w:rPr>
            </w:r>
            <w:r/>
          </w:p>
        </w:tc>
      </w:tr>
      <w:tr>
        <w:trPr>
          <w:jc w:val="center"/>
          <w:trHeight w:val="0"/>
        </w:trPr>
        <w:tc>
          <w:tcPr>
            <w:shd w:val="clear" w:color="auto" w:fill="auto"/>
            <w:tcW w:w="0" w:type="auto"/>
            <w:vAlign w:val="center"/>
            <w:vMerge w:val="restart"/>
            <w:textDirection w:val="lrTb"/>
            <w:noWrap w:val="false"/>
          </w:tcPr>
          <w:p>
            <w:pPr>
              <w:ind w:left="0" w:right="0" w:firstLine="0"/>
              <w:jc w:val="center"/>
              <w:keepNext/>
              <w:rPr>
                <w:rFonts w:hint="eastAsia" w:ascii="Times New Roman" w:eastAsia="宋体" w:cs="Times New Roman" w:hAnsiTheme="minorEastAsia"/>
                <w:bCs/>
                <w:color w:val="000000" w:themeColor="text1"/>
                <w:sz w:val="21"/>
                <w:szCs w:val="28"/>
                <w14:textFill>
                  <w14:solidFill>
                    <w14:schemeClr w14:val="tx1"/>
                  </w14:solidFill>
                </w14:textFill>
              </w:rPr>
            </w:pPr>
            <w:r>
              <w:rPr>
                <w:rFonts w:hint="eastAsia" w:ascii="Times New Roman" w:eastAsia="宋体" w:cs="Times New Roman" w:hAnsiTheme="minorEastAsia"/>
                <w:b/>
                <w:bCs w:val="0"/>
                <w:color w:val="000000" w:themeColor="text1"/>
                <w:sz w:val="21"/>
                <w:szCs w:val="28"/>
                <w14:textFill>
                  <w14:solidFill>
                    <w14:schemeClr w14:val="tx1"/>
                  </w14:solidFill>
                </w14:textFill>
              </w:rPr>
              <w:t xml:space="preserve">全生物降解地膜</w:t>
            </w:r>
            <w:r>
              <w:rPr>
                <w:rFonts w:hint="eastAsia" w:ascii="Times New Roman" w:eastAsia="宋体"/>
                <w:sz w:val="21"/>
                <w:lang w:eastAsia="zh-CN"/>
              </w:rPr>
              <w:t xml:space="preserve"> </w:t>
            </w:r>
            <w:r/>
          </w:p>
          <w:p>
            <w:pPr>
              <w:jc w:val="center"/>
              <w:keepNext/>
              <w:rPr>
                <w:rFonts w:hint="eastAsia" w:ascii="Times New Roman" w:hAnsi="宋体" w:eastAsia="宋体" w:cs="宋体"/>
                <w:color w:val="auto"/>
                <w:sz w:val="21"/>
                <w:highlight w:val="none"/>
                <w:lang w:val="en-US" w:eastAsia="zh-CN"/>
              </w:rPr>
            </w:pPr>
            <w:r>
              <w:rPr>
                <w:rFonts w:hint="eastAsia" w:ascii="Times New Roman" w:eastAsia="宋体"/>
                <w:sz w:val="21"/>
                <w:lang w:val="en-US" w:eastAsia="zh-CN"/>
              </w:rPr>
              <w:t xml:space="preserve"> </w:t>
            </w:r>
            <w:r/>
          </w:p>
        </w:tc>
        <w:tc>
          <w:tcPr>
            <w:shd w:val="clear" w:color="auto" w:fill="auto"/>
            <w:tcW w:w="7371" w:type="dxa"/>
            <w:vAlign w:val="center"/>
            <w:textDirection w:val="lrTb"/>
            <w:noWrap w:val="false"/>
          </w:tcPr>
          <w:p>
            <w:pPr>
              <w:ind w:left="0" w:right="0" w:firstLine="0"/>
              <w:jc w:val="center"/>
              <w:keepNext/>
              <w:rPr>
                <w:rFonts w:hint="eastAsia" w:ascii="Times New Roman" w:eastAsia="宋体" w:cs="Times New Roman" w:hAnsiTheme="minorEastAsia"/>
                <w:bCs/>
                <w:color w:val="auto"/>
                <w:sz w:val="21"/>
                <w:szCs w:val="28"/>
                <w:lang w:val="en-US" w:eastAsia="zh-CN"/>
              </w:rPr>
            </w:pPr>
            <w:r>
              <w:rPr>
                <w:rFonts w:ascii="Times New Roman" w:eastAsia="宋体" w:hAnsiTheme="minorEastAsia" w:cstheme="majorBidi"/>
                <w:b/>
                <w:bCs/>
                <w:color w:val="000000"/>
                <w:sz w:val="21"/>
                <w:szCs w:val="28"/>
              </w:rPr>
              <w:t xml:space="preserve">执行标准</w:t>
            </w:r>
            <w:r>
              <w:rPr>
                <w:rFonts w:hint="eastAsia" w:ascii="Times New Roman" w:eastAsia="宋体" w:hAnsiTheme="minorEastAsia" w:cstheme="majorBidi"/>
                <w:b/>
                <w:bCs/>
                <w:color w:val="000000"/>
                <w:sz w:val="21"/>
                <w:szCs w:val="28"/>
                <w:lang w:eastAsia="zh-CN"/>
              </w:rPr>
              <w:t xml:space="preserve">：</w:t>
            </w:r>
            <w:r>
              <w:rPr>
                <w:rFonts w:hint="eastAsia" w:ascii="Times New Roman" w:eastAsia="宋体" w:cs="Times New Roman" w:hAnsiTheme="minorEastAsia"/>
                <w:bCs/>
                <w:color w:val="auto"/>
                <w:sz w:val="21"/>
                <w:szCs w:val="28"/>
                <w:highlight w:val="yellow"/>
              </w:rPr>
              <w:t xml:space="preserve">严格按照GB/T35795-2017国家标准要求生产、包装及运输，所有技术、质量指标完全符合GB/T35795-2017国家标准</w:t>
            </w:r>
            <w:r>
              <w:rPr>
                <w:rFonts w:hint="eastAsia" w:ascii="宋体" w:hAnsi="宋体" w:eastAsia="宋体" w:cs="Times New Roman"/>
                <w:bCs/>
                <w:i/>
                <w:iCs/>
                <w:color w:val="ff0000"/>
                <w:szCs w:val="28"/>
                <w:u w:val="single"/>
                <w:lang w:eastAsia="zh-CN"/>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宋体" w:hAnsi="宋体" w:eastAsia="宋体" w:cs="Times New Roman"/>
                <w:bCs/>
                <w:i/>
                <w:iCs/>
                <w:color w:val="ff0000"/>
                <w:szCs w:val="28"/>
                <w:u w:val="single"/>
                <w:lang w:eastAsia="zh-CN"/>
              </w:rPr>
              <w:t xml:space="preserve">）</w:t>
            </w:r>
            <w:r>
              <w:rPr>
                <w:rFonts w:hint="eastAsia" w:ascii="Times New Roman" w:eastAsia="宋体" w:cs="Times New Roman" w:hAnsiTheme="minorEastAsia"/>
                <w:bCs/>
                <w:color w:val="auto"/>
                <w:sz w:val="21"/>
                <w:szCs w:val="28"/>
                <w:highlight w:val="yellow"/>
              </w:rPr>
              <w:t xml:space="preserve">。投标企业提供符合国标的相关检测报告，严防把光降解地膜和热氧降解地膜冒充全生物降解地膜现象。</w:t>
            </w:r>
            <w:r/>
          </w:p>
        </w:tc>
        <w:tc>
          <w:tcPr>
            <w:shd w:val="clear" w:color="auto" w:fill="auto"/>
            <w:tcW w:w="963" w:type="dxa"/>
            <w:vAlign w:val="center"/>
            <w:vMerge w:val="restart"/>
            <w:textDirection w:val="lrTb"/>
            <w:noWrap w:val="false"/>
          </w:tcPr>
          <w:p>
            <w:pPr>
              <w:ind w:left="0" w:right="0" w:firstLine="0"/>
              <w:jc w:val="left"/>
              <w:keepLines w:val="0"/>
              <w:keepNext/>
              <w:widowControl/>
              <w:rPr>
                <w:rFonts w:hint="eastAsia" w:ascii="Times New Roman" w:eastAsia="宋体" w:cs="Arial"/>
                <w:color w:val="000000"/>
                <w:sz w:val="21"/>
                <w:szCs w:val="21"/>
                <w:lang w:val="en-US" w:eastAsia="zh-CN" w:bidi="ar-SA"/>
              </w:rPr>
              <w:suppressLineNumbers w:val="0"/>
            </w:pPr>
            <w:r>
              <w:rPr>
                <w:rFonts w:hint="eastAsia" w:ascii="Times New Roman" w:eastAsia="宋体" w:cs="Arial"/>
                <w:color w:val="000000"/>
                <w:sz w:val="21"/>
                <w:szCs w:val="21"/>
                <w:lang w:val="en-US" w:eastAsia="zh-CN" w:bidi="ar-SA"/>
              </w:rPr>
              <w:t xml:space="preserve">25000.00</w:t>
            </w:r>
            <w:r/>
          </w:p>
          <w:p>
            <w:pPr>
              <w:ind w:left="0" w:right="0" w:firstLine="0"/>
              <w:jc w:val="left"/>
              <w:keepLines w:val="0"/>
              <w:keepNext/>
              <w:widowControl/>
              <w:rPr>
                <w:rFonts w:hint="default" w:ascii="Times New Roman" w:eastAsia="宋体" w:cs="Arial"/>
                <w:color w:val="000000"/>
                <w:sz w:val="21"/>
                <w:szCs w:val="21"/>
                <w:lang w:val="en-US" w:eastAsia="zh-CN" w:bidi="ar-SA"/>
              </w:rPr>
              <w:suppressLineNumbers w:val="0"/>
            </w:pPr>
            <w:r>
              <w:rPr>
                <w:rFonts w:hint="eastAsia" w:ascii="宋体" w:hAnsi="宋体" w:eastAsia="宋体" w:cs="宋体"/>
                <w:bCs/>
                <w:color w:val="auto"/>
                <w:szCs w:val="21"/>
                <w:highlight w:val="none"/>
              </w:rPr>
              <w:t xml:space="preserve">投标报价高于限价(单价)的投价文件视为无效投价文件</w:t>
            </w:r>
            <w:r/>
          </w:p>
        </w:tc>
      </w:tr>
      <w:tr>
        <w:trPr>
          <w:jc w:val="center"/>
          <w:trHeight w:val="0"/>
        </w:trPr>
        <w:tc>
          <w:tcPr>
            <w:tcW w:w="0" w:type="auto"/>
            <w:vAlign w:val="center"/>
            <w:vMerge w:val="continue"/>
            <w:textDirection w:val="lrTb"/>
            <w:noWrap w:val="false"/>
          </w:tcPr>
          <w:p>
            <w:pPr>
              <w:ind w:left="0" w:right="0" w:firstLine="0"/>
              <w:jc w:val="center"/>
              <w:keepNext/>
              <w:rPr>
                <w:rFonts w:hint="eastAsia" w:ascii="Times New Roman" w:hAnsi="宋体" w:eastAsia="宋体" w:cs="宋体"/>
                <w:color w:val="auto"/>
                <w:sz w:val="21"/>
                <w:highlight w:val="none"/>
                <w:lang w:eastAsia="zh-CN"/>
              </w:rPr>
            </w:pPr>
            <w:r>
              <w:rPr>
                <w:rFonts w:hint="eastAsia" w:ascii="Times New Roman" w:hAnsi="宋体" w:eastAsia="宋体" w:cs="宋体"/>
                <w:color w:val="auto"/>
                <w:sz w:val="21"/>
                <w:highlight w:val="none"/>
                <w:lang w:eastAsia="zh-CN"/>
              </w:rPr>
            </w:r>
            <w:r/>
          </w:p>
        </w:tc>
        <w:tc>
          <w:tcPr>
            <w:tcW w:w="7371" w:type="dxa"/>
            <w:vAlign w:val="center"/>
            <w:textDirection w:val="lrTb"/>
            <w:noWrap w:val="false"/>
          </w:tcPr>
          <w:p>
            <w:pPr>
              <w:ind w:left="0" w:right="0" w:firstLine="0"/>
              <w:jc w:val="center"/>
              <w:keepNext/>
              <w:rPr>
                <w:rFonts w:hint="eastAsia" w:ascii="Times New Roman" w:hAnsi="宋体" w:eastAsia="宋体" w:cs="宋体"/>
                <w:color w:val="auto"/>
                <w:sz w:val="21"/>
                <w:highlight w:val="none"/>
                <w:lang w:eastAsia="zh-CN"/>
              </w:rPr>
            </w:pPr>
            <w:r>
              <w:rPr>
                <w:rFonts w:ascii="Times New Roman" w:eastAsia="宋体" w:hAnsiTheme="minorEastAsia" w:cstheme="majorBidi"/>
                <w:b/>
                <w:bCs/>
                <w:color w:val="000000"/>
                <w:sz w:val="21"/>
                <w:szCs w:val="28"/>
              </w:rPr>
              <w:t xml:space="preserve">主要原料</w:t>
            </w:r>
            <w:r>
              <w:rPr>
                <w:rFonts w:hint="eastAsia" w:ascii="Times New Roman" w:eastAsia="宋体" w:hAnsiTheme="minorEastAsia" w:cstheme="majorBidi"/>
                <w:b/>
                <w:bCs/>
                <w:color w:val="000000"/>
                <w:sz w:val="21"/>
                <w:szCs w:val="28"/>
                <w:lang w:eastAsia="zh-CN"/>
              </w:rPr>
              <w:t xml:space="preserve">：</w:t>
            </w:r>
            <w:r>
              <w:rPr>
                <w:rFonts w:hint="eastAsia" w:ascii="Times New Roman" w:eastAsia="宋体" w:hAnsiTheme="minorEastAsia" w:cstheme="majorBidi"/>
                <w:color w:val="000000"/>
                <w:sz w:val="21"/>
                <w:szCs w:val="28"/>
              </w:rPr>
              <w:t xml:space="preserve">主要成分为具有完全降解特性的脂肪族聚酯、脂肪族-芳香族共聚酯，不含有聚乙烯、聚丙烯等烯烃类原料。</w:t>
            </w:r>
            <w:r/>
          </w:p>
        </w:tc>
        <w:tc>
          <w:tcPr>
            <w:tcW w:w="963" w:type="dxa"/>
            <w:vAlign w:val="center"/>
            <w:vMerge w:val="continue"/>
            <w:textDirection w:val="lrTb"/>
            <w:noWrap w:val="false"/>
          </w:tcPr>
          <w:p>
            <w:pPr>
              <w:ind w:left="0" w:right="0" w:firstLine="0"/>
              <w:jc w:val="left"/>
              <w:keepLines w:val="0"/>
              <w:keepNext/>
              <w:widowControl/>
              <w:rPr>
                <w:rFonts w:ascii="Times New Roman" w:eastAsia="宋体"/>
                <w:color w:val="auto"/>
                <w:sz w:val="21"/>
                <w:highlight w:val="none"/>
              </w:rPr>
              <w:suppressLineNumbers w:val="0"/>
            </w:pPr>
            <w:r>
              <w:rPr>
                <w:rFonts w:ascii="Times New Roman" w:eastAsia="宋体"/>
                <w:color w:val="auto"/>
                <w:sz w:val="21"/>
                <w:highlight w:val="none"/>
              </w:rPr>
            </w:r>
            <w:r/>
          </w:p>
        </w:tc>
      </w:tr>
      <w:tr>
        <w:trPr>
          <w:jc w:val="center"/>
          <w:trHeight w:val="0"/>
        </w:trPr>
        <w:tc>
          <w:tcPr>
            <w:shd w:val="clear" w:color="auto" w:fill="auto"/>
            <w:tcW w:w="0" w:type="auto"/>
            <w:vAlign w:val="center"/>
            <w:vMerge w:val="continue"/>
            <w:textDirection w:val="lrTb"/>
            <w:noWrap w:val="false"/>
          </w:tcPr>
          <w:p>
            <w:pPr>
              <w:ind w:left="0" w:right="0" w:firstLine="0"/>
              <w:jc w:val="center"/>
              <w:keepNext/>
              <w:rPr>
                <w:rFonts w:hint="eastAsia" w:ascii="Times New Roman" w:hAnsi="宋体" w:eastAsia="宋体" w:cs="宋体"/>
                <w:color w:val="auto"/>
                <w:sz w:val="21"/>
                <w:szCs w:val="21"/>
                <w:highlight w:val="none"/>
                <w:lang w:val="en-US" w:eastAsia="zh-CN" w:bidi="ar-SA"/>
              </w:rPr>
            </w:pPr>
            <w:r>
              <w:rPr>
                <w:rFonts w:hint="eastAsia" w:ascii="Times New Roman" w:hAnsi="宋体" w:eastAsia="宋体" w:cs="宋体"/>
                <w:color w:val="auto"/>
                <w:sz w:val="21"/>
                <w:szCs w:val="21"/>
                <w:highlight w:val="none"/>
                <w:lang w:val="en-US" w:eastAsia="zh-CN" w:bidi="ar-SA"/>
              </w:rPr>
            </w:r>
            <w:r/>
          </w:p>
        </w:tc>
        <w:tc>
          <w:tcPr>
            <w:shd w:val="clear" w:color="auto" w:fill="auto"/>
            <w:tcW w:w="7371" w:type="dxa"/>
            <w:vAlign w:val="center"/>
            <w:textDirection w:val="lrTb"/>
            <w:noWrap w:val="false"/>
          </w:tcPr>
          <w:p>
            <w:pPr>
              <w:ind w:left="0" w:right="0" w:firstLine="0"/>
              <w:jc w:val="center"/>
              <w:keepNext/>
              <w:rPr>
                <w:rFonts w:hint="eastAsia" w:ascii="Times New Roman" w:hAnsi="宋体" w:eastAsia="宋体" w:cs="宋体"/>
                <w:color w:val="auto"/>
                <w:sz w:val="21"/>
                <w:szCs w:val="21"/>
                <w:highlight w:val="none"/>
                <w:lang w:val="en-US" w:eastAsia="zh-CN" w:bidi="ar-SA"/>
              </w:rPr>
            </w:pPr>
            <w:r>
              <w:rPr>
                <w:rFonts w:ascii="Times New Roman" w:eastAsia="宋体" w:hAnsiTheme="minorEastAsia" w:cstheme="majorBidi"/>
                <w:b/>
                <w:bCs/>
                <w:color w:val="000000"/>
                <w:sz w:val="21"/>
                <w:szCs w:val="28"/>
              </w:rPr>
              <w:t xml:space="preserve">有效</w:t>
            </w:r>
            <w:r>
              <w:rPr>
                <w:rFonts w:hint="eastAsia" w:ascii="Times New Roman" w:eastAsia="宋体" w:hAnsiTheme="minorEastAsia" w:cstheme="majorBidi"/>
                <w:b/>
                <w:bCs/>
                <w:color w:val="000000"/>
                <w:sz w:val="21"/>
                <w:szCs w:val="28"/>
                <w:lang w:val="en-US" w:eastAsia="zh-CN"/>
              </w:rPr>
              <w:t xml:space="preserve">使用</w:t>
            </w:r>
            <w:r>
              <w:rPr>
                <w:rFonts w:ascii="Times New Roman" w:eastAsia="宋体" w:hAnsiTheme="minorEastAsia" w:cstheme="majorBidi"/>
                <w:b/>
                <w:bCs/>
                <w:color w:val="000000"/>
                <w:sz w:val="21"/>
                <w:szCs w:val="28"/>
              </w:rPr>
              <w:t xml:space="preserve">时间</w:t>
            </w:r>
            <w:r>
              <w:rPr>
                <w:rFonts w:hint="eastAsia" w:ascii="Times New Roman" w:eastAsia="宋体" w:hAnsiTheme="minorEastAsia" w:cstheme="majorBidi"/>
                <w:b/>
                <w:bCs/>
                <w:color w:val="000000"/>
                <w:sz w:val="21"/>
                <w:szCs w:val="28"/>
                <w:lang w:eastAsia="zh-CN"/>
              </w:rPr>
              <w:t xml:space="preserve">：</w:t>
            </w:r>
            <w:r>
              <w:rPr>
                <w:rFonts w:hint="eastAsia" w:ascii="Times New Roman" w:eastAsia="宋体" w:cs="Times New Roman" w:hAnsiTheme="minorEastAsia"/>
                <w:color w:val="auto"/>
                <w:sz w:val="21"/>
                <w:szCs w:val="28"/>
              </w:rPr>
              <w:t xml:space="preserve">有效使用时间≥</w:t>
            </w:r>
            <w:r>
              <w:rPr>
                <w:rFonts w:hint="eastAsia" w:ascii="Times New Roman" w:eastAsia="宋体" w:cs="Times New Roman" w:hAnsiTheme="minorEastAsia"/>
                <w:color w:val="auto"/>
                <w:sz w:val="21"/>
                <w:szCs w:val="28"/>
                <w:lang w:val="en-US" w:eastAsia="zh-CN"/>
              </w:rPr>
              <w:t xml:space="preserve">90天</w:t>
            </w:r>
            <w:r/>
          </w:p>
        </w:tc>
        <w:tc>
          <w:tcPr>
            <w:shd w:val="clear" w:color="auto" w:fill="auto"/>
            <w:tcW w:w="963" w:type="dxa"/>
            <w:vAlign w:val="center"/>
            <w:vMerge w:val="continue"/>
            <w:textDirection w:val="lrTb"/>
            <w:noWrap w:val="false"/>
          </w:tcPr>
          <w:p>
            <w:pPr>
              <w:ind w:left="0" w:right="0" w:firstLine="0"/>
              <w:jc w:val="left"/>
              <w:keepLines w:val="0"/>
              <w:keepNext/>
              <w:widowControl/>
              <w:rPr>
                <w:rFonts w:hint="default" w:ascii="Times New Roman" w:hAnsi="Arial" w:eastAsia="宋体" w:cs="Arial"/>
                <w:color w:val="auto"/>
                <w:sz w:val="21"/>
                <w:szCs w:val="21"/>
                <w:highlight w:val="none"/>
                <w:lang w:val="en-US" w:eastAsia="en-US" w:bidi="ar-SA"/>
              </w:rPr>
              <w:suppressLineNumbers w:val="0"/>
            </w:pPr>
            <w:r>
              <w:rPr>
                <w:rFonts w:hint="default" w:ascii="Times New Roman" w:hAnsi="Arial" w:eastAsia="宋体" w:cs="Arial"/>
                <w:color w:val="auto"/>
                <w:sz w:val="21"/>
                <w:szCs w:val="21"/>
                <w:highlight w:val="none"/>
                <w:lang w:val="en-US" w:eastAsia="en-US" w:bidi="ar-SA"/>
              </w:rPr>
            </w:r>
            <w:r/>
          </w:p>
        </w:tc>
      </w:tr>
      <w:tr>
        <w:trPr>
          <w:jc w:val="center"/>
          <w:trHeight w:val="0"/>
        </w:trPr>
        <w:tc>
          <w:tcPr>
            <w:shd w:val="clear" w:color="auto" w:fill="auto"/>
            <w:tcW w:w="0" w:type="auto"/>
            <w:vAlign w:val="center"/>
            <w:vMerge w:val="continue"/>
            <w:textDirection w:val="lrTb"/>
            <w:noWrap w:val="false"/>
          </w:tcPr>
          <w:p>
            <w:pPr>
              <w:ind w:left="0" w:right="0" w:firstLine="0"/>
              <w:jc w:val="center"/>
              <w:keepNext/>
              <w:rPr>
                <w:rFonts w:hint="eastAsia" w:ascii="Times New Roman" w:hAnsi="宋体" w:eastAsia="宋体" w:cs="宋体"/>
                <w:color w:val="auto"/>
                <w:sz w:val="21"/>
                <w:szCs w:val="21"/>
                <w:highlight w:val="none"/>
                <w:lang w:val="en-US" w:eastAsia="zh-CN" w:bidi="ar-SA"/>
              </w:rPr>
            </w:pPr>
            <w:r>
              <w:rPr>
                <w:rFonts w:hint="eastAsia" w:ascii="Times New Roman" w:hAnsi="宋体" w:eastAsia="宋体" w:cs="宋体"/>
                <w:color w:val="auto"/>
                <w:sz w:val="21"/>
                <w:szCs w:val="21"/>
                <w:highlight w:val="none"/>
                <w:lang w:val="en-US" w:eastAsia="zh-CN" w:bidi="ar-SA"/>
              </w:rPr>
            </w:r>
            <w:r/>
          </w:p>
        </w:tc>
        <w:tc>
          <w:tcPr>
            <w:shd w:val="clear" w:color="auto" w:fill="auto"/>
            <w:tcW w:w="7371" w:type="dxa"/>
            <w:vAlign w:val="center"/>
            <w:textDirection w:val="lrTb"/>
            <w:noWrap w:val="false"/>
          </w:tcPr>
          <w:p>
            <w:pPr>
              <w:ind w:left="0" w:right="0" w:firstLine="0"/>
              <w:jc w:val="center"/>
              <w:keepNext/>
              <w:widowControl/>
              <w:rPr>
                <w:rFonts w:hint="default" w:ascii="Times New Roman" w:eastAsia="宋体" w:cs="Times New Roman" w:hAnsiTheme="minorEastAsia"/>
                <w:color w:val="auto"/>
                <w:sz w:val="21"/>
                <w:szCs w:val="28"/>
                <w:lang w:val="en-US" w:eastAsia="zh-CN"/>
              </w:rPr>
            </w:pPr>
            <w:r>
              <w:rPr>
                <w:rFonts w:ascii="Times New Roman" w:eastAsia="宋体" w:hAnsiTheme="minorEastAsia" w:cstheme="majorBidi"/>
                <w:b/>
                <w:bCs/>
                <w:color w:val="000000"/>
                <w:sz w:val="21"/>
                <w:szCs w:val="28"/>
              </w:rPr>
              <w:t xml:space="preserve">地膜规格</w:t>
            </w:r>
            <w:r>
              <w:rPr>
                <w:rFonts w:hint="eastAsia" w:ascii="Times New Roman" w:eastAsia="宋体" w:hAnsiTheme="minorEastAsia" w:cstheme="majorBidi"/>
                <w:b/>
                <w:bCs/>
                <w:color w:val="000000"/>
                <w:sz w:val="21"/>
                <w:szCs w:val="28"/>
                <w:lang w:eastAsia="zh-CN"/>
              </w:rPr>
              <w:t xml:space="preserve">：</w:t>
            </w:r>
            <w:r>
              <w:rPr>
                <w:rFonts w:hint="eastAsia" w:ascii="Times New Roman" w:eastAsia="宋体" w:hAnsiTheme="minorEastAsia" w:cstheme="majorBidi"/>
                <w:b/>
                <w:bCs/>
                <w:color w:val="000000"/>
                <w:sz w:val="21"/>
                <w:szCs w:val="28"/>
                <w:lang w:val="en-US" w:eastAsia="zh-CN"/>
              </w:rPr>
              <w:t xml:space="preserve">    </w:t>
            </w:r>
            <w:r>
              <w:rPr>
                <w:rFonts w:hint="eastAsia" w:ascii="Times New Roman" w:eastAsia="宋体" w:cs="Times New Roman" w:hAnsiTheme="minorEastAsia"/>
                <w:color w:val="auto"/>
                <w:sz w:val="21"/>
                <w:szCs w:val="28"/>
                <w:lang w:val="en-US" w:eastAsia="zh-CN"/>
              </w:rPr>
              <w:t xml:space="preserve">宽度：90~120 厘米(具体根据甲方实际需求）</w:t>
            </w:r>
            <w:r/>
          </w:p>
          <w:p>
            <w:pPr>
              <w:ind w:left="0" w:right="0" w:firstLine="0"/>
              <w:jc w:val="center"/>
              <w:keepNext/>
              <w:widowControl/>
              <w:rPr>
                <w:rFonts w:hint="default" w:ascii="Times New Roman" w:eastAsia="宋体" w:cs="Times New Roman" w:hAnsiTheme="minorEastAsia"/>
                <w:color w:val="auto"/>
                <w:sz w:val="21"/>
                <w:szCs w:val="28"/>
                <w:lang w:val="en-US" w:eastAsia="zh-CN"/>
              </w:rPr>
            </w:pPr>
            <w:r>
              <w:rPr>
                <w:rFonts w:hint="eastAsia" w:ascii="Times New Roman" w:eastAsia="宋体" w:cs="Times New Roman" w:hAnsiTheme="minorEastAsia"/>
                <w:color w:val="auto"/>
                <w:sz w:val="21"/>
                <w:szCs w:val="28"/>
              </w:rPr>
              <w:t xml:space="preserve">厚度:</w:t>
            </w:r>
            <w:r>
              <w:rPr>
                <w:rFonts w:hint="eastAsia" w:ascii="Times New Roman" w:eastAsia="宋体" w:cs="Times New Roman" w:hAnsiTheme="minorEastAsia"/>
                <w:color w:val="auto"/>
                <w:sz w:val="21"/>
                <w:szCs w:val="28"/>
                <w:lang w:val="en-US" w:eastAsia="zh-CN"/>
              </w:rPr>
              <w:t xml:space="preserve">0.01mm</w:t>
            </w:r>
            <w:r>
              <w:rPr>
                <w:rFonts w:hint="eastAsia" w:ascii="宋体" w:hAnsi="宋体" w:eastAsia="宋体" w:cs="Times New Roman"/>
                <w:bCs/>
                <w:i/>
                <w:iCs/>
                <w:color w:val="ff0000"/>
                <w:szCs w:val="28"/>
                <w:u w:val="single"/>
                <w:lang w:eastAsia="zh-CN"/>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宋体" w:hAnsi="宋体" w:eastAsia="宋体" w:cs="Times New Roman"/>
                <w:bCs/>
                <w:i/>
                <w:iCs/>
                <w:color w:val="ff0000"/>
                <w:szCs w:val="28"/>
                <w:u w:val="single"/>
                <w:lang w:eastAsia="zh-CN"/>
              </w:rPr>
              <w:t xml:space="preserve">）</w:t>
            </w:r>
            <w:r/>
          </w:p>
          <w:p>
            <w:pPr>
              <w:ind w:left="0" w:right="0" w:firstLine="0"/>
              <w:jc w:val="center"/>
              <w:keepNext/>
              <w:widowControl/>
              <w:rPr>
                <w:rFonts w:hint="default" w:ascii="Times New Roman" w:eastAsia="宋体" w:cs="Times New Roman" w:hAnsiTheme="minorEastAsia"/>
                <w:color w:val="auto"/>
                <w:sz w:val="21"/>
                <w:szCs w:val="28"/>
                <w:lang w:val="en-US" w:eastAsia="zh-CN"/>
              </w:rPr>
            </w:pPr>
            <w:r>
              <w:rPr>
                <w:rFonts w:hint="eastAsia" w:ascii="Times New Roman" w:eastAsia="宋体" w:cs="Times New Roman" w:hAnsiTheme="minorEastAsia"/>
                <w:color w:val="auto"/>
                <w:sz w:val="21"/>
                <w:szCs w:val="28"/>
                <w:lang w:val="en-US" w:eastAsia="zh-CN"/>
              </w:rPr>
              <w:t xml:space="preserve">每卷重量：10Kg/卷（自身净重，不含轴重、外包装等)</w:t>
            </w:r>
            <w:r/>
          </w:p>
          <w:p>
            <w:pPr>
              <w:ind w:left="0" w:right="0" w:firstLine="0"/>
              <w:jc w:val="center"/>
              <w:keepNext/>
              <w:rPr>
                <w:rFonts w:hint="eastAsia" w:ascii="Times New Roman" w:hAnsi="宋体" w:eastAsia="宋体" w:cs="宋体"/>
                <w:color w:val="auto"/>
                <w:sz w:val="21"/>
                <w:szCs w:val="21"/>
                <w:highlight w:val="none"/>
                <w:lang w:val="en-US" w:eastAsia="zh-CN" w:bidi="ar-SA"/>
              </w:rPr>
            </w:pPr>
            <w:r>
              <w:rPr>
                <w:rFonts w:hint="eastAsia" w:ascii="Times New Roman" w:eastAsia="宋体" w:cs="Times New Roman" w:hAnsiTheme="minorEastAsia"/>
                <w:color w:val="auto"/>
                <w:sz w:val="21"/>
                <w:szCs w:val="28"/>
                <w:lang w:val="en-US" w:eastAsia="zh-CN"/>
              </w:rPr>
              <w:t xml:space="preserve">颜色：黑色</w:t>
            </w:r>
            <w:r/>
          </w:p>
        </w:tc>
        <w:tc>
          <w:tcPr>
            <w:shd w:val="clear" w:color="auto" w:fill="auto"/>
            <w:tcW w:w="963" w:type="dxa"/>
            <w:vAlign w:val="center"/>
            <w:vMerge w:val="continue"/>
            <w:textDirection w:val="lrTb"/>
            <w:noWrap w:val="false"/>
          </w:tcPr>
          <w:p>
            <w:pPr>
              <w:ind w:left="0" w:right="0" w:firstLine="0"/>
              <w:jc w:val="left"/>
              <w:keepLines w:val="0"/>
              <w:keepNext/>
              <w:widowControl/>
              <w:rPr>
                <w:rFonts w:hint="default" w:ascii="Times New Roman" w:hAnsi="Arial" w:eastAsia="宋体" w:cs="Arial"/>
                <w:color w:val="auto"/>
                <w:sz w:val="21"/>
                <w:szCs w:val="21"/>
                <w:highlight w:val="none"/>
                <w:lang w:val="en-US" w:eastAsia="en-US" w:bidi="ar-SA"/>
              </w:rPr>
              <w:suppressLineNumbers w:val="0"/>
            </w:pPr>
            <w:r>
              <w:rPr>
                <w:rFonts w:hint="default" w:ascii="Times New Roman" w:hAnsi="Arial" w:eastAsia="宋体" w:cs="Arial"/>
                <w:color w:val="auto"/>
                <w:sz w:val="21"/>
                <w:szCs w:val="21"/>
                <w:highlight w:val="none"/>
                <w:lang w:val="en-US" w:eastAsia="en-US" w:bidi="ar-SA"/>
              </w:rPr>
            </w:r>
            <w:r/>
          </w:p>
        </w:tc>
      </w:tr>
      <w:tr>
        <w:trPr>
          <w:jc w:val="center"/>
          <w:trHeight w:val="0"/>
        </w:trPr>
        <w:tc>
          <w:tcPr>
            <w:tcW w:w="0" w:type="auto"/>
            <w:vAlign w:val="center"/>
            <w:vMerge w:val="continue"/>
            <w:textDirection w:val="lrTb"/>
            <w:noWrap w:val="false"/>
          </w:tcPr>
          <w:p>
            <w:pPr>
              <w:ind w:left="0" w:right="0" w:firstLine="0"/>
              <w:jc w:val="center"/>
              <w:keepNext/>
              <w:rPr>
                <w:rFonts w:hint="eastAsia" w:ascii="Times New Roman" w:hAnsi="宋体" w:eastAsia="宋体" w:cs="宋体"/>
                <w:color w:val="auto"/>
                <w:sz w:val="21"/>
                <w:highlight w:val="none"/>
                <w:lang w:val="en-US" w:eastAsia="zh-CN"/>
              </w:rPr>
            </w:pPr>
            <w:r>
              <w:rPr>
                <w:rFonts w:hint="eastAsia" w:ascii="Times New Roman" w:hAnsi="宋体" w:eastAsia="宋体" w:cs="宋体"/>
                <w:color w:val="auto"/>
                <w:sz w:val="21"/>
                <w:highlight w:val="none"/>
                <w:lang w:val="en-US" w:eastAsia="zh-CN"/>
              </w:rPr>
            </w:r>
            <w:r/>
          </w:p>
        </w:tc>
        <w:tc>
          <w:tcPr>
            <w:tcW w:w="7371" w:type="dxa"/>
            <w:vAlign w:val="center"/>
            <w:textDirection w:val="lrTb"/>
            <w:noWrap w:val="false"/>
          </w:tcPr>
          <w:p>
            <w:pPr>
              <w:ind w:right="42"/>
              <w:jc w:val="left"/>
              <w:widowControl/>
              <w:rPr>
                <w:rFonts w:hint="default" w:ascii="宋体" w:hAnsi="宋体" w:eastAsia="宋体" w:cs="Times New Roman"/>
                <w:i/>
                <w:iCs/>
                <w:color w:val="ff0000"/>
                <w:szCs w:val="28"/>
                <w:u w:val="single"/>
              </w:rPr>
            </w:pPr>
            <w:r>
              <w:rPr>
                <w:rFonts w:ascii="Times New Roman" w:eastAsia="宋体" w:hAnsiTheme="minorEastAsia" w:cstheme="majorBidi"/>
                <w:b/>
                <w:bCs/>
                <w:color w:val="000000"/>
                <w:sz w:val="21"/>
                <w:szCs w:val="28"/>
              </w:rPr>
              <w:t xml:space="preserve">技术指标</w:t>
            </w:r>
            <w:r>
              <w:rPr>
                <w:rFonts w:hint="eastAsia" w:ascii="Times New Roman" w:eastAsia="宋体" w:hAnsiTheme="minorEastAsia" w:cstheme="majorBidi"/>
                <w:b/>
                <w:bCs/>
                <w:color w:val="000000"/>
                <w:sz w:val="21"/>
                <w:szCs w:val="28"/>
                <w:lang w:eastAsia="zh-CN"/>
              </w:rPr>
              <w:t xml:space="preserve">：</w:t>
            </w:r>
            <w:r>
              <w:rPr>
                <w:rFonts w:hint="eastAsia" w:ascii="宋体" w:hAnsi="宋体" w:eastAsia="宋体" w:cs="Times New Roman"/>
                <w:i/>
                <w:iCs/>
                <w:color w:val="ff0000"/>
                <w:szCs w:val="28"/>
                <w:u w:val="single"/>
              </w:rPr>
              <w:t xml:space="preserve">1.水蒸气透过</w:t>
            </w:r>
            <w:r>
              <w:rPr>
                <w:rFonts w:hint="eastAsia" w:ascii="宋体" w:hAnsi="宋体" w:eastAsia="宋体" w:cs="Times New Roman"/>
                <w:i/>
                <w:iCs/>
                <w:color w:val="ff0000"/>
                <w:szCs w:val="28"/>
                <w:u w:val="single"/>
                <w:lang w:val="en-US" w:eastAsia="zh-CN"/>
              </w:rPr>
              <w:t xml:space="preserve">量</w:t>
            </w:r>
            <w:r>
              <w:rPr>
                <w:rFonts w:hint="eastAsia" w:ascii="宋体" w:hAnsi="宋体" w:eastAsia="宋体" w:cs="Times New Roman"/>
                <w:i/>
                <w:iCs/>
                <w:color w:val="ff0000"/>
                <w:szCs w:val="28"/>
                <w:u w:val="single"/>
              </w:rPr>
              <w:t xml:space="preserve">应</w:t>
            </w:r>
            <w:r>
              <w:rPr>
                <w:rFonts w:hint="eastAsia" w:ascii="宋体" w:hAnsi="宋体" w:eastAsia="宋体" w:cs="宋体"/>
                <w:i/>
                <w:iCs/>
                <w:color w:val="0000ff"/>
                <w:szCs w:val="28"/>
                <w:u w:val="single"/>
              </w:rPr>
              <w:t xml:space="preserve">≤</w:t>
            </w:r>
            <w:r>
              <w:rPr>
                <w:rFonts w:hint="eastAsia" w:ascii="宋体" w:hAnsi="宋体" w:eastAsia="宋体" w:cs="Times New Roman"/>
                <w:i/>
                <w:iCs/>
                <w:color w:val="0000ff"/>
                <w:szCs w:val="28"/>
                <w:highlight w:val="green"/>
                <w:u w:val="single"/>
                <w:lang w:val="en-US" w:eastAsia="zh-CN"/>
              </w:rPr>
              <w:t xml:space="preserve">3</w:t>
            </w:r>
            <w:r>
              <w:rPr>
                <w:rFonts w:hint="eastAsia" w:ascii="宋体" w:hAnsi="宋体" w:eastAsia="宋体" w:cs="Times New Roman"/>
                <w:i/>
                <w:iCs/>
                <w:color w:val="0000ff"/>
                <w:szCs w:val="28"/>
                <w:highlight w:val="green"/>
                <w:u w:val="single"/>
              </w:rPr>
              <w:t xml:space="preserve">00g</w:t>
            </w:r>
            <w:r>
              <w:rPr>
                <w:rFonts w:hint="eastAsia" w:ascii="宋体" w:hAnsi="宋体" w:eastAsia="宋体" w:cs="Times New Roman"/>
                <w:i/>
                <w:iCs/>
                <w:color w:val="ff0000"/>
                <w:szCs w:val="28"/>
                <w:u w:val="single"/>
              </w:rPr>
              <w:t xml:space="preserve">/（m</w:t>
            </w:r>
            <w:r>
              <w:rPr>
                <w:rFonts w:hint="eastAsia" w:ascii="宋体" w:hAnsi="宋体" w:eastAsia="宋体" w:cs="Times New Roman"/>
                <w:i/>
                <w:iCs/>
                <w:color w:val="ff0000"/>
                <w:szCs w:val="28"/>
                <w:u w:val="single"/>
                <w:vertAlign w:val="superscript"/>
              </w:rPr>
              <w:t xml:space="preserve">2 </w:t>
            </w:r>
            <w:r>
              <w:rPr>
                <w:rFonts w:hint="eastAsia" w:ascii="宋体" w:hAnsi="宋体" w:eastAsia="宋体" w:cs="Times New Roman"/>
                <w:i/>
                <w:iCs/>
                <w:color w:val="ff0000"/>
                <w:szCs w:val="28"/>
                <w:u w:val="single"/>
              </w:rPr>
              <w:t xml:space="preserve">·24h）；</w:t>
            </w:r>
            <w:r>
              <w:rPr>
                <w:rFonts w:hint="eastAsia" w:ascii="宋体" w:hAnsi="宋体" w:eastAsia="宋体" w:cs="Times New Roman"/>
                <w:bCs/>
                <w:i/>
                <w:iCs/>
                <w:color w:val="ff0000"/>
                <w:szCs w:val="28"/>
                <w:u w:val="single"/>
                <w:lang w:eastAsia="zh-CN"/>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宋体" w:hAnsi="宋体" w:eastAsia="宋体" w:cs="Times New Roman"/>
                <w:bCs/>
                <w:i/>
                <w:iCs/>
                <w:color w:val="ff0000"/>
                <w:szCs w:val="28"/>
                <w:u w:val="single"/>
                <w:lang w:eastAsia="zh-CN"/>
              </w:rPr>
              <w:t xml:space="preserve">）</w:t>
            </w:r>
            <w:r/>
          </w:p>
          <w:p>
            <w:pPr>
              <w:ind w:left="42" w:right="42" w:firstLine="976"/>
              <w:jc w:val="left"/>
              <w:widowControl/>
              <w:rPr>
                <w:rFonts w:hint="default" w:ascii="宋体" w:hAnsi="宋体" w:eastAsia="宋体" w:cs="Times New Roman"/>
                <w:i/>
                <w:iCs/>
                <w:color w:val="ff0000"/>
                <w:szCs w:val="28"/>
                <w:u w:val="single"/>
              </w:rPr>
            </w:pPr>
            <w:r>
              <w:rPr>
                <w:rFonts w:hint="eastAsia" w:ascii="宋体" w:hAnsi="宋体" w:eastAsia="宋体" w:cs="Times New Roman"/>
                <w:i/>
                <w:iCs/>
                <w:color w:val="ff0000"/>
                <w:szCs w:val="28"/>
                <w:u w:val="single"/>
              </w:rPr>
              <w:t xml:space="preserve">2.有机成分≥51%；相对生物分解率≥90%；</w:t>
            </w:r>
            <w:r>
              <w:rPr>
                <w:rFonts w:hint="eastAsia" w:ascii="宋体" w:hAnsi="宋体" w:eastAsia="宋体" w:cs="Times New Roman"/>
                <w:bCs/>
                <w:i/>
                <w:iCs/>
                <w:color w:val="ff0000"/>
                <w:szCs w:val="28"/>
                <w:u w:val="single"/>
                <w:lang w:eastAsia="zh-CN"/>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宋体" w:hAnsi="宋体" w:eastAsia="宋体" w:cs="Times New Roman"/>
                <w:bCs/>
                <w:i/>
                <w:iCs/>
                <w:color w:val="ff0000"/>
                <w:szCs w:val="28"/>
                <w:u w:val="single"/>
                <w:lang w:eastAsia="zh-CN"/>
              </w:rPr>
              <w:t xml:space="preserve">）</w:t>
            </w:r>
            <w:r/>
          </w:p>
          <w:p>
            <w:pPr>
              <w:ind w:left="42" w:right="42" w:firstLine="976"/>
              <w:jc w:val="left"/>
              <w:widowControl/>
              <w:rPr>
                <w:rFonts w:hint="default" w:ascii="宋体" w:hAnsi="宋体" w:eastAsia="宋体" w:cs="Times New Roman"/>
                <w:b/>
                <w:i/>
                <w:iCs/>
                <w:color w:val="ff0000"/>
                <w:szCs w:val="28"/>
                <w:u w:val="single"/>
                <w:lang w:val="en-US" w:eastAsia="zh-CN"/>
              </w:rPr>
            </w:pPr>
            <w:r>
              <w:rPr>
                <w:rFonts w:hint="eastAsia" w:ascii="宋体" w:hAnsi="宋体" w:eastAsia="宋体" w:cs="Times New Roman"/>
                <w:i/>
                <w:iCs/>
                <w:color w:val="ff0000"/>
                <w:szCs w:val="28"/>
                <w:u w:val="single"/>
              </w:rPr>
              <w:t xml:space="preserve">3.拉伸负荷（纵、横向）≥</w:t>
            </w:r>
            <w:r>
              <w:rPr>
                <w:rFonts w:hint="eastAsia" w:ascii="宋体" w:hAnsi="宋体" w:eastAsia="宋体" w:cs="Times New Roman"/>
                <w:i/>
                <w:iCs/>
                <w:color w:val="ff0000"/>
                <w:szCs w:val="28"/>
                <w:u w:val="single"/>
                <w:lang w:val="en-US" w:eastAsia="zh-CN"/>
              </w:rPr>
              <w:t xml:space="preserve"> 2.0 N；</w:t>
            </w:r>
            <w:r>
              <w:rPr>
                <w:rFonts w:hint="eastAsia" w:ascii="宋体" w:hAnsi="宋体" w:eastAsia="宋体" w:cs="Times New Roman"/>
                <w:bCs/>
                <w:i/>
                <w:iCs/>
                <w:color w:val="ff0000"/>
                <w:szCs w:val="28"/>
                <w:u w:val="single"/>
                <w:lang w:eastAsia="zh-CN"/>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宋体" w:hAnsi="宋体" w:eastAsia="宋体" w:cs="Times New Roman"/>
                <w:bCs/>
                <w:i/>
                <w:iCs/>
                <w:color w:val="ff0000"/>
                <w:szCs w:val="28"/>
                <w:u w:val="single"/>
                <w:lang w:eastAsia="zh-CN"/>
              </w:rPr>
              <w:t xml:space="preserve">）</w:t>
            </w:r>
            <w:r/>
          </w:p>
          <w:p>
            <w:pPr>
              <w:ind w:left="42" w:right="42" w:firstLine="976"/>
              <w:jc w:val="left"/>
              <w:widowControl/>
              <w:rPr>
                <w:rFonts w:hint="eastAsia" w:ascii="宋体" w:hAnsi="宋体" w:eastAsia="宋体" w:cs="Times New Roman"/>
                <w:i/>
                <w:iCs/>
                <w:color w:val="ff0000"/>
                <w:szCs w:val="28"/>
                <w:u w:val="single"/>
              </w:rPr>
            </w:pPr>
            <w:r>
              <w:rPr>
                <w:rFonts w:hint="eastAsia" w:ascii="宋体" w:hAnsi="宋体" w:eastAsia="宋体" w:cs="Times New Roman"/>
                <w:i/>
                <w:iCs/>
                <w:color w:val="ff0000"/>
                <w:szCs w:val="28"/>
                <w:u w:val="single"/>
              </w:rPr>
              <w:t xml:space="preserve">4.断裂标称应变（纵向）≥</w:t>
            </w:r>
            <w:r>
              <w:rPr>
                <w:rFonts w:hint="eastAsia" w:ascii="宋体" w:hAnsi="宋体" w:eastAsia="宋体" w:cs="Times New Roman"/>
                <w:i/>
                <w:iCs/>
                <w:color w:val="ff0000"/>
                <w:szCs w:val="28"/>
                <w:u w:val="single"/>
                <w:lang w:val="en-US" w:eastAsia="zh-CN"/>
              </w:rPr>
              <w:t xml:space="preserve"> 150 </w:t>
            </w:r>
            <w:r>
              <w:rPr>
                <w:rFonts w:hint="eastAsia" w:ascii="宋体" w:hAnsi="宋体" w:eastAsia="宋体" w:cs="Times New Roman"/>
                <w:i/>
                <w:iCs/>
                <w:color w:val="ff0000"/>
                <w:szCs w:val="28"/>
                <w:u w:val="single"/>
              </w:rPr>
              <w:t xml:space="preserve">%；</w:t>
            </w:r>
            <w:r>
              <w:rPr>
                <w:rFonts w:hint="eastAsia" w:ascii="宋体" w:hAnsi="宋体" w:eastAsia="宋体" w:cs="Times New Roman"/>
                <w:bCs/>
                <w:i/>
                <w:iCs/>
                <w:color w:val="ff0000"/>
                <w:szCs w:val="28"/>
                <w:u w:val="single"/>
                <w:lang w:eastAsia="zh-CN"/>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宋体" w:hAnsi="宋体" w:eastAsia="宋体" w:cs="Times New Roman"/>
                <w:bCs/>
                <w:i/>
                <w:iCs/>
                <w:color w:val="ff0000"/>
                <w:szCs w:val="28"/>
                <w:u w:val="single"/>
                <w:lang w:eastAsia="zh-CN"/>
              </w:rPr>
              <w:t xml:space="preserve">）</w:t>
            </w:r>
            <w:r/>
          </w:p>
          <w:p>
            <w:pPr>
              <w:ind w:left="42" w:right="42" w:firstLine="976"/>
              <w:jc w:val="left"/>
              <w:widowControl/>
              <w:rPr>
                <w:rFonts w:hint="default" w:ascii="宋体" w:hAnsi="宋体" w:eastAsia="宋体" w:cs="Times New Roman"/>
                <w:i/>
                <w:iCs/>
                <w:color w:val="ff0000"/>
                <w:szCs w:val="28"/>
                <w:u w:val="single"/>
              </w:rPr>
            </w:pPr>
            <w:r>
              <w:rPr>
                <w:rFonts w:hint="eastAsia" w:ascii="宋体" w:hAnsi="宋体" w:eastAsia="宋体" w:cs="Times New Roman"/>
                <w:i/>
                <w:iCs/>
                <w:color w:val="ff0000"/>
                <w:szCs w:val="28"/>
                <w:u w:val="single"/>
              </w:rPr>
              <w:t xml:space="preserve">5.断裂标称应变（横向）≥</w:t>
            </w:r>
            <w:r>
              <w:rPr>
                <w:rFonts w:hint="eastAsia" w:ascii="宋体" w:hAnsi="宋体" w:eastAsia="宋体" w:cs="Times New Roman"/>
                <w:i/>
                <w:iCs/>
                <w:color w:val="ff0000"/>
                <w:szCs w:val="28"/>
                <w:u w:val="single"/>
                <w:lang w:val="en-US" w:eastAsia="zh-CN"/>
              </w:rPr>
              <w:t xml:space="preserve"> 250 </w:t>
            </w:r>
            <w:r>
              <w:rPr>
                <w:rFonts w:hint="eastAsia" w:ascii="宋体" w:hAnsi="宋体" w:eastAsia="宋体" w:cs="Times New Roman"/>
                <w:i/>
                <w:iCs/>
                <w:color w:val="ff0000"/>
                <w:szCs w:val="28"/>
                <w:u w:val="single"/>
              </w:rPr>
              <w:t xml:space="preserve">%；</w:t>
            </w:r>
            <w:r>
              <w:rPr>
                <w:rFonts w:hint="eastAsia" w:ascii="宋体" w:hAnsi="宋体" w:eastAsia="宋体" w:cs="Times New Roman"/>
                <w:bCs/>
                <w:i/>
                <w:iCs/>
                <w:color w:val="ff0000"/>
                <w:szCs w:val="28"/>
                <w:u w:val="single"/>
                <w:lang w:eastAsia="zh-CN"/>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宋体" w:hAnsi="宋体" w:eastAsia="宋体" w:cs="Times New Roman"/>
                <w:bCs/>
                <w:i/>
                <w:iCs/>
                <w:color w:val="ff0000"/>
                <w:szCs w:val="28"/>
                <w:u w:val="single"/>
                <w:lang w:eastAsia="zh-CN"/>
              </w:rPr>
              <w:t xml:space="preserve">）</w:t>
            </w:r>
            <w:r/>
          </w:p>
          <w:p>
            <w:pPr>
              <w:ind w:firstLine="1050"/>
              <w:jc w:val="left"/>
              <w:rPr>
                <w:rFonts w:hint="eastAsia" w:ascii="宋体" w:hAnsi="宋体" w:eastAsia="宋体" w:cs="Times New Roman"/>
                <w:bCs/>
                <w:i/>
                <w:iCs/>
                <w:color w:val="ff0000"/>
                <w:szCs w:val="28"/>
                <w:u w:val="single"/>
                <w:lang w:eastAsia="zh-CN"/>
              </w:rPr>
            </w:pPr>
            <w:r>
              <w:rPr>
                <w:rFonts w:hint="eastAsia" w:ascii="宋体" w:hAnsi="宋体" w:eastAsia="宋体" w:cs="Times New Roman"/>
                <w:i/>
                <w:iCs/>
                <w:color w:val="ff0000"/>
                <w:szCs w:val="28"/>
                <w:u w:val="single"/>
              </w:rPr>
              <w:t xml:space="preserve">6.直角撕裂负荷（纵、横向）≥</w:t>
            </w:r>
            <w:r>
              <w:rPr>
                <w:rFonts w:hint="eastAsia" w:ascii="宋体" w:hAnsi="宋体" w:eastAsia="宋体" w:cs="Times New Roman"/>
                <w:i/>
                <w:iCs/>
                <w:color w:val="ff0000"/>
                <w:szCs w:val="28"/>
                <w:u w:val="single"/>
                <w:lang w:val="en-US" w:eastAsia="zh-CN"/>
              </w:rPr>
              <w:t xml:space="preserve"> 0.8 </w:t>
            </w:r>
            <w:r>
              <w:rPr>
                <w:rFonts w:hint="eastAsia" w:ascii="宋体" w:hAnsi="宋体" w:eastAsia="宋体" w:cs="Times New Roman"/>
                <w:i/>
                <w:iCs/>
                <w:color w:val="ff0000"/>
                <w:szCs w:val="28"/>
                <w:u w:val="single"/>
              </w:rPr>
              <w:t xml:space="preserve">N；</w:t>
            </w:r>
            <w:r>
              <w:rPr>
                <w:rFonts w:hint="eastAsia" w:ascii="宋体" w:hAnsi="宋体" w:eastAsia="宋体" w:cs="Times New Roman"/>
                <w:bCs/>
                <w:i/>
                <w:iCs/>
                <w:color w:val="ff0000"/>
                <w:szCs w:val="28"/>
                <w:u w:val="single"/>
                <w:lang w:eastAsia="zh-CN"/>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宋体" w:hAnsi="宋体" w:eastAsia="宋体" w:cs="Times New Roman"/>
                <w:bCs/>
                <w:i/>
                <w:iCs/>
                <w:color w:val="ff0000"/>
                <w:szCs w:val="28"/>
                <w:u w:val="single"/>
                <w:lang w:eastAsia="zh-CN"/>
              </w:rPr>
              <w:t xml:space="preserve">）</w:t>
            </w:r>
            <w:r/>
          </w:p>
          <w:p>
            <w:pPr>
              <w:ind w:left="0" w:right="0" w:firstLine="0"/>
              <w:jc w:val="center"/>
              <w:keepNext/>
              <w:rPr>
                <w:rFonts w:hint="eastAsia" w:ascii="Times New Roman" w:hAnsi="宋体" w:eastAsia="宋体" w:cs="宋体"/>
                <w:color w:val="auto"/>
                <w:sz w:val="21"/>
                <w:highlight w:val="none"/>
                <w:lang w:val="en-US" w:eastAsia="zh-CN"/>
              </w:rPr>
            </w:pPr>
            <w:r>
              <w:rPr>
                <w:rFonts w:hint="eastAsia" w:ascii="宋体" w:hAnsi="宋体" w:eastAsia="宋体" w:cs="Times New Roman"/>
                <w:bCs/>
                <w:i/>
                <w:iCs/>
                <w:color w:val="ff0000"/>
                <w:szCs w:val="28"/>
                <w:highlight w:val="green"/>
                <w:u w:val="single"/>
                <w:lang w:val="en-US" w:eastAsia="zh-CN"/>
              </w:rPr>
              <w:t xml:space="preserve">7、成品总灰分应不超过 3%</w:t>
            </w:r>
            <w:r>
              <w:rPr>
                <w:rFonts w:hint="eastAsia" w:ascii="宋体" w:hAnsi="宋体" w:eastAsia="宋体" w:cs="Times New Roman"/>
                <w:i/>
                <w:iCs/>
                <w:color w:val="ff0000"/>
                <w:szCs w:val="28"/>
                <w:highlight w:val="green"/>
                <w:u w:val="single"/>
              </w:rPr>
              <w:t xml:space="preserve">；</w:t>
            </w:r>
            <w:r>
              <w:rPr>
                <w:rFonts w:hint="eastAsia" w:ascii="宋体" w:hAnsi="宋体" w:eastAsia="宋体" w:cs="Times New Roman"/>
                <w:bCs/>
                <w:i/>
                <w:iCs/>
                <w:color w:val="ff0000"/>
                <w:szCs w:val="28"/>
                <w:highlight w:val="green"/>
                <w:u w:val="single"/>
                <w:lang w:eastAsia="zh-CN"/>
              </w:rPr>
              <w:t xml:space="preserve">（</w:t>
            </w:r>
            <w:r>
              <w:rPr>
                <w:rFonts w:hint="eastAsia" w:ascii="宋体" w:hAnsi="宋体" w:eastAsia="宋体" w:cs="宋体"/>
                <w:b/>
                <w:bCs/>
                <w:i/>
                <w:iCs/>
                <w:color w:val="ff0000"/>
                <w:szCs w:val="21"/>
                <w:highlight w:val="green"/>
                <w:u w:val="single"/>
                <w:lang w:val="en-US" w:eastAsia="zh-CN"/>
              </w:rPr>
              <w:t xml:space="preserve">需提供</w:t>
            </w:r>
            <w:r>
              <w:rPr>
                <w:rFonts w:hint="eastAsia" w:ascii="宋体" w:hAnsi="宋体" w:eastAsia="宋体" w:cs="宋体"/>
                <w:b/>
                <w:bCs/>
                <w:i/>
                <w:iCs/>
                <w:color w:val="ff0000"/>
                <w:szCs w:val="21"/>
                <w:highlight w:val="green"/>
                <w:u w:val="single"/>
              </w:rPr>
              <w:t xml:space="preserve">证明材料</w:t>
            </w:r>
            <w:r>
              <w:rPr>
                <w:rFonts w:hint="eastAsia" w:ascii="宋体" w:hAnsi="宋体" w:eastAsia="宋体" w:cs="Times New Roman"/>
                <w:bCs/>
                <w:i/>
                <w:iCs/>
                <w:color w:val="ff0000"/>
                <w:szCs w:val="28"/>
                <w:highlight w:val="green"/>
                <w:u w:val="single"/>
                <w:lang w:eastAsia="zh-CN"/>
              </w:rPr>
              <w:t xml:space="preserve">）</w:t>
            </w:r>
            <w:r/>
          </w:p>
        </w:tc>
        <w:tc>
          <w:tcPr>
            <w:tcW w:w="963" w:type="dxa"/>
            <w:vAlign w:val="center"/>
            <w:vMerge w:val="continue"/>
            <w:textDirection w:val="lrTb"/>
            <w:noWrap w:val="false"/>
          </w:tcPr>
          <w:p>
            <w:pPr>
              <w:ind w:left="0" w:right="0" w:firstLine="0"/>
              <w:jc w:val="left"/>
              <w:keepNext/>
              <w:rPr>
                <w:rFonts w:hint="default" w:ascii="Times New Roman" w:eastAsia="宋体"/>
                <w:color w:val="auto"/>
                <w:sz w:val="21"/>
                <w:highlight w:val="none"/>
                <w:lang w:val="en-US"/>
              </w:rPr>
            </w:pPr>
            <w:r>
              <w:rPr>
                <w:rFonts w:hint="default" w:ascii="Times New Roman" w:eastAsia="宋体"/>
                <w:color w:val="auto"/>
                <w:sz w:val="21"/>
                <w:highlight w:val="none"/>
                <w:lang w:val="en-US"/>
              </w:rPr>
            </w:r>
            <w:r/>
          </w:p>
        </w:tc>
      </w:tr>
      <w:tr>
        <w:trPr>
          <w:jc w:val="center"/>
          <w:trHeight w:val="0"/>
        </w:trPr>
        <w:tc>
          <w:tcPr>
            <w:tcW w:w="1628" w:type="dxa"/>
            <w:vAlign w:val="center"/>
            <w:vMerge w:val="continue"/>
            <w:textDirection w:val="lrTb"/>
            <w:noWrap w:val="false"/>
          </w:tcPr>
          <w:p>
            <w:pPr>
              <w:ind w:left="0" w:right="0" w:firstLine="0"/>
              <w:jc w:val="center"/>
              <w:keepNext/>
              <w:rPr>
                <w:rFonts w:hint="eastAsia" w:ascii="Times New Roman" w:hAnsi="宋体" w:eastAsia="宋体" w:cs="宋体"/>
                <w:color w:val="auto"/>
                <w:sz w:val="21"/>
                <w:highlight w:val="none"/>
                <w:lang w:val="en-US" w:eastAsia="zh-CN"/>
              </w:rPr>
            </w:pPr>
            <w:r>
              <w:rPr>
                <w:rFonts w:hint="eastAsia" w:ascii="Times New Roman" w:hAnsi="宋体" w:eastAsia="宋体" w:cs="宋体"/>
                <w:color w:val="auto"/>
                <w:sz w:val="21"/>
                <w:highlight w:val="none"/>
                <w:lang w:val="en-US" w:eastAsia="zh-CN"/>
              </w:rPr>
            </w:r>
            <w:r/>
          </w:p>
        </w:tc>
        <w:tc>
          <w:tcPr>
            <w:tcW w:w="7371" w:type="dxa"/>
            <w:vAlign w:val="center"/>
            <w:textDirection w:val="lrTb"/>
            <w:noWrap w:val="false"/>
          </w:tcPr>
          <w:p>
            <w:pPr>
              <w:ind w:left="0" w:right="0" w:firstLine="0"/>
              <w:jc w:val="center"/>
              <w:keepNext/>
              <w:rPr>
                <w:rFonts w:hint="eastAsia" w:ascii="Times New Roman" w:hAnsi="宋体" w:eastAsia="宋体" w:cs="宋体"/>
                <w:color w:val="auto"/>
                <w:sz w:val="21"/>
                <w:szCs w:val="28"/>
                <w:highlight w:val="none"/>
              </w:rPr>
            </w:pPr>
            <w:r>
              <w:rPr>
                <w:rFonts w:hint="eastAsia" w:ascii="Times New Roman" w:eastAsia="宋体" w:cs="Times New Roman" w:hAnsiTheme="minorEastAsia"/>
                <w:color w:val="auto"/>
                <w:sz w:val="21"/>
                <w:szCs w:val="28"/>
              </w:rPr>
              <w:t xml:space="preserve">售后服务期限：1年。</w:t>
            </w:r>
            <w:r>
              <w:rPr>
                <w:rFonts w:hint="eastAsia" w:ascii="宋体" w:hAnsi="宋体" w:eastAsia="宋体" w:cs="Times New Roman"/>
                <w:i/>
                <w:iCs/>
                <w:color w:val="ff0000"/>
                <w:szCs w:val="28"/>
                <w:highlight w:val="none"/>
                <w:u w:val="single"/>
                <w:lang w:eastAsia="zh-CN"/>
              </w:rPr>
              <w:t xml:space="preserve">（</w:t>
            </w:r>
            <w:r>
              <w:rPr>
                <w:rFonts w:hint="eastAsia" w:ascii="宋体" w:hAnsi="宋体" w:eastAsia="宋体" w:cs="Times New Roman"/>
                <w:i/>
                <w:iCs/>
                <w:color w:val="ff0000"/>
                <w:szCs w:val="28"/>
                <w:highlight w:val="none"/>
                <w:u w:val="single"/>
                <w:lang w:val="en-US" w:eastAsia="zh-CN"/>
              </w:rPr>
              <w:t xml:space="preserve">提供承诺函加盖公章</w:t>
            </w:r>
            <w:r>
              <w:rPr>
                <w:rFonts w:hint="eastAsia" w:ascii="宋体" w:hAnsi="宋体" w:eastAsia="宋体" w:cs="Times New Roman"/>
                <w:i/>
                <w:iCs/>
                <w:color w:val="ff0000"/>
                <w:szCs w:val="28"/>
                <w:highlight w:val="none"/>
                <w:u w:val="single"/>
                <w:lang w:eastAsia="zh-CN"/>
              </w:rPr>
              <w:t xml:space="preserve">）</w:t>
            </w:r>
            <w:r/>
          </w:p>
        </w:tc>
        <w:tc>
          <w:tcPr>
            <w:tcW w:w="963" w:type="dxa"/>
            <w:vAlign w:val="center"/>
            <w:vMerge w:val="continue"/>
            <w:textDirection w:val="lrTb"/>
            <w:noWrap w:val="false"/>
          </w:tcPr>
          <w:p>
            <w:pPr>
              <w:ind w:left="0" w:right="0" w:firstLine="0"/>
              <w:jc w:val="left"/>
              <w:keepNext/>
              <w:rPr>
                <w:rFonts w:hint="default" w:ascii="Times New Roman" w:eastAsia="宋体"/>
                <w:color w:val="auto"/>
                <w:sz w:val="21"/>
                <w:highlight w:val="none"/>
                <w:lang w:val="en-US"/>
              </w:rPr>
            </w:pPr>
            <w:r>
              <w:rPr>
                <w:rFonts w:hint="default" w:ascii="Times New Roman" w:eastAsia="宋体"/>
                <w:color w:val="auto"/>
                <w:sz w:val="21"/>
                <w:highlight w:val="none"/>
                <w:lang w:val="en-US"/>
              </w:rPr>
            </w:r>
            <w:r/>
          </w:p>
        </w:tc>
      </w:tr>
    </w:tbl>
    <w:p>
      <w:pPr>
        <w:ind w:firstLine="420"/>
        <w:jc w:val="left"/>
        <w:keepLines/>
        <w:keepNext/>
        <w:spacing w:line="360" w:lineRule="auto"/>
        <w:rPr>
          <w:rFonts w:hint="eastAsia" w:ascii="宋体" w:hAnsi="宋体"/>
          <w:b/>
          <w:bCs/>
          <w:sz w:val="24"/>
          <w:szCs w:val="21"/>
          <w:lang w:val="en-US" w:eastAsia="zh-CN"/>
        </w:rPr>
        <w:outlineLvl w:val="1"/>
      </w:pPr>
      <w:r>
        <w:rPr>
          <w:rFonts w:hint="eastAsia" w:ascii="宋体" w:hAnsi="宋体" w:eastAsia="宋体" w:cs="宋体"/>
          <w:b/>
          <w:bCs/>
          <w:i/>
          <w:iCs/>
          <w:color w:val="ff0000"/>
          <w:szCs w:val="21"/>
          <w:highlight w:val="none"/>
          <w:u w:val="single"/>
        </w:rPr>
        <w:t xml:space="preserve">说明：</w:t>
      </w:r>
      <w:r>
        <w:rPr>
          <w:rFonts w:hint="eastAsia" w:ascii="宋体" w:hAnsi="宋体" w:eastAsia="宋体" w:cs="宋体"/>
          <w:i/>
          <w:iCs/>
          <w:color w:val="ff0000"/>
          <w:sz w:val="24"/>
          <w:szCs w:val="20"/>
          <w:highlight w:val="none"/>
          <w:u w:val="single"/>
          <w:lang w:val="en-US" w:eastAsia="zh-CN" w:bidi="ar-SA"/>
        </w:rPr>
        <w:t xml:space="preserve">★</w:t>
      </w:r>
      <w:r>
        <w:rPr>
          <w:rFonts w:hint="eastAsia" w:ascii="宋体" w:hAnsi="宋体" w:eastAsia="宋体" w:cs="宋体"/>
          <w:b/>
          <w:bCs/>
          <w:i/>
          <w:iCs/>
          <w:color w:val="ff0000"/>
          <w:szCs w:val="21"/>
          <w:highlight w:val="none"/>
          <w:u w:val="single"/>
          <w:lang w:val="en-US" w:eastAsia="zh-CN"/>
        </w:rPr>
        <w:t xml:space="preserve">需提供</w:t>
      </w:r>
      <w:r>
        <w:rPr>
          <w:rFonts w:hint="eastAsia" w:ascii="宋体" w:hAnsi="宋体" w:eastAsia="宋体" w:cs="宋体"/>
          <w:b/>
          <w:bCs/>
          <w:i/>
          <w:iCs/>
          <w:color w:val="ff0000"/>
          <w:szCs w:val="21"/>
          <w:highlight w:val="none"/>
          <w:u w:val="single"/>
        </w:rPr>
        <w:t xml:space="preserve">证明材料</w:t>
      </w:r>
      <w:r>
        <w:rPr>
          <w:rFonts w:hint="eastAsia" w:ascii="宋体" w:hAnsi="宋体" w:eastAsia="宋体" w:cs="宋体"/>
          <w:b/>
          <w:bCs/>
          <w:i/>
          <w:iCs/>
          <w:color w:val="ff0000"/>
          <w:szCs w:val="21"/>
          <w:highlight w:val="none"/>
          <w:u w:val="single"/>
          <w:lang w:eastAsia="zh-CN"/>
        </w:rPr>
        <w:t xml:space="preserve">，</w:t>
      </w:r>
      <w:r>
        <w:rPr>
          <w:rFonts w:hint="eastAsia" w:ascii="宋体" w:hAnsi="宋体" w:eastAsia="宋体" w:cs="宋体"/>
          <w:b/>
          <w:bCs/>
          <w:i/>
          <w:iCs/>
          <w:color w:val="ff0000"/>
          <w:szCs w:val="21"/>
          <w:highlight w:val="none"/>
          <w:u w:val="single"/>
        </w:rPr>
        <w:t xml:space="preserve">可以使用生产厂家官方网站截图或产品白皮书或第三方机构检验报告或其他权威机构出具的证明材料。经评委审核证明材料有效，视为满足；未提供有效证明材料或证明材料中内容与所填报指标不一致的，该指标按不满足处理。</w:t>
      </w:r>
      <w:r/>
    </w:p>
    <w:p>
      <w:pPr>
        <w:spacing w:line="0" w:lineRule="atLeast"/>
        <w:rPr>
          <w:rFonts w:hint="eastAsia" w:ascii="宋体" w:hAnsi="宋体"/>
          <w:b/>
          <w:bCs/>
          <w:sz w:val="24"/>
          <w:szCs w:val="21"/>
          <w:lang w:val="en-US" w:eastAsia="zh-CN"/>
        </w:rPr>
      </w:pPr>
      <w:r>
        <w:rPr>
          <w:rFonts w:hint="eastAsia" w:ascii="宋体" w:hAnsi="宋体"/>
          <w:b/>
          <w:bCs/>
          <w:sz w:val="24"/>
          <w:szCs w:val="21"/>
          <w:lang w:val="en-US" w:eastAsia="zh-CN"/>
        </w:rPr>
        <w:t xml:space="preserve">采购包1：</w:t>
      </w:r>
      <w:r/>
    </w:p>
    <w:p>
      <w:pPr>
        <w:ind w:firstLine="420"/>
        <w:spacing w:line="360" w:lineRule="auto"/>
        <w:rPr>
          <w:rFonts w:hint="eastAsia" w:ascii="宋体" w:hAnsi="宋体" w:eastAsia="宋体" w:cs="宋体"/>
          <w:color w:val="auto"/>
          <w:szCs w:val="21"/>
          <w:highlight w:val="none"/>
        </w:rPr>
      </w:pPr>
      <w:r/>
      <w:bookmarkStart w:id="78" w:name="OLE_LINK42"/>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、包装运输要求：</w:t>
      </w:r>
      <w:r/>
    </w:p>
    <w:p>
      <w:pPr>
        <w:ind w:firstLine="240"/>
        <w:spacing w:line="360" w:lineRule="auto"/>
        <w:rPr>
          <w:rFonts w:hint="eastAsia" w:ascii="宋体" w:hAnsi="宋体" w:eastAsia="宋体" w:cs="宋体"/>
          <w:color w:val="auto"/>
          <w:szCs w:val="21"/>
          <w:highlight w:val="none"/>
        </w:rPr>
      </w:pPr>
      <w:r/>
      <w:bookmarkStart w:id="79" w:name="OLE_LINK43"/>
      <w:r>
        <w:rPr>
          <w:rFonts w:hint="eastAsia" w:ascii="宋体" w:hAnsi="宋体" w:eastAsia="宋体" w:cs="宋体"/>
          <w:color w:val="auto"/>
          <w:szCs w:val="21"/>
          <w:highlight w:val="none"/>
        </w:rPr>
        <w:t xml:space="preserve">（1）投标人须提供经合法渠道进货的全新、未使用过的原装合格正品，符合国家质量检测标准，并完全符合采购需求规定的质量和性能的要求，产品内外包装完好。若所供产品经质量检测机构检测认定质量不合格、发生知识产权纠纷或其他法律纠纷等情况，造成的损失和后果由投标人负全责。</w:t>
      </w:r>
      <w:bookmarkEnd w:id="79"/>
      <w:r/>
      <w:r/>
    </w:p>
    <w:p>
      <w:pPr>
        <w:ind w:firstLine="240"/>
        <w:spacing w:line="360" w:lineRule="auto"/>
        <w:rPr>
          <w:rFonts w:hint="eastAsia" w:ascii="宋体" w:hAnsi="宋体" w:eastAsia="宋体" w:cs="宋体"/>
          <w:color w:val="auto"/>
          <w:szCs w:val="21"/>
          <w:highlight w:val="none"/>
        </w:rPr>
      </w:pPr>
      <w:r/>
      <w:bookmarkStart w:id="80" w:name="OLE_LINK44"/>
      <w:r>
        <w:rPr>
          <w:rFonts w:hint="eastAsia" w:ascii="宋体" w:hAnsi="宋体" w:eastAsia="宋体" w:cs="宋体"/>
          <w:color w:val="auto"/>
          <w:szCs w:val="21"/>
          <w:highlight w:val="none"/>
        </w:rPr>
        <w:t xml:space="preserve">（2）投标人应按合同中规定的时间和地点、采购人提供的交货明细清单中地膜规格和数量的要求直接运输至采购人指定地点交付货物</w:t>
      </w:r>
      <w:r>
        <w:rPr>
          <w:rFonts w:hint="eastAsia" w:ascii="宋体" w:hAnsi="宋体" w:cs="宋体"/>
          <w:color w:val="auto"/>
          <w:szCs w:val="21"/>
          <w:highlight w:val="none"/>
          <w:lang w:eastAsia="zh-CN"/>
        </w:rPr>
        <w:t xml:space="preserve">，</w:t>
      </w:r>
      <w:r>
        <w:rPr>
          <w:rFonts w:hint="eastAsia" w:ascii="宋体" w:hAnsi="宋体" w:cs="宋体"/>
          <w:color w:val="ff0000"/>
          <w:szCs w:val="21"/>
          <w:highlight w:val="none"/>
          <w:lang w:val="en-US" w:eastAsia="zh-CN"/>
        </w:rPr>
        <w:t xml:space="preserve">并负责装卸</w:t>
      </w:r>
      <w:r>
        <w:rPr>
          <w:rFonts w:hint="eastAsia" w:ascii="宋体" w:hAnsi="宋体" w:eastAsia="宋体" w:cs="宋体"/>
          <w:color w:val="auto"/>
          <w:szCs w:val="21"/>
          <w:highlight w:val="none"/>
        </w:rPr>
        <w:t xml:space="preserve">。送货地点分散，数量规格较多，投标人需配备专业的运输车辆及熟悉投标产品的相关配送货的人员。</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（3）投标人在本项目实施过程中，达到安全无事故。若造成任何安全事故等不良后果，由投标人负责。在项目实施过程中涉及的有关矛盾由投标人自主解决，采购人负责协调。</w:t>
      </w:r>
      <w:bookmarkEnd w:id="78"/>
      <w:r/>
      <w:bookmarkEnd w:id="80"/>
      <w:r/>
      <w:r/>
    </w:p>
    <w:p>
      <w:pPr>
        <w:ind w:firstLine="24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、质保及售后服务要求： </w:t>
      </w:r>
      <w:r/>
    </w:p>
    <w:p>
      <w:pPr>
        <w:ind w:firstLine="240"/>
        <w:spacing w:line="360" w:lineRule="auto"/>
        <w:rPr>
          <w:rFonts w:hint="eastAsia" w:ascii="宋体" w:hAnsi="宋体" w:eastAsia="宋体" w:cs="宋体"/>
          <w:color w:val="auto"/>
          <w:szCs w:val="21"/>
          <w:highlight w:val="none"/>
        </w:rPr>
      </w:pPr>
      <w:r/>
      <w:bookmarkStart w:id="81" w:name="OLE_LINK45"/>
      <w:r>
        <w:rPr>
          <w:rFonts w:hint="eastAsia" w:ascii="宋体" w:hAnsi="宋体" w:eastAsia="宋体" w:cs="宋体"/>
          <w:color w:val="auto"/>
          <w:szCs w:val="21"/>
          <w:highlight w:val="none"/>
        </w:rPr>
        <w:t xml:space="preserve">（1）质保期：产品验收合格使用之日起1年。在质保期内该产品出现任何质量问题（人为除外），中标人须无条件更换，由此产生的所有费用由投标人承担。</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（2）投标人提供24小时售后服务，并提供专门负责人联系电话。投标人在接到电话后，2小时内响应，48小时以内到达现场处理，由此产生的所有费用由投标人承担。</w:t>
      </w:r>
      <w:bookmarkEnd w:id="81"/>
      <w:r>
        <w:rPr>
          <w:rFonts w:hint="eastAsia" w:ascii="宋体" w:hAnsi="宋体" w:eastAsia="宋体" w:cs="宋体"/>
          <w:color w:val="auto"/>
          <w:szCs w:val="21"/>
          <w:highlight w:val="none"/>
        </w:rPr>
        <w:t xml:space="preserve"> </w:t>
      </w:r>
      <w:r/>
    </w:p>
    <w:p>
      <w:pPr>
        <w:ind w:firstLine="240"/>
        <w:spacing w:line="360" w:lineRule="auto"/>
        <w:rPr>
          <w:rFonts w:hint="eastAsia" w:ascii="宋体" w:hAnsi="宋体" w:eastAsia="宋体" w:cs="宋体"/>
          <w:color w:val="auto"/>
          <w:szCs w:val="21"/>
          <w:highlight w:val="none"/>
        </w:rPr>
      </w:pPr>
      <w:r/>
      <w:bookmarkStart w:id="82" w:name="OLE_LINK46"/>
      <w:r>
        <w:rPr>
          <w:rFonts w:hint="eastAsia" w:ascii="宋体" w:hAnsi="宋体" w:eastAsia="宋体" w:cs="宋体"/>
          <w:color w:val="auto"/>
          <w:szCs w:val="21"/>
          <w:highlight w:val="none"/>
        </w:rPr>
        <w:t xml:space="preserve">（3）在产品使用期间，投标人应提供专业的培训服务，并免费提供关于详尽的培训材料，指导农户的使用培训不少于2次（每次不少于2小时）。一般技术培训不得限制人数。</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（4）投标人应保证，如能中标，采购人在使用中标货物时，免受第三方提出的侵犯其专利权、商标权或工业设计权的起诉。</w:t>
      </w:r>
      <w:bookmarkEnd w:id="82"/>
      <w:r/>
      <w:r/>
    </w:p>
    <w:p>
      <w:pPr>
        <w:ind w:firstLine="240"/>
        <w:spacing w:line="360" w:lineRule="auto"/>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 xml:space="preserve">（</w:t>
      </w:r>
      <w:r>
        <w:rPr>
          <w:rFonts w:hint="eastAsia" w:ascii="宋体" w:hAnsi="宋体" w:cs="宋体"/>
          <w:color w:val="auto"/>
          <w:szCs w:val="21"/>
          <w:highlight w:val="yellow"/>
          <w:lang w:val="en-US" w:eastAsia="zh-CN"/>
        </w:rPr>
        <w:t xml:space="preserve">5</w:t>
      </w:r>
      <w:r>
        <w:rPr>
          <w:rFonts w:hint="eastAsia" w:ascii="宋体" w:hAnsi="宋体" w:eastAsia="宋体" w:cs="宋体"/>
          <w:color w:val="auto"/>
          <w:szCs w:val="21"/>
          <w:highlight w:val="yellow"/>
        </w:rPr>
        <w:t xml:space="preserve">）中标后所供应的产品进行抽检，检测费用由中标单位支付，如发现不符合，可中止合同。</w:t>
      </w:r>
      <w:r/>
    </w:p>
    <w:p>
      <w:pPr>
        <w:ind w:firstLine="240"/>
        <w:spacing w:line="360" w:lineRule="auto"/>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 xml:space="preserve">（</w:t>
      </w:r>
      <w:r>
        <w:rPr>
          <w:rFonts w:hint="eastAsia" w:ascii="宋体" w:hAnsi="宋体" w:cs="宋体"/>
          <w:color w:val="auto"/>
          <w:szCs w:val="21"/>
          <w:highlight w:val="yellow"/>
          <w:lang w:val="en-US" w:eastAsia="zh-CN"/>
        </w:rPr>
        <w:t xml:space="preserve">6</w:t>
      </w:r>
      <w:r>
        <w:rPr>
          <w:rFonts w:hint="eastAsia" w:ascii="宋体" w:hAnsi="宋体" w:eastAsia="宋体" w:cs="宋体"/>
          <w:color w:val="auto"/>
          <w:szCs w:val="21"/>
          <w:highlight w:val="yellow"/>
        </w:rPr>
        <w:t xml:space="preserve">）签订合同前应要求中标企业签署《产品质量责任保证书》。</w:t>
      </w:r>
      <w:r/>
    </w:p>
    <w:p>
      <w:pPr>
        <w:ind w:firstLine="240"/>
        <w:spacing w:line="360" w:lineRule="auto"/>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 xml:space="preserve">（</w:t>
      </w:r>
      <w:r>
        <w:rPr>
          <w:rFonts w:hint="eastAsia" w:ascii="宋体" w:hAnsi="宋体" w:cs="宋体"/>
          <w:color w:val="auto"/>
          <w:szCs w:val="21"/>
          <w:highlight w:val="yellow"/>
          <w:lang w:val="en-US" w:eastAsia="zh-CN"/>
        </w:rPr>
        <w:t xml:space="preserve">7</w:t>
      </w:r>
      <w:r>
        <w:rPr>
          <w:rFonts w:hint="eastAsia" w:ascii="宋体" w:hAnsi="宋体" w:eastAsia="宋体" w:cs="宋体"/>
          <w:color w:val="auto"/>
          <w:szCs w:val="21"/>
          <w:highlight w:val="yellow"/>
        </w:rPr>
        <w:t xml:space="preserve">）每吨</w:t>
      </w:r>
      <w:r>
        <w:rPr>
          <w:rFonts w:hint="eastAsia" w:ascii="宋体" w:hAnsi="宋体" w:cs="宋体"/>
          <w:color w:val="auto"/>
          <w:szCs w:val="21"/>
          <w:highlight w:val="yellow"/>
          <w:lang w:val="en-US" w:eastAsia="zh-CN"/>
        </w:rPr>
        <w:t xml:space="preserve">须</w:t>
      </w:r>
      <w:r>
        <w:rPr>
          <w:rFonts w:hint="eastAsia" w:ascii="宋体" w:hAnsi="宋体" w:eastAsia="宋体" w:cs="宋体"/>
          <w:color w:val="auto"/>
          <w:szCs w:val="21"/>
          <w:highlight w:val="yellow"/>
        </w:rPr>
        <w:t xml:space="preserve">配套地膜</w:t>
      </w:r>
      <w:r>
        <w:rPr>
          <w:rFonts w:hint="eastAsia" w:ascii="宋体" w:hAnsi="宋体" w:cs="宋体"/>
          <w:color w:val="auto"/>
          <w:szCs w:val="21"/>
          <w:highlight w:val="yellow"/>
          <w:lang w:val="en-US" w:eastAsia="zh-CN"/>
        </w:rPr>
        <w:t xml:space="preserve">科学</w:t>
      </w:r>
      <w:r>
        <w:rPr>
          <w:rFonts w:hint="eastAsia" w:ascii="宋体" w:hAnsi="宋体" w:eastAsia="宋体" w:cs="宋体"/>
          <w:color w:val="auto"/>
          <w:szCs w:val="21"/>
          <w:highlight w:val="yellow"/>
        </w:rPr>
        <w:t xml:space="preserve">使用回收</w:t>
      </w:r>
      <w:r>
        <w:rPr>
          <w:rFonts w:hint="eastAsia" w:ascii="宋体" w:hAnsi="宋体" w:cs="宋体"/>
          <w:color w:val="auto"/>
          <w:szCs w:val="21"/>
          <w:highlight w:val="yellow"/>
          <w:lang w:val="en-US" w:eastAsia="zh-CN"/>
        </w:rPr>
        <w:t xml:space="preserve">等公益性</w:t>
      </w:r>
      <w:r>
        <w:rPr>
          <w:rFonts w:hint="eastAsia" w:ascii="宋体" w:hAnsi="宋体" w:eastAsia="宋体" w:cs="宋体"/>
          <w:color w:val="auto"/>
          <w:szCs w:val="21"/>
          <w:highlight w:val="yellow"/>
        </w:rPr>
        <w:t xml:space="preserve">宣传材料</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如扑克牌，茶杯，宣传彩页等</w:t>
      </w:r>
      <w:r>
        <w:rPr>
          <w:rFonts w:hint="eastAsia" w:ascii="宋体" w:hAnsi="宋体" w:cs="宋体"/>
          <w:color w:val="ff0000"/>
          <w:szCs w:val="21"/>
          <w:highlight w:val="yellow"/>
          <w:lang w:eastAsia="zh-CN"/>
        </w:rPr>
        <w:t xml:space="preserve">）</w:t>
      </w:r>
      <w:r>
        <w:rPr>
          <w:rFonts w:hint="eastAsia" w:ascii="宋体" w:hAnsi="宋体" w:eastAsia="宋体" w:cs="宋体"/>
          <w:color w:val="auto"/>
          <w:szCs w:val="21"/>
          <w:highlight w:val="yellow"/>
        </w:rPr>
        <w:t xml:space="preserve">。</w:t>
      </w:r>
      <w:r/>
    </w:p>
    <w:p>
      <w:pPr>
        <w:ind w:firstLine="24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、验收要求：</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（1）投标人必须按照采购人指定地点交付货物，并全程安排专人负责，直到本次项目验收结束。验收所需的工具、仪器及辅助材料由投标人自行解决。</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按合同要求配合采购人对全部货物的型号、规格、数量、外形、包装及资料、文件（如合格证、装箱单、质保单、随箱介质等）进行验收；验收时各镇（区、街道）项目对接负责人必须在现场，并进行书面签收确认。</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（3）当初验时出现不符合招标文件和合同要求的严重质量问题时，采购人保留索赔及退货权利。</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（4）当出现货物损坏、数量不全、规格不符等问题时，由投标人负责解决。</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（5）货物验收通过后，由采购人开具到货验收单，一式三份，采购人、各镇（区、街道）项目对接负责人、投标人各执一份。</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在产品使用过程中，采购人可根据实际使用农户反馈的情况对产品质量进行抽检，投标人、采购人双方共同协商指定一家权威机构进行检测，投标人承担所有检测费用。如检测结果不符合国家标准要求，则由投标人和农户协商赔偿事宜。</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（7）验收情况作为支付货款的依据。</w:t>
      </w:r>
      <w:r/>
    </w:p>
    <w:p>
      <w:pPr>
        <w:spacing w:line="0" w:lineRule="atLeast"/>
        <w:rPr>
          <w:rFonts w:hint="eastAsia" w:ascii="宋体" w:hAnsi="宋体"/>
          <w:b/>
          <w:bCs/>
          <w:sz w:val="24"/>
          <w:szCs w:val="21"/>
          <w:lang w:val="en-US" w:eastAsia="zh-CN"/>
        </w:rPr>
      </w:pPr>
      <w:r>
        <w:rPr>
          <w:rFonts w:hint="eastAsia" w:ascii="宋体" w:hAnsi="宋体"/>
          <w:b/>
          <w:bCs/>
          <w:sz w:val="24"/>
          <w:szCs w:val="21"/>
          <w:lang w:val="en-US" w:eastAsia="zh-CN"/>
        </w:rPr>
        <w:t xml:space="preserve">采购包2：</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、包装运输要求：</w:t>
      </w:r>
      <w:r/>
    </w:p>
    <w:p>
      <w:pPr>
        <w:ind w:firstLine="420"/>
        <w:jc w:val="left"/>
        <w:keepLines/>
        <w:keepNext/>
        <w:spacing w:line="360" w:lineRule="auto"/>
        <w:rPr>
          <w:rFonts w:hint="default" w:ascii="宋体" w:hAnsi="宋体" w:eastAsia="宋体" w:cs="宋体"/>
          <w:b/>
          <w:bCs/>
          <w:i w:val="0"/>
          <w:iCs w:val="0"/>
          <w:color w:val="auto"/>
          <w:szCs w:val="21"/>
          <w:highlight w:val="green"/>
          <w:u w:val="none"/>
          <w:lang w:val="en-US" w:eastAsia="zh-CN"/>
        </w:rPr>
        <w:outlineLvl w:val="1"/>
      </w:pPr>
      <w:r>
        <w:rPr>
          <w:rFonts w:hint="eastAsia" w:ascii="宋体" w:hAnsi="宋体" w:eastAsia="宋体" w:cs="宋体"/>
          <w:color w:val="auto"/>
          <w:szCs w:val="21"/>
          <w:highlight w:val="none"/>
        </w:rPr>
        <w:t xml:space="preserve">（1）</w:t>
      </w:r>
      <w:r>
        <w:rPr>
          <w:rFonts w:hint="eastAsia" w:ascii="宋体" w:hAnsi="宋体" w:eastAsia="宋体" w:cs="宋体"/>
          <w:b/>
          <w:bCs/>
          <w:i w:val="0"/>
          <w:iCs w:val="0"/>
          <w:color w:val="auto"/>
          <w:szCs w:val="21"/>
          <w:highlight w:val="green"/>
          <w:u w:val="none"/>
          <w:lang w:val="en-US" w:eastAsia="zh-CN"/>
        </w:rPr>
        <w:t xml:space="preserve">中标单位需根据采购人提供的作物种类、茬口模式、生产方式等提供不同种类的全生物降解地膜。</w:t>
      </w:r>
      <w:r>
        <w:rPr>
          <w:rFonts w:hint="eastAsia" w:ascii="宋体" w:hAnsi="宋体" w:cs="宋体"/>
          <w:b/>
          <w:bCs/>
          <w:i w:val="0"/>
          <w:iCs w:val="0"/>
          <w:color w:val="auto"/>
          <w:szCs w:val="21"/>
          <w:highlight w:val="green"/>
          <w:u w:val="none"/>
          <w:lang w:val="en-US" w:eastAsia="zh-CN"/>
        </w:rPr>
        <w:t xml:space="preserve">且需要在赣榆区内协助500亩左右的水稻</w:t>
      </w:r>
      <w:r>
        <w:rPr>
          <w:rFonts w:hint="eastAsia" w:ascii="宋体" w:hAnsi="宋体" w:eastAsia="宋体" w:cs="宋体"/>
          <w:b/>
          <w:bCs/>
          <w:i w:val="0"/>
          <w:iCs w:val="0"/>
          <w:color w:val="auto"/>
          <w:szCs w:val="21"/>
          <w:highlight w:val="green"/>
          <w:u w:val="none"/>
          <w:lang w:val="en-US" w:eastAsia="zh-CN"/>
        </w:rPr>
        <w:t xml:space="preserve">全生物降解地膜</w:t>
      </w:r>
      <w:r>
        <w:rPr>
          <w:rFonts w:hint="eastAsia" w:ascii="宋体" w:hAnsi="宋体" w:cs="宋体"/>
          <w:b/>
          <w:bCs/>
          <w:i w:val="0"/>
          <w:iCs w:val="0"/>
          <w:color w:val="auto"/>
          <w:szCs w:val="21"/>
          <w:highlight w:val="green"/>
          <w:u w:val="none"/>
          <w:lang w:val="en-US" w:eastAsia="zh-CN"/>
        </w:rPr>
        <w:t xml:space="preserve">防草栽培试验。</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须提供经合法渠道进货的全新、未使用过的原装合格正品，符合国家质量检测标准，并完全符合采购需求规定的质量和性能的要求，产品内外包装完好。若所供产品经质量检测机构检测认定质量不合格、发生知识产权纠纷或其他法律纠纷等情况，造成的损失和后果由投标人负全责。</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（2）投标人应按合同中规定的时间和地点、采购人提供的交货明细清单中地膜规格和数量的要求直接运输至采购人指定地点交付货物</w:t>
      </w:r>
      <w:r>
        <w:rPr>
          <w:rFonts w:hint="eastAsia" w:ascii="宋体" w:hAnsi="宋体" w:cs="宋体"/>
          <w:color w:val="auto"/>
          <w:szCs w:val="21"/>
          <w:highlight w:val="none"/>
          <w:lang w:eastAsia="zh-CN"/>
        </w:rPr>
        <w:t xml:space="preserve">，</w:t>
      </w:r>
      <w:r>
        <w:rPr>
          <w:rFonts w:hint="eastAsia" w:ascii="宋体" w:hAnsi="宋体" w:cs="宋体"/>
          <w:color w:val="ff0000"/>
          <w:szCs w:val="21"/>
          <w:highlight w:val="none"/>
          <w:lang w:val="en-US" w:eastAsia="zh-CN"/>
        </w:rPr>
        <w:t xml:space="preserve">并负责装卸</w:t>
      </w:r>
      <w:r>
        <w:rPr>
          <w:rFonts w:hint="eastAsia" w:ascii="宋体" w:hAnsi="宋体" w:eastAsia="宋体" w:cs="宋体"/>
          <w:color w:val="auto"/>
          <w:szCs w:val="21"/>
          <w:highlight w:val="none"/>
        </w:rPr>
        <w:t xml:space="preserve">。送货地点分散，数量规格较多，投标人需配备专业的运输车辆及熟悉投标产品的相关配送货的人员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包括</w:t>
      </w:r>
      <w:r>
        <w:rPr>
          <w:rFonts w:hint="eastAsia" w:ascii="宋体" w:hAnsi="宋体" w:eastAsia="宋体" w:cs="宋体"/>
          <w:color w:val="auto"/>
          <w:szCs w:val="21"/>
          <w:highlight w:val="none"/>
        </w:rPr>
        <w:t xml:space="preserve">。</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（3）投标人在本项目实施过程中，达到安全无事故。若造成任何安全事故等不良后果，由投标人负责。在项目实施过程中涉及的有关矛盾由投标人自主解决，采购人负责协调。</w:t>
      </w:r>
      <w:r/>
    </w:p>
    <w:p>
      <w:pPr>
        <w:ind w:firstLine="24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、质保及售后服务要求： </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（1）质保期：产品验收合格使用之日起8个月。在质保期内该产品出现任何质量问题（人为除外），中标人须无条件更换，由此产生的所有费用由投标人承担。</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（2）投标人提供24小时售后服务，并提供专门负责人联系电话。投标人在接到电话后，2小时内响应，48小时以内到达现场处理，由此产生的所有费用由投标人承担。 </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（3）在产品使用期间，投标人应提供专业的培训服务，并免费提供关于详尽的培训材料，指导农户的使用培训不少于2次（每次不少于2小时）。一般技术培训不得限制人数。</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（4）投标人应保证，如能中标，采购人在使用中标货物时，免受第三方提出的侵犯其专利权、商标权或工业设计权的起诉。</w:t>
      </w:r>
      <w:r/>
    </w:p>
    <w:p>
      <w:pPr>
        <w:ind w:firstLine="240"/>
        <w:spacing w:line="360" w:lineRule="auto"/>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 xml:space="preserve">（</w:t>
      </w:r>
      <w:r>
        <w:rPr>
          <w:rFonts w:hint="eastAsia" w:ascii="宋体" w:hAnsi="宋体" w:cs="宋体"/>
          <w:color w:val="auto"/>
          <w:szCs w:val="21"/>
          <w:highlight w:val="yellow"/>
          <w:lang w:val="en-US" w:eastAsia="zh-CN"/>
        </w:rPr>
        <w:t xml:space="preserve">5</w:t>
      </w:r>
      <w:r>
        <w:rPr>
          <w:rFonts w:hint="eastAsia" w:ascii="宋体" w:hAnsi="宋体" w:eastAsia="宋体" w:cs="宋体"/>
          <w:color w:val="auto"/>
          <w:szCs w:val="21"/>
          <w:highlight w:val="yellow"/>
        </w:rPr>
        <w:t xml:space="preserve">）中标后所供应的产品进行抽检，检测费用由中标单位支付，如发现不符合，可中止合同。</w:t>
      </w:r>
      <w:r/>
    </w:p>
    <w:p>
      <w:pPr>
        <w:ind w:firstLine="240"/>
        <w:spacing w:line="360" w:lineRule="auto"/>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 xml:space="preserve">（</w:t>
      </w:r>
      <w:r>
        <w:rPr>
          <w:rFonts w:hint="eastAsia" w:ascii="宋体" w:hAnsi="宋体" w:cs="宋体"/>
          <w:color w:val="auto"/>
          <w:szCs w:val="21"/>
          <w:highlight w:val="yellow"/>
          <w:lang w:val="en-US" w:eastAsia="zh-CN"/>
        </w:rPr>
        <w:t xml:space="preserve">6</w:t>
      </w:r>
      <w:r>
        <w:rPr>
          <w:rFonts w:hint="eastAsia" w:ascii="宋体" w:hAnsi="宋体" w:eastAsia="宋体" w:cs="宋体"/>
          <w:color w:val="auto"/>
          <w:szCs w:val="21"/>
          <w:highlight w:val="yellow"/>
        </w:rPr>
        <w:t xml:space="preserve">）签订合同前应要求中标企业签署《产品质量责任保证书》。</w:t>
      </w:r>
      <w:r/>
    </w:p>
    <w:p>
      <w:pPr>
        <w:ind w:firstLine="240"/>
        <w:spacing w:line="360" w:lineRule="auto"/>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 xml:space="preserve">（</w:t>
      </w:r>
      <w:r>
        <w:rPr>
          <w:rFonts w:hint="eastAsia" w:ascii="宋体" w:hAnsi="宋体" w:cs="宋体"/>
          <w:color w:val="ff0000"/>
          <w:szCs w:val="21"/>
          <w:highlight w:val="yellow"/>
          <w:lang w:val="en-US" w:eastAsia="zh-CN"/>
        </w:rPr>
        <w:t xml:space="preserve">7</w:t>
      </w:r>
      <w:r>
        <w:rPr>
          <w:rFonts w:hint="eastAsia" w:ascii="宋体" w:hAnsi="宋体" w:eastAsia="宋体" w:cs="宋体"/>
          <w:color w:val="ff0000"/>
          <w:szCs w:val="21"/>
          <w:highlight w:val="yellow"/>
        </w:rPr>
        <w:t xml:space="preserve">）在水稻</w:t>
      </w:r>
      <w:r>
        <w:rPr>
          <w:rFonts w:hint="eastAsia" w:ascii="宋体" w:hAnsi="宋体" w:cs="宋体"/>
          <w:color w:val="ff0000"/>
          <w:szCs w:val="21"/>
          <w:highlight w:val="yellow"/>
          <w:lang w:val="en-US" w:eastAsia="zh-CN"/>
        </w:rPr>
        <w:t xml:space="preserve">等农作物</w:t>
      </w:r>
      <w:r>
        <w:rPr>
          <w:rFonts w:hint="eastAsia" w:ascii="宋体" w:hAnsi="宋体" w:eastAsia="宋体" w:cs="宋体"/>
          <w:color w:val="ff0000"/>
          <w:szCs w:val="21"/>
          <w:highlight w:val="yellow"/>
        </w:rPr>
        <w:t xml:space="preserve">上提供</w:t>
      </w:r>
      <w:r>
        <w:rPr>
          <w:rFonts w:hint="eastAsia" w:ascii="宋体" w:hAnsi="宋体" w:cs="宋体"/>
          <w:color w:val="ff0000"/>
          <w:szCs w:val="21"/>
          <w:highlight w:val="yellow"/>
          <w:lang w:val="en-US" w:eastAsia="zh-CN"/>
        </w:rPr>
        <w:t xml:space="preserve">产品</w:t>
      </w:r>
      <w:r>
        <w:rPr>
          <w:rFonts w:hint="eastAsia" w:ascii="宋体" w:hAnsi="宋体" w:eastAsia="宋体" w:cs="宋体"/>
          <w:color w:val="ff0000"/>
          <w:szCs w:val="21"/>
          <w:highlight w:val="yellow"/>
        </w:rPr>
        <w:t xml:space="preserve">试验示范，</w:t>
      </w:r>
      <w:r>
        <w:rPr>
          <w:rFonts w:hint="eastAsia" w:ascii="宋体" w:hAnsi="宋体" w:cs="宋体"/>
          <w:color w:val="ff0000"/>
          <w:szCs w:val="21"/>
          <w:highlight w:val="yellow"/>
          <w:lang w:val="en-US" w:eastAsia="zh-CN"/>
        </w:rPr>
        <w:t xml:space="preserve">需</w:t>
      </w:r>
      <w:r>
        <w:rPr>
          <w:rFonts w:hint="eastAsia" w:ascii="宋体" w:hAnsi="宋体" w:eastAsia="宋体" w:cs="宋体"/>
          <w:color w:val="ff0000"/>
          <w:szCs w:val="21"/>
          <w:highlight w:val="yellow"/>
        </w:rPr>
        <w:t xml:space="preserve">由</w:t>
      </w:r>
      <w:r>
        <w:rPr>
          <w:rFonts w:hint="eastAsia" w:ascii="宋体" w:hAnsi="宋体" w:cs="宋体"/>
          <w:color w:val="ff0000"/>
          <w:szCs w:val="21"/>
          <w:highlight w:val="yellow"/>
          <w:lang w:val="en-US" w:eastAsia="zh-CN"/>
        </w:rPr>
        <w:t xml:space="preserve">中标企业</w:t>
      </w:r>
      <w:r>
        <w:rPr>
          <w:rFonts w:hint="eastAsia" w:ascii="宋体" w:hAnsi="宋体" w:eastAsia="宋体" w:cs="宋体"/>
          <w:color w:val="ff0000"/>
          <w:szCs w:val="21"/>
          <w:highlight w:val="yellow"/>
        </w:rPr>
        <w:t xml:space="preserve">高级专业技术人员主持</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赣榆区内示范面积500亩左右</w:t>
      </w:r>
      <w:r>
        <w:rPr>
          <w:rFonts w:hint="eastAsia" w:ascii="宋体" w:hAnsi="宋体" w:cs="宋体"/>
          <w:color w:val="ff0000"/>
          <w:szCs w:val="21"/>
          <w:highlight w:val="yellow"/>
          <w:lang w:eastAsia="zh-CN"/>
        </w:rPr>
        <w:t xml:space="preserve">）</w:t>
      </w:r>
      <w:r>
        <w:rPr>
          <w:rFonts w:hint="eastAsia" w:ascii="宋体" w:hAnsi="宋体" w:eastAsia="宋体" w:cs="宋体"/>
          <w:color w:val="auto"/>
          <w:szCs w:val="21"/>
          <w:highlight w:val="yellow"/>
        </w:rPr>
        <w:t xml:space="preserve">。</w:t>
      </w:r>
      <w:r/>
    </w:p>
    <w:p>
      <w:pPr>
        <w:ind w:firstLine="240"/>
        <w:spacing w:line="360" w:lineRule="auto"/>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 xml:space="preserve">（</w:t>
      </w:r>
      <w:r>
        <w:rPr>
          <w:rFonts w:hint="eastAsia" w:ascii="宋体" w:hAnsi="宋体" w:cs="宋体"/>
          <w:color w:val="ff0000"/>
          <w:szCs w:val="21"/>
          <w:highlight w:val="yellow"/>
          <w:lang w:val="en-US" w:eastAsia="zh-CN"/>
        </w:rPr>
        <w:t xml:space="preserve">8</w:t>
      </w:r>
      <w:r>
        <w:rPr>
          <w:rFonts w:hint="eastAsia" w:ascii="宋体" w:hAnsi="宋体" w:eastAsia="宋体" w:cs="宋体"/>
          <w:color w:val="ff0000"/>
          <w:szCs w:val="21"/>
          <w:highlight w:val="yellow"/>
        </w:rPr>
        <w:t xml:space="preserve">）</w:t>
      </w:r>
      <w:r>
        <w:rPr>
          <w:rFonts w:hint="eastAsia" w:ascii="宋体" w:hAnsi="宋体" w:eastAsia="宋体" w:cs="宋体"/>
          <w:color w:val="auto"/>
          <w:szCs w:val="21"/>
          <w:highlight w:val="yellow"/>
        </w:rPr>
        <w:t xml:space="preserve">每吨</w:t>
      </w:r>
      <w:r>
        <w:rPr>
          <w:rFonts w:hint="eastAsia" w:ascii="宋体" w:hAnsi="宋体" w:cs="宋体"/>
          <w:color w:val="auto"/>
          <w:szCs w:val="21"/>
          <w:highlight w:val="yellow"/>
          <w:lang w:val="en-US" w:eastAsia="zh-CN"/>
        </w:rPr>
        <w:t xml:space="preserve">须</w:t>
      </w:r>
      <w:r>
        <w:rPr>
          <w:rFonts w:hint="eastAsia" w:ascii="宋体" w:hAnsi="宋体" w:eastAsia="宋体" w:cs="宋体"/>
          <w:color w:val="auto"/>
          <w:szCs w:val="21"/>
          <w:highlight w:val="yellow"/>
        </w:rPr>
        <w:t xml:space="preserve">配套地膜</w:t>
      </w:r>
      <w:r>
        <w:rPr>
          <w:rFonts w:hint="eastAsia" w:ascii="宋体" w:hAnsi="宋体" w:cs="宋体"/>
          <w:color w:val="auto"/>
          <w:szCs w:val="21"/>
          <w:highlight w:val="yellow"/>
          <w:lang w:val="en-US" w:eastAsia="zh-CN"/>
        </w:rPr>
        <w:t xml:space="preserve">科学</w:t>
      </w:r>
      <w:r>
        <w:rPr>
          <w:rFonts w:hint="eastAsia" w:ascii="宋体" w:hAnsi="宋体" w:eastAsia="宋体" w:cs="宋体"/>
          <w:color w:val="auto"/>
          <w:szCs w:val="21"/>
          <w:highlight w:val="yellow"/>
        </w:rPr>
        <w:t xml:space="preserve">使用回收</w:t>
      </w:r>
      <w:r>
        <w:rPr>
          <w:rFonts w:hint="eastAsia" w:ascii="宋体" w:hAnsi="宋体" w:cs="宋体"/>
          <w:color w:val="auto"/>
          <w:szCs w:val="21"/>
          <w:highlight w:val="yellow"/>
          <w:lang w:val="en-US" w:eastAsia="zh-CN"/>
        </w:rPr>
        <w:t xml:space="preserve">等公益性</w:t>
      </w:r>
      <w:r>
        <w:rPr>
          <w:rFonts w:hint="eastAsia" w:ascii="宋体" w:hAnsi="宋体" w:eastAsia="宋体" w:cs="宋体"/>
          <w:color w:val="auto"/>
          <w:szCs w:val="21"/>
          <w:highlight w:val="yellow"/>
        </w:rPr>
        <w:t xml:space="preserve">宣传材料</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如扑克牌，茶杯，宣传彩页等</w:t>
      </w:r>
      <w:r>
        <w:rPr>
          <w:rFonts w:hint="eastAsia" w:ascii="宋体" w:hAnsi="宋体" w:cs="宋体"/>
          <w:color w:val="ff0000"/>
          <w:szCs w:val="21"/>
          <w:highlight w:val="yellow"/>
          <w:lang w:eastAsia="zh-CN"/>
        </w:rPr>
        <w:t xml:space="preserve">）</w:t>
      </w:r>
      <w:r>
        <w:rPr>
          <w:rFonts w:hint="eastAsia" w:ascii="宋体" w:hAnsi="宋体" w:eastAsia="宋体" w:cs="宋体"/>
          <w:color w:val="auto"/>
          <w:szCs w:val="21"/>
          <w:highlight w:val="yellow"/>
        </w:rPr>
        <w:t xml:space="preserve">。</w:t>
      </w:r>
      <w:r/>
    </w:p>
    <w:p>
      <w:pPr>
        <w:ind w:firstLine="24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、验收要求：</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（1）投标人必须按照采购人指定地点交付货物，并全程安排专人负责，直到本次项目验收结束。验收所需的工具、仪器及辅助材料由投标人自行解决。</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按合同要求配合采购人对全部货物的型号、规格、数量、外形、包装及资料、文件（如合格证、装箱单、质保单、随箱介质等）进行验收；验收时各镇（区、街道）项目对接负责人必须在现场，并进行书面签收确认。</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（3）当初验时出现不符合招标文件和合同要求的严重质量问题时，采购人保留索赔及退货权利。</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（4）当出现货物损坏、数量不全、规格不符等问题时，由投标人负责解决。</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（5）货物验收通过后，由采购人开具到货验收单，一式三份，采购人、各镇（区、街道）项目对接负责人、投标人各执一份。</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在产品使用过程中，采购人可根据实际使用农户反馈的情况对产品质量进行抽检，投标人、采购人双方共同协商指定一家权威机构进行检测，投标人承担所有检测费用。如检测结果不符合国家标准要求，则由投标人和农户协商赔偿事宜。</w:t>
      </w:r>
      <w:r/>
    </w:p>
    <w:p>
      <w:pPr>
        <w:ind w:firstLine="2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（7）验收情况作为支付货款的依据。</w:t>
      </w:r>
      <w:r/>
    </w:p>
    <w:p>
      <w:pPr>
        <w:ind w:firstLine="24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）验收</w:t>
      </w:r>
      <w:r>
        <w:rPr>
          <w:rFonts w:hint="eastAsia" w:ascii="宋体" w:hAnsi="宋体" w:cs="宋体"/>
          <w:color w:val="auto"/>
          <w:szCs w:val="21"/>
          <w:highlight w:val="none"/>
          <w:lang w:val="en-US" w:eastAsia="zh-CN"/>
        </w:rPr>
        <w:t xml:space="preserve">时，需提供</w:t>
      </w:r>
      <w:r>
        <w:rPr>
          <w:rFonts w:hint="eastAsia" w:ascii="宋体" w:hAnsi="宋体" w:eastAsia="宋体" w:cs="宋体"/>
          <w:color w:val="auto"/>
          <w:szCs w:val="21"/>
          <w:highlight w:val="none"/>
          <w:lang w:val="en-US" w:eastAsia="zh-CN"/>
        </w:rPr>
        <w:t xml:space="preserve">地膜防草栽培试验报告</w:t>
      </w:r>
      <w:r>
        <w:rPr>
          <w:rFonts w:hint="eastAsia" w:ascii="宋体" w:hAnsi="宋体" w:eastAsia="宋体" w:cs="宋体"/>
          <w:color w:val="auto"/>
          <w:szCs w:val="21"/>
          <w:highlight w:val="none"/>
        </w:rPr>
        <w:t xml:space="preserve">。</w:t>
      </w:r>
      <w:r/>
    </w:p>
    <w:p>
      <w:pPr>
        <w:spacing w:line="0" w:lineRule="atLeast"/>
        <w:rPr>
          <w:rFonts w:ascii="宋体" w:hAnsi="宋体"/>
          <w:b/>
          <w:bCs/>
          <w:sz w:val="24"/>
          <w:szCs w:val="24"/>
        </w:rPr>
      </w:pPr>
      <w:r>
        <w:rPr>
          <w:rFonts w:hint="eastAsia" w:ascii="宋体" w:hAnsi="宋体"/>
          <w:b/>
          <w:bCs/>
          <w:sz w:val="24"/>
          <w:szCs w:val="24"/>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spacing w:line="0" w:lineRule="atLeast"/>
        <w:rPr>
          <w:rFonts w:hint="eastAsia" w:ascii="宋体" w:hAnsi="宋体"/>
          <w:b/>
          <w:bCs/>
          <w:sz w:val="24"/>
          <w:szCs w:val="21"/>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numPr>
          <w:ilvl w:val="0"/>
          <w:numId w:val="14"/>
        </w:numPr>
        <w:spacing w:line="0" w:lineRule="atLeast"/>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交货或者服务期限和地点</w:t>
      </w:r>
      <w:r/>
    </w:p>
    <w:p>
      <w:pPr>
        <w:spacing w:line="0" w:lineRule="atLeast"/>
        <w:rPr>
          <w:rFonts w:hint="eastAsia" w:ascii="宋体" w:hAnsi="宋体" w:eastAsia="宋体" w:cs="Times New Roman"/>
          <w:bCs/>
          <w:sz w:val="24"/>
          <w:szCs w:val="24"/>
        </w:rPr>
      </w:pPr>
      <w:r>
        <w:rPr>
          <w:rFonts w:hint="eastAsia" w:ascii="宋体" w:hAnsi="宋体" w:eastAsia="宋体" w:cs="Times New Roman"/>
          <w:bCs/>
          <w:sz w:val="24"/>
          <w:szCs w:val="24"/>
        </w:rPr>
        <w:t xml:space="preserve">★</w:t>
      </w:r>
      <w:r>
        <w:rPr>
          <w:rFonts w:hint="eastAsia" w:ascii="宋体" w:hAnsi="宋体" w:eastAsia="宋体" w:cs="宋体"/>
          <w:color w:val="auto"/>
          <w:sz w:val="24"/>
          <w:szCs w:val="24"/>
          <w:highlight w:val="none"/>
        </w:rPr>
        <w:t xml:space="preserve">供货方式</w:t>
      </w:r>
      <w:r>
        <w:rPr>
          <w:rFonts w:hint="eastAsia" w:ascii="宋体" w:hAnsi="宋体" w:eastAsia="宋体" w:cs="Times New Roman"/>
          <w:bCs/>
          <w:sz w:val="24"/>
          <w:szCs w:val="24"/>
        </w:rPr>
        <w:t xml:space="preserve">：</w:t>
      </w:r>
      <w:r>
        <w:rPr>
          <w:rFonts w:hint="eastAsia" w:ascii="宋体" w:hAnsi="宋体" w:eastAsia="宋体" w:cs="宋体"/>
          <w:color w:val="auto"/>
          <w:sz w:val="24"/>
          <w:szCs w:val="24"/>
          <w:highlight w:val="none"/>
        </w:rPr>
        <w:t xml:space="preserve">分批次供货（接到采购人通知3日内送达指定</w:t>
      </w:r>
      <w:r>
        <w:rPr>
          <w:rFonts w:hint="eastAsia" w:ascii="宋体" w:hAnsi="宋体" w:eastAsia="宋体" w:cs="宋体"/>
          <w:color w:val="auto"/>
          <w:sz w:val="24"/>
          <w:szCs w:val="24"/>
          <w:highlight w:val="none"/>
          <w:lang w:val="en-US" w:eastAsia="zh-CN"/>
        </w:rPr>
        <w:t xml:space="preserve">乡镇</w:t>
      </w:r>
      <w:r>
        <w:rPr>
          <w:rFonts w:hint="eastAsia" w:ascii="宋体" w:hAnsi="宋体" w:eastAsia="宋体" w:cs="宋体"/>
          <w:color w:val="auto"/>
          <w:sz w:val="24"/>
          <w:szCs w:val="24"/>
          <w:highlight w:val="none"/>
        </w:rPr>
        <w:t xml:space="preserve">地点）</w:t>
      </w:r>
      <w:r>
        <w:rPr>
          <w:rFonts w:hint="eastAsia" w:ascii="宋体" w:hAnsi="宋体" w:eastAsia="宋体" w:cs="Times New Roman"/>
          <w:bCs/>
          <w:sz w:val="24"/>
          <w:szCs w:val="24"/>
        </w:rPr>
        <w:t xml:space="preserve">。</w:t>
      </w:r>
      <w:r/>
    </w:p>
    <w:p>
      <w:pPr>
        <w:spacing w:line="0" w:lineRule="atLeast"/>
        <w:rPr>
          <w:rFonts w:hint="eastAsia" w:ascii="宋体" w:hAnsi="宋体" w:eastAsia="宋体" w:cs="Times New Roman"/>
          <w:b/>
          <w:bCs/>
          <w:sz w:val="24"/>
          <w:szCs w:val="24"/>
        </w:rPr>
      </w:pPr>
      <w:r>
        <w:rPr>
          <w:rFonts w:hint="eastAsia" w:ascii="宋体" w:hAnsi="宋体" w:eastAsia="宋体" w:cs="Times New Roman"/>
          <w:bCs/>
          <w:sz w:val="24"/>
          <w:szCs w:val="24"/>
        </w:rPr>
        <w:t xml:space="preserve">★</w:t>
      </w:r>
      <w:r>
        <w:rPr>
          <w:rFonts w:hint="eastAsia" w:ascii="宋体" w:hAnsi="宋体" w:eastAsia="宋体" w:cs="宋体"/>
          <w:color w:val="auto"/>
          <w:sz w:val="24"/>
          <w:szCs w:val="24"/>
          <w:highlight w:val="none"/>
        </w:rPr>
        <w:t xml:space="preserve">供货期限</w:t>
      </w:r>
      <w:r>
        <w:rPr>
          <w:rFonts w:hint="eastAsia" w:ascii="宋体" w:hAnsi="宋体" w:eastAsia="宋体" w:cs="Times New Roman"/>
          <w:bCs/>
          <w:sz w:val="24"/>
          <w:szCs w:val="24"/>
        </w:rPr>
        <w:t xml:space="preserve">：</w:t>
      </w:r>
      <w:r>
        <w:rPr>
          <w:rFonts w:hint="eastAsia" w:ascii="宋体" w:hAnsi="宋体" w:eastAsia="宋体" w:cs="宋体"/>
          <w:color w:val="auto"/>
          <w:sz w:val="24"/>
          <w:szCs w:val="24"/>
          <w:highlight w:val="none"/>
        </w:rPr>
        <w:t xml:space="preserve">合同签订之日起</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个月内完成供货</w:t>
      </w:r>
      <w:r>
        <w:rPr>
          <w:rFonts w:hint="eastAsia" w:ascii="宋体" w:hAnsi="宋体" w:eastAsia="宋体" w:cs="Times New Roman"/>
          <w:bCs/>
          <w:sz w:val="24"/>
          <w:szCs w:val="24"/>
        </w:rPr>
        <w:t xml:space="preserve">。</w:t>
      </w:r>
      <w:r/>
    </w:p>
    <w:p>
      <w:pPr>
        <w:numPr>
          <w:ilvl w:val="0"/>
          <w:numId w:val="14"/>
        </w:numPr>
        <w:spacing w:line="0" w:lineRule="atLeast"/>
        <w:rPr>
          <w:rFonts w:hint="eastAsia" w:ascii="宋体" w:hAnsi="宋体" w:eastAsia="宋体" w:cs="Times New Roman"/>
          <w:b/>
          <w:bCs/>
          <w:sz w:val="24"/>
          <w:szCs w:val="24"/>
        </w:rPr>
      </w:pPr>
      <w:r>
        <w:rPr>
          <w:rFonts w:hint="eastAsia" w:ascii="宋体" w:hAnsi="宋体" w:eastAsia="宋体" w:cs="Times New Roman"/>
          <w:b/>
          <w:bCs/>
          <w:sz w:val="24"/>
          <w:szCs w:val="24"/>
        </w:rPr>
        <w:t xml:space="preserve">付款方式</w:t>
      </w:r>
      <w:r/>
    </w:p>
    <w:p>
      <w:pPr>
        <w:numPr>
          <w:ilvl w:val="0"/>
          <w:numId w:val="0"/>
        </w:numPr>
        <w:spacing w:line="0" w:lineRule="atLeast"/>
        <w:rPr>
          <w:rFonts w:hint="eastAsia" w:ascii="宋体" w:hAnsi="宋体" w:eastAsia="宋体" w:cs="Times New Roman"/>
          <w:bCs/>
          <w:sz w:val="24"/>
          <w:szCs w:val="24"/>
          <w:lang w:val="zh-CN"/>
        </w:rPr>
      </w:pPr>
      <w:r>
        <w:rPr>
          <w:rFonts w:hint="eastAsia" w:ascii="宋体" w:hAnsi="宋体" w:eastAsia="宋体" w:cs="Times New Roman"/>
          <w:bCs/>
          <w:sz w:val="24"/>
          <w:szCs w:val="24"/>
        </w:rPr>
        <w:t xml:space="preserve">★</w:t>
      </w:r>
      <w:r>
        <w:rPr>
          <w:rFonts w:hint="eastAsia" w:ascii="宋体" w:hAnsi="宋体" w:cs="Times New Roman"/>
          <w:bCs/>
          <w:sz w:val="24"/>
          <w:szCs w:val="24"/>
          <w:lang w:val="en-US" w:eastAsia="zh-CN"/>
        </w:rPr>
        <w:t xml:space="preserve">付款方式：</w:t>
      </w:r>
      <w:r>
        <w:rPr>
          <w:rFonts w:hint="eastAsia" w:ascii="宋体" w:hAnsi="宋体" w:eastAsia="宋体" w:cs="Times New Roman"/>
          <w:bCs/>
          <w:sz w:val="24"/>
          <w:szCs w:val="24"/>
          <w:lang w:val="en-US" w:eastAsia="zh-CN"/>
        </w:rPr>
        <w:t xml:space="preserve">供货</w:t>
      </w:r>
      <w:r>
        <w:rPr>
          <w:rFonts w:hint="eastAsia" w:ascii="宋体" w:hAnsi="宋体" w:eastAsia="宋体" w:cs="Times New Roman"/>
          <w:bCs/>
          <w:sz w:val="24"/>
          <w:szCs w:val="24"/>
          <w:lang w:val="zh-CN"/>
        </w:rPr>
        <w:t xml:space="preserve">完成并经验收合格后，根据项目实施相关规定，财政报账制一次性支付剩余款项（无息）。付款前乙方应向甲方开具正规发票，</w:t>
      </w:r>
      <w:r>
        <w:rPr>
          <w:rFonts w:hint="eastAsia" w:ascii="宋体" w:hAnsi="宋体" w:eastAsia="宋体" w:cs="Times New Roman"/>
          <w:bCs/>
          <w:sz w:val="24"/>
          <w:szCs w:val="24"/>
          <w:lang w:val="en-US" w:eastAsia="zh-CN"/>
        </w:rPr>
        <w:t xml:space="preserve">供货交接单，质量检验证书，</w:t>
      </w:r>
      <w:r>
        <w:rPr>
          <w:rFonts w:hint="eastAsia" w:ascii="宋体" w:hAnsi="宋体" w:eastAsia="宋体" w:cs="Times New Roman"/>
          <w:bCs/>
          <w:sz w:val="24"/>
          <w:szCs w:val="24"/>
          <w:lang w:val="zh-CN"/>
        </w:rPr>
        <w:t xml:space="preserve">甲方自收到发票后10个工作日内将资金支付至合同约定的乙方账户（发票开具日期计算）。</w:t>
      </w:r>
      <w:r/>
    </w:p>
    <w:p>
      <w:pPr>
        <w:numPr>
          <w:ilvl w:val="0"/>
          <w:numId w:val="0"/>
        </w:numPr>
        <w:spacing w:line="0" w:lineRule="atLeast"/>
        <w:rPr>
          <w:rFonts w:hint="default"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3.报价要求</w:t>
      </w:r>
      <w:r/>
    </w:p>
    <w:p>
      <w:pPr>
        <w:numPr>
          <w:ilvl w:val="0"/>
          <w:numId w:val="0"/>
        </w:numPr>
        <w:spacing w:line="0" w:lineRule="atLeast"/>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★本项目为单价报价。响应供应商报价应包含本项目产品（货物）的研发、制造、检验、包装、运输、装卸、保险、安装调试、人员培训、验收、税金等一切与之相关费用。</w:t>
      </w:r>
      <w:r/>
    </w:p>
    <w:p>
      <w:pPr>
        <w:numPr>
          <w:ilvl w:val="0"/>
          <w:numId w:val="0"/>
        </w:numPr>
        <w:spacing w:line="0" w:lineRule="atLeast"/>
        <w:rPr>
          <w:rFonts w:hint="eastAsia" w:ascii="宋体" w:hAnsi="宋体" w:eastAsia="宋体" w:cs="Times New Roman"/>
          <w:bCs/>
          <w:sz w:val="24"/>
          <w:szCs w:val="24"/>
          <w:lang w:val="zh-CN"/>
        </w:rPr>
      </w:pPr>
      <w:r>
        <w:rPr>
          <w:rFonts w:hint="eastAsia" w:ascii="宋体" w:hAnsi="宋体" w:eastAsia="宋体" w:cs="Times New Roman"/>
          <w:bCs/>
          <w:sz w:val="24"/>
          <w:szCs w:val="24"/>
          <w:lang w:val="zh-CN"/>
        </w:rPr>
        <w:t xml:space="preserve">响应供应商的报价应对采购文件内的全部内容进行报价，采购文件未列明，而供应商认为其他必需的费用也需列入报价。在合同实施时，采购方将不予支付成交人没有填列的项目费用，并认为此项目的费用已包括在报价中。</w:t>
      </w:r>
      <w:r/>
    </w:p>
    <w:p>
      <w:pPr>
        <w:rPr>
          <w:rFonts w:hint="eastAsia"/>
          <w:highlight w:val="white"/>
        </w:rPr>
      </w:pPr>
      <w:r>
        <w:rPr>
          <w:rFonts w:hint="eastAsia"/>
          <w:highlight w:val="white"/>
        </w:rPr>
        <w:br w:type="page" w:clear="all"/>
      </w:r>
      <w:r/>
    </w:p>
    <w:p>
      <w:pPr>
        <w:pStyle w:val="749"/>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评审方法和评审标准</w:t>
      </w:r>
      <w:bookmarkEnd w:id="73"/>
      <w:r/>
      <w:bookmarkEnd w:id="74"/>
      <w:r/>
      <w:bookmarkEnd w:id="75"/>
      <w:r/>
      <w:bookmarkEnd w:id="76"/>
      <w:r/>
      <w:bookmarkEnd w:id="77"/>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75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1610"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vAlign w:val="top"/>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vAlign w:val="top"/>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top"/>
            <w:textDirection w:val="lrTb"/>
            <w:noWrap w:val="false"/>
          </w:tcPr>
          <w:p>
            <w:pPr>
              <w:jc w:val="center"/>
              <w:rPr>
                <w:rFonts w:hint="eastAsia" w:ascii="宋体" w:hAnsi="宋体" w:eastAsia="宋体"/>
                <w:szCs w:val="21"/>
                <w:lang w:val="en-US" w:eastAsia="zh-CN"/>
              </w:rPr>
            </w:pPr>
            <w:r>
              <w:rPr>
                <w:rFonts w:hint="eastAsia" w:ascii="宋体" w:hAnsi="宋体"/>
                <w:szCs w:val="21"/>
                <w:lang w:val="en-US" w:eastAsia="zh-CN"/>
              </w:rPr>
              <w:t xml:space="preserve">3</w:t>
            </w:r>
            <w:r/>
          </w:p>
        </w:tc>
        <w:tc>
          <w:tcPr>
            <w:tcW w:w="4325" w:type="dxa"/>
            <w:vAlign w:val="top"/>
            <w:textDirection w:val="lrTb"/>
            <w:noWrap w:val="false"/>
          </w:tcPr>
          <w:p>
            <w:pPr>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r>
        <w:trPr/>
        <w:tc>
          <w:tcPr>
            <w:tcW w:w="1148" w:type="dxa"/>
            <w:vAlign w:val="top"/>
            <w:textDirection w:val="lrTb"/>
            <w:noWrap w:val="false"/>
          </w:tcPr>
          <w:p>
            <w:pPr>
              <w:jc w:val="center"/>
              <w:rPr>
                <w:rFonts w:hint="eastAsia" w:ascii="宋体" w:hAnsi="宋体"/>
                <w:szCs w:val="21"/>
              </w:rPr>
            </w:pPr>
            <w:r>
              <w:rPr>
                <w:rFonts w:ascii="宋体" w:hAnsi="宋体"/>
                <w:szCs w:val="21"/>
              </w:rPr>
              <w:t xml:space="preserve">……</w:t>
            </w:r>
            <w:r/>
          </w:p>
        </w:tc>
        <w:tc>
          <w:tcPr>
            <w:tcW w:w="1610" w:type="dxa"/>
            <w:vAlign w:val="top"/>
            <w:textDirection w:val="lrTb"/>
            <w:noWrap w:val="false"/>
          </w:tcPr>
          <w:p>
            <w:pPr>
              <w:rPr>
                <w:rFonts w:ascii="宋体" w:hAnsi="宋体"/>
                <w:szCs w:val="21"/>
              </w:rPr>
            </w:pPr>
            <w:r>
              <w:rPr>
                <w:rFonts w:ascii="宋体" w:hAnsi="宋体"/>
                <w:szCs w:val="21"/>
              </w:rPr>
            </w:r>
            <w:r/>
          </w:p>
        </w:tc>
        <w:tc>
          <w:tcPr>
            <w:tcW w:w="4325" w:type="dxa"/>
            <w:vAlign w:val="top"/>
            <w:textDirection w:val="lrTb"/>
            <w:noWrap w:val="false"/>
          </w:tcPr>
          <w:p>
            <w:pPr>
              <w:rPr>
                <w:rFonts w:ascii="宋体" w:hAnsi="宋体"/>
                <w:szCs w:val="21"/>
              </w:rPr>
            </w:pPr>
            <w:r>
              <w:rPr>
                <w:rFonts w:ascii="宋体" w:hAnsi="宋体"/>
                <w:szCs w:val="21"/>
              </w:rPr>
            </w:r>
            <w:r/>
          </w:p>
        </w:tc>
      </w:tr>
    </w:tbl>
    <w:p>
      <w:pPr>
        <w:ind w:firstLine="560"/>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1</w:t>
      </w:r>
      <w:r>
        <w:rPr>
          <w:rFonts w:hint="eastAsia" w:ascii="方正魏碑_GBK" w:hAnsi="方正魏碑_GBK" w:eastAsia="方正魏碑_GBK" w:cs="方正魏碑_GBK"/>
          <w:color w:val="ff0000"/>
          <w:sz w:val="28"/>
          <w:szCs w:val="28"/>
        </w:rPr>
        <w:t xml:space="preserve">、采购本国产品的支持政策</w:t>
      </w:r>
      <w:r/>
    </w:p>
    <w:p>
      <w:pPr>
        <w:ind w:firstLine="560"/>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1</w:t>
      </w:r>
      <w:r>
        <w:rPr>
          <w:rFonts w:hint="eastAsia" w:ascii="方正魏碑_GBK" w:hAnsi="方正魏碑_GBK" w:eastAsia="方正魏碑_GBK" w:cs="方正魏碑_GBK"/>
          <w:color w:val="ff0000"/>
          <w:sz w:val="28"/>
          <w:szCs w:val="28"/>
        </w:rPr>
        <w:t xml:space="preserve">.1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color w:val="ff0000"/>
          <w:sz w:val="28"/>
          <w:szCs w:val="28"/>
          <w:u w:val="single"/>
        </w:rPr>
        <w:t xml:space="preserve">20%</w:t>
      </w:r>
      <w:r>
        <w:rPr>
          <w:rFonts w:hint="eastAsia" w:ascii="方正魏碑_GBK" w:hAnsi="方正魏碑_GBK" w:eastAsia="方正魏碑_GBK" w:cs="方正魏碑_GBK"/>
          <w:color w:val="ff0000"/>
          <w:sz w:val="28"/>
          <w:szCs w:val="28"/>
        </w:rPr>
        <w:t xml:space="preserve">的价格扣除，用扣除后的价格参与评审。</w:t>
      </w:r>
      <w:r/>
    </w:p>
    <w:p>
      <w:pPr>
        <w:ind w:firstLine="560"/>
        <w:jc w:val="left"/>
        <w:spacing w:line="400" w:lineRule="exact"/>
        <w:rPr>
          <w:rFonts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1</w:t>
      </w:r>
      <w:r>
        <w:rPr>
          <w:rFonts w:hint="eastAsia" w:ascii="方正魏碑_GBK" w:hAnsi="方正魏碑_GBK" w:eastAsia="方正魏碑_GBK" w:cs="方正魏碑_GBK"/>
          <w:color w:val="ff0000"/>
          <w:sz w:val="28"/>
          <w:szCs w:val="28"/>
        </w:rPr>
        <w:t xml:space="preserve">.2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color w:val="ff0000"/>
          <w:sz w:val="28"/>
          <w:szCs w:val="28"/>
          <w:u w:val="single"/>
        </w:rPr>
        <w:t xml:space="preserve">80%</w:t>
      </w:r>
      <w:r>
        <w:rPr>
          <w:rFonts w:hint="eastAsia" w:ascii="方正魏碑_GBK" w:hAnsi="方正魏碑_GBK" w:eastAsia="方正魏碑_GBK" w:cs="方正魏碑_GBK"/>
          <w:color w:val="ff0000"/>
          <w:sz w:val="28"/>
          <w:szCs w:val="28"/>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ff0000"/>
          <w:sz w:val="28"/>
          <w:szCs w:val="28"/>
          <w:u w:val="single"/>
        </w:rPr>
        <w:t xml:space="preserve">20%</w:t>
      </w:r>
      <w:r>
        <w:rPr>
          <w:rFonts w:hint="eastAsia" w:ascii="方正魏碑_GBK" w:hAnsi="方正魏碑_GBK" w:eastAsia="方正魏碑_GBK" w:cs="方正魏碑_GBK"/>
          <w:color w:val="ff0000"/>
          <w:sz w:val="28"/>
          <w:szCs w:val="28"/>
        </w:rPr>
        <w:t xml:space="preserve">的价格扣除，用扣除后的价格参与评审。供应商未填写比例数值，或比例数值</w:t>
      </w:r>
      <w:r>
        <w:rPr>
          <w:rFonts w:hint="eastAsia" w:ascii="方正魏碑_GBK" w:hAnsi="方正魏碑_GBK" w:eastAsia="方正魏碑_GBK" w:cs="方正魏碑_GBK"/>
          <w:color w:val="ff0000"/>
          <w:sz w:val="28"/>
          <w:szCs w:val="28"/>
          <w:highlight w:val="yellow"/>
        </w:rPr>
        <w:t xml:space="preserve">未达到</w:t>
      </w:r>
      <w:r>
        <w:rPr>
          <w:rFonts w:hint="eastAsia" w:ascii="方正魏碑_GBK" w:hAnsi="方正魏碑_GBK" w:eastAsia="方正魏碑_GBK" w:cs="方正魏碑_GBK"/>
          <w:color w:val="ff0000"/>
          <w:sz w:val="28"/>
          <w:szCs w:val="28"/>
        </w:rPr>
        <w:t xml:space="preserve">80%的，将不享受本国产品价格评审优惠。</w:t>
      </w:r>
      <w:r/>
    </w:p>
    <w:p>
      <w:pPr>
        <w:ind w:firstLine="560"/>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1</w:t>
      </w:r>
      <w:r>
        <w:rPr>
          <w:rFonts w:hint="eastAsia" w:ascii="方正魏碑_GBK" w:hAnsi="方正魏碑_GBK" w:eastAsia="方正魏碑_GBK" w:cs="方正魏碑_GBK"/>
          <w:color w:val="ff0000"/>
          <w:sz w:val="28"/>
          <w:szCs w:val="28"/>
        </w:rPr>
        <w:t xml:space="preserve">.3 供应商需按照招标文件的要求提供《关于符合本国产品标准的声明函》（以下简称《声明函》），如不提供将不享受本国产品价格评审优惠。</w:t>
      </w:r>
      <w:r/>
    </w:p>
    <w:p>
      <w:pPr>
        <w:ind w:firstLine="560"/>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1</w:t>
      </w:r>
      <w:r>
        <w:rPr>
          <w:rFonts w:hint="eastAsia" w:ascii="方正魏碑_GBK" w:hAnsi="方正魏碑_GBK" w:eastAsia="方正魏碑_GBK" w:cs="方正魏碑_GBK"/>
          <w:color w:val="ff0000"/>
          <w:sz w:val="28"/>
          <w:szCs w:val="28"/>
        </w:rPr>
        <w:t xml:space="preserve">.4 供应商需在《声明函》中逐一、</w:t>
      </w:r>
      <w:r>
        <w:rPr>
          <w:rFonts w:ascii="方正魏碑_GBK" w:hAnsi="方正魏碑_GBK" w:eastAsia="方正魏碑_GBK" w:cs="方正魏碑_GBK"/>
          <w:color w:val="ff0000"/>
          <w:sz w:val="28"/>
          <w:szCs w:val="28"/>
        </w:rPr>
        <w:t xml:space="preserve">准确</w:t>
      </w:r>
      <w:r>
        <w:rPr>
          <w:rFonts w:hint="eastAsia" w:ascii="方正魏碑_GBK" w:hAnsi="方正魏碑_GBK" w:eastAsia="方正魏碑_GBK" w:cs="方正魏碑_GBK"/>
          <w:color w:val="ff0000"/>
          <w:sz w:val="28"/>
          <w:szCs w:val="28"/>
        </w:rPr>
        <w:t xml:space="preserve">填写产品名称、厂名、生产厂址三项信息（</w:t>
      </w:r>
      <w:r>
        <w:rPr>
          <w:rFonts w:hint="eastAsia" w:ascii="方正魏碑_GBK" w:hAnsi="方正魏碑_GBK" w:eastAsia="方正魏碑_GBK" w:cs="方正魏碑_GBK"/>
          <w:color w:val="ff0000"/>
          <w:sz w:val="28"/>
          <w:szCs w:val="28"/>
          <w:highlight w:val="yellow"/>
        </w:rPr>
        <w:t xml:space="preserve">《声明函》中用斜线划除的地方无需填写</w:t>
      </w:r>
      <w:r>
        <w:rPr>
          <w:rFonts w:hint="eastAsia" w:ascii="方正魏碑_GBK" w:hAnsi="方正魏碑_GBK" w:eastAsia="方正魏碑_GBK" w:cs="方正魏碑_GBK"/>
          <w:color w:val="ff0000"/>
          <w:sz w:val="28"/>
          <w:szCs w:val="28"/>
        </w:rPr>
        <w:t xml:space="preserve">），三</w:t>
      </w:r>
      <w:r>
        <w:rPr>
          <w:rFonts w:ascii="方正魏碑_GBK" w:hAnsi="方正魏碑_GBK" w:eastAsia="方正魏碑_GBK" w:cs="方正魏碑_GBK"/>
          <w:color w:val="ff0000"/>
          <w:sz w:val="28"/>
          <w:szCs w:val="28"/>
        </w:rPr>
        <w:t xml:space="preserve">项信息中</w:t>
      </w:r>
      <w:r>
        <w:rPr>
          <w:rFonts w:hint="eastAsia" w:ascii="方正魏碑_GBK" w:hAnsi="方正魏碑_GBK" w:eastAsia="方正魏碑_GBK" w:cs="方正魏碑_GBK"/>
          <w:color w:val="ff0000"/>
          <w:sz w:val="28"/>
          <w:szCs w:val="28"/>
        </w:rPr>
        <w:t xml:space="preserve">任意一项未填写的视为该项产品不符合本国产品标准，不享受本国产品价格评审优惠。</w:t>
      </w:r>
      <w:r/>
    </w:p>
    <w:p>
      <w:pPr>
        <w:ind w:firstLine="560"/>
        <w:jc w:val="left"/>
        <w:spacing w:line="400" w:lineRule="exact"/>
        <w:rPr>
          <w:rFonts w:hint="eastAsia" w:ascii="方正魏碑_GBK" w:hAnsi="方正魏碑_GBK" w:eastAsia="方正魏碑_GBK" w:cs="方正魏碑_GBK"/>
          <w:color w:val="ff0000"/>
          <w:sz w:val="28"/>
          <w:szCs w:val="28"/>
        </w:rPr>
      </w:pPr>
      <w:r>
        <w:rPr>
          <w:rFonts w:hint="eastAsia" w:ascii="方正魏碑_GBK" w:hAnsi="方正魏碑_GBK" w:eastAsia="方正魏碑_GBK" w:cs="方正魏碑_GBK"/>
          <w:color w:val="ff0000"/>
          <w:sz w:val="28"/>
          <w:szCs w:val="28"/>
          <w:lang w:val="en-US" w:eastAsia="zh-CN"/>
        </w:rPr>
        <w:t xml:space="preserve">1</w:t>
      </w:r>
      <w:r>
        <w:rPr>
          <w:rFonts w:hint="eastAsia" w:ascii="方正魏碑_GBK" w:hAnsi="方正魏碑_GBK" w:eastAsia="方正魏碑_GBK" w:cs="方正魏碑_GBK"/>
          <w:color w:val="ff0000"/>
          <w:sz w:val="28"/>
          <w:szCs w:val="28"/>
        </w:rPr>
        <w:t xml:space="preserve">.5 评标过程中，如发现供应商在《声明函》内容</w:t>
      </w:r>
      <w:r>
        <w:rPr>
          <w:rFonts w:ascii="方正魏碑_GBK" w:hAnsi="方正魏碑_GBK" w:eastAsia="方正魏碑_GBK" w:cs="方正魏碑_GBK"/>
          <w:color w:val="ff0000"/>
          <w:sz w:val="28"/>
          <w:szCs w:val="28"/>
        </w:rPr>
        <w:t xml:space="preserve">含义不明确、同类事项与投</w:t>
      </w:r>
      <w:r>
        <w:rPr>
          <w:rFonts w:hint="eastAsia" w:ascii="方正魏碑_GBK" w:hAnsi="方正魏碑_GBK" w:eastAsia="方正魏碑_GBK" w:cs="方正魏碑_GBK"/>
          <w:color w:val="ff0000"/>
          <w:sz w:val="28"/>
          <w:szCs w:val="28"/>
        </w:rPr>
        <w:t xml:space="preserve">标</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响应</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文件</w:t>
      </w:r>
      <w:r>
        <w:rPr>
          <w:rFonts w:ascii="方正魏碑_GBK" w:hAnsi="方正魏碑_GBK" w:eastAsia="方正魏碑_GBK" w:cs="方正魏碑_GBK"/>
          <w:color w:val="ff0000"/>
          <w:sz w:val="28"/>
          <w:szCs w:val="28"/>
        </w:rPr>
        <w:t xml:space="preserve">表述不一致或者有</w:t>
      </w:r>
      <w:r>
        <w:rPr>
          <w:rFonts w:hint="eastAsia" w:ascii="方正魏碑_GBK" w:hAnsi="方正魏碑_GBK" w:eastAsia="方正魏碑_GBK" w:cs="方正魏碑_GBK"/>
          <w:color w:val="ff0000"/>
          <w:sz w:val="28"/>
          <w:szCs w:val="28"/>
        </w:rPr>
        <w:t xml:space="preserve">明显</w:t>
      </w:r>
      <w:r>
        <w:rPr>
          <w:rFonts w:ascii="方正魏碑_GBK" w:hAnsi="方正魏碑_GBK" w:eastAsia="方正魏碑_GBK" w:cs="方正魏碑_GBK"/>
          <w:color w:val="ff0000"/>
          <w:sz w:val="28"/>
          <w:szCs w:val="28"/>
        </w:rPr>
        <w:t xml:space="preserve">文字错误等情况的</w:t>
      </w:r>
      <w:r>
        <w:rPr>
          <w:rFonts w:hint="eastAsia" w:ascii="方正魏碑_GBK" w:hAnsi="方正魏碑_GBK" w:eastAsia="方正魏碑_GBK" w:cs="方正魏碑_GBK"/>
          <w:color w:val="ff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b/>
          <w:color w:val="000000"/>
          <w:sz w:val="24"/>
          <w:szCs w:val="24"/>
        </w:rPr>
      </w:pPr>
      <w:r>
        <w:rPr>
          <w:rFonts w:hint="eastAsia" w:ascii="宋体" w:hAnsi="宋体"/>
          <w:b/>
          <w:color w:val="000000"/>
          <w:sz w:val="24"/>
          <w:szCs w:val="24"/>
        </w:rPr>
        <w:br w:type="page" w:clear="all"/>
      </w:r>
      <w:r/>
    </w:p>
    <w:p>
      <w:pPr>
        <w:ind w:firstLine="643"/>
        <w:jc w:val="center"/>
        <w:spacing w:before="120" w:after="120" w:line="0" w:lineRule="atLeast"/>
        <w:rPr>
          <w:rFonts w:hint="eastAsia" w:ascii="宋体" w:hAnsi="宋体"/>
          <w:b/>
          <w:color w:val="000000"/>
          <w:sz w:val="24"/>
          <w:szCs w:val="24"/>
        </w:rPr>
      </w:pPr>
      <w:r>
        <w:rPr>
          <w:rFonts w:hint="eastAsia" w:ascii="宋体" w:hAnsi="宋体"/>
          <w:b/>
          <w:color w:val="000000"/>
          <w:sz w:val="32"/>
          <w:szCs w:val="32"/>
        </w:rPr>
        <w:t xml:space="preserve">评标方法与评标标准</w:t>
      </w:r>
      <w:r/>
    </w:p>
    <w:p>
      <w:pPr>
        <w:pStyle w:val="993"/>
        <w:spacing w:before="0" w:after="0"/>
        <w:rPr>
          <w:rFonts w:ascii="宋体" w:hAnsi="宋体" w:cs="宋体"/>
          <w:bCs/>
        </w:rPr>
      </w:pPr>
      <w:r>
        <w:rPr>
          <w:rFonts w:hint="eastAsia" w:ascii="宋体" w:hAnsi="宋体" w:cs="宋体"/>
          <w:bCs/>
        </w:rPr>
        <w:t xml:space="preserve">一、</w:t>
      </w:r>
      <w:r>
        <w:rPr>
          <w:rFonts w:hint="eastAsia" w:ascii="宋体" w:hAnsi="宋体" w:cs="宋体"/>
        </w:rPr>
        <w:t xml:space="preserve">磋商小组</w:t>
      </w:r>
      <w:r/>
    </w:p>
    <w:p>
      <w:pPr>
        <w:pStyle w:val="993"/>
        <w:spacing w:before="0" w:after="0"/>
        <w:rPr>
          <w:rFonts w:ascii="宋体" w:hAnsi="宋体" w:cs="宋体"/>
          <w:bCs/>
        </w:rPr>
      </w:pPr>
      <w:r>
        <w:rPr>
          <w:rFonts w:hint="eastAsia" w:ascii="宋体" w:hAnsi="宋体" w:cs="宋体"/>
          <w:bCs/>
        </w:rPr>
        <w:t xml:space="preserve">本采购项目磋商小组的评委由相关的专家、采购人代表等有关人员构成。</w:t>
      </w:r>
      <w:r/>
    </w:p>
    <w:p>
      <w:pPr>
        <w:pStyle w:val="993"/>
        <w:spacing w:before="0" w:after="0"/>
        <w:rPr>
          <w:rFonts w:ascii="宋体" w:hAnsi="宋体" w:cs="宋体"/>
        </w:rPr>
      </w:pPr>
      <w:r>
        <w:rPr>
          <w:rFonts w:hint="eastAsia" w:ascii="宋体" w:hAnsi="宋体" w:cs="宋体"/>
          <w:bCs/>
        </w:rPr>
        <w:t xml:space="preserve">二</w:t>
      </w:r>
      <w:r>
        <w:rPr>
          <w:rFonts w:hint="eastAsia" w:ascii="宋体" w:hAnsi="宋体" w:cs="宋体"/>
        </w:rPr>
        <w:t xml:space="preserve">、评审方法：</w:t>
      </w:r>
      <w:r>
        <w:rPr>
          <w:rFonts w:hint="eastAsia" w:ascii="宋体" w:hAnsi="宋体" w:cs="宋体"/>
          <w:bCs/>
        </w:rPr>
        <w:t xml:space="preserve">综合评分法</w:t>
      </w:r>
      <w:r/>
    </w:p>
    <w:p>
      <w:pPr>
        <w:pStyle w:val="993"/>
        <w:spacing w:before="0" w:after="0"/>
        <w:rPr>
          <w:rFonts w:ascii="宋体" w:hAnsi="宋体" w:cs="宋体"/>
        </w:rPr>
      </w:pPr>
      <w:r>
        <w:rPr>
          <w:rFonts w:hint="eastAsia" w:ascii="宋体" w:hAnsi="宋体" w:cs="宋体"/>
        </w:rPr>
        <w:t xml:space="preserve">经磋商确定最终采购需求和提交最后报价的供应商后，由磋商小组采用综合评分法对提交最后报价的供应商的响应文件和最后报价进行综合评分。</w:t>
      </w:r>
      <w:r/>
    </w:p>
    <w:p>
      <w:pPr>
        <w:pStyle w:val="993"/>
        <w:spacing w:before="0" w:after="0"/>
        <w:rPr>
          <w:rFonts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w:t>
      </w:r>
      <w:r/>
    </w:p>
    <w:p>
      <w:pPr>
        <w:pStyle w:val="993"/>
        <w:spacing w:before="0" w:after="0"/>
        <w:rPr>
          <w:rFonts w:ascii="宋体" w:hAnsi="宋体" w:cs="宋体"/>
          <w:bCs/>
        </w:rPr>
      </w:pPr>
      <w:r>
        <w:rPr>
          <w:rFonts w:hint="eastAsia" w:ascii="宋体" w:hAnsi="宋体" w:cs="宋体"/>
          <w:bCs/>
        </w:rPr>
        <w:t xml:space="preserve">三、</w:t>
      </w:r>
      <w:r>
        <w:rPr>
          <w:rFonts w:hint="eastAsia" w:ascii="宋体" w:hAnsi="宋体" w:cs="宋体"/>
        </w:rPr>
        <w:t xml:space="preserve">评审</w:t>
      </w:r>
      <w:r>
        <w:rPr>
          <w:rFonts w:hint="eastAsia" w:ascii="宋体" w:hAnsi="宋体" w:cs="宋体"/>
          <w:bCs/>
        </w:rPr>
        <w:t xml:space="preserve">原则</w:t>
      </w:r>
      <w:r/>
    </w:p>
    <w:p>
      <w:pPr>
        <w:pStyle w:val="993"/>
        <w:spacing w:before="0" w:after="0"/>
        <w:rPr>
          <w:rFonts w:ascii="宋体" w:hAnsi="宋体" w:cs="宋体"/>
          <w:bCs/>
        </w:rPr>
      </w:pPr>
      <w:r>
        <w:rPr>
          <w:rFonts w:hint="eastAsia" w:ascii="宋体" w:hAnsi="宋体" w:cs="宋体"/>
        </w:rPr>
        <w:t xml:space="preserve">磋商小组</w:t>
      </w:r>
      <w:r>
        <w:rPr>
          <w:rFonts w:hint="eastAsia" w:ascii="宋体" w:hAnsi="宋体" w:cs="宋体"/>
          <w:bCs/>
        </w:rPr>
        <w:t xml:space="preserve">必须公平、公正、客观，不带任何倾向性和启发性；不得向外界透露任何与评审有关的内容；任何单位和个人不得干扰、影响评审的正常进行；</w:t>
      </w:r>
      <w:r>
        <w:rPr>
          <w:rFonts w:hint="eastAsia" w:ascii="宋体" w:hAnsi="宋体" w:cs="宋体"/>
        </w:rPr>
        <w:t xml:space="preserve">磋商小组</w:t>
      </w:r>
      <w:r>
        <w:rPr>
          <w:rFonts w:hint="eastAsia" w:ascii="宋体" w:hAnsi="宋体" w:cs="宋体"/>
          <w:bCs/>
        </w:rPr>
        <w:t xml:space="preserve">及有关工作人员不得私下与供应商接触。</w:t>
      </w:r>
      <w:r/>
    </w:p>
    <w:p>
      <w:pPr>
        <w:pStyle w:val="993"/>
        <w:spacing w:before="0" w:after="0"/>
        <w:rPr>
          <w:rFonts w:ascii="宋体" w:hAnsi="宋体" w:cs="宋体"/>
          <w:bCs/>
        </w:rPr>
      </w:pPr>
      <w:r>
        <w:rPr>
          <w:rFonts w:hint="eastAsia" w:ascii="宋体" w:hAnsi="宋体" w:cs="宋体"/>
          <w:bCs/>
        </w:rPr>
        <w:t xml:space="preserve">四、评审标准：</w:t>
      </w:r>
      <w:r/>
    </w:p>
    <w:p>
      <w:pPr>
        <w:pStyle w:val="993"/>
        <w:spacing w:before="0" w:after="0"/>
        <w:rPr>
          <w:rFonts w:ascii="宋体" w:hAnsi="宋体" w:cs="宋体"/>
          <w:bCs/>
        </w:rPr>
      </w:pPr>
      <w:r>
        <w:rPr>
          <w:rFonts w:hint="eastAsia" w:ascii="宋体" w:hAnsi="宋体" w:cs="宋体"/>
          <w:bCs/>
        </w:rPr>
        <w:t xml:space="preserve">（一）</w:t>
      </w:r>
      <w:r>
        <w:rPr>
          <w:rFonts w:hint="eastAsia" w:ascii="宋体"/>
          <w:bCs/>
        </w:rPr>
        <w:t xml:space="preserve">评审时，磋商小组以磋商文件为评审依据，磋商小组各成员独立对每个有效响应的文件进行评价、打分，然后汇总每个供应商每项评审因素的得分。</w:t>
      </w:r>
      <w:r/>
    </w:p>
    <w:p>
      <w:pPr>
        <w:pStyle w:val="775"/>
        <w:jc w:val="left"/>
        <w:rPr>
          <w:rFonts w:hint="eastAsia" w:ascii="宋体" w:hAnsi="宋体" w:eastAsia="宋体" w:cs="宋体"/>
          <w:bCs/>
          <w:sz w:val="24"/>
          <w:szCs w:val="24"/>
        </w:rPr>
      </w:pPr>
      <w:r>
        <w:rPr>
          <w:rFonts w:hint="eastAsia" w:ascii="宋体" w:hAnsi="宋体" w:eastAsia="宋体" w:cs="宋体"/>
          <w:bCs/>
          <w:sz w:val="24"/>
          <w:szCs w:val="24"/>
        </w:rPr>
        <w:t xml:space="preserve">（二）本项目评分总分为100分，按四舍五入取至小数点后两位。</w:t>
      </w:r>
      <w:r>
        <w:rPr>
          <w:rFonts w:hint="eastAsia" w:ascii="宋体" w:hAnsi="宋体" w:eastAsia="宋体" w:cs="宋体"/>
          <w:bCs/>
          <w:sz w:val="24"/>
          <w:szCs w:val="24"/>
        </w:rPr>
        <w:br/>
      </w:r>
      <w:r/>
    </w:p>
    <w:p>
      <w:pPr>
        <w:rPr>
          <w:rFonts w:hint="eastAsia" w:ascii="宋体" w:hAnsi="宋体" w:eastAsia="宋体" w:cs="宋体"/>
          <w:bCs/>
          <w:sz w:val="24"/>
          <w:szCs w:val="24"/>
        </w:rPr>
      </w:pPr>
      <w:r>
        <w:rPr>
          <w:rFonts w:hint="eastAsia" w:ascii="宋体" w:hAnsi="宋体" w:eastAsia="宋体" w:cs="宋体"/>
          <w:bCs/>
          <w:sz w:val="24"/>
          <w:szCs w:val="24"/>
        </w:rPr>
        <w:br w:type="page" w:clear="all"/>
      </w:r>
      <w:r/>
    </w:p>
    <w:p>
      <w:pPr>
        <w:pStyle w:val="775"/>
        <w:rPr>
          <w:rFonts w:hint="eastAsia" w:ascii="宋体" w:hAnsi="宋体" w:eastAsia="宋体" w:cs="宋体"/>
          <w:color w:val="auto"/>
          <w:highlight w:val="none"/>
        </w:rPr>
      </w:pPr>
      <w:r>
        <w:rPr>
          <w:rFonts w:hint="eastAsia" w:ascii="宋体" w:hAnsi="宋体" w:eastAsia="宋体" w:cs="宋体"/>
          <w:b/>
          <w:bCs w:val="0"/>
          <w:sz w:val="24"/>
          <w:szCs w:val="24"/>
          <w:lang w:val="en-US" w:eastAsia="zh-CN"/>
        </w:rPr>
        <w:t xml:space="preserve">采购包1：</w:t>
      </w:r>
      <w:r/>
    </w:p>
    <w:tbl>
      <w:tblPr>
        <w:tblStyle w:val="1045"/>
        <w:tblpPr w:horzAnchor="page" w:tblpX="1229" w:vertAnchor="page" w:tblpY="2715" w:leftFromText="180" w:topFromText="0" w:rightFromText="180" w:bottomFromText="0"/>
        <w:tblW w:w="97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4"/>
        <w:gridCol w:w="1158"/>
        <w:gridCol w:w="7537"/>
      </w:tblGrid>
      <w:tr>
        <w:trPr>
          <w:jc w:val="center"/>
          <w:trHeight w:val="590"/>
        </w:trPr>
        <w:tc>
          <w:tcPr>
            <w:tcW w:w="10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gridSpan w:val="2"/>
            <w:tcW w:w="869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jc w:val="center"/>
          <w:trHeight w:val="765"/>
        </w:trPr>
        <w:tc>
          <w:tcPr>
            <w:gridSpan w:val="3"/>
            <w:tcW w:w="9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采用综合评分法，满分100分，投标报价30分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技术部分</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商务部分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r>
      <w:tr>
        <w:trPr>
          <w:jc w:val="center"/>
          <w:trHeight w:val="2624"/>
        </w:trPr>
        <w:tc>
          <w:tcPr>
            <w:tcW w:w="10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gridSpan w:val="2"/>
            <w:tcW w:w="8695" w:type="dxa"/>
            <w:vAlign w:val="top"/>
            <w:textDirection w:val="lrTb"/>
            <w:noWrap w:val="false"/>
          </w:tcPr>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rPr>
              <w:t xml:space="preserve">价格分采用低价优先法计算，即满足招标文件要求且投标价格最低的投标报价为评标基准价，其价格分为满分。  </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其他供应商的价格分统一按照下列公式计算：投标报价得分=(评标基准价/投标报价)×30</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注：分值计算保留两位小数。根据“财政部令第87号”第六十条的规定：评标委员会认为供应商的报价明显低于其他通过符合性审查供应商的报价，有可能影响产品质 量或者不能诚信履约的，应当要求其在评标现场合理的时间内提供书面说明，必要时提交相关证明材料；供应商不能证明其报价合理性的，评标委员会应当将其作投标无效处理。</w:t>
            </w:r>
            <w:r/>
          </w:p>
        </w:tc>
      </w:tr>
      <w:tr>
        <w:trPr>
          <w:jc w:val="center"/>
          <w:trHeight w:val="1109"/>
        </w:trPr>
        <w:tc>
          <w:tcPr>
            <w:tcBorders>
              <w:bottom w:val="none" w:color="000000" w:sz="4" w:space="0"/>
            </w:tcBorders>
            <w:tcW w:w="1024"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分)</w:t>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供货质量保证措施 ( </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 )</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根据投标人所报投标文件中供货质量保证措施进行综合评定，满分</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分；质量保证措施好的，得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分；较好的得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分，一般的，得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分；未提供或其他情况不得分。</w:t>
            </w:r>
            <w:r/>
          </w:p>
        </w:tc>
      </w:tr>
      <w:tr>
        <w:trPr>
          <w:jc w:val="center"/>
          <w:trHeight w:val="2576"/>
        </w:trPr>
        <w:tc>
          <w:tcPr>
            <w:tcBorders>
              <w:top w:val="none" w:color="000000" w:sz="4" w:space="0"/>
              <w:bottom w:val="none" w:color="000000" w:sz="4" w:space="0"/>
            </w:tcBorders>
            <w:tcW w:w="1024"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技术指导实施方案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技术指导方案包含（但不限于）①指导培训的内容、②现场指导方案的流程、③特殊情况的处理、④本项目技术针对性的指导、⑤专业性指导人员的经验及能力；要求内容完整、合理、可行性强。方案切实可行且无瑕疵得10分；未提供得0分。</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09"/>
        </w:trPr>
        <w:tc>
          <w:tcPr>
            <w:tcBorders>
              <w:top w:val="none" w:color="000000" w:sz="4" w:space="0"/>
              <w:bottom w:val="none" w:color="000000" w:sz="4" w:space="0"/>
            </w:tcBorders>
            <w:tcW w:w="10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售后服务计划、措施：针对该项目须有详尽的组织配送、验收、售后等方面的服务计划、能力、措施。服务计划、措施好的，得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分；较好的得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分；未提供或其他情况不得分。</w:t>
            </w:r>
            <w:r/>
          </w:p>
        </w:tc>
      </w:tr>
      <w:tr>
        <w:trPr>
          <w:jc w:val="center"/>
          <w:trHeight w:val="1834"/>
        </w:trPr>
        <w:tc>
          <w:tcPr>
            <w:tcBorders>
              <w:top w:val="none" w:color="000000" w:sz="4" w:space="0"/>
              <w:bottom w:val="none" w:color="000000" w:sz="4" w:space="0"/>
            </w:tcBorders>
            <w:tcW w:w="10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应急方案（</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1、提供的应急方案内容不存在瑕疵得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2、提供的应急方案内容存在1处瑕疵得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3、提供的应急方案内容存在2处瑕疵得4分；</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4、提供的应急方案内容存在3处瑕疵得1分；</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5、未提供方案或不满足项目需求或内容存在4处及以上瑕疵得0分。</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834"/>
        </w:trPr>
        <w:tc>
          <w:tcPr>
            <w:tcBorders>
              <w:top w:val="none" w:color="000000" w:sz="4" w:space="0"/>
              <w:bottom w:val="none" w:color="000000" w:sz="4" w:space="0"/>
            </w:tcBorders>
            <w:tcW w:w="102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宣传方案（4分）</w:t>
            </w:r>
            <w:r/>
          </w:p>
        </w:tc>
        <w:tc>
          <w:tcPr>
            <w:tcW w:w="7537" w:type="dxa"/>
            <w:vAlign w:val="center"/>
            <w:textDirection w:val="lrTb"/>
            <w:noWrap w:val="false"/>
          </w:tcPr>
          <w:p>
            <w:pPr>
              <w:jc w:val="both"/>
              <w:spacing w:line="360" w:lineRule="auto"/>
              <w:rPr>
                <w:rFonts w:hint="default" w:ascii="宋体" w:hAnsi="宋体" w:cs="宋体"/>
                <w:color w:val="ff0000"/>
                <w:szCs w:val="21"/>
                <w:highlight w:val="yellow"/>
                <w:lang w:val="en-US" w:eastAsia="zh-CN"/>
              </w:rPr>
            </w:pPr>
            <w:r>
              <w:rPr>
                <w:rFonts w:hint="eastAsia" w:ascii="宋体" w:hAnsi="宋体" w:cs="宋体"/>
                <w:color w:val="auto"/>
                <w:sz w:val="21"/>
                <w:szCs w:val="21"/>
                <w:highlight w:val="none"/>
                <w:lang w:val="en-US" w:eastAsia="zh-CN"/>
              </w:rPr>
              <w:t xml:space="preserve">投标人根据本项目实际情况提供宣传材料，</w:t>
            </w:r>
            <w:r>
              <w:rPr>
                <w:rFonts w:hint="eastAsia" w:ascii="宋体" w:hAnsi="宋体" w:eastAsia="宋体" w:cs="宋体"/>
                <w:color w:val="auto"/>
                <w:szCs w:val="21"/>
                <w:highlight w:val="yellow"/>
              </w:rPr>
              <w:t xml:space="preserve">每吨</w:t>
            </w:r>
            <w:r>
              <w:rPr>
                <w:rFonts w:hint="eastAsia" w:ascii="宋体" w:hAnsi="宋体" w:cs="宋体"/>
                <w:color w:val="auto"/>
                <w:szCs w:val="21"/>
                <w:highlight w:val="yellow"/>
                <w:lang w:val="en-US" w:eastAsia="zh-CN"/>
              </w:rPr>
              <w:t xml:space="preserve">须</w:t>
            </w:r>
            <w:r>
              <w:rPr>
                <w:rFonts w:hint="eastAsia" w:ascii="宋体" w:hAnsi="宋体" w:eastAsia="宋体" w:cs="宋体"/>
                <w:color w:val="auto"/>
                <w:szCs w:val="21"/>
                <w:highlight w:val="yellow"/>
              </w:rPr>
              <w:t xml:space="preserve">配套地膜</w:t>
            </w:r>
            <w:r>
              <w:rPr>
                <w:rFonts w:hint="eastAsia" w:ascii="宋体" w:hAnsi="宋体" w:cs="宋体"/>
                <w:color w:val="auto"/>
                <w:szCs w:val="21"/>
                <w:highlight w:val="yellow"/>
                <w:lang w:val="en-US" w:eastAsia="zh-CN"/>
              </w:rPr>
              <w:t xml:space="preserve">科学</w:t>
            </w:r>
            <w:r>
              <w:rPr>
                <w:rFonts w:hint="eastAsia" w:ascii="宋体" w:hAnsi="宋体" w:eastAsia="宋体" w:cs="宋体"/>
                <w:color w:val="auto"/>
                <w:szCs w:val="21"/>
                <w:highlight w:val="yellow"/>
              </w:rPr>
              <w:t xml:space="preserve">使用回收</w:t>
            </w:r>
            <w:r>
              <w:rPr>
                <w:rFonts w:hint="eastAsia" w:ascii="宋体" w:hAnsi="宋体" w:cs="宋体"/>
                <w:color w:val="auto"/>
                <w:szCs w:val="21"/>
                <w:highlight w:val="yellow"/>
                <w:lang w:val="en-US" w:eastAsia="zh-CN"/>
              </w:rPr>
              <w:t xml:space="preserve">等公益性</w:t>
            </w:r>
            <w:r>
              <w:rPr>
                <w:rFonts w:hint="eastAsia" w:ascii="宋体" w:hAnsi="宋体" w:eastAsia="宋体" w:cs="宋体"/>
                <w:color w:val="auto"/>
                <w:szCs w:val="21"/>
                <w:highlight w:val="yellow"/>
              </w:rPr>
              <w:t xml:space="preserve">宣传材料</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如扑克牌，茶杯，宣传彩页等</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宣传材料须提供具体数量。</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1、提供的</w:t>
            </w:r>
            <w:r>
              <w:rPr>
                <w:rFonts w:hint="eastAsia" w:ascii="宋体" w:hAnsi="宋体" w:cs="宋体"/>
                <w:color w:val="auto"/>
                <w:sz w:val="21"/>
                <w:szCs w:val="21"/>
                <w:highlight w:val="none"/>
                <w:lang w:val="en-US" w:eastAsia="zh-CN"/>
              </w:rPr>
              <w:t xml:space="preserve">宣传材料及品种内容切合实际，优</w:t>
            </w:r>
            <w:r>
              <w:rPr>
                <w:rFonts w:hint="eastAsia" w:ascii="宋体" w:hAnsi="宋体" w:eastAsia="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2、提供的</w:t>
            </w:r>
            <w:r>
              <w:rPr>
                <w:rFonts w:hint="eastAsia" w:ascii="宋体" w:hAnsi="宋体" w:cs="宋体"/>
                <w:color w:val="auto"/>
                <w:sz w:val="21"/>
                <w:szCs w:val="21"/>
                <w:highlight w:val="none"/>
                <w:lang w:val="en-US" w:eastAsia="zh-CN"/>
              </w:rPr>
              <w:t xml:space="preserve">宣传材料及品种内容切合实际，良</w:t>
            </w:r>
            <w:r>
              <w:rPr>
                <w:rFonts w:hint="eastAsia" w:ascii="宋体" w:hAnsi="宋体" w:eastAsia="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p>
          <w:p>
            <w:pPr>
              <w:jc w:val="both"/>
              <w:spacing w:line="360" w:lineRule="auto"/>
              <w:rPr>
                <w:rFonts w:hint="default" w:ascii="宋体" w:hAnsi="宋体" w:cs="宋体"/>
                <w:color w:val="ff0000"/>
                <w:szCs w:val="21"/>
                <w:highlight w:val="yellow"/>
                <w:lang w:val="en-US" w:eastAsia="zh-CN"/>
              </w:rPr>
            </w:pPr>
            <w:r>
              <w:rPr>
                <w:rFonts w:hint="eastAsia" w:ascii="宋体" w:hAnsi="宋体" w:eastAsia="宋体" w:cs="宋体"/>
                <w:color w:val="auto"/>
                <w:sz w:val="21"/>
                <w:szCs w:val="21"/>
                <w:highlight w:val="none"/>
                <w:lang w:eastAsia="zh-CN"/>
              </w:rPr>
              <w:t xml:space="preserve">3、提供的</w:t>
            </w:r>
            <w:r>
              <w:rPr>
                <w:rFonts w:hint="eastAsia" w:ascii="宋体" w:hAnsi="宋体" w:cs="宋体"/>
                <w:color w:val="auto"/>
                <w:sz w:val="21"/>
                <w:szCs w:val="21"/>
                <w:highlight w:val="none"/>
                <w:lang w:val="en-US" w:eastAsia="zh-CN"/>
              </w:rPr>
              <w:t xml:space="preserve">宣传材料及品种内容切合实际，一般</w:t>
            </w:r>
            <w:r>
              <w:rPr>
                <w:rFonts w:hint="eastAsia" w:ascii="宋体" w:hAnsi="宋体" w:eastAsia="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tc>
      </w:tr>
      <w:tr>
        <w:trPr>
          <w:jc w:val="center"/>
          <w:trHeight w:val="797"/>
        </w:trPr>
        <w:tc>
          <w:tcPr>
            <w:tcW w:w="1024"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 </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分)</w:t>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人员配置</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分 )</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供货时需</w:t>
            </w:r>
            <w:r>
              <w:rPr>
                <w:rFonts w:hint="eastAsia" w:ascii="宋体" w:hAnsi="宋体" w:eastAsia="宋体" w:cs="宋体"/>
                <w:color w:val="auto"/>
                <w:sz w:val="21"/>
                <w:szCs w:val="21"/>
                <w:highlight w:val="none"/>
              </w:rPr>
              <w:t xml:space="preserve">有科学、具体的技术指导，必须配置技术指导人员农业专家至少1名，</w:t>
            </w:r>
            <w:r>
              <w:rPr>
                <w:rFonts w:hint="eastAsia" w:ascii="宋体" w:hAnsi="宋体" w:eastAsia="宋体" w:cs="宋体"/>
                <w:color w:val="auto"/>
                <w:sz w:val="21"/>
                <w:szCs w:val="21"/>
                <w:highlight w:val="none"/>
                <w:lang w:val="en-US" w:eastAsia="zh-CN"/>
              </w:rPr>
              <w:t xml:space="preserve">高级职称</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中级职称</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初级职称</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分；未提供</w:t>
            </w:r>
            <w:r>
              <w:rPr>
                <w:rFonts w:hint="eastAsia" w:ascii="宋体" w:hAnsi="宋体" w:eastAsia="宋体" w:cs="宋体"/>
                <w:color w:val="auto"/>
                <w:sz w:val="21"/>
                <w:szCs w:val="21"/>
                <w:highlight w:val="none"/>
                <w:lang w:val="en-US" w:eastAsia="zh-CN"/>
              </w:rPr>
              <w:t xml:space="preserve">相关材料</w:t>
            </w:r>
            <w:r>
              <w:rPr>
                <w:rFonts w:hint="eastAsia" w:ascii="宋体" w:hAnsi="宋体" w:eastAsia="宋体" w:cs="宋体"/>
                <w:color w:val="auto"/>
                <w:sz w:val="21"/>
                <w:szCs w:val="21"/>
                <w:highlight w:val="none"/>
              </w:rPr>
              <w:t xml:space="preserve">不得分。</w:t>
            </w:r>
            <w:r/>
          </w:p>
        </w:tc>
      </w:tr>
      <w:tr>
        <w:trPr>
          <w:jc w:val="center"/>
          <w:trHeight w:val="1109"/>
        </w:trPr>
        <w:tc>
          <w:tcPr>
            <w:tcW w:w="1024"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分 )</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产品生产厂家或经销商</w:t>
            </w:r>
            <w:r>
              <w:rPr>
                <w:rFonts w:hint="eastAsia" w:ascii="宋体" w:hAnsi="宋体" w:eastAsia="宋体" w:cs="宋体"/>
                <w:color w:val="auto"/>
                <w:sz w:val="21"/>
                <w:szCs w:val="21"/>
                <w:highlight w:val="none"/>
              </w:rPr>
              <w:t xml:space="preserve">提供202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年1月1日以来所投标产品的</w:t>
            </w:r>
            <w:r>
              <w:rPr>
                <w:rFonts w:hint="eastAsia" w:ascii="宋体" w:hAnsi="宋体" w:cs="宋体"/>
                <w:color w:val="ff0000"/>
                <w:sz w:val="21"/>
                <w:szCs w:val="21"/>
                <w:highlight w:val="none"/>
                <w:lang w:val="en-US" w:eastAsia="zh-CN"/>
              </w:rPr>
              <w:t xml:space="preserve">政府采购</w:t>
            </w:r>
            <w:r>
              <w:rPr>
                <w:rFonts w:hint="eastAsia" w:ascii="宋体" w:hAnsi="宋体" w:eastAsia="宋体" w:cs="宋体"/>
                <w:color w:val="auto"/>
                <w:sz w:val="21"/>
                <w:szCs w:val="21"/>
                <w:highlight w:val="none"/>
              </w:rPr>
              <w:t xml:space="preserve">成功案例合同，每份得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最多得10</w:t>
            </w:r>
            <w:r>
              <w:rPr>
                <w:rFonts w:hint="eastAsia" w:ascii="宋体" w:hAnsi="宋体" w:eastAsia="宋体" w:cs="宋体"/>
                <w:color w:val="auto"/>
                <w:sz w:val="21"/>
                <w:szCs w:val="21"/>
                <w:highlight w:val="none"/>
              </w:rPr>
              <w:t xml:space="preserve">分。(须在投标文件中提供中标通知书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相关合同扫描件</w:t>
            </w:r>
            <w:r>
              <w:rPr>
                <w:rFonts w:hint="eastAsia" w:ascii="宋体" w:hAnsi="宋体" w:eastAsia="宋体" w:cs="宋体"/>
                <w:color w:val="auto"/>
                <w:sz w:val="21"/>
                <w:szCs w:val="21"/>
                <w:highlight w:val="none"/>
                <w:lang w:val="en-US" w:eastAsia="zh-CN"/>
              </w:rPr>
              <w:t xml:space="preserve">及中标结果公示网站截图</w:t>
            </w:r>
            <w:r>
              <w:rPr>
                <w:rFonts w:hint="eastAsia" w:ascii="宋体" w:hAnsi="宋体" w:eastAsia="宋体" w:cs="宋体"/>
                <w:color w:val="auto"/>
                <w:sz w:val="21"/>
                <w:szCs w:val="21"/>
                <w:highlight w:val="none"/>
              </w:rPr>
              <w:t xml:space="preserve">，否则此项不得分)</w:t>
            </w:r>
            <w:r/>
          </w:p>
        </w:tc>
      </w:tr>
      <w:tr>
        <w:trPr>
          <w:jc w:val="center"/>
          <w:trHeight w:val="1002"/>
        </w:trPr>
        <w:tc>
          <w:tcPr>
            <w:tcW w:w="1024"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发明专利</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7537"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具有与本项目招标货物相关的有效专利证书，每提供一个得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分。(须在投标文件中提供相关证明文件扫描件，否则此项不得分 )</w:t>
            </w:r>
            <w:r/>
          </w:p>
        </w:tc>
      </w:tr>
    </w:tbl>
    <w:p>
      <w:pP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br w:type="page" w:clear="all"/>
      </w:r>
      <w:r/>
    </w:p>
    <w:p>
      <w:pPr>
        <w:pStyle w:val="792"/>
        <w:spacing w:line="360" w:lineRule="auto"/>
        <w:widowControl w:val="off"/>
        <w:tabs>
          <w:tab w:val="left" w:pos="720" w:leader="none"/>
          <w:tab w:val="clear" w:pos="916" w:leader="none"/>
        </w:tabs>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采购包2：</w:t>
      </w:r>
      <w:r/>
    </w:p>
    <w:tbl>
      <w:tblPr>
        <w:tblStyle w:val="1045"/>
        <w:tblpPr w:horzAnchor="page" w:tblpXSpec="center" w:vertAnchor="page" w:tblpY="11095" w:leftFromText="180" w:topFromText="0" w:rightFromText="180" w:bottomFromText="0"/>
        <w:tblW w:w="9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1"/>
        <w:gridCol w:w="1156"/>
        <w:gridCol w:w="7522"/>
      </w:tblGrid>
      <w:tr>
        <w:trPr>
          <w:jc w:val="center"/>
          <w:trHeight w:val="649"/>
        </w:trPr>
        <w:tc>
          <w:tcPr>
            <w:tcW w:w="1021"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gridSpan w:val="2"/>
            <w:tcW w:w="86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jc w:val="center"/>
          <w:trHeight w:val="612"/>
        </w:trPr>
        <w:tc>
          <w:tcPr>
            <w:gridSpan w:val="3"/>
            <w:tcW w:w="969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采用综合评分法，满分100分，投标报价30分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技术部分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商务部分</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0分</w:t>
            </w:r>
            <w:r/>
          </w:p>
        </w:tc>
      </w:tr>
      <w:tr>
        <w:trPr>
          <w:jc w:val="center"/>
          <w:trHeight w:val="2885"/>
        </w:trPr>
        <w:tc>
          <w:tcPr>
            <w:tcW w:w="10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gridSpan w:val="2"/>
            <w:tcW w:w="8678" w:type="dxa"/>
            <w:vAlign w:val="top"/>
            <w:textDirection w:val="lrTb"/>
            <w:noWrap w:val="false"/>
          </w:tcPr>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w:t>
            </w:r>
            <w:r>
              <w:rPr>
                <w:rFonts w:hint="eastAsia" w:ascii="宋体" w:hAnsi="宋体" w:eastAsia="宋体" w:cs="宋体"/>
                <w:color w:val="auto"/>
                <w:sz w:val="21"/>
                <w:szCs w:val="21"/>
                <w:highlight w:val="none"/>
              </w:rPr>
              <w:t xml:space="preserve">价格分采用低价优先法计算，即满足招标文件要求且投标价格最低的投标报价为评标基准价，其价格分为满分。  </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其他供应商的价格分统一按照下列公式计算：投标报价得分=(评标基准价/投标报价)×30</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注：分值计算保留两位小数。根据“财政部令第87号”第六十条的规定：评标委员会认为供应商的报价明显低于其他通过符合性审查供应商的报价，有可能影响产品质 量或者不能诚信履约的，应当要求其在评标现场合理的时间内提供书面说明，必要时提交相关证明材料；供应商不能证明其报价合理性的，评标委员会应当将其作投标无效处理。</w:t>
            </w:r>
            <w:r/>
          </w:p>
        </w:tc>
      </w:tr>
      <w:tr>
        <w:trPr>
          <w:jc w:val="center"/>
          <w:trHeight w:val="1220"/>
        </w:trPr>
        <w:tc>
          <w:tcPr>
            <w:tcBorders>
              <w:bottom w:val="none" w:color="000000" w:sz="4" w:space="0"/>
            </w:tcBorders>
            <w:tcW w:w="1021"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分)</w:t>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供货质量保证措施 ( 5 分 )</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根据投标人所报投标文件中供货质量保证措施进行综合评定，满分</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分；质量保证措施好的，得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分；较好的得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分，一般的，得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分；未提供或其他情况不得分。</w:t>
            </w:r>
            <w:r/>
          </w:p>
        </w:tc>
      </w:tr>
      <w:tr>
        <w:trPr>
          <w:jc w:val="center"/>
          <w:trHeight w:val="1220"/>
        </w:trPr>
        <w:tc>
          <w:tcPr>
            <w:tcBorders>
              <w:top w:val="none" w:color="000000" w:sz="4" w:space="0"/>
              <w:bottom w:val="none" w:color="000000" w:sz="4" w:space="0"/>
            </w:tcBorders>
            <w:tcW w:w="102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技术指导实施方案 (</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供货时需</w:t>
            </w:r>
            <w:r>
              <w:rPr>
                <w:rFonts w:hint="eastAsia" w:ascii="宋体" w:hAnsi="宋体" w:eastAsia="宋体" w:cs="宋体"/>
                <w:color w:val="auto"/>
                <w:sz w:val="21"/>
                <w:szCs w:val="21"/>
                <w:highlight w:val="none"/>
              </w:rPr>
              <w:t xml:space="preserve">有科学、具体的技术指导，必须配置技术指导人员农业专家至少1名，</w:t>
            </w:r>
            <w:r>
              <w:rPr>
                <w:rFonts w:hint="eastAsia" w:ascii="宋体" w:hAnsi="宋体" w:eastAsia="宋体" w:cs="宋体"/>
                <w:color w:val="auto"/>
                <w:sz w:val="21"/>
                <w:szCs w:val="21"/>
                <w:highlight w:val="none"/>
                <w:lang w:val="en-US" w:eastAsia="zh-CN"/>
              </w:rPr>
              <w:t xml:space="preserve">高级职称</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中级职称</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初级职称</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w:t>
            </w:r>
            <w:r>
              <w:rPr>
                <w:rFonts w:hint="eastAsia" w:ascii="宋体" w:hAnsi="宋体" w:eastAsia="宋体" w:cs="宋体"/>
                <w:color w:val="auto"/>
                <w:sz w:val="21"/>
                <w:szCs w:val="21"/>
                <w:highlight w:val="none"/>
                <w:lang w:val="en-US" w:eastAsia="zh-CN"/>
              </w:rPr>
              <w:t xml:space="preserve">相关材料</w:t>
            </w:r>
            <w:r>
              <w:rPr>
                <w:rFonts w:hint="eastAsia" w:ascii="宋体" w:hAnsi="宋体" w:eastAsia="宋体" w:cs="宋体"/>
                <w:color w:val="auto"/>
                <w:sz w:val="21"/>
                <w:szCs w:val="21"/>
                <w:highlight w:val="none"/>
              </w:rPr>
              <w:t xml:space="preserve">不得分。</w:t>
            </w:r>
            <w:r/>
          </w:p>
        </w:tc>
      </w:tr>
      <w:tr>
        <w:trPr>
          <w:jc w:val="center"/>
          <w:trHeight w:val="2430"/>
        </w:trPr>
        <w:tc>
          <w:tcPr>
            <w:tcBorders>
              <w:top w:val="none" w:color="000000" w:sz="4" w:space="0"/>
              <w:bottom w:val="none" w:color="000000" w:sz="4" w:space="0"/>
            </w:tcBorders>
            <w:tcW w:w="1021" w:type="dxa"/>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货物性能及技术指标响应</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1.投标产品须为全生物降解地膜材料，提供不含有任何形态的聚乙烯 (PE)或聚烯烃类等不可生物降解材料的证明，得5分。(证明材料需为省级以上具有相关资质的检测机构，没有检测报告不得分。)</w:t>
            </w:r>
            <w:r/>
          </w:p>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2.投标产品的技术参数，完全满足招标文件的，功能及其他参数不低于采购参数的得5分，不符合要求的项每项扣2 分，扣完为止。本项技术指标得分为零作无效投标处理。</w:t>
            </w:r>
            <w:r/>
          </w:p>
        </w:tc>
      </w:tr>
      <w:tr>
        <w:trPr>
          <w:jc w:val="center"/>
          <w:trHeight w:val="1646"/>
        </w:trPr>
        <w:tc>
          <w:tcPr>
            <w:tcBorders>
              <w:top w:val="none" w:color="000000" w:sz="4" w:space="0"/>
              <w:bottom w:val="none" w:color="000000" w:sz="4" w:space="0"/>
            </w:tcBorders>
            <w:tcW w:w="10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售后服务计划、措施：针对该项目须有详尽的组织配送、验收、售后等方面的服务计划、能力、措施。服务计划、措施好的，得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分；较好的得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分；未提供或其他情况不得分。</w:t>
            </w:r>
            <w:r/>
          </w:p>
        </w:tc>
      </w:tr>
      <w:tr>
        <w:trPr>
          <w:jc w:val="center"/>
          <w:trHeight w:val="1646"/>
        </w:trPr>
        <w:tc>
          <w:tcPr>
            <w:tcBorders>
              <w:top w:val="none" w:color="000000" w:sz="4" w:space="0"/>
              <w:bottom w:val="none" w:color="000000" w:sz="4" w:space="0"/>
            </w:tcBorders>
            <w:tcW w:w="102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宣传方案（4分）</w:t>
            </w:r>
            <w:r/>
          </w:p>
        </w:tc>
        <w:tc>
          <w:tcPr>
            <w:tcW w:w="7522" w:type="dxa"/>
            <w:vAlign w:val="center"/>
            <w:textDirection w:val="lrTb"/>
            <w:noWrap w:val="false"/>
          </w:tcPr>
          <w:p>
            <w:pPr>
              <w:jc w:val="both"/>
              <w:spacing w:line="360" w:lineRule="auto"/>
              <w:rPr>
                <w:rFonts w:hint="default" w:ascii="宋体" w:hAnsi="宋体" w:cs="宋体"/>
                <w:color w:val="ff0000"/>
                <w:szCs w:val="21"/>
                <w:highlight w:val="yellow"/>
                <w:lang w:val="en-US" w:eastAsia="zh-CN"/>
              </w:rPr>
            </w:pPr>
            <w:r>
              <w:rPr>
                <w:rFonts w:hint="eastAsia" w:ascii="宋体" w:hAnsi="宋体" w:cs="宋体"/>
                <w:color w:val="auto"/>
                <w:sz w:val="21"/>
                <w:szCs w:val="21"/>
                <w:highlight w:val="none"/>
                <w:lang w:val="en-US" w:eastAsia="zh-CN"/>
              </w:rPr>
              <w:t xml:space="preserve">投标人根据本项目实际情况提供宣传材料，</w:t>
            </w:r>
            <w:r>
              <w:rPr>
                <w:rFonts w:hint="eastAsia" w:ascii="宋体" w:hAnsi="宋体" w:eastAsia="宋体" w:cs="宋体"/>
                <w:color w:val="auto"/>
                <w:szCs w:val="21"/>
                <w:highlight w:val="yellow"/>
              </w:rPr>
              <w:t xml:space="preserve">每吨</w:t>
            </w:r>
            <w:r>
              <w:rPr>
                <w:rFonts w:hint="eastAsia" w:ascii="宋体" w:hAnsi="宋体" w:cs="宋体"/>
                <w:color w:val="auto"/>
                <w:szCs w:val="21"/>
                <w:highlight w:val="yellow"/>
                <w:lang w:val="en-US" w:eastAsia="zh-CN"/>
              </w:rPr>
              <w:t xml:space="preserve">须</w:t>
            </w:r>
            <w:r>
              <w:rPr>
                <w:rFonts w:hint="eastAsia" w:ascii="宋体" w:hAnsi="宋体" w:eastAsia="宋体" w:cs="宋体"/>
                <w:color w:val="auto"/>
                <w:szCs w:val="21"/>
                <w:highlight w:val="yellow"/>
              </w:rPr>
              <w:t xml:space="preserve">配套地膜</w:t>
            </w:r>
            <w:r>
              <w:rPr>
                <w:rFonts w:hint="eastAsia" w:ascii="宋体" w:hAnsi="宋体" w:cs="宋体"/>
                <w:color w:val="auto"/>
                <w:szCs w:val="21"/>
                <w:highlight w:val="yellow"/>
                <w:lang w:val="en-US" w:eastAsia="zh-CN"/>
              </w:rPr>
              <w:t xml:space="preserve">科学</w:t>
            </w:r>
            <w:r>
              <w:rPr>
                <w:rFonts w:hint="eastAsia" w:ascii="宋体" w:hAnsi="宋体" w:eastAsia="宋体" w:cs="宋体"/>
                <w:color w:val="auto"/>
                <w:szCs w:val="21"/>
                <w:highlight w:val="yellow"/>
              </w:rPr>
              <w:t xml:space="preserve">使用回收</w:t>
            </w:r>
            <w:r>
              <w:rPr>
                <w:rFonts w:hint="eastAsia" w:ascii="宋体" w:hAnsi="宋体" w:cs="宋体"/>
                <w:color w:val="auto"/>
                <w:szCs w:val="21"/>
                <w:highlight w:val="yellow"/>
                <w:lang w:val="en-US" w:eastAsia="zh-CN"/>
              </w:rPr>
              <w:t xml:space="preserve">等公益性</w:t>
            </w:r>
            <w:r>
              <w:rPr>
                <w:rFonts w:hint="eastAsia" w:ascii="宋体" w:hAnsi="宋体" w:eastAsia="宋体" w:cs="宋体"/>
                <w:color w:val="auto"/>
                <w:szCs w:val="21"/>
                <w:highlight w:val="yellow"/>
              </w:rPr>
              <w:t xml:space="preserve">宣传材料</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如扑克牌，茶杯，宣传彩页等</w:t>
            </w:r>
            <w:r>
              <w:rPr>
                <w:rFonts w:hint="eastAsia" w:ascii="宋体" w:hAnsi="宋体" w:cs="宋体"/>
                <w:color w:val="ff0000"/>
                <w:szCs w:val="21"/>
                <w:highlight w:val="yellow"/>
                <w:lang w:eastAsia="zh-CN"/>
              </w:rPr>
              <w:t xml:space="preserve">），</w:t>
            </w:r>
            <w:r>
              <w:rPr>
                <w:rFonts w:hint="eastAsia" w:ascii="宋体" w:hAnsi="宋体" w:cs="宋体"/>
                <w:color w:val="ff0000"/>
                <w:szCs w:val="21"/>
                <w:highlight w:val="yellow"/>
                <w:lang w:val="en-US" w:eastAsia="zh-CN"/>
              </w:rPr>
              <w:t xml:space="preserve">宣传材料须提供具体数量。</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1、提供的</w:t>
            </w:r>
            <w:r>
              <w:rPr>
                <w:rFonts w:hint="eastAsia" w:ascii="宋体" w:hAnsi="宋体" w:cs="宋体"/>
                <w:color w:val="auto"/>
                <w:sz w:val="21"/>
                <w:szCs w:val="21"/>
                <w:highlight w:val="none"/>
                <w:lang w:val="en-US" w:eastAsia="zh-CN"/>
              </w:rPr>
              <w:t xml:space="preserve">宣传材料及品种内容切合实际，优</w:t>
            </w:r>
            <w:r>
              <w:rPr>
                <w:rFonts w:hint="eastAsia" w:ascii="宋体" w:hAnsi="宋体" w:eastAsia="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w:t>
            </w:r>
            <w:r/>
          </w:p>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2、提供的</w:t>
            </w:r>
            <w:r>
              <w:rPr>
                <w:rFonts w:hint="eastAsia" w:ascii="宋体" w:hAnsi="宋体" w:cs="宋体"/>
                <w:color w:val="auto"/>
                <w:sz w:val="21"/>
                <w:szCs w:val="21"/>
                <w:highlight w:val="none"/>
                <w:lang w:val="en-US" w:eastAsia="zh-CN"/>
              </w:rPr>
              <w:t xml:space="preserve">宣传材料及品种内容切合实际，良</w:t>
            </w:r>
            <w:r>
              <w:rPr>
                <w:rFonts w:hint="eastAsia" w:ascii="宋体" w:hAnsi="宋体" w:eastAsia="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3、提供的</w:t>
            </w:r>
            <w:r>
              <w:rPr>
                <w:rFonts w:hint="eastAsia" w:ascii="宋体" w:hAnsi="宋体" w:cs="宋体"/>
                <w:color w:val="auto"/>
                <w:sz w:val="21"/>
                <w:szCs w:val="21"/>
                <w:highlight w:val="none"/>
                <w:lang w:val="en-US" w:eastAsia="zh-CN"/>
              </w:rPr>
              <w:t xml:space="preserve">宣传材料及品种内容切合实际，一般</w:t>
            </w:r>
            <w:r>
              <w:rPr>
                <w:rFonts w:hint="eastAsia" w:ascii="宋体" w:hAnsi="宋体" w:eastAsia="宋体" w:cs="宋体"/>
                <w:color w:val="auto"/>
                <w:sz w:val="21"/>
                <w:szCs w:val="21"/>
                <w:highlight w:val="none"/>
                <w:lang w:eastAsia="zh-CN"/>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p>
        </w:tc>
      </w:tr>
      <w:tr>
        <w:trPr>
          <w:jc w:val="center"/>
          <w:trHeight w:val="1232"/>
        </w:trPr>
        <w:tc>
          <w:tcPr>
            <w:tcW w:w="1021" w:type="dxa"/>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 </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rPr>
              <w:t xml:space="preserve">分)</w:t>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业绩(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分 )</w:t>
            </w:r>
            <w:r/>
          </w:p>
        </w:tc>
        <w:tc>
          <w:tcPr>
            <w:tcW w:w="7522"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产品生产厂家或经销商</w:t>
            </w:r>
            <w:r>
              <w:rPr>
                <w:rFonts w:hint="eastAsia" w:ascii="宋体" w:hAnsi="宋体" w:eastAsia="宋体" w:cs="宋体"/>
                <w:color w:val="auto"/>
                <w:sz w:val="21"/>
                <w:szCs w:val="21"/>
                <w:highlight w:val="none"/>
              </w:rPr>
              <w:t xml:space="preserve">提供202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年1月1日以来所投标产品的</w:t>
            </w:r>
            <w:r>
              <w:rPr>
                <w:rFonts w:hint="eastAsia" w:ascii="宋体" w:hAnsi="宋体" w:cs="宋体"/>
                <w:color w:val="ff0000"/>
                <w:sz w:val="21"/>
                <w:szCs w:val="21"/>
                <w:highlight w:val="none"/>
                <w:lang w:val="en-US" w:eastAsia="zh-CN"/>
              </w:rPr>
              <w:t xml:space="preserve">类似</w:t>
            </w:r>
            <w:r>
              <w:rPr>
                <w:rFonts w:hint="eastAsia" w:ascii="宋体" w:hAnsi="宋体" w:eastAsia="宋体" w:cs="宋体"/>
                <w:color w:val="auto"/>
                <w:sz w:val="21"/>
                <w:szCs w:val="21"/>
                <w:highlight w:val="none"/>
              </w:rPr>
              <w:t xml:space="preserve">合同，每份得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最多得10</w:t>
            </w:r>
            <w:r>
              <w:rPr>
                <w:rFonts w:hint="eastAsia" w:ascii="宋体" w:hAnsi="宋体" w:eastAsia="宋体" w:cs="宋体"/>
                <w:color w:val="auto"/>
                <w:sz w:val="21"/>
                <w:szCs w:val="21"/>
                <w:highlight w:val="none"/>
              </w:rPr>
              <w:t xml:space="preserve">分。(须在投标文件中提供中标通知书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相关合同扫描件</w:t>
            </w:r>
            <w:r>
              <w:rPr>
                <w:rFonts w:hint="eastAsia" w:ascii="宋体" w:hAnsi="宋体" w:eastAsia="宋体" w:cs="宋体"/>
                <w:color w:val="auto"/>
                <w:sz w:val="21"/>
                <w:szCs w:val="21"/>
                <w:highlight w:val="none"/>
                <w:lang w:val="en-US" w:eastAsia="zh-CN"/>
              </w:rPr>
              <w:t xml:space="preserve">及中标结果公示网站截图</w:t>
            </w:r>
            <w:r>
              <w:rPr>
                <w:rFonts w:hint="eastAsia" w:ascii="宋体" w:hAnsi="宋体" w:eastAsia="宋体" w:cs="宋体"/>
                <w:color w:val="auto"/>
                <w:sz w:val="21"/>
                <w:szCs w:val="21"/>
                <w:highlight w:val="none"/>
              </w:rPr>
              <w:t xml:space="preserve">，否则此项不得分)</w:t>
            </w:r>
            <w:r/>
          </w:p>
        </w:tc>
      </w:tr>
      <w:tr>
        <w:trPr>
          <w:jc w:val="center"/>
          <w:trHeight w:val="1220"/>
        </w:trPr>
        <w:tc>
          <w:tcPr>
            <w:tcW w:w="1021"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试验示范</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522" w:type="dxa"/>
            <w:vAlign w:val="center"/>
            <w:textDirection w:val="lrTb"/>
            <w:noWrap w:val="false"/>
          </w:tcPr>
          <w:p>
            <w:pPr>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rPr>
              <w:t xml:space="preserve">投标产品有国家级农业部门(农业农村部或中国农科院)生物降解地膜试验应用报告的，每份报告得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分。(须在投标文件中提供相关证明文件扫描件，否则此项不得分)</w:t>
            </w:r>
            <w:r>
              <w:rPr>
                <w:rFonts w:hint="eastAsia" w:ascii="宋体" w:hAnsi="宋体" w:eastAsia="宋体" w:cs="宋体"/>
                <w:color w:val="auto"/>
                <w:sz w:val="21"/>
                <w:szCs w:val="21"/>
                <w:highlight w:val="none"/>
                <w:lang w:val="en-US" w:eastAsia="zh-CN"/>
              </w:rPr>
              <w:t xml:space="preserve">   </w:t>
            </w:r>
            <w:r/>
          </w:p>
        </w:tc>
      </w:tr>
      <w:tr>
        <w:trPr>
          <w:jc w:val="center"/>
          <w:trHeight w:val="2026"/>
        </w:trPr>
        <w:tc>
          <w:tcPr>
            <w:tcW w:w="1021"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技术能力证明(</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7522" w:type="dxa"/>
            <w:vAlign w:val="center"/>
            <w:textDirection w:val="lrTb"/>
            <w:noWrap w:val="false"/>
          </w:tcPr>
          <w:p>
            <w:pPr>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地膜制造商具有生物降解地膜相关的部级相关部门及以上奖项的，得 5分。(须在投标文件中提供相关证明文件扫描件，否则此项不得分)</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w:t>
            </w:r>
            <w:r/>
          </w:p>
          <w:p>
            <w:pPr>
              <w:numPr>
                <w:ilvl w:val="0"/>
                <w:numId w:val="0"/>
              </w:numPr>
              <w:ind w:left="0"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用户评价</w:t>
            </w:r>
            <w:r>
              <w:rPr>
                <w:rFonts w:hint="eastAsia" w:ascii="宋体" w:hAnsi="宋体" w:eastAsia="宋体" w:cs="宋体"/>
                <w:b/>
                <w:bCs/>
                <w:color w:val="auto"/>
                <w:sz w:val="21"/>
                <w:szCs w:val="21"/>
                <w:highlight w:val="none"/>
                <w:lang w:val="en-US" w:eastAsia="zh-CN"/>
              </w:rPr>
              <w:t xml:space="preserve">。产品生产厂家或经销商</w:t>
            </w:r>
            <w:r>
              <w:rPr>
                <w:rFonts w:hint="eastAsia" w:ascii="宋体" w:hAnsi="宋体" w:eastAsia="宋体" w:cs="宋体"/>
                <w:b/>
                <w:bCs/>
                <w:color w:val="auto"/>
                <w:sz w:val="21"/>
                <w:szCs w:val="21"/>
                <w:highlight w:val="none"/>
              </w:rPr>
              <w:t xml:space="preserve">提供近 3 年</w:t>
            </w:r>
            <w:r>
              <w:rPr>
                <w:rFonts w:hint="eastAsia" w:ascii="宋体" w:hAnsi="宋体" w:eastAsia="宋体" w:cs="宋体"/>
                <w:b/>
                <w:bCs/>
                <w:color w:val="auto"/>
                <w:sz w:val="21"/>
                <w:szCs w:val="21"/>
                <w:highlight w:val="none"/>
                <w:lang w:val="en-US" w:eastAsia="zh-CN"/>
              </w:rPr>
              <w:t xml:space="preserve">投标产品或</w:t>
            </w:r>
            <w:r>
              <w:rPr>
                <w:rFonts w:hint="eastAsia" w:ascii="宋体" w:hAnsi="宋体" w:eastAsia="宋体" w:cs="宋体"/>
                <w:b/>
                <w:bCs/>
                <w:color w:val="auto"/>
                <w:sz w:val="21"/>
                <w:szCs w:val="21"/>
                <w:highlight w:val="none"/>
              </w:rPr>
              <w:t xml:space="preserve">类似</w:t>
            </w:r>
            <w:r>
              <w:rPr>
                <w:rFonts w:hint="eastAsia" w:ascii="宋体" w:hAnsi="宋体" w:eastAsia="宋体" w:cs="宋体"/>
                <w:b/>
                <w:bCs/>
                <w:color w:val="auto"/>
                <w:sz w:val="21"/>
                <w:szCs w:val="21"/>
                <w:highlight w:val="none"/>
                <w:lang w:val="en-US" w:eastAsia="zh-CN"/>
              </w:rPr>
              <w:t xml:space="preserve">产品</w:t>
            </w:r>
            <w:r>
              <w:rPr>
                <w:rFonts w:hint="eastAsia" w:ascii="宋体" w:hAnsi="宋体" w:eastAsia="宋体" w:cs="宋体"/>
                <w:b/>
                <w:bCs/>
                <w:color w:val="auto"/>
                <w:sz w:val="21"/>
                <w:szCs w:val="21"/>
                <w:highlight w:val="none"/>
              </w:rPr>
              <w:t xml:space="preserve">经营业绩用户评价意见(须在投标文件中提供相关证明文件扫描件，否则此项不得分)</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。用户综合评价意见为“</w:t>
            </w:r>
            <w:r>
              <w:rPr>
                <w:rFonts w:hint="eastAsia" w:ascii="宋体" w:hAnsi="宋体" w:eastAsia="宋体" w:cs="宋体"/>
                <w:b/>
                <w:bCs/>
                <w:color w:val="auto"/>
                <w:sz w:val="21"/>
                <w:szCs w:val="21"/>
                <w:highlight w:val="none"/>
                <w:lang w:val="en-US" w:eastAsia="zh-CN"/>
              </w:rPr>
              <w:t xml:space="preserve">优秀或满意</w:t>
            </w:r>
            <w:r>
              <w:rPr>
                <w:rFonts w:hint="eastAsia" w:ascii="宋体" w:hAnsi="宋体" w:eastAsia="宋体" w:cs="宋体"/>
                <w:b/>
                <w:bCs/>
                <w:color w:val="auto"/>
                <w:sz w:val="21"/>
                <w:szCs w:val="21"/>
                <w:highlight w:val="none"/>
              </w:rPr>
              <w:t xml:space="preserve">”的，每一份 </w:t>
            </w:r>
            <w:r>
              <w:rPr>
                <w:rFonts w:hint="eastAsia" w:ascii="宋体" w:hAnsi="宋体" w:eastAsia="宋体" w:cs="宋体"/>
                <w:b/>
                <w:bCs/>
                <w:color w:val="auto"/>
                <w:sz w:val="21"/>
                <w:szCs w:val="21"/>
                <w:highlight w:val="none"/>
                <w:lang w:val="en-US" w:eastAsia="zh-CN"/>
              </w:rPr>
              <w:t xml:space="preserve">得</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 分。最多</w:t>
            </w:r>
            <w:r>
              <w:rPr>
                <w:rFonts w:hint="eastAsia" w:ascii="宋体" w:hAnsi="宋体" w:eastAsia="宋体" w:cs="宋体"/>
                <w:b/>
                <w:bCs/>
                <w:color w:val="auto"/>
                <w:sz w:val="21"/>
                <w:szCs w:val="21"/>
                <w:highlight w:val="none"/>
                <w:lang w:val="en-US" w:eastAsia="zh-CN"/>
              </w:rPr>
              <w:t xml:space="preserve">得</w:t>
            </w:r>
            <w:r>
              <w:rPr>
                <w:rFonts w:hint="eastAsia" w:ascii="宋体" w:hAnsi="宋体" w:eastAsia="宋体" w:cs="宋体"/>
                <w:b/>
                <w:bCs/>
                <w:color w:val="auto"/>
                <w:sz w:val="21"/>
                <w:szCs w:val="21"/>
                <w:highlight w:val="none"/>
              </w:rPr>
              <w:t xml:space="preserve"> 5 分</w:t>
            </w:r>
            <w:r>
              <w:rPr>
                <w:rFonts w:hint="eastAsia" w:ascii="宋体" w:hAnsi="宋体" w:eastAsia="宋体" w:cs="宋体"/>
                <w:b/>
                <w:bCs/>
                <w:color w:val="auto"/>
                <w:sz w:val="21"/>
                <w:szCs w:val="21"/>
                <w:highlight w:val="none"/>
                <w:lang w:eastAsia="zh-CN"/>
              </w:rPr>
              <w:t xml:space="preserve">。</w:t>
            </w:r>
            <w:r/>
          </w:p>
        </w:tc>
      </w:tr>
      <w:tr>
        <w:trPr>
          <w:jc w:val="center"/>
          <w:trHeight w:val="1101"/>
        </w:trPr>
        <w:tc>
          <w:tcPr>
            <w:tcW w:w="1021"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发明专利</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7522" w:type="dxa"/>
            <w:vAlign w:val="center"/>
            <w:textDirection w:val="lrTb"/>
            <w:noWrap w:val="false"/>
          </w:tcPr>
          <w:p>
            <w:pPr>
              <w:jc w:val="both"/>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具有与本项目招标货物相关的有效专利证书，每提供一个得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分。(须在投标文件中提供相关证明文件扫描件，否则此项不得分 )</w:t>
            </w:r>
            <w:r/>
          </w:p>
        </w:tc>
      </w:tr>
      <w:tr>
        <w:trPr>
          <w:jc w:val="center"/>
          <w:trHeight w:val="1101"/>
        </w:trPr>
        <w:tc>
          <w:tcPr>
            <w:tcW w:w="1021" w:type="dxa"/>
            <w:vAlign w:val="top"/>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6"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企业实力</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7522" w:type="dxa"/>
            <w:vAlign w:val="center"/>
            <w:textDirection w:val="lrTb"/>
            <w:noWrap w:val="false"/>
          </w:tcPr>
          <w:p>
            <w:pPr>
              <w:jc w:val="both"/>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投标人具有国家级科研平台得4分，具有省部级科研平台得2分。</w:t>
            </w:r>
            <w:r/>
          </w:p>
          <w:p>
            <w:pPr>
              <w:jc w:val="both"/>
              <w:spacing w:line="360" w:lineRule="auto"/>
              <w:rPr>
                <w:rFonts w:hint="default" w:ascii="宋体" w:hAnsi="宋体" w:eastAsia="宋体" w:cs="宋体"/>
                <w:color w:val="auto"/>
                <w:sz w:val="21"/>
                <w:szCs w:val="21"/>
                <w:highlight w:val="none"/>
                <w:lang w:val="en-US" w:eastAsia="zh-CN"/>
              </w:rPr>
            </w:pPr>
            <w:r/>
            <w:bookmarkStart w:id="97" w:name="_GoBack"/>
            <w:r/>
            <w:bookmarkEnd w:id="97"/>
            <w:r>
              <w:rPr>
                <w:rFonts w:hint="eastAsia" w:ascii="宋体" w:hAnsi="宋体" w:cs="宋体"/>
                <w:color w:val="auto"/>
                <w:sz w:val="21"/>
                <w:szCs w:val="21"/>
                <w:highlight w:val="none"/>
                <w:lang w:val="en-US" w:eastAsia="zh-CN"/>
              </w:rPr>
              <w:t xml:space="preserve">未提供不得分。</w:t>
            </w:r>
            <w:r/>
          </w:p>
        </w:tc>
      </w:tr>
    </w:tbl>
    <w:p>
      <w:pPr>
        <w:pStyle w:val="792"/>
        <w:ind w:firstLine="480"/>
        <w:spacing w:line="360" w:lineRule="auto"/>
        <w:widowControl w:val="off"/>
        <w:tabs>
          <w:tab w:val="left" w:pos="720" w:leader="none"/>
          <w:tab w:val="clear" w:pos="916" w:leader="none"/>
        </w:tabs>
        <w:rPr>
          <w:rFonts w:hint="default" w:ascii="宋体" w:hAnsi="宋体" w:eastAsia="宋体" w:cs="宋体"/>
          <w:bCs/>
          <w:sz w:val="24"/>
          <w:szCs w:val="24"/>
          <w:lang w:val="en-US" w:eastAsia="zh-CN"/>
        </w:rPr>
      </w:pPr>
      <w:r>
        <w:rPr>
          <w:rFonts w:hint="default" w:ascii="宋体" w:hAnsi="宋体" w:eastAsia="宋体" w:cs="宋体"/>
          <w:bCs/>
          <w:sz w:val="24"/>
          <w:szCs w:val="24"/>
          <w:lang w:val="en-US" w:eastAsia="zh-CN"/>
        </w:rPr>
      </w:r>
      <w:r/>
    </w:p>
    <w:p>
      <w:pPr>
        <w:pStyle w:val="792"/>
        <w:spacing w:line="360" w:lineRule="auto"/>
        <w:tabs>
          <w:tab w:val="left" w:pos="720" w:leader="none"/>
          <w:tab w:val="clear" w:pos="916" w:leader="none"/>
        </w:tabs>
        <w:rPr>
          <w:rFonts w:ascii="宋体" w:eastAsia="宋体"/>
          <w:b/>
          <w:bCs/>
          <w:sz w:val="24"/>
          <w:szCs w:val="24"/>
        </w:rPr>
      </w:pPr>
      <w:r>
        <w:rPr>
          <w:rFonts w:hint="eastAsia" w:ascii="宋体" w:eastAsia="宋体"/>
          <w:b/>
          <w:bCs/>
          <w:sz w:val="24"/>
          <w:szCs w:val="24"/>
        </w:rPr>
        <w:t xml:space="preserve">五、成交标准：</w:t>
      </w:r>
      <w:r/>
    </w:p>
    <w:p>
      <w:pPr>
        <w:pStyle w:val="792"/>
        <w:ind w:firstLine="480"/>
        <w:spacing w:line="360" w:lineRule="auto"/>
        <w:widowControl w:val="off"/>
        <w:tabs>
          <w:tab w:val="left" w:pos="720" w:leader="none"/>
          <w:tab w:val="clear" w:pos="916" w:leader="none"/>
        </w:tabs>
        <w:rPr>
          <w:rFonts w:ascii="宋体" w:eastAsia="宋体"/>
          <w:bCs/>
          <w:sz w:val="24"/>
          <w:szCs w:val="24"/>
        </w:rPr>
      </w:pPr>
      <w:r>
        <w:rPr>
          <w:rFonts w:hint="eastAsia" w:ascii="宋体" w:eastAsia="宋体"/>
          <w:bCs/>
          <w:sz w:val="24"/>
          <w:szCs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92"/>
        <w:ind w:firstLine="480"/>
        <w:spacing w:line="360" w:lineRule="auto"/>
        <w:tabs>
          <w:tab w:val="left" w:pos="720" w:leader="none"/>
          <w:tab w:val="clear" w:pos="916" w:leader="none"/>
        </w:tabs>
        <w:rPr>
          <w:rFonts w:ascii="宋体" w:hAnsi="宋体" w:eastAsia="宋体" w:cs="宋体"/>
          <w:bCs/>
          <w:sz w:val="24"/>
          <w:szCs w:val="24"/>
        </w:rPr>
      </w:pPr>
      <w:r>
        <w:rPr>
          <w:rFonts w:ascii="宋体" w:hAnsi="宋体" w:eastAsia="宋体" w:cs="宋体"/>
          <w:bCs/>
          <w:sz w:val="24"/>
          <w:szCs w:val="24"/>
        </w:rPr>
      </w:r>
      <w:r/>
    </w:p>
    <w:p>
      <w:pPr>
        <w:pStyle w:val="993"/>
        <w:ind w:left="0" w:firstLine="0"/>
        <w:spacing w:before="0" w:after="0" w:line="520" w:lineRule="exact"/>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rPr>
          <w:rFonts w:hint="eastAsia" w:ascii="宋体" w:hAnsi="宋体" w:eastAsia="宋体" w:cs="宋体"/>
          <w:color w:val="auto"/>
          <w:highlight w:val="none"/>
        </w:rPr>
      </w:pPr>
      <w:r/>
      <w:bookmarkStart w:id="83" w:name="_Toc29155"/>
      <w:r/>
      <w:bookmarkStart w:id="84" w:name="_Toc465856616"/>
      <w:r/>
      <w:bookmarkStart w:id="85" w:name="_Toc2728"/>
      <w:r/>
      <w:bookmarkStart w:id="86" w:name="_Toc28724"/>
      <w:r/>
      <w:r/>
    </w:p>
    <w:p>
      <w:pPr>
        <w:rPr>
          <w:rFonts w:hint="eastAsia" w:ascii="宋体" w:hAnsi="宋体" w:eastAsia="宋体" w:cs="宋体"/>
          <w:color w:val="auto"/>
          <w:highlight w:val="none"/>
        </w:rPr>
      </w:pPr>
      <w:r/>
      <w:bookmarkStart w:id="87" w:name="_Toc9369"/>
      <w:r>
        <w:rPr>
          <w:rFonts w:hint="eastAsia" w:ascii="宋体" w:hAnsi="宋体" w:eastAsia="宋体" w:cs="宋体"/>
          <w:color w:val="auto"/>
          <w:highlight w:val="none"/>
        </w:rPr>
        <w:br w:type="page" w:clear="all"/>
      </w:r>
      <w:r/>
    </w:p>
    <w:p>
      <w:pPr>
        <w:pStyle w:val="749"/>
        <w:rPr>
          <w:rFonts w:hint="eastAsia" w:ascii="宋体" w:hAnsi="宋体" w:eastAsia="宋体" w:cs="宋体"/>
          <w:color w:val="auto"/>
          <w:highlight w:val="none"/>
        </w:rPr>
      </w:pPr>
      <w:r>
        <w:rPr>
          <w:rFonts w:hint="eastAsia" w:ascii="宋体" w:hAnsi="宋体" w:eastAsia="宋体" w:cs="宋体"/>
          <w:color w:val="auto"/>
          <w:highlight w:val="none"/>
        </w:rPr>
        <w:t xml:space="preserve">第六章  响应文件格式</w:t>
      </w:r>
      <w:bookmarkEnd w:id="83"/>
      <w:r/>
      <w:bookmarkEnd w:id="84"/>
      <w:r/>
      <w:bookmarkEnd w:id="85"/>
      <w:r/>
      <w:bookmarkEnd w:id="86"/>
      <w:r/>
      <w:bookmarkEnd w:id="87"/>
      <w:r/>
      <w:bookmarkEnd w:id="70"/>
      <w:r/>
      <w:bookmarkEnd w:id="71"/>
      <w:r/>
      <w:bookmarkEnd w:id="72"/>
      <w:r/>
      <w:r/>
    </w:p>
    <w:p>
      <w:pPr>
        <w:pStyle w:val="769"/>
        <w:ind w:left="1874" w:right="1470" w:firstLine="0"/>
        <w:rPr>
          <w:rFonts w:cs="宋体"/>
        </w:rPr>
      </w:pPr>
      <w:r>
        <w:rPr>
          <w:rFonts w:cs="宋体"/>
        </w:rPr>
      </w:r>
      <w:r/>
    </w:p>
    <w:p>
      <w:pPr>
        <w:jc w:val="center"/>
        <w:rPr>
          <w:rFonts w:ascii="宋体" w:hAnsi="宋体" w:cs="宋体"/>
          <w:b/>
          <w:sz w:val="56"/>
          <w:szCs w:val="48"/>
        </w:rPr>
      </w:pPr>
      <w:r>
        <w:rPr>
          <w:rFonts w:hint="eastAsia" w:ascii="宋体" w:hAnsi="宋体" w:cs="宋体"/>
          <w:b/>
          <w:sz w:val="56"/>
          <w:szCs w:val="48"/>
        </w:rPr>
        <w:t xml:space="preserve">连 云 港 市 政 府 采 购</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hint="eastAsia" w:ascii="宋体" w:hAnsi="宋体" w:cs="宋体"/>
          <w:b/>
          <w:sz w:val="72"/>
          <w:szCs w:val="21"/>
        </w:rPr>
        <w:t xml:space="preserve">响应文件</w:t>
      </w:r>
      <w:r/>
    </w:p>
    <w:p>
      <w:pPr>
        <w:ind w:firstLine="643"/>
        <w:jc w:val="center"/>
        <w:rPr>
          <w:rFonts w:ascii="宋体" w:hAnsi="宋体" w:cs="宋体"/>
          <w:b/>
          <w:sz w:val="32"/>
          <w:szCs w:val="32"/>
        </w:rPr>
      </w:pPr>
      <w:r>
        <w:rPr>
          <w:rFonts w:ascii="宋体" w:hAnsi="宋体" w:cs="宋体"/>
          <w:b/>
          <w:sz w:val="32"/>
          <w:szCs w:val="32"/>
        </w:rPr>
      </w:r>
      <w:r/>
    </w:p>
    <w:p>
      <w:pPr>
        <w:pStyle w:val="793"/>
        <w:ind w:firstLine="1749"/>
        <w:jc w:val="both"/>
        <w:spacing w:line="480" w:lineRule="atLeast"/>
        <w:rPr>
          <w:b/>
          <w:sz w:val="32"/>
          <w:szCs w:val="32"/>
          <w:u w:val="single"/>
        </w:rPr>
      </w:pPr>
      <w:r>
        <w:rPr>
          <w:rFonts w:hint="eastAsia"/>
          <w:b/>
          <w:sz w:val="32"/>
          <w:szCs w:val="32"/>
        </w:rPr>
        <w:t xml:space="preserve">项目名称：</w:t>
      </w:r>
      <w:r>
        <w:rPr>
          <w:rFonts w:hint="eastAsia"/>
          <w:b/>
          <w:sz w:val="32"/>
          <w:szCs w:val="32"/>
          <w:u w:val="single"/>
        </w:rPr>
        <w:t xml:space="preserve">                    </w:t>
      </w:r>
      <w:r/>
    </w:p>
    <w:p>
      <w:pPr>
        <w:pStyle w:val="793"/>
        <w:ind w:firstLine="1749"/>
        <w:jc w:val="both"/>
        <w:spacing w:line="480" w:lineRule="atLeast"/>
      </w:pPr>
      <w:r>
        <w:rPr>
          <w:rFonts w:hint="eastAsia"/>
          <w:b/>
          <w:sz w:val="32"/>
          <w:szCs w:val="32"/>
        </w:rPr>
        <w:t xml:space="preserve">项目编号：</w:t>
      </w:r>
      <w:r>
        <w:rPr>
          <w:rFonts w:hint="eastAsia"/>
          <w:b/>
          <w:sz w:val="32"/>
          <w:szCs w:val="32"/>
          <w:u w:val="single"/>
        </w:rPr>
        <w:t xml:space="preserve">                    </w:t>
      </w:r>
      <w:r/>
    </w:p>
    <w:p>
      <w:pPr>
        <w:pStyle w:val="793"/>
        <w:jc w:val="both"/>
        <w:spacing w:line="360" w:lineRule="atLeast"/>
      </w:pPr>
      <w:r>
        <w:rPr>
          <w:rFonts w:hint="eastAsia"/>
        </w:rPr>
        <w:t xml:space="preserve">  </w:t>
      </w:r>
      <w:r/>
    </w:p>
    <w:p>
      <w:pPr>
        <w:pStyle w:val="793"/>
        <w:ind w:firstLine="1749"/>
        <w:jc w:val="both"/>
        <w:spacing w:line="480" w:lineRule="atLeast"/>
        <w:rPr>
          <w:b/>
          <w:sz w:val="32"/>
          <w:szCs w:val="32"/>
        </w:rPr>
      </w:pPr>
      <w:r>
        <w:rPr>
          <w:rFonts w:hint="eastAsia"/>
          <w:b/>
          <w:sz w:val="32"/>
          <w:szCs w:val="32"/>
        </w:rPr>
        <w:t xml:space="preserve">供应商名称：</w:t>
      </w:r>
      <w:r>
        <w:rPr>
          <w:rFonts w:hint="eastAsia"/>
          <w:b/>
          <w:bCs/>
          <w:sz w:val="36"/>
          <w:szCs w:val="36"/>
          <w:u w:val="single"/>
        </w:rPr>
        <w:t xml:space="preserve">（加盖CA电子公章）</w:t>
      </w:r>
      <w:r>
        <w:rPr>
          <w:rFonts w:hint="eastAsia"/>
          <w:b/>
          <w:sz w:val="32"/>
          <w:szCs w:val="32"/>
        </w:rPr>
        <w:t xml:space="preserve"> </w:t>
      </w:r>
      <w:r/>
    </w:p>
    <w:p>
      <w:pPr>
        <w:pStyle w:val="793"/>
        <w:ind w:firstLine="1749"/>
        <w:jc w:val="both"/>
        <w:spacing w:line="480" w:lineRule="atLeast"/>
        <w:rPr>
          <w:sz w:val="36"/>
        </w:rPr>
      </w:pPr>
      <w:r>
        <w:rPr>
          <w:rFonts w:hint="eastAsia"/>
          <w:b/>
          <w:sz w:val="32"/>
          <w:szCs w:val="32"/>
        </w:rPr>
        <w:t xml:space="preserve">日 期 ：</w:t>
      </w:r>
      <w:r>
        <w:rPr>
          <w:rFonts w:hint="eastAsia"/>
          <w:b/>
          <w:sz w:val="32"/>
          <w:szCs w:val="32"/>
          <w:u w:val="single"/>
        </w:rPr>
        <w:t xml:space="preserve">                    </w:t>
      </w:r>
      <w:r/>
    </w:p>
    <w:p>
      <w:pPr>
        <w:pStyle w:val="993"/>
        <w:ind w:firstLine="0"/>
        <w:spacing w:before="0" w:after="0"/>
        <w:rPr>
          <w:rFonts w:ascii="宋体" w:hAnsi="宋体" w:cs="宋体"/>
        </w:rPr>
      </w:pPr>
      <w:r>
        <w:rPr>
          <w:rFonts w:ascii="宋体" w:hAnsi="宋体" w:cs="宋体"/>
        </w:rPr>
      </w:r>
      <w:r/>
    </w:p>
    <w:p>
      <w:pPr>
        <w:pStyle w:val="993"/>
        <w:ind w:firstLine="0"/>
        <w:spacing w:before="0" w:after="0"/>
        <w:rPr>
          <w:rFonts w:ascii="宋体" w:hAnsi="宋体" w:cs="宋体"/>
        </w:rPr>
      </w:pPr>
      <w:r>
        <w:rPr>
          <w:rFonts w:ascii="宋体" w:hAnsi="宋体" w:cs="宋体"/>
        </w:rPr>
      </w:r>
      <w:r/>
    </w:p>
    <w:p>
      <w:pPr>
        <w:pStyle w:val="993"/>
        <w:ind w:firstLine="0"/>
        <w:spacing w:before="0" w:after="0"/>
        <w:rPr>
          <w:rFonts w:ascii="宋体" w:hAnsi="宋体" w:cs="宋体"/>
        </w:rPr>
      </w:pPr>
      <w:r>
        <w:rPr>
          <w:rFonts w:ascii="宋体" w:hAnsi="宋体" w:cs="宋体"/>
        </w:rPr>
      </w:r>
      <w:r/>
    </w:p>
    <w:p>
      <w:pPr>
        <w:rPr>
          <w:rFonts w:ascii="宋体" w:hAnsi="宋体" w:cs="宋体"/>
          <w:b/>
          <w:bCs/>
          <w:sz w:val="32"/>
          <w:szCs w:val="32"/>
        </w:rPr>
      </w:pPr>
      <w:r/>
      <w:bookmarkStart w:id="88" w:name="_Toc4212"/>
      <w:r/>
      <w:bookmarkStart w:id="89" w:name="_Toc25159"/>
      <w:r/>
      <w:bookmarkStart w:id="90" w:name="_Toc11038"/>
      <w:r/>
      <w:bookmarkStart w:id="91" w:name="_Toc15296"/>
      <w:r/>
      <w:bookmarkStart w:id="92" w:name="_Toc10676"/>
      <w:r>
        <w:rPr>
          <w:rFonts w:hint="eastAsia" w:ascii="宋体" w:hAnsi="宋体" w:cs="宋体"/>
          <w:b/>
          <w:sz w:val="32"/>
          <w:szCs w:val="32"/>
        </w:rPr>
        <w:br w:type="page" w:clear="all"/>
      </w:r>
      <w:bookmarkEnd w:id="88"/>
      <w:r/>
      <w:bookmarkEnd w:id="89"/>
      <w:r/>
      <w:bookmarkEnd w:id="90"/>
      <w:r/>
      <w:bookmarkEnd w:id="91"/>
      <w:r/>
      <w:bookmarkEnd w:id="92"/>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p>
    <w:p>
      <w:pPr>
        <w:spacing w:line="400" w:lineRule="exact"/>
        <w:rPr>
          <w:rFonts w:hint="eastAsia" w:ascii="宋体" w:hAnsi="宋体"/>
          <w:sz w:val="24"/>
          <w:szCs w:val="21"/>
          <w:highlight w:val="yellow"/>
        </w:rPr>
      </w:pPr>
      <w:r>
        <w:rPr>
          <w:rFonts w:hint="eastAsia" w:ascii="宋体" w:hAnsi="宋体"/>
          <w:sz w:val="24"/>
          <w:szCs w:val="21"/>
          <w:highlight w:val="yellow"/>
        </w:rPr>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p>
    <w:p>
      <w:pPr>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p>
    <w:p>
      <w:pPr>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hint="eastAsia" w:ascii="方正魏碑_GBK" w:hAnsi="方正魏碑_GBK" w:eastAsia="方正魏碑_GBK" w:cs="方正魏碑_GBK"/>
          <w:color w:val="ff0000"/>
          <w:sz w:val="24"/>
          <w:szCs w:val="21"/>
          <w:highlight w:val="yellow"/>
        </w:rPr>
      </w:pPr>
      <w:r>
        <w:rPr>
          <w:rFonts w:hint="eastAsia" w:ascii="方正魏碑_GBK" w:hAnsi="方正魏碑_GBK" w:eastAsia="方正魏碑_GBK" w:cs="方正魏碑_GBK"/>
          <w:color w:val="ff0000"/>
          <w:sz w:val="24"/>
          <w:szCs w:val="21"/>
          <w:highlight w:val="yellow"/>
        </w:rPr>
        <w:t xml:space="preserve">3. 关于符合本国产品标准的声明函（格式见附件13）</w:t>
      </w:r>
      <w:r/>
    </w:p>
    <w:p>
      <w:pPr>
        <w:ind w:firstLine="480"/>
        <w:spacing w:line="400" w:lineRule="exact"/>
        <w:rPr>
          <w:rFonts w:hint="eastAsia" w:ascii="宋体" w:hAnsi="宋体"/>
          <w:sz w:val="24"/>
          <w:szCs w:val="21"/>
        </w:rPr>
      </w:pPr>
      <w:r>
        <w:rPr>
          <w:rFonts w:hint="eastAsia" w:ascii="宋体" w:hAnsi="宋体"/>
          <w:sz w:val="24"/>
          <w:szCs w:val="21"/>
        </w:rPr>
      </w:r>
      <w:r/>
    </w:p>
    <w:p>
      <w:pPr>
        <w:ind w:left="480"/>
        <w:rPr>
          <w:rFonts w:ascii="宋体" w:hAnsi="宋体"/>
          <w:b/>
          <w:sz w:val="24"/>
          <w:szCs w:val="21"/>
        </w:rPr>
      </w:pPr>
      <w:r>
        <w:rPr>
          <w:rFonts w:ascii="宋体" w:hAnsi="宋体"/>
          <w:b/>
          <w:sz w:val="24"/>
          <w:szCs w:val="21"/>
        </w:rPr>
      </w:r>
      <w:r/>
    </w:p>
    <w:p>
      <w:pPr>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Style w:val="759"/>
        <w:tblW w:w="71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67"/>
        <w:gridCol w:w="4387"/>
      </w:tblGrid>
      <w:tr>
        <w:trPr>
          <w:cantSplit/>
          <w:jc w:val="center"/>
          <w:trHeight w:val="1073"/>
        </w:trPr>
        <w:tc>
          <w:tcPr>
            <w:tcW w:w="276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标题</w:t>
            </w:r>
            <w:r/>
          </w:p>
        </w:tc>
        <w:tc>
          <w:tcPr>
            <w:tcW w:w="4387"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p>
        </w:tc>
      </w:tr>
      <w:tr>
        <w:trPr>
          <w:cantSplit/>
          <w:jc w:val="center"/>
          <w:trHeight w:val="1116"/>
        </w:trPr>
        <w:tc>
          <w:tcPr>
            <w:tcW w:w="2767" w:type="dxa"/>
            <w:vAlign w:val="center"/>
            <w:textDirection w:val="lrTb"/>
            <w:noWrap w:val="false"/>
          </w:tcPr>
          <w:p>
            <w:pPr>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投标报价</w:t>
            </w:r>
            <w:r/>
          </w:p>
        </w:tc>
        <w:tc>
          <w:tcPr>
            <w:tcW w:w="4387" w:type="dxa"/>
            <w:vAlign w:val="center"/>
            <w:textDirection w:val="lrTb"/>
            <w:noWrap w:val="false"/>
          </w:tcPr>
          <w:p>
            <w:pPr>
              <w:jc w:val="center"/>
              <w:spacing w:line="50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u w:val="none"/>
                <w:lang w:val="en-US" w:eastAsia="zh-CN"/>
              </w:rPr>
              <w:t xml:space="preserve">投标单价：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rPr>
              <w:t xml:space="preserve">元/毫升</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lang w:val="en-US" w:eastAsia="zh-CN"/>
              </w:rPr>
              <w:t xml:space="preserve">头份</w:t>
            </w:r>
            <w:r>
              <w:rPr>
                <w:rFonts w:hint="eastAsia" w:ascii="宋体" w:hAnsi="宋体" w:cs="宋体"/>
                <w:color w:val="000000"/>
                <w:sz w:val="24"/>
                <w:szCs w:val="21"/>
                <w:highlight w:val="none"/>
                <w:lang w:eastAsia="zh-CN"/>
              </w:rPr>
              <w:t xml:space="preserve">）</w:t>
            </w:r>
            <w:r/>
          </w:p>
          <w:p>
            <w:pPr>
              <w:ind w:firstLine="480"/>
              <w:jc w:val="both"/>
              <w:spacing w:line="500" w:lineRule="exact"/>
              <w:rPr>
                <w:rFonts w:ascii="宋体" w:hAnsi="宋体" w:eastAsia="宋体" w:cs="宋体"/>
                <w:color w:val="000000"/>
                <w:sz w:val="24"/>
                <w:szCs w:val="21"/>
                <w:highlight w:val="none"/>
                <w:u w:val="single"/>
                <w:lang w:val="en-US" w:eastAsia="zh-CN"/>
              </w:rPr>
            </w:pPr>
            <w:r>
              <w:rPr>
                <w:rFonts w:hint="eastAsia" w:ascii="宋体" w:hAnsi="宋体" w:eastAsia="宋体" w:cs="宋体"/>
                <w:color w:val="000000"/>
                <w:sz w:val="24"/>
                <w:szCs w:val="21"/>
                <w:highlight w:val="none"/>
                <w:lang w:val="en-US" w:eastAsia="zh-CN"/>
              </w:rPr>
              <w:t xml:space="preserve">投标总价：</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u w:val="none"/>
                <w:lang w:val="en-US" w:eastAsia="zh-CN"/>
              </w:rPr>
              <w:t xml:space="preserve">元</w:t>
            </w:r>
            <w:r/>
          </w:p>
        </w:tc>
      </w:tr>
      <w:tr>
        <w:trPr>
          <w:cantSplit/>
          <w:jc w:val="center"/>
          <w:trHeight w:val="1037"/>
        </w:trPr>
        <w:tc>
          <w:tcPr>
            <w:tcW w:w="2767" w:type="dxa"/>
            <w:vAlign w:val="center"/>
            <w:textDirection w:val="lrTb"/>
            <w:noWrap w:val="false"/>
          </w:tcPr>
          <w:p>
            <w:pPr>
              <w:jc w:val="center"/>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交货期</w:t>
            </w:r>
            <w:r/>
          </w:p>
        </w:tc>
        <w:tc>
          <w:tcPr>
            <w:tcW w:w="4387" w:type="dxa"/>
            <w:vAlign w:val="center"/>
            <w:textDirection w:val="lrTb"/>
            <w:noWrap w:val="false"/>
          </w:tcPr>
          <w:p>
            <w:pPr>
              <w:ind w:left="840" w:hanging="42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Style w:val="759"/>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vAlign w:val="top"/>
            <w:textDirection w:val="lrTb"/>
            <w:noWrap w:val="false"/>
          </w:tcPr>
          <w:p>
            <w:pPr>
              <w:pStyle w:val="793"/>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方正魏碑_GBK" w:hAnsi="方正魏碑_GBK" w:eastAsia="方正魏碑_GBK" w:cs="方正魏碑_GBK"/>
          <w:color w:val="ff0000"/>
          <w:sz w:val="28"/>
          <w:szCs w:val="28"/>
        </w:rPr>
        <w:t xml:space="preserve">3</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59"/>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59"/>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p>
    <w:p>
      <w:pPr>
        <w:rPr>
          <w:rFonts w:hint="eastAsia" w:ascii="宋体" w:hAnsi="宋体"/>
          <w:b/>
          <w:color w:val="000000"/>
          <w:sz w:val="24"/>
          <w:szCs w:val="21"/>
        </w:rPr>
      </w:pPr>
      <w:r>
        <w:rPr>
          <w:rFonts w:hint="eastAsia" w:ascii="宋体" w:hAnsi="宋体"/>
          <w:b/>
          <w:color w:val="000000"/>
          <w:sz w:val="24"/>
          <w:szCs w:val="21"/>
        </w:rPr>
        <w:t xml:space="preserve">面声明</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93"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lang w:val="en-US" w:eastAsia="zh-CN"/>
        </w:rPr>
        <w:t xml:space="preserve">         </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94" w:name="_Hlt26671380"/>
      <w:r/>
      <w:bookmarkEnd w:id="94"/>
      <w:r/>
      <w:bookmarkStart w:id="95" w:name="_Hlt26955070"/>
      <w:r/>
      <w:bookmarkEnd w:id="95"/>
      <w:r/>
      <w:bookmarkStart w:id="96" w:name="_格式3__银行出具的资信证明"/>
      <w:r/>
      <w:bookmarkEnd w:id="96"/>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hint="eastAsia" w:ascii="宋体" w:hAnsi="宋体"/>
          <w:color w:val="000000"/>
          <w:sz w:val="24"/>
          <w:szCs w:val="21"/>
          <w:u w:val="single"/>
          <w:lang w:val="en-US" w:eastAsia="zh-CN"/>
        </w:rPr>
        <w:t xml:space="preserve">         </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spacing w:line="560" w:lineRule="exact"/>
        <w:rPr>
          <w:rFonts w:ascii="宋体" w:hAnsi="宋体"/>
          <w:b/>
          <w:color w:val="ff0000"/>
          <w:sz w:val="24"/>
          <w:szCs w:val="21"/>
        </w:rPr>
      </w:pPr>
      <w:r>
        <w:rPr>
          <w:rFonts w:ascii="宋体" w:hAnsi="宋体"/>
          <w:b/>
          <w:color w:val="ff0000"/>
          <w:sz w:val="24"/>
          <w:szCs w:val="21"/>
        </w:rPr>
      </w:r>
      <w:r/>
    </w:p>
    <w:p>
      <w:pPr>
        <w:ind w:firstLine="241"/>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lang w:val="en-US" w:eastAsia="zh-CN"/>
        </w:rPr>
        <w:t xml:space="preserve">         </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hint="eastAsia"/>
          <w:color w:val="000000"/>
          <w:szCs w:val="21"/>
        </w:rPr>
      </w:pPr>
      <w:r>
        <w:rPr>
          <w:rFonts w:hint="eastAsia"/>
          <w:color w:val="000000"/>
          <w:szCs w:val="21"/>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Style w:val="759"/>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附件13  关于符合本国产品标准的声明函（采购包号：**）</w:t>
      </w:r>
      <w:r/>
    </w:p>
    <w:p>
      <w:pPr>
        <w:pStyle w:val="793"/>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93"/>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0" name="直接箭头连接符 1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04"/>
          <w:rFonts w:hint="eastAsia" w:ascii="方正魏碑_GBK" w:hAnsi="方正魏碑_GBK" w:eastAsia="方正魏碑_GBK" w:cs="方正魏碑_GBK"/>
          <w:i w:val="0"/>
          <w:color w:val="ff0000"/>
          <w:u w:val="single"/>
          <w:shd w:val="clear" w:color="auto" w:fill="ffffff"/>
        </w:rPr>
        <w:t xml:space="preserve">（产品名称1）</w:t>
      </w:r>
      <w:r>
        <w:rPr>
          <w:rStyle w:val="804"/>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04"/>
          <w:rFonts w:hint="eastAsia" w:ascii="方正魏碑_GBK" w:hAnsi="方正魏碑_GBK" w:eastAsia="方正魏碑_GBK" w:cs="方正魏碑_GBK"/>
          <w:i w:val="0"/>
          <w:color w:val="ff0000"/>
          <w:u w:val="single"/>
          <w:shd w:val="clear" w:color="auto" w:fill="ffffff"/>
        </w:rPr>
        <w:t xml:space="preserve">（厂名）</w:t>
      </w:r>
      <w:r>
        <w:rPr>
          <w:rStyle w:val="804"/>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0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04"/>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04"/>
          <w:rFonts w:hint="eastAsia" w:ascii="方正魏碑_GBK" w:hAnsi="方正魏碑_GBK" w:eastAsia="方正魏碑_GBK" w:cs="方正魏碑_GBK"/>
          <w:i w:val="0"/>
          <w:color w:val="ff0000"/>
          <w:u w:val="single"/>
          <w:shd w:val="clear" w:color="auto" w:fill="ffffff"/>
        </w:rPr>
        <w:t xml:space="preserve">（规定</w:t>
      </w:r>
      <w:r>
        <w:rPr>
          <w:rStyle w:val="804"/>
          <w:rFonts w:ascii="方正魏碑_GBK" w:hAnsi="方正魏碑_GBK" w:eastAsia="方正魏碑_GBK" w:cs="方正魏碑_GBK"/>
          <w:i w:val="0"/>
          <w:color w:val="ff0000"/>
          <w:u w:val="single"/>
          <w:shd w:val="clear" w:color="auto" w:fill="ffffff"/>
        </w:rPr>
        <w:t xml:space="preserve">比例</w:t>
      </w:r>
      <w:r>
        <w:rPr>
          <w:rStyle w:val="804"/>
          <w:rFonts w:hint="eastAsia" w:ascii="方正魏碑_GBK" w:hAnsi="方正魏碑_GBK" w:eastAsia="方正魏碑_GBK" w:cs="方正魏碑_GBK"/>
          <w:i w:val="0"/>
          <w:color w:val="ff0000"/>
          <w:u w:val="single"/>
          <w:shd w:val="clear" w:color="auto" w:fill="ffffff"/>
        </w:rPr>
        <w:t xml:space="preserve">）</w:t>
      </w:r>
      <w:r>
        <w:rPr>
          <w:rStyle w:val="804"/>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0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04"/>
          <w:rFonts w:hint="eastAsia" w:ascii="方正魏碑_GBK" w:hAnsi="方正魏碑_GBK" w:eastAsia="方正魏碑_GBK" w:cs="方正魏碑_GBK"/>
          <w:i w:val="0"/>
          <w:color w:val="ff0000"/>
          <w:u w:val="single"/>
          <w:shd w:val="clear" w:color="auto" w:fill="ffffff"/>
        </w:rPr>
        <w:t xml:space="preserve">（关键</w:t>
      </w:r>
      <w:r>
        <w:rPr>
          <w:rStyle w:val="804"/>
          <w:rFonts w:ascii="方正魏碑_GBK" w:hAnsi="方正魏碑_GBK" w:eastAsia="方正魏碑_GBK" w:cs="方正魏碑_GBK"/>
          <w:i w:val="0"/>
          <w:color w:val="ff0000"/>
          <w:u w:val="single"/>
          <w:shd w:val="clear" w:color="auto" w:fill="ffffff"/>
        </w:rPr>
        <w:t xml:space="preserve">组件</w:t>
      </w:r>
      <w:r>
        <w:rPr>
          <w:rStyle w:val="804"/>
          <w:rFonts w:hint="eastAsia" w:ascii="方正魏碑_GBK" w:hAnsi="方正魏碑_GBK" w:eastAsia="方正魏碑_GBK" w:cs="方正魏碑_GBK"/>
          <w:i w:val="0"/>
          <w:color w:val="ff0000"/>
          <w:u w:val="single"/>
          <w:shd w:val="clear" w:color="auto" w:fill="ffffff"/>
        </w:rPr>
        <w:t xml:space="preserve">）</w:t>
      </w:r>
      <w:r>
        <w:rPr>
          <w:rStyle w:val="804"/>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0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04"/>
          <w:rFonts w:hint="eastAsia" w:ascii="方正魏碑_GBK" w:hAnsi="方正魏碑_GBK" w:eastAsia="方正魏碑_GBK" w:cs="方正魏碑_GBK"/>
          <w:i w:val="0"/>
          <w:color w:val="ff0000"/>
          <w:u w:val="single"/>
          <w:shd w:val="clear" w:color="auto" w:fill="ffffff"/>
        </w:rPr>
        <w:t xml:space="preserve">（关键工序）</w:t>
      </w:r>
      <w:r>
        <w:rPr>
          <w:rStyle w:val="804"/>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9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1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0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04"/>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0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0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04"/>
          <w:rFonts w:hint="eastAsia" w:ascii="方正魏碑_GBK" w:hAnsi="方正魏碑_GBK" w:eastAsia="方正魏碑_GBK" w:cs="方正魏碑_GBK"/>
          <w:i w:val="0"/>
          <w:color w:val="ff0000"/>
          <w:u w:val="single"/>
          <w:shd w:val="clear" w:color="auto" w:fill="ffffff"/>
        </w:rPr>
        <w:t xml:space="preserve">（规定</w:t>
      </w:r>
      <w:r>
        <w:rPr>
          <w:rStyle w:val="804"/>
          <w:rFonts w:ascii="方正魏碑_GBK" w:hAnsi="方正魏碑_GBK" w:eastAsia="方正魏碑_GBK" w:cs="方正魏碑_GBK"/>
          <w:i w:val="0"/>
          <w:color w:val="ff0000"/>
          <w:u w:val="single"/>
          <w:shd w:val="clear" w:color="auto" w:fill="ffffff"/>
        </w:rPr>
        <w:t xml:space="preserve">比例</w:t>
      </w:r>
      <w:r>
        <w:rPr>
          <w:rStyle w:val="80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0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04"/>
          <w:rFonts w:hint="eastAsia" w:ascii="方正魏碑_GBK" w:hAnsi="方正魏碑_GBK" w:eastAsia="方正魏碑_GBK" w:cs="方正魏碑_GBK"/>
          <w:i w:val="0"/>
          <w:color w:val="ff0000"/>
          <w:u w:val="single"/>
          <w:shd w:val="clear" w:color="auto" w:fill="ffffff"/>
        </w:rPr>
        <w:t xml:space="preserve">（关键</w:t>
      </w:r>
      <w:r>
        <w:rPr>
          <w:rStyle w:val="804"/>
          <w:rFonts w:ascii="方正魏碑_GBK" w:hAnsi="方正魏碑_GBK" w:eastAsia="方正魏碑_GBK" w:cs="方正魏碑_GBK"/>
          <w:i w:val="0"/>
          <w:color w:val="ff0000"/>
          <w:u w:val="single"/>
          <w:shd w:val="clear" w:color="auto" w:fill="ffffff"/>
        </w:rPr>
        <w:t xml:space="preserve">组件</w:t>
      </w:r>
      <w:r>
        <w:rPr>
          <w:rStyle w:val="80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0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04"/>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9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9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93"/>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93"/>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793"/>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93"/>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79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9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9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9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93"/>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93"/>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93"/>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财务状况报告及税收、社会保障资金</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t xml:space="preserve">缴纳情况承诺函</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w:t>
      </w:r>
      <w:r>
        <w:rPr>
          <w:rStyle w:val="800"/>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法定代表人或其委托代理人（签名或签章）：</w:t>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360" w:firstLine="40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方正小标宋_GBK">
    <w:panose1 w:val="020B0503020202020204"/>
  </w:font>
  <w:font w:name="Calibri">
    <w:panose1 w:val="020F0502020204030204"/>
  </w:font>
  <w:font w:name="Segoe UI">
    <w:panose1 w:val="020B0502040204020203"/>
  </w:font>
  <w:font w:name="PMingLiU">
    <w:panose1 w:val="02020500000000000000"/>
  </w:font>
  <w:font w:name="Book Antiqua">
    <w:panose1 w:val="02040602050305030304"/>
  </w:font>
  <w:font w:name="Tahoma">
    <w:panose1 w:val="020B0604030504040204"/>
  </w:font>
  <w:font w:name="仿宋">
    <w:panose1 w:val="02010609060101010101"/>
  </w:font>
  <w:font w:name="方正楷体_GBK">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pPr>
    <w:r>
      <w:fldChar w:fldCharType="begin"/>
    </w:r>
    <w:r>
      <w:instrText xml:space="preserve">PAGE   \* MERGEFORMAT</w:instrText>
    </w:r>
    <w:r>
      <w:fldChar w:fldCharType="separate"/>
    </w:r>
    <w:r>
      <w:rPr>
        <w:lang w:val="zh-CN"/>
      </w:rPr>
      <w:t xml:space="preserve">19</w:t>
    </w:r>
    <w:r>
      <w:fldChar w:fldCharType="end"/>
    </w:r>
    <w:r/>
  </w:p>
  <w:p>
    <w:pPr>
      <w:pStyle w:val="7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78"/>
                          </w:pPr>
                          <w:r>
                            <w:fldChar w:fldCharType="begin"/>
                          </w:r>
                          <w:r>
                            <w:instrText xml:space="preserve"> PAGE  \* MERGEFORMAT </w:instrText>
                          </w:r>
                          <w:r>
                            <w:fldChar w:fldCharType="separate"/>
                          </w:r>
                          <w:r>
                            <w:t xml:space="preserve">43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78"/>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1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pStyle w:val="1007"/>
      <w:isLgl w:val="false"/>
      <w:suff w:val="tab"/>
      <w:lvlText w:val="第%1章"/>
      <w:lvlJc w:val="left"/>
      <w:pPr>
        <w:ind w:left="9351" w:hanging="420"/>
      </w:pPr>
      <w:rPr>
        <w:rFonts w:hint="eastAsia" w:ascii="黑体" w:eastAsia="黑体"/>
        <w:b w:val="0"/>
        <w:sz w:val="36"/>
        <w:lang w:val="en-US"/>
      </w:rPr>
    </w:lvl>
    <w:lvl w:ilvl="1">
      <w:start w:val="1"/>
      <w:numFmt w:val="decimal"/>
      <w:pStyle w:val="1006"/>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005"/>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91"/>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4"/>
  </w:num>
  <w:num w:numId="3">
    <w:abstractNumId w:val="11"/>
  </w:num>
  <w:num w:numId="4">
    <w:abstractNumId w:val="1"/>
  </w:num>
  <w:num w:numId="5">
    <w:abstractNumId w:val="12"/>
  </w:num>
  <w:num w:numId="6">
    <w:abstractNumId w:val="13"/>
  </w:num>
  <w:num w:numId="7">
    <w:abstractNumId w:val="5"/>
  </w:num>
  <w:num w:numId="8">
    <w:abstractNumId w:val="9"/>
  </w:num>
  <w:num w:numId="9">
    <w:abstractNumId w:val="7"/>
  </w:num>
  <w:num w:numId="10">
    <w:abstractNumId w:val="6"/>
  </w:num>
  <w:num w:numId="11">
    <w:abstractNumId w:val="3"/>
  </w:num>
  <w:num w:numId="12">
    <w:abstractNumId w:val="8"/>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name w:val="Heading 1"/>
    <w:basedOn w:val="748"/>
    <w:next w:val="748"/>
    <w:link w:val="978"/>
    <w:uiPriority w:val="0"/>
    <w:qFormat/>
    <w:pPr>
      <w:jc w:val="center"/>
      <w:keepNext/>
      <w:outlineLvl w:val="0"/>
    </w:pPr>
    <w:rPr>
      <w:rFonts w:ascii="楷体_GB2312" w:hAnsi="楷体_GB2312"/>
      <w:b/>
      <w:sz w:val="44"/>
      <w:szCs w:val="20"/>
    </w:rPr>
  </w:style>
  <w:style w:type="paragraph" w:styleId="750">
    <w:name w:val="Heading 2"/>
    <w:basedOn w:val="748"/>
    <w:next w:val="760"/>
    <w:uiPriority w:val="0"/>
    <w:qFormat/>
    <w:pPr>
      <w:jc w:val="center"/>
      <w:keepLines/>
      <w:keepNext/>
      <w:spacing w:before="260" w:after="260" w:line="416" w:lineRule="auto"/>
      <w:outlineLvl w:val="1"/>
    </w:pPr>
    <w:rPr>
      <w:rFonts w:ascii="Arial" w:hAnsi="Arial"/>
      <w:b/>
      <w:sz w:val="44"/>
      <w:szCs w:val="20"/>
    </w:rPr>
  </w:style>
  <w:style w:type="paragraph" w:styleId="751">
    <w:name w:val="Heading 3"/>
    <w:basedOn w:val="748"/>
    <w:next w:val="748"/>
    <w:uiPriority w:val="0"/>
    <w:qFormat/>
    <w:pPr>
      <w:keepLines/>
      <w:keepNext/>
      <w:spacing w:before="260" w:after="260" w:line="416" w:lineRule="auto"/>
      <w:outlineLvl w:val="2"/>
    </w:pPr>
    <w:rPr>
      <w:b/>
      <w:sz w:val="32"/>
      <w:szCs w:val="20"/>
    </w:rPr>
  </w:style>
  <w:style w:type="paragraph" w:styleId="752">
    <w:name w:val="Heading 4"/>
    <w:basedOn w:val="748"/>
    <w:next w:val="748"/>
    <w:uiPriority w:val="0"/>
    <w:qFormat/>
    <w:pPr>
      <w:keepLines/>
      <w:keepNext/>
      <w:spacing w:before="280" w:after="290" w:line="376" w:lineRule="auto"/>
      <w:outlineLvl w:val="3"/>
    </w:pPr>
    <w:rPr>
      <w:rFonts w:ascii="Arial" w:hAnsi="Arial" w:eastAsia="黑体"/>
      <w:bCs/>
      <w:sz w:val="28"/>
      <w:szCs w:val="28"/>
    </w:rPr>
  </w:style>
  <w:style w:type="paragraph" w:styleId="753">
    <w:name w:val="Heading 5"/>
    <w:basedOn w:val="748"/>
    <w:next w:val="748"/>
    <w:uiPriority w:val="0"/>
    <w:qFormat/>
    <w:pPr>
      <w:keepNext/>
      <w:outlineLvl w:val="4"/>
    </w:pPr>
    <w:rPr>
      <w:rFonts w:ascii="宋体" w:hAnsi="宋体"/>
      <w:b/>
      <w:bCs/>
    </w:rPr>
  </w:style>
  <w:style w:type="paragraph" w:styleId="754">
    <w:name w:val="Heading 6"/>
    <w:basedOn w:val="748"/>
    <w:next w:val="748"/>
    <w:link w:val="832"/>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834"/>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835"/>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Normal Indent"/>
    <w:basedOn w:val="748"/>
    <w:link w:val="979"/>
    <w:uiPriority w:val="0"/>
    <w:qFormat/>
    <w:pPr>
      <w:ind w:firstLine="420"/>
    </w:pPr>
    <w:rPr>
      <w:szCs w:val="20"/>
    </w:rPr>
  </w:style>
  <w:style w:type="paragraph" w:styleId="761">
    <w:name w:val="toc 7"/>
    <w:basedOn w:val="748"/>
    <w:next w:val="748"/>
    <w:uiPriority w:val="0"/>
    <w:semiHidden/>
    <w:qFormat/>
    <w:pPr>
      <w:ind w:left="2520"/>
    </w:pPr>
  </w:style>
  <w:style w:type="paragraph" w:styleId="762">
    <w:name w:val="Caption"/>
    <w:basedOn w:val="748"/>
    <w:next w:val="74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63">
    <w:name w:val="index 5"/>
    <w:basedOn w:val="748"/>
    <w:next w:val="748"/>
    <w:uiPriority w:val="0"/>
    <w:qFormat/>
    <w:pPr>
      <w:ind w:left="800"/>
      <w:spacing w:line="240" w:lineRule="atLeast"/>
      <w:widowControl/>
    </w:pPr>
    <w:rPr>
      <w:rFonts w:ascii="Arial" w:hAnsi="Arial"/>
      <w:szCs w:val="21"/>
    </w:rPr>
  </w:style>
  <w:style w:type="paragraph" w:styleId="764">
    <w:name w:val="Document Map"/>
    <w:basedOn w:val="748"/>
    <w:uiPriority w:val="0"/>
    <w:semiHidden/>
    <w:qFormat/>
    <w:pPr>
      <w:shd w:val="clear" w:color="auto" w:fill="000080"/>
    </w:pPr>
  </w:style>
  <w:style w:type="paragraph" w:styleId="765">
    <w:name w:val="annotation text"/>
    <w:basedOn w:val="748"/>
    <w:link w:val="980"/>
    <w:uiPriority w:val="99"/>
    <w:qFormat/>
    <w:pPr>
      <w:jc w:val="left"/>
    </w:pPr>
  </w:style>
  <w:style w:type="paragraph" w:styleId="766">
    <w:name w:val="Body Text 3"/>
    <w:basedOn w:val="748"/>
    <w:uiPriority w:val="0"/>
    <w:qFormat/>
    <w:rPr>
      <w:rFonts w:ascii="仿宋_GB2312" w:hAnsi="Arial" w:eastAsia="仿宋_GB2312"/>
      <w:sz w:val="32"/>
      <w:szCs w:val="20"/>
    </w:rPr>
  </w:style>
  <w:style w:type="paragraph" w:styleId="767">
    <w:name w:val="Body Text"/>
    <w:basedOn w:val="748"/>
    <w:uiPriority w:val="0"/>
    <w:qFormat/>
    <w:rPr>
      <w:rFonts w:ascii="楷体_GB2312" w:hAnsi="Arial" w:eastAsia="楷体_GB2312"/>
      <w:sz w:val="28"/>
      <w:szCs w:val="20"/>
    </w:rPr>
  </w:style>
  <w:style w:type="paragraph" w:styleId="768">
    <w:name w:val="Body Text Indent"/>
    <w:basedOn w:val="748"/>
    <w:uiPriority w:val="0"/>
    <w:qFormat/>
    <w:pPr>
      <w:ind w:firstLine="645"/>
    </w:pPr>
    <w:rPr>
      <w:rFonts w:ascii="楷体_GB2312" w:eastAsia="楷体_GB2312"/>
      <w:sz w:val="32"/>
      <w:szCs w:val="20"/>
    </w:rPr>
  </w:style>
  <w:style w:type="paragraph" w:styleId="769">
    <w:name w:val="Block Text"/>
    <w:basedOn w:val="748"/>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70">
    <w:name w:val="toc 5"/>
    <w:basedOn w:val="748"/>
    <w:next w:val="748"/>
    <w:uiPriority w:val="0"/>
    <w:semiHidden/>
    <w:qFormat/>
    <w:pPr>
      <w:ind w:left="1680"/>
    </w:pPr>
  </w:style>
  <w:style w:type="paragraph" w:styleId="771">
    <w:name w:val="toc 3"/>
    <w:basedOn w:val="748"/>
    <w:next w:val="74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772">
    <w:name w:val="Plain Text"/>
    <w:basedOn w:val="748"/>
    <w:link w:val="981"/>
    <w:uiPriority w:val="0"/>
    <w:qFormat/>
    <w:rPr>
      <w:rFonts w:ascii="宋体" w:hAnsi="Courier New"/>
      <w:szCs w:val="20"/>
    </w:rPr>
  </w:style>
  <w:style w:type="paragraph" w:styleId="773">
    <w:name w:val="toc 8"/>
    <w:basedOn w:val="748"/>
    <w:next w:val="748"/>
    <w:uiPriority w:val="0"/>
    <w:semiHidden/>
    <w:qFormat/>
    <w:pPr>
      <w:ind w:left="2940"/>
    </w:pPr>
  </w:style>
  <w:style w:type="paragraph" w:styleId="774">
    <w:name w:val="Date"/>
    <w:basedOn w:val="748"/>
    <w:next w:val="748"/>
    <w:uiPriority w:val="0"/>
    <w:qFormat/>
    <w:rPr>
      <w:sz w:val="24"/>
      <w:szCs w:val="20"/>
    </w:rPr>
  </w:style>
  <w:style w:type="paragraph" w:styleId="775">
    <w:name w:val="Body Text Indent 2"/>
    <w:basedOn w:val="748"/>
    <w:uiPriority w:val="0"/>
    <w:qFormat/>
    <w:pPr>
      <w:ind w:firstLine="560"/>
    </w:pPr>
    <w:rPr>
      <w:rFonts w:ascii="宋体" w:hAnsi="宋体"/>
      <w:sz w:val="28"/>
    </w:rPr>
  </w:style>
  <w:style w:type="paragraph" w:styleId="776">
    <w:name w:val="endnote text"/>
    <w:basedOn w:val="748"/>
    <w:link w:val="972"/>
    <w:uiPriority w:val="99"/>
    <w:semiHidden/>
    <w:unhideWhenUsed/>
    <w:qFormat/>
    <w:rPr>
      <w:sz w:val="20"/>
    </w:rPr>
  </w:style>
  <w:style w:type="paragraph" w:styleId="777">
    <w:name w:val="Balloon Text"/>
    <w:basedOn w:val="748"/>
    <w:uiPriority w:val="0"/>
    <w:semiHidden/>
    <w:qFormat/>
    <w:rPr>
      <w:sz w:val="18"/>
      <w:szCs w:val="18"/>
    </w:rPr>
  </w:style>
  <w:style w:type="paragraph" w:styleId="778">
    <w:name w:val="Footer"/>
    <w:basedOn w:val="748"/>
    <w:uiPriority w:val="0"/>
    <w:qFormat/>
    <w:pPr>
      <w:jc w:val="left"/>
      <w:tabs>
        <w:tab w:val="center" w:pos="4153" w:leader="none"/>
        <w:tab w:val="right" w:pos="8306" w:leader="none"/>
      </w:tabs>
    </w:pPr>
    <w:rPr>
      <w:sz w:val="18"/>
      <w:szCs w:val="20"/>
    </w:rPr>
  </w:style>
  <w:style w:type="paragraph" w:styleId="779">
    <w:name w:val="envelope return"/>
    <w:basedOn w:val="748"/>
    <w:uiPriority w:val="0"/>
    <w:qFormat/>
    <w:rPr>
      <w:rFonts w:ascii="Arial" w:hAnsi="Arial"/>
    </w:rPr>
  </w:style>
  <w:style w:type="paragraph" w:styleId="780">
    <w:name w:val="Header"/>
    <w:basedOn w:val="748"/>
    <w:uiPriority w:val="0"/>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48"/>
    <w:next w:val="748"/>
    <w:uiPriority w:val="39"/>
    <w:qFormat/>
    <w:pPr>
      <w:jc w:val="left"/>
      <w:spacing w:before="120" w:after="120" w:line="300" w:lineRule="exact"/>
      <w:tabs>
        <w:tab w:val="right" w:pos="9440" w:leader="dot"/>
      </w:tabs>
    </w:pPr>
    <w:rPr>
      <w:rFonts w:ascii="黑体" w:eastAsia="黑体"/>
      <w:b/>
      <w:caps/>
      <w:sz w:val="18"/>
      <w:szCs w:val="28"/>
    </w:rPr>
  </w:style>
  <w:style w:type="paragraph" w:styleId="782">
    <w:name w:val="toc 4"/>
    <w:basedOn w:val="748"/>
    <w:next w:val="748"/>
    <w:uiPriority w:val="0"/>
    <w:semiHidden/>
    <w:qFormat/>
    <w:pPr>
      <w:ind w:left="1260"/>
    </w:pPr>
  </w:style>
  <w:style w:type="paragraph" w:styleId="783">
    <w:name w:val="Subtitle"/>
    <w:basedOn w:val="748"/>
    <w:next w:val="748"/>
    <w:link w:val="982"/>
    <w:uiPriority w:val="0"/>
    <w:qFormat/>
    <w:pPr>
      <w:jc w:val="center"/>
      <w:spacing w:before="240" w:after="60" w:line="312" w:lineRule="auto"/>
      <w:outlineLvl w:val="1"/>
    </w:pPr>
    <w:rPr>
      <w:rFonts w:ascii="Cambria" w:hAnsi="Cambria"/>
      <w:b/>
      <w:bCs/>
      <w:sz w:val="32"/>
      <w:szCs w:val="32"/>
    </w:rPr>
  </w:style>
  <w:style w:type="paragraph" w:styleId="784">
    <w:name w:val="footnote text"/>
    <w:basedOn w:val="748"/>
    <w:next w:val="763"/>
    <w:uiPriority w:val="0"/>
    <w:qFormat/>
    <w:pPr>
      <w:ind w:firstLine="425"/>
      <w:jc w:val="left"/>
      <w:spacing w:before="120" w:line="360" w:lineRule="auto"/>
    </w:pPr>
    <w:rPr>
      <w:sz w:val="18"/>
      <w:szCs w:val="20"/>
    </w:rPr>
  </w:style>
  <w:style w:type="paragraph" w:styleId="785">
    <w:name w:val="toc 6"/>
    <w:basedOn w:val="748"/>
    <w:next w:val="748"/>
    <w:uiPriority w:val="0"/>
    <w:semiHidden/>
    <w:qFormat/>
    <w:pPr>
      <w:ind w:left="2100"/>
    </w:pPr>
  </w:style>
  <w:style w:type="paragraph" w:styleId="786">
    <w:name w:val="Body Text Indent 3"/>
    <w:basedOn w:val="748"/>
    <w:uiPriority w:val="0"/>
    <w:qFormat/>
    <w:pPr>
      <w:ind w:firstLine="523"/>
    </w:pPr>
    <w:rPr>
      <w:rFonts w:ascii="仿宋_GB2312" w:hAnsi="宋体" w:eastAsia="仿宋_GB2312"/>
      <w:sz w:val="24"/>
    </w:rPr>
  </w:style>
  <w:style w:type="paragraph" w:styleId="787">
    <w:name w:val="table of figures"/>
    <w:basedOn w:val="748"/>
    <w:next w:val="748"/>
    <w:uiPriority w:val="99"/>
    <w:unhideWhenUsed/>
    <w:qFormat/>
  </w:style>
  <w:style w:type="paragraph" w:styleId="788">
    <w:name w:val="toc 2"/>
    <w:basedOn w:val="748"/>
    <w:next w:val="748"/>
    <w:uiPriority w:val="39"/>
    <w:qFormat/>
    <w:pPr>
      <w:jc w:val="left"/>
      <w:spacing w:line="260" w:lineRule="exact"/>
      <w:tabs>
        <w:tab w:val="right" w:pos="9440" w:leader="dot"/>
      </w:tabs>
    </w:pPr>
    <w:rPr>
      <w:rFonts w:ascii="黑体" w:eastAsia="黑体"/>
      <w:b/>
      <w:bCs/>
      <w:smallCaps/>
      <w:sz w:val="18"/>
      <w:szCs w:val="44"/>
    </w:rPr>
  </w:style>
  <w:style w:type="paragraph" w:styleId="789">
    <w:name w:val="toc 9"/>
    <w:basedOn w:val="748"/>
    <w:next w:val="748"/>
    <w:uiPriority w:val="0"/>
    <w:semiHidden/>
    <w:qFormat/>
    <w:pPr>
      <w:ind w:left="3360"/>
    </w:pPr>
  </w:style>
  <w:style w:type="paragraph" w:styleId="790">
    <w:name w:val="Body Text 2"/>
    <w:basedOn w:val="748"/>
    <w:uiPriority w:val="0"/>
    <w:qFormat/>
    <w:pPr>
      <w:jc w:val="center"/>
    </w:pPr>
    <w:rPr>
      <w:rFonts w:ascii="仿宋_GB2312" w:eastAsia="仿宋_GB2312"/>
      <w:sz w:val="44"/>
    </w:rPr>
  </w:style>
  <w:style w:type="paragraph" w:styleId="791">
    <w:name w:val="Message Header"/>
    <w:basedOn w:val="748"/>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92">
    <w:name w:val="HTML Preformatted"/>
    <w:basedOn w:val="748"/>
    <w:link w:val="98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93">
    <w:name w:val="Normal (Web)"/>
    <w:basedOn w:val="748"/>
    <w:uiPriority w:val="0"/>
    <w:unhideWhenUsed/>
    <w:qFormat/>
    <w:pPr>
      <w:jc w:val="left"/>
      <w:spacing w:before="100" w:beforeAutospacing="1" w:after="100" w:afterAutospacing="1"/>
      <w:widowControl/>
    </w:pPr>
    <w:rPr>
      <w:rFonts w:ascii="宋体" w:hAnsi="宋体" w:cs="宋体"/>
      <w:sz w:val="24"/>
    </w:rPr>
  </w:style>
  <w:style w:type="paragraph" w:styleId="794">
    <w:name w:val="index 1"/>
    <w:basedOn w:val="748"/>
    <w:next w:val="748"/>
    <w:uiPriority w:val="0"/>
    <w:semiHidden/>
    <w:qFormat/>
    <w:rPr>
      <w:rFonts w:ascii="宋体" w:hAnsi="宋体"/>
      <w:szCs w:val="18"/>
    </w:rPr>
  </w:style>
  <w:style w:type="paragraph" w:styleId="795">
    <w:name w:val="Title"/>
    <w:basedOn w:val="748"/>
    <w:next w:val="748"/>
    <w:link w:val="837"/>
    <w:uiPriority w:val="10"/>
    <w:qFormat/>
    <w:pPr>
      <w:contextualSpacing/>
      <w:spacing w:before="300" w:after="200"/>
    </w:pPr>
    <w:rPr>
      <w:sz w:val="48"/>
      <w:szCs w:val="48"/>
    </w:rPr>
  </w:style>
  <w:style w:type="paragraph" w:styleId="796">
    <w:name w:val="annotation subject"/>
    <w:basedOn w:val="765"/>
    <w:next w:val="765"/>
    <w:link w:val="984"/>
    <w:uiPriority w:val="0"/>
    <w:qFormat/>
    <w:rPr>
      <w:b/>
      <w:bCs/>
    </w:rPr>
  </w:style>
  <w:style w:type="paragraph" w:styleId="797">
    <w:name w:val="Body Text First Indent"/>
    <w:basedOn w:val="767"/>
    <w:next w:val="748"/>
    <w:uiPriority w:val="99"/>
    <w:unhideWhenUsed/>
    <w:qFormat/>
    <w:pPr>
      <w:ind w:firstLine="420"/>
    </w:pPr>
  </w:style>
  <w:style w:type="paragraph" w:styleId="798">
    <w:name w:val="Body Text First Indent 2"/>
    <w:basedOn w:val="768"/>
    <w:uiPriority w:val="0"/>
    <w:qFormat/>
    <w:pPr>
      <w:ind w:left="420" w:firstLine="420"/>
      <w:spacing w:after="120"/>
    </w:pPr>
    <w:rPr>
      <w:rFonts w:cs="宋体"/>
      <w:sz w:val="21"/>
      <w:szCs w:val="21"/>
    </w:rPr>
  </w:style>
  <w:style w:type="table" w:styleId="799">
    <w:name w:val="Table Grid"/>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basedOn w:val="758"/>
    <w:uiPriority w:val="0"/>
    <w:qFormat/>
    <w:rPr>
      <w:b/>
      <w:bCs/>
    </w:rPr>
  </w:style>
  <w:style w:type="character" w:styleId="801">
    <w:name w:val="endnote reference"/>
    <w:basedOn w:val="758"/>
    <w:uiPriority w:val="99"/>
    <w:semiHidden/>
    <w:unhideWhenUsed/>
    <w:qFormat/>
    <w:rPr>
      <w:vertAlign w:val="superscript"/>
    </w:rPr>
  </w:style>
  <w:style w:type="character" w:styleId="802">
    <w:name w:val="page number"/>
    <w:uiPriority w:val="0"/>
    <w:qFormat/>
  </w:style>
  <w:style w:type="character" w:styleId="803">
    <w:name w:val="FollowedHyperlink"/>
    <w:uiPriority w:val="0"/>
    <w:qFormat/>
    <w:rPr>
      <w:color w:val="800080"/>
      <w:u w:val="none"/>
    </w:rPr>
  </w:style>
  <w:style w:type="character" w:styleId="804">
    <w:name w:val="Emphasis"/>
    <w:uiPriority w:val="0"/>
    <w:qFormat/>
    <w:rPr>
      <w:i/>
    </w:rPr>
  </w:style>
  <w:style w:type="character" w:styleId="805">
    <w:name w:val="HTML Definition"/>
    <w:uiPriority w:val="0"/>
    <w:qFormat/>
  </w:style>
  <w:style w:type="character" w:styleId="806">
    <w:name w:val="HTML Typewriter"/>
    <w:uiPriority w:val="0"/>
    <w:qFormat/>
    <w:rPr>
      <w:rFonts w:hint="default" w:ascii="monospace" w:hAnsi="monospace" w:eastAsia="monospace" w:cs="monospace"/>
      <w:sz w:val="20"/>
    </w:rPr>
  </w:style>
  <w:style w:type="character" w:styleId="807">
    <w:name w:val="HTML Acronym"/>
    <w:basedOn w:val="758"/>
    <w:uiPriority w:val="0"/>
    <w:qFormat/>
  </w:style>
  <w:style w:type="character" w:styleId="808">
    <w:name w:val="HTML Variable"/>
    <w:uiPriority w:val="0"/>
    <w:qFormat/>
  </w:style>
  <w:style w:type="character" w:styleId="809">
    <w:name w:val="Hyperlink"/>
    <w:uiPriority w:val="99"/>
    <w:qFormat/>
    <w:rPr>
      <w:color w:val="0000ff"/>
      <w:u w:val="none"/>
    </w:rPr>
  </w:style>
  <w:style w:type="character" w:styleId="810">
    <w:name w:val="HTML Code"/>
    <w:uiPriority w:val="0"/>
    <w:qFormat/>
    <w:rPr>
      <w:rFonts w:ascii="monospace" w:hAnsi="monospace" w:eastAsia="monospace" w:cs="monospace"/>
      <w:sz w:val="20"/>
    </w:rPr>
  </w:style>
  <w:style w:type="character" w:styleId="811">
    <w:name w:val="annotation reference"/>
    <w:uiPriority w:val="0"/>
    <w:qFormat/>
    <w:rPr>
      <w:sz w:val="21"/>
      <w:szCs w:val="21"/>
    </w:rPr>
  </w:style>
  <w:style w:type="character" w:styleId="812">
    <w:name w:val="HTML Cite"/>
    <w:uiPriority w:val="0"/>
    <w:qFormat/>
  </w:style>
  <w:style w:type="character" w:styleId="813">
    <w:name w:val="footnote reference"/>
    <w:basedOn w:val="758"/>
    <w:uiPriority w:val="99"/>
    <w:unhideWhenUsed/>
    <w:qFormat/>
    <w:rPr>
      <w:vertAlign w:val="superscript"/>
    </w:rPr>
  </w:style>
  <w:style w:type="character" w:styleId="814">
    <w:name w:val="HTML Keyboard"/>
    <w:uiPriority w:val="0"/>
    <w:qFormat/>
    <w:rPr>
      <w:rFonts w:hint="default" w:ascii="monospace" w:hAnsi="monospace" w:eastAsia="monospace" w:cs="monospace"/>
      <w:sz w:val="20"/>
    </w:rPr>
  </w:style>
  <w:style w:type="character" w:styleId="815">
    <w:name w:val="HTML Sample"/>
    <w:uiPriority w:val="0"/>
    <w:qFormat/>
    <w:rPr>
      <w:rFonts w:hint="default" w:ascii="monospace" w:hAnsi="monospace" w:eastAsia="monospace" w:cs="monospace"/>
    </w:rPr>
  </w:style>
  <w:style w:type="paragraph" w:styleId="816" w:customStyle="1">
    <w:name w:val="TOC Heading"/>
    <w:uiPriority w:val="39"/>
    <w:unhideWhenUsed/>
    <w:qFormat/>
    <w:rPr>
      <w:rFonts w:hint="default" w:ascii="Times New Roman" w:hAnsi="Times New Roman" w:eastAsia="宋体" w:cs="Times New Roman"/>
    </w:rPr>
  </w:style>
  <w:style w:type="paragraph" w:styleId="817" w:customStyle="1">
    <w:name w:val="Quote1"/>
    <w:basedOn w:val="748"/>
    <w:next w:val="748"/>
    <w:uiPriority w:val="99"/>
    <w:qFormat/>
    <w:pPr>
      <w:ind w:left="864" w:right="864"/>
      <w:jc w:val="center"/>
      <w:spacing w:before="200" w:after="160"/>
      <w:widowControl/>
    </w:pPr>
    <w:rPr>
      <w:rFonts w:ascii="宋体"/>
      <w:i/>
      <w:color w:val="404040"/>
    </w:rPr>
  </w:style>
  <w:style w:type="character" w:styleId="818" w:customStyle="1">
    <w:name w:val="Heading 6 Char"/>
    <w:basedOn w:val="758"/>
    <w:uiPriority w:val="9"/>
    <w:qFormat/>
    <w:rPr>
      <w:rFonts w:ascii="Arial" w:hAnsi="Arial" w:eastAsia="Arial" w:cs="Arial"/>
      <w:b/>
      <w:bCs/>
      <w:sz w:val="22"/>
      <w:szCs w:val="22"/>
    </w:rPr>
  </w:style>
  <w:style w:type="character" w:styleId="819" w:customStyle="1">
    <w:name w:val="Heading 7 Char"/>
    <w:basedOn w:val="758"/>
    <w:uiPriority w:val="9"/>
    <w:qFormat/>
    <w:rPr>
      <w:rFonts w:ascii="Arial" w:hAnsi="Arial" w:eastAsia="Arial" w:cs="Arial"/>
      <w:b/>
      <w:bCs/>
      <w:i/>
      <w:iCs/>
      <w:sz w:val="22"/>
      <w:szCs w:val="22"/>
    </w:rPr>
  </w:style>
  <w:style w:type="character" w:styleId="820" w:customStyle="1">
    <w:name w:val="Heading 8 Char"/>
    <w:basedOn w:val="758"/>
    <w:uiPriority w:val="9"/>
    <w:qFormat/>
    <w:rPr>
      <w:rFonts w:ascii="Arial" w:hAnsi="Arial" w:eastAsia="Arial" w:cs="Arial"/>
      <w:i/>
      <w:iCs/>
      <w:sz w:val="22"/>
      <w:szCs w:val="22"/>
    </w:rPr>
  </w:style>
  <w:style w:type="character" w:styleId="821" w:customStyle="1">
    <w:name w:val="Heading 9 Char"/>
    <w:basedOn w:val="758"/>
    <w:uiPriority w:val="9"/>
    <w:qFormat/>
    <w:rPr>
      <w:rFonts w:ascii="Arial" w:hAnsi="Arial" w:eastAsia="Arial" w:cs="Arial"/>
      <w:i/>
      <w:iCs/>
      <w:sz w:val="21"/>
      <w:szCs w:val="21"/>
    </w:rPr>
  </w:style>
  <w:style w:type="character" w:styleId="822" w:customStyle="1">
    <w:name w:val="Title Char"/>
    <w:basedOn w:val="758"/>
    <w:uiPriority w:val="10"/>
    <w:qFormat/>
    <w:rPr>
      <w:sz w:val="48"/>
      <w:szCs w:val="48"/>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Endnote Text Char"/>
    <w:uiPriority w:val="99"/>
    <w:qFormat/>
    <w:rPr>
      <w:sz w:val="20"/>
    </w:rPr>
  </w:style>
  <w:style w:type="paragraph" w:styleId="826" w:customStyle="1">
    <w:name w:val="TOC 标题1"/>
    <w:uiPriority w:val="39"/>
    <w:unhideWhenUsed/>
    <w:qFormat/>
    <w:rPr>
      <w:rFonts w:hint="default" w:ascii="Times New Roman" w:hAnsi="Times New Roman" w:eastAsia="宋体" w:cs="Times New Roman"/>
      <w:lang w:val="en-US" w:eastAsia="zh-CN" w:bidi="ar-SA"/>
    </w:rPr>
  </w:style>
  <w:style w:type="character" w:styleId="827" w:customStyle="1">
    <w:name w:val="Heading 1 Char"/>
    <w:basedOn w:val="758"/>
    <w:uiPriority w:val="9"/>
    <w:qFormat/>
    <w:rPr>
      <w:rFonts w:ascii="Arial" w:hAnsi="Arial" w:eastAsia="Arial" w:cs="Arial"/>
      <w:sz w:val="40"/>
      <w:szCs w:val="40"/>
    </w:rPr>
  </w:style>
  <w:style w:type="character" w:styleId="828" w:customStyle="1">
    <w:name w:val="Heading 2 Char"/>
    <w:basedOn w:val="758"/>
    <w:uiPriority w:val="9"/>
    <w:qFormat/>
    <w:rPr>
      <w:rFonts w:ascii="Arial" w:hAnsi="Arial" w:eastAsia="Arial" w:cs="Arial"/>
      <w:sz w:val="34"/>
    </w:rPr>
  </w:style>
  <w:style w:type="character" w:styleId="829" w:customStyle="1">
    <w:name w:val="Heading 3 Char"/>
    <w:basedOn w:val="758"/>
    <w:uiPriority w:val="9"/>
    <w:qFormat/>
    <w:rPr>
      <w:rFonts w:ascii="Arial" w:hAnsi="Arial" w:eastAsia="Arial" w:cs="Arial"/>
      <w:sz w:val="30"/>
      <w:szCs w:val="30"/>
    </w:rPr>
  </w:style>
  <w:style w:type="character" w:styleId="830" w:customStyle="1">
    <w:name w:val="Heading 4 Char"/>
    <w:basedOn w:val="758"/>
    <w:uiPriority w:val="9"/>
    <w:qFormat/>
    <w:rPr>
      <w:rFonts w:ascii="Arial" w:hAnsi="Arial" w:eastAsia="Arial" w:cs="Arial"/>
      <w:b/>
      <w:bCs/>
      <w:sz w:val="26"/>
      <w:szCs w:val="26"/>
    </w:rPr>
  </w:style>
  <w:style w:type="character" w:styleId="831" w:customStyle="1">
    <w:name w:val="Heading 5 Char"/>
    <w:basedOn w:val="758"/>
    <w:uiPriority w:val="9"/>
    <w:qFormat/>
    <w:rPr>
      <w:rFonts w:ascii="Arial" w:hAnsi="Arial" w:eastAsia="Arial" w:cs="Arial"/>
      <w:b/>
      <w:bCs/>
      <w:sz w:val="24"/>
      <w:szCs w:val="24"/>
    </w:rPr>
  </w:style>
  <w:style w:type="character" w:styleId="832" w:customStyle="1">
    <w:name w:val="标题 6 Char"/>
    <w:basedOn w:val="758"/>
    <w:link w:val="754"/>
    <w:uiPriority w:val="9"/>
    <w:qFormat/>
    <w:rPr>
      <w:rFonts w:ascii="Arial" w:hAnsi="Arial" w:eastAsia="Arial" w:cs="Arial"/>
      <w:b/>
      <w:bCs/>
      <w:sz w:val="22"/>
      <w:szCs w:val="22"/>
    </w:rPr>
  </w:style>
  <w:style w:type="character" w:styleId="833" w:customStyle="1">
    <w:name w:val="标题 7 Char"/>
    <w:basedOn w:val="758"/>
    <w:link w:val="755"/>
    <w:uiPriority w:val="9"/>
    <w:qFormat/>
    <w:rPr>
      <w:rFonts w:ascii="Arial" w:hAnsi="Arial" w:eastAsia="Arial" w:cs="Arial"/>
      <w:b/>
      <w:bCs/>
      <w:i/>
      <w:iCs/>
      <w:sz w:val="22"/>
      <w:szCs w:val="22"/>
    </w:rPr>
  </w:style>
  <w:style w:type="character" w:styleId="834" w:customStyle="1">
    <w:name w:val="标题 8 Char"/>
    <w:basedOn w:val="758"/>
    <w:link w:val="756"/>
    <w:uiPriority w:val="9"/>
    <w:qFormat/>
    <w:rPr>
      <w:rFonts w:ascii="Arial" w:hAnsi="Arial" w:eastAsia="Arial" w:cs="Arial"/>
      <w:i/>
      <w:iCs/>
      <w:sz w:val="22"/>
      <w:szCs w:val="22"/>
    </w:rPr>
  </w:style>
  <w:style w:type="character" w:styleId="835" w:customStyle="1">
    <w:name w:val="标题 9 Char"/>
    <w:basedOn w:val="758"/>
    <w:link w:val="757"/>
    <w:uiPriority w:val="9"/>
    <w:qFormat/>
    <w:rPr>
      <w:rFonts w:ascii="Arial" w:hAnsi="Arial" w:eastAsia="Arial" w:cs="Arial"/>
      <w:i/>
      <w:iCs/>
      <w:sz w:val="21"/>
      <w:szCs w:val="21"/>
    </w:rPr>
  </w:style>
  <w:style w:type="paragraph" w:styleId="836">
    <w:name w:val="No Spacing"/>
    <w:uiPriority w:val="1"/>
    <w:qFormat/>
    <w:rPr>
      <w:rFonts w:hint="default" w:ascii="Times New Roman" w:hAnsi="Times New Roman" w:eastAsia="宋体" w:cs="Times New Roman"/>
      <w:lang w:val="en-US" w:eastAsia="zh-CN" w:bidi="ar-SA"/>
    </w:rPr>
  </w:style>
  <w:style w:type="character" w:styleId="837" w:customStyle="1">
    <w:name w:val="标题 Char"/>
    <w:basedOn w:val="758"/>
    <w:link w:val="795"/>
    <w:uiPriority w:val="10"/>
    <w:qFormat/>
    <w:rPr>
      <w:sz w:val="48"/>
      <w:szCs w:val="48"/>
    </w:rPr>
  </w:style>
  <w:style w:type="character" w:styleId="838" w:customStyle="1">
    <w:name w:val="Subtitle Char"/>
    <w:basedOn w:val="758"/>
    <w:uiPriority w:val="11"/>
    <w:qFormat/>
    <w:rPr>
      <w:sz w:val="24"/>
      <w:szCs w:val="24"/>
    </w:rPr>
  </w:style>
  <w:style w:type="paragraph" w:styleId="839">
    <w:name w:val="Quote"/>
    <w:basedOn w:val="748"/>
    <w:next w:val="748"/>
    <w:link w:val="840"/>
    <w:uiPriority w:val="29"/>
    <w:qFormat/>
    <w:pPr>
      <w:ind w:left="720" w:right="720"/>
    </w:pPr>
    <w:rPr>
      <w:i/>
    </w:rPr>
  </w:style>
  <w:style w:type="character" w:styleId="840" w:customStyle="1">
    <w:name w:val="引用 Char"/>
    <w:link w:val="839"/>
    <w:uiPriority w:val="29"/>
    <w:qFormat/>
    <w:rPr>
      <w:i/>
    </w:rPr>
  </w:style>
  <w:style w:type="paragraph" w:styleId="841">
    <w:name w:val="Intense Quote"/>
    <w:basedOn w:val="748"/>
    <w:next w:val="748"/>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Char"/>
    <w:link w:val="841"/>
    <w:uiPriority w:val="30"/>
    <w:qFormat/>
    <w:rPr>
      <w:i/>
    </w:rPr>
  </w:style>
  <w:style w:type="character" w:styleId="843" w:customStyle="1">
    <w:name w:val="Header Char"/>
    <w:basedOn w:val="758"/>
    <w:uiPriority w:val="99"/>
    <w:qFormat/>
  </w:style>
  <w:style w:type="character" w:styleId="844" w:customStyle="1">
    <w:name w:val="Footer Char"/>
    <w:basedOn w:val="758"/>
    <w:uiPriority w:val="99"/>
    <w:qFormat/>
  </w:style>
  <w:style w:type="character" w:styleId="845" w:customStyle="1">
    <w:name w:val="Caption Char"/>
    <w:uiPriority w:val="99"/>
    <w:qFormat/>
  </w:style>
  <w:style w:type="table" w:styleId="846" w:customStyle="1">
    <w:name w:val="Table Grid Light"/>
    <w:basedOn w:val="7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Plain Table 1"/>
    <w:basedOn w:val="7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7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75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75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75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7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basedOn w:val="75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basedOn w:val="75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basedOn w:val="75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basedOn w:val="75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basedOn w:val="75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basedOn w:val="75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9" w:customStyle="1">
    <w:name w:val="Grid Table 2"/>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basedOn w:val="75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basedOn w:val="75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basedOn w:val="75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basedOn w:val="75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basedOn w:val="75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65" w:customStyle="1">
    <w:name w:val="Grid Table 2 - Accent 6"/>
    <w:basedOn w:val="75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6" w:customStyle="1">
    <w:name w:val="Grid Table 3"/>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basedOn w:val="75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5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5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5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59"/>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5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basedOn w:val="7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basedOn w:val="75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75" w:customStyle="1">
    <w:name w:val="Grid Table 4 - Accent 2"/>
    <w:basedOn w:val="75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6" w:customStyle="1">
    <w:name w:val="Grid Table 4 - Accent 3"/>
    <w:basedOn w:val="75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7" w:customStyle="1">
    <w:name w:val="Grid Table 4 - Accent 4"/>
    <w:basedOn w:val="75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8" w:customStyle="1">
    <w:name w:val="Grid Table 4 - Accent 5"/>
    <w:basedOn w:val="75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79" w:customStyle="1">
    <w:name w:val="Grid Table 4 - Accent 6"/>
    <w:basedOn w:val="75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0" w:customStyle="1">
    <w:name w:val="Grid Table 5 Dark"/>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2" w:customStyle="1">
    <w:name w:val="Grid Table 5 Dark - Accent 2"/>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3" w:customStyle="1">
    <w:name w:val="Grid Table 5 Dark - Accent 3"/>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4" w:customStyle="1">
    <w:name w:val="Grid Table 5 Dark- Accent 4"/>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5" w:customStyle="1">
    <w:name w:val="Grid Table 5 Dark - Accent 5"/>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86" w:customStyle="1">
    <w:name w:val="Grid Table 5 Dark - Accent 6"/>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7" w:customStyle="1">
    <w:name w:val="Grid Table 6 Colorful"/>
    <w:basedOn w:val="7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basedOn w:val="75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89" w:customStyle="1">
    <w:name w:val="Grid Table 6 Colorful - Accent 2"/>
    <w:basedOn w:val="75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0" w:customStyle="1">
    <w:name w:val="Grid Table 6 Colorful - Accent 3"/>
    <w:basedOn w:val="75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1" w:customStyle="1">
    <w:name w:val="Grid Table 6 Colorful - Accent 4"/>
    <w:basedOn w:val="75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2" w:customStyle="1">
    <w:name w:val="Grid Table 6 Colorful - Accent 5"/>
    <w:basedOn w:val="75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3" w:customStyle="1">
    <w:name w:val="Grid Table 6 Colorful - Accent 6"/>
    <w:basedOn w:val="75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4" w:customStyle="1">
    <w:name w:val="Grid Table 7 Colorful"/>
    <w:basedOn w:val="7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basedOn w:val="75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basedOn w:val="75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basedOn w:val="75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basedOn w:val="75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basedOn w:val="75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basedOn w:val="75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w:basedOn w:val="75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basedOn w:val="759"/>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3" w:customStyle="1">
    <w:name w:val="List Table 1 Light - Accent 2"/>
    <w:basedOn w:val="75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4" w:customStyle="1">
    <w:name w:val="List Table 1 Light - Accent 3"/>
    <w:basedOn w:val="75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5" w:customStyle="1">
    <w:name w:val="List Table 1 Light - Accent 4"/>
    <w:basedOn w:val="75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6" w:customStyle="1">
    <w:name w:val="List Table 1 Light - Accent 5"/>
    <w:basedOn w:val="759"/>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07" w:customStyle="1">
    <w:name w:val="List Table 1 Light - Accent 6"/>
    <w:basedOn w:val="75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8" w:customStyle="1">
    <w:name w:val="List Table 2"/>
    <w:basedOn w:val="7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basedOn w:val="75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0" w:customStyle="1">
    <w:name w:val="List Table 2 - Accent 2"/>
    <w:basedOn w:val="75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1" w:customStyle="1">
    <w:name w:val="List Table 2 - Accent 3"/>
    <w:basedOn w:val="75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2" w:customStyle="1">
    <w:name w:val="List Table 2 - Accent 4"/>
    <w:basedOn w:val="75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3" w:customStyle="1">
    <w:name w:val="List Table 2 - Accent 5"/>
    <w:basedOn w:val="75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14" w:customStyle="1">
    <w:name w:val="List Table 2 - Accent 6"/>
    <w:basedOn w:val="75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5" w:customStyle="1">
    <w:name w:val="List Table 3"/>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basedOn w:val="75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7" w:customStyle="1">
    <w:name w:val="List Table 3 - Accent 2"/>
    <w:basedOn w:val="75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8" w:customStyle="1">
    <w:name w:val="List Table 3 - Accent 3"/>
    <w:basedOn w:val="75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9" w:customStyle="1">
    <w:name w:val="List Table 3 - Accent 4"/>
    <w:basedOn w:val="75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0" w:customStyle="1">
    <w:name w:val="List Table 3 - Accent 5"/>
    <w:basedOn w:val="75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1" w:customStyle="1">
    <w:name w:val="List Table 3 - Accent 6"/>
    <w:basedOn w:val="75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2" w:customStyle="1">
    <w:name w:val="List Table 4"/>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basedOn w:val="75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4" w:customStyle="1">
    <w:name w:val="List Table 4 - Accent 2"/>
    <w:basedOn w:val="75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5" w:customStyle="1">
    <w:name w:val="List Table 4 - Accent 3"/>
    <w:basedOn w:val="75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6" w:customStyle="1">
    <w:name w:val="List Table 4 - Accent 4"/>
    <w:basedOn w:val="75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7" w:customStyle="1">
    <w:name w:val="List Table 4 - Accent 5"/>
    <w:basedOn w:val="75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28" w:customStyle="1">
    <w:name w:val="List Table 4 - Accent 6"/>
    <w:basedOn w:val="75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9" w:customStyle="1">
    <w:name w:val="List Table 5 Dark"/>
    <w:basedOn w:val="7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basedOn w:val="75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basedOn w:val="75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basedOn w:val="75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basedOn w:val="75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basedOn w:val="75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basedOn w:val="75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6 Colorful"/>
    <w:basedOn w:val="75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basedOn w:val="759"/>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38" w:customStyle="1">
    <w:name w:val="List Table 6 Colorful - Accent 2"/>
    <w:basedOn w:val="75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9" w:customStyle="1">
    <w:name w:val="List Table 6 Colorful - Accent 3"/>
    <w:basedOn w:val="75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0" w:customStyle="1">
    <w:name w:val="List Table 6 Colorful - Accent 4"/>
    <w:basedOn w:val="75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1" w:customStyle="1">
    <w:name w:val="List Table 6 Colorful - Accent 5"/>
    <w:basedOn w:val="759"/>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2" w:customStyle="1">
    <w:name w:val="List Table 6 Colorful - Accent 6"/>
    <w:basedOn w:val="75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3" w:customStyle="1">
    <w:name w:val="List Table 7 Colorful"/>
    <w:basedOn w:val="75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basedOn w:val="759"/>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basedOn w:val="75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basedOn w:val="75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basedOn w:val="75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basedOn w:val="759"/>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basedOn w:val="75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0" w:customStyle="1">
    <w:name w:val="Lined - Accent"/>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2" w:customStyle="1">
    <w:name w:val="Lined - Accent 2"/>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3" w:customStyle="1">
    <w:name w:val="Lined - Accent 3"/>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4" w:customStyle="1">
    <w:name w:val="Lined - Accent 4"/>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5" w:customStyle="1">
    <w:name w:val="Lined - Accent 5"/>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56" w:customStyle="1">
    <w:name w:val="Lined - Accent 6"/>
    <w:basedOn w:val="75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7" w:customStyle="1">
    <w:name w:val="Bordered &amp; Lined - Accent"/>
    <w:basedOn w:val="75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basedOn w:val="75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9" w:customStyle="1">
    <w:name w:val="Bordered &amp; Lined - Accent 2"/>
    <w:basedOn w:val="75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0" w:customStyle="1">
    <w:name w:val="Bordered &amp; Lined - Accent 3"/>
    <w:basedOn w:val="75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1" w:customStyle="1">
    <w:name w:val="Bordered &amp; Lined - Accent 4"/>
    <w:basedOn w:val="75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2" w:customStyle="1">
    <w:name w:val="Bordered &amp; Lined - Accent 5"/>
    <w:basedOn w:val="75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3" w:customStyle="1">
    <w:name w:val="Bordered &amp; Lined - Accent 6"/>
    <w:basedOn w:val="75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4" w:customStyle="1">
    <w:name w:val="Bordered"/>
    <w:basedOn w:val="75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basedOn w:val="75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66" w:customStyle="1">
    <w:name w:val="Bordered - Accent 2"/>
    <w:basedOn w:val="75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7" w:customStyle="1">
    <w:name w:val="Bordered - Accent 3"/>
    <w:basedOn w:val="75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8" w:customStyle="1">
    <w:name w:val="Bordered - Accent 4"/>
    <w:basedOn w:val="75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9" w:customStyle="1">
    <w:name w:val="Bordered - Accent 5"/>
    <w:basedOn w:val="75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0" w:customStyle="1">
    <w:name w:val="Bordered - Accent 6"/>
    <w:basedOn w:val="75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1" w:customStyle="1">
    <w:name w:val="Footnote Text Char"/>
    <w:uiPriority w:val="99"/>
    <w:qFormat/>
    <w:rPr>
      <w:sz w:val="18"/>
    </w:rPr>
  </w:style>
  <w:style w:type="character" w:styleId="972" w:customStyle="1">
    <w:name w:val="尾注文本 Char"/>
    <w:link w:val="776"/>
    <w:uiPriority w:val="99"/>
    <w:qFormat/>
    <w:rPr>
      <w:sz w:val="20"/>
    </w:rPr>
  </w:style>
  <w:style w:type="paragraph" w:styleId="973" w:customStyle="1">
    <w:name w:val="TOC 标题111"/>
    <w:uiPriority w:val="39"/>
    <w:unhideWhenUsed/>
    <w:qFormat/>
    <w:rPr>
      <w:rFonts w:hint="default" w:ascii="Times New Roman" w:hAnsi="Times New Roman" w:eastAsia="宋体" w:cs="Times New Roman"/>
      <w:lang w:val="en-US" w:eastAsia="zh-CN" w:bidi="ar-SA"/>
    </w:rPr>
  </w:style>
  <w:style w:type="paragraph" w:styleId="974" w:customStyle="1">
    <w:name w:val="正文首行缩进11"/>
    <w:basedOn w:val="975"/>
    <w:next w:val="748"/>
    <w:uiPriority w:val="99"/>
    <w:unhideWhenUsed/>
    <w:qFormat/>
    <w:pPr>
      <w:ind w:firstLine="420"/>
    </w:pPr>
    <w:rPr>
      <w:szCs w:val="24"/>
    </w:rPr>
  </w:style>
  <w:style w:type="paragraph" w:styleId="975" w:customStyle="1">
    <w:name w:val="正文文本111"/>
    <w:basedOn w:val="748"/>
    <w:next w:val="748"/>
    <w:uiPriority w:val="0"/>
    <w:qFormat/>
    <w:rPr>
      <w:rFonts w:eastAsia="楷体_GB2312"/>
      <w:b/>
      <w:bCs/>
      <w:color w:val="ff0000"/>
      <w:sz w:val="32"/>
      <w:szCs w:val="32"/>
      <w:lang w:val="zh-CN"/>
    </w:rPr>
  </w:style>
  <w:style w:type="paragraph" w:styleId="976" w:customStyle="1">
    <w:name w:val="Default"/>
    <w:next w:val="977"/>
    <w:uiPriority w:val="0"/>
    <w:qFormat/>
    <w:pPr>
      <w:widowControl w:val="off"/>
    </w:pPr>
    <w:rPr>
      <w:rFonts w:hint="default" w:ascii="宋体" w:hAnsi="Times New Roman" w:eastAsia="宋体" w:cs="宋体"/>
      <w:color w:val="000000"/>
      <w:sz w:val="24"/>
      <w:szCs w:val="24"/>
      <w:lang w:val="en-US" w:eastAsia="zh-CN" w:bidi="ar-SA"/>
    </w:rPr>
  </w:style>
  <w:style w:type="paragraph" w:styleId="977" w:customStyle="1">
    <w:name w:val="toc 21"/>
    <w:next w:val="748"/>
    <w:uiPriority w:val="0"/>
    <w:qFormat/>
    <w:pPr>
      <w:ind w:left="425"/>
      <w:jc w:val="both"/>
    </w:pPr>
    <w:rPr>
      <w:rFonts w:hint="default" w:ascii="Times New Roman" w:hAnsi="Times New Roman" w:eastAsia="宋体" w:cs="Times New Roman"/>
      <w:sz w:val="21"/>
      <w:lang w:val="en-US" w:eastAsia="zh-CN" w:bidi="ar-SA"/>
    </w:rPr>
  </w:style>
  <w:style w:type="character" w:styleId="978" w:customStyle="1">
    <w:name w:val="标题 1 Char"/>
    <w:link w:val="749"/>
    <w:uiPriority w:val="0"/>
    <w:qFormat/>
    <w:rPr>
      <w:rFonts w:ascii="楷体_GB2312" w:hAnsi="楷体_GB2312" w:eastAsia="宋体"/>
      <w:b/>
      <w:sz w:val="44"/>
      <w:lang w:val="en-US" w:eastAsia="zh-CN" w:bidi="ar-SA"/>
    </w:rPr>
  </w:style>
  <w:style w:type="character" w:styleId="979" w:customStyle="1">
    <w:name w:val="正文缩进 Char"/>
    <w:link w:val="760"/>
    <w:uiPriority w:val="0"/>
    <w:qFormat/>
    <w:rPr>
      <w:rFonts w:eastAsia="宋体"/>
      <w:sz w:val="21"/>
      <w:lang w:val="en-US" w:eastAsia="zh-CN" w:bidi="ar-SA"/>
    </w:rPr>
  </w:style>
  <w:style w:type="character" w:styleId="980" w:customStyle="1">
    <w:name w:val="批注文字 Char"/>
    <w:link w:val="765"/>
    <w:uiPriority w:val="99"/>
    <w:qFormat/>
    <w:rPr>
      <w:sz w:val="21"/>
      <w:szCs w:val="24"/>
    </w:rPr>
  </w:style>
  <w:style w:type="character" w:styleId="981" w:customStyle="1">
    <w:name w:val="纯文本 Char"/>
    <w:link w:val="772"/>
    <w:uiPriority w:val="0"/>
    <w:qFormat/>
    <w:rPr>
      <w:rFonts w:ascii="宋体" w:hAnsi="Courier New"/>
      <w:sz w:val="21"/>
    </w:rPr>
  </w:style>
  <w:style w:type="character" w:styleId="982" w:customStyle="1">
    <w:name w:val="副标题 Char"/>
    <w:link w:val="783"/>
    <w:uiPriority w:val="0"/>
    <w:qFormat/>
    <w:rPr>
      <w:rFonts w:ascii="Cambria" w:hAnsi="Cambria"/>
      <w:b/>
      <w:bCs/>
      <w:sz w:val="32"/>
      <w:szCs w:val="32"/>
    </w:rPr>
  </w:style>
  <w:style w:type="character" w:styleId="983" w:customStyle="1">
    <w:name w:val="HTML 预设格式 Char"/>
    <w:link w:val="792"/>
    <w:uiPriority w:val="0"/>
    <w:qFormat/>
    <w:rPr>
      <w:rFonts w:ascii="黑体" w:hAnsi="Courier New" w:eastAsia="黑体" w:cs="Courier New"/>
    </w:rPr>
  </w:style>
  <w:style w:type="character" w:styleId="984" w:customStyle="1">
    <w:name w:val="批注主题 Char"/>
    <w:link w:val="796"/>
    <w:uiPriority w:val="0"/>
    <w:qFormat/>
    <w:rPr>
      <w:b/>
      <w:bCs/>
      <w:sz w:val="21"/>
      <w:szCs w:val="24"/>
    </w:rPr>
  </w:style>
  <w:style w:type="character" w:styleId="985" w:customStyle="1">
    <w:name w:val="标题2 Char"/>
    <w:uiPriority w:val="0"/>
    <w:qFormat/>
    <w:rPr>
      <w:rFonts w:ascii="方正楷体_GBK" w:hAnsi="Book Antiqua" w:eastAsia="方正楷体_GBK"/>
      <w:sz w:val="32"/>
      <w:lang w:val="en-US" w:eastAsia="zh-CN" w:bidi="ar-SA"/>
    </w:rPr>
  </w:style>
  <w:style w:type="character" w:styleId="986"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87" w:customStyle="1">
    <w:name w:val="jj1"/>
    <w:uiPriority w:val="0"/>
    <w:qFormat/>
    <w:rPr>
      <w:sz w:val="20"/>
      <w:szCs w:val="20"/>
      <w:u w:val="none"/>
    </w:rPr>
  </w:style>
  <w:style w:type="character" w:styleId="988" w:customStyle="1">
    <w:name w:val="列出段落 Char"/>
    <w:link w:val="989"/>
    <w:uiPriority w:val="0"/>
    <w:qFormat/>
    <w:rPr>
      <w:rFonts w:ascii="Calibri" w:hAnsi="Calibri"/>
      <w:sz w:val="24"/>
      <w:szCs w:val="24"/>
      <w:lang w:eastAsia="en-US" w:bidi="en-US"/>
    </w:rPr>
  </w:style>
  <w:style w:type="paragraph" w:styleId="989" w:customStyle="1">
    <w:name w:val="列出段落1"/>
    <w:basedOn w:val="748"/>
    <w:link w:val="988"/>
    <w:uiPriority w:val="0"/>
    <w:qFormat/>
    <w:pPr>
      <w:contextualSpacing/>
      <w:ind w:left="720"/>
      <w:jc w:val="left"/>
      <w:widowControl/>
    </w:pPr>
    <w:rPr>
      <w:rFonts w:ascii="Calibri" w:hAnsi="Calibri"/>
      <w:sz w:val="24"/>
      <w:lang w:eastAsia="en-US" w:bidi="en-US"/>
    </w:rPr>
  </w:style>
  <w:style w:type="character" w:styleId="990"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paragraph" w:styleId="991" w:customStyle="1">
    <w:name w:val="第四级"/>
    <w:basedOn w:val="748"/>
    <w:next w:val="748"/>
    <w:uiPriority w:val="0"/>
    <w:qFormat/>
    <w:pPr>
      <w:numPr>
        <w:ilvl w:val="3"/>
        <w:numId w:val="1"/>
      </w:numPr>
      <w:spacing w:line="360" w:lineRule="auto"/>
    </w:pPr>
    <w:rPr>
      <w:rFonts w:ascii="宋体" w:hAnsi="宋体" w:eastAsia="仿宋"/>
      <w:sz w:val="28"/>
      <w:szCs w:val="21"/>
    </w:rPr>
  </w:style>
  <w:style w:type="paragraph" w:styleId="992" w:customStyle="1">
    <w:name w:val="正文空2格  1."/>
    <w:basedOn w:val="748"/>
    <w:uiPriority w:val="0"/>
    <w:qFormat/>
    <w:pPr>
      <w:ind w:firstLine="480"/>
      <w:spacing w:line="360" w:lineRule="auto"/>
    </w:pPr>
    <w:rPr>
      <w:rFonts w:ascii="宋体" w:eastAsia="仿宋" w:cs="宋体"/>
      <w:sz w:val="28"/>
      <w:szCs w:val="20"/>
    </w:rPr>
  </w:style>
  <w:style w:type="paragraph" w:styleId="993" w:customStyle="1">
    <w:name w:val="普通正文"/>
    <w:basedOn w:val="748"/>
    <w:uiPriority w:val="0"/>
    <w:qFormat/>
    <w:pPr>
      <w:ind w:firstLine="480"/>
      <w:jc w:val="left"/>
      <w:spacing w:before="120" w:after="120" w:line="360" w:lineRule="auto"/>
    </w:pPr>
    <w:rPr>
      <w:rFonts w:ascii="Arial" w:hAnsi="Arial"/>
      <w:sz w:val="24"/>
    </w:rPr>
  </w:style>
  <w:style w:type="paragraph" w:styleId="994" w:customStyle="1">
    <w:name w:val="MSG_EN_FONT_STYLE_NAME_TEMPLATE_ROLE_NUMBER MSG_EN_FONT_STYLE_NAME_BY_ROLE_TEXT 2"/>
    <w:basedOn w:val="748"/>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95"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996" w:customStyle="1">
    <w:name w:val="正文（缩进）"/>
    <w:basedOn w:val="748"/>
    <w:uiPriority w:val="0"/>
    <w:qFormat/>
    <w:pPr>
      <w:ind w:firstLine="480"/>
      <w:spacing w:before="156" w:after="156"/>
    </w:pPr>
  </w:style>
  <w:style w:type="paragraph" w:styleId="997" w:customStyle="1">
    <w:name w:val="段"/>
    <w:uiPriority w:val="0"/>
    <w:qFormat/>
    <w:pPr>
      <w:ind w:firstLine="200"/>
      <w:jc w:val="both"/>
    </w:pPr>
    <w:rPr>
      <w:rFonts w:hint="default" w:ascii="宋体" w:hAnsi="Calibri" w:eastAsia="宋体" w:cs="Times New Roman"/>
      <w:sz w:val="21"/>
      <w:lang w:val="en-US" w:eastAsia="zh-CN" w:bidi="ar-SA"/>
    </w:rPr>
  </w:style>
  <w:style w:type="paragraph" w:styleId="998" w:customStyle="1">
    <w:name w:val="标题2"/>
    <w:basedOn w:val="748"/>
    <w:next w:val="748"/>
    <w:uiPriority w:val="0"/>
    <w:qFormat/>
    <w:pPr>
      <w:jc w:val="center"/>
    </w:pPr>
    <w:rPr>
      <w:rFonts w:eastAsia="方正楷体_GBK"/>
    </w:rPr>
  </w:style>
  <w:style w:type="paragraph" w:styleId="999" w:customStyle="1">
    <w:name w:val="HTML 预先格式化"/>
    <w:basedOn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00" w:customStyle="1">
    <w:name w:val="Char Char Char Char1 Char Char"/>
    <w:basedOn w:val="748"/>
    <w:uiPriority w:val="0"/>
    <w:qFormat/>
    <w:pPr>
      <w:tabs>
        <w:tab w:val="left" w:pos="360" w:leader="none"/>
      </w:tabs>
    </w:pPr>
    <w:rPr>
      <w:sz w:val="24"/>
    </w:rPr>
  </w:style>
  <w:style w:type="paragraph" w:styleId="1001" w:customStyle="1">
    <w:name w:val="默认段落字体 Para Char Char Char Char Char Char Char Char Char1 Char Char Char Char Char Char Char"/>
    <w:basedOn w:val="764"/>
    <w:uiPriority w:val="0"/>
    <w:qFormat/>
    <w:rPr>
      <w:rFonts w:ascii="Tahoma" w:hAnsi="Tahoma"/>
      <w:sz w:val="24"/>
    </w:rPr>
  </w:style>
  <w:style w:type="paragraph" w:styleId="1002" w:customStyle="1">
    <w:name w:val="WPSOffice手动目录 1"/>
    <w:uiPriority w:val="0"/>
    <w:qFormat/>
    <w:rPr>
      <w:rFonts w:hint="default" w:ascii="Times New Roman" w:hAnsi="Times New Roman" w:eastAsia="宋体" w:cs="Times New Roman"/>
      <w:lang w:val="en-US" w:eastAsia="zh-CN" w:bidi="ar-SA"/>
    </w:rPr>
  </w:style>
  <w:style w:type="paragraph" w:styleId="1003" w:customStyle="1">
    <w:name w:val="Char Char Char Char"/>
    <w:basedOn w:val="764"/>
    <w:uiPriority w:val="0"/>
    <w:qFormat/>
    <w:pPr>
      <w:spacing w:line="360" w:lineRule="auto"/>
    </w:pPr>
    <w:rPr>
      <w:rFonts w:ascii="Tahoma" w:hAnsi="Tahoma"/>
      <w:sz w:val="24"/>
    </w:rPr>
  </w:style>
  <w:style w:type="paragraph" w:styleId="1004" w:customStyle="1">
    <w:name w:val="Char"/>
    <w:basedOn w:val="748"/>
    <w:uiPriority w:val="0"/>
    <w:qFormat/>
    <w:pPr>
      <w:tabs>
        <w:tab w:val="left" w:pos="360" w:leader="none"/>
      </w:tabs>
    </w:pPr>
    <w:rPr>
      <w:sz w:val="24"/>
    </w:rPr>
  </w:style>
  <w:style w:type="paragraph" w:styleId="1005" w:customStyle="1">
    <w:name w:val="正文 1.1.1"/>
    <w:basedOn w:val="748"/>
    <w:next w:val="748"/>
    <w:uiPriority w:val="0"/>
    <w:qFormat/>
    <w:pPr>
      <w:numPr>
        <w:ilvl w:val="2"/>
        <w:numId w:val="1"/>
      </w:numPr>
      <w:spacing w:line="360" w:lineRule="auto"/>
      <w:outlineLvl w:val="2"/>
    </w:pPr>
    <w:rPr>
      <w:rFonts w:ascii="宋体" w:hAnsi="宋体"/>
      <w:color w:val="000000"/>
      <w:sz w:val="28"/>
      <w:szCs w:val="21"/>
    </w:rPr>
  </w:style>
  <w:style w:type="paragraph" w:styleId="1006" w:customStyle="1">
    <w:name w:val="正文 1.1"/>
    <w:basedOn w:val="748"/>
    <w:next w:val="1005"/>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07" w:customStyle="1">
    <w:name w:val="正文 第一章"/>
    <w:basedOn w:val="748"/>
    <w:next w:val="1006"/>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08">
    <w:name w:val="List Paragraph"/>
    <w:basedOn w:val="748"/>
    <w:uiPriority w:val="34"/>
    <w:qFormat/>
    <w:pPr>
      <w:ind w:firstLine="420"/>
    </w:pPr>
    <w:rPr>
      <w:rFonts w:ascii="Calibri" w:hAnsi="Calibri"/>
      <w:szCs w:val="22"/>
    </w:rPr>
  </w:style>
  <w:style w:type="paragraph" w:styleId="1009"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1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1" w:customStyle="1">
    <w:name w:val="Char1"/>
    <w:basedOn w:val="748"/>
    <w:uiPriority w:val="0"/>
    <w:qFormat/>
    <w:rPr>
      <w:rFonts w:ascii="Tahoma" w:hAnsi="Tahoma"/>
      <w:sz w:val="24"/>
      <w:szCs w:val="20"/>
    </w:rPr>
  </w:style>
  <w:style w:type="paragraph" w:styleId="1012" w:customStyle="1">
    <w:name w:val="Coms Alinea"/>
    <w:uiPriority w:val="0"/>
    <w:qFormat/>
    <w:pPr>
      <w:widowControl w:val="off"/>
    </w:pPr>
    <w:rPr>
      <w:rFonts w:hint="default" w:ascii="Arial" w:hAnsi="Arial" w:eastAsia="宋体" w:cs="Arial"/>
      <w:lang w:val="en-US" w:eastAsia="zh-CN" w:bidi="ar-SA"/>
    </w:rPr>
  </w:style>
  <w:style w:type="paragraph" w:styleId="1013" w:customStyle="1">
    <w:name w:val="Char Char Char Char1 Char Char Char"/>
    <w:basedOn w:val="764"/>
    <w:uiPriority w:val="0"/>
    <w:qFormat/>
    <w:pPr>
      <w:spacing w:line="360" w:lineRule="auto"/>
    </w:pPr>
    <w:rPr>
      <w:rFonts w:ascii="Tahoma" w:hAnsi="Tahoma"/>
      <w:sz w:val="24"/>
    </w:rPr>
  </w:style>
  <w:style w:type="paragraph" w:styleId="1014"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015" w:customStyle="1">
    <w:name w:val="BioQuote Tekst"/>
    <w:basedOn w:val="748"/>
    <w:uiPriority w:val="0"/>
    <w:qFormat/>
    <w:pPr>
      <w:ind w:right="-1"/>
    </w:pPr>
    <w:rPr>
      <w:rFonts w:ascii="Arial" w:hAnsi="Arial"/>
      <w:sz w:val="22"/>
      <w:szCs w:val="20"/>
      <w:lang w:eastAsia="en-US"/>
    </w:rPr>
  </w:style>
  <w:style w:type="paragraph" w:styleId="1016" w:customStyle="1">
    <w:name w:val="xl47"/>
    <w:basedOn w:val="74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17" w:customStyle="1">
    <w:name w:val="纯文本2"/>
    <w:basedOn w:val="748"/>
    <w:uiPriority w:val="0"/>
    <w:qFormat/>
    <w:rPr>
      <w:rFonts w:ascii="宋体" w:hAnsi="Courier New" w:eastAsia="楷体_GB2312"/>
      <w:sz w:val="26"/>
      <w:szCs w:val="20"/>
    </w:rPr>
  </w:style>
  <w:style w:type="paragraph" w:styleId="1018" w:customStyle="1">
    <w:name w:val="标题1"/>
    <w:basedOn w:val="748"/>
    <w:next w:val="748"/>
    <w:uiPriority w:val="0"/>
    <w:qFormat/>
    <w:pPr>
      <w:jc w:val="center"/>
      <w:spacing w:line="700" w:lineRule="atLeast"/>
      <w:tabs>
        <w:tab w:val="left" w:pos="9193" w:leader="none"/>
        <w:tab w:val="left" w:pos="9827" w:leader="none"/>
      </w:tabs>
    </w:pPr>
    <w:rPr>
      <w:rFonts w:eastAsia="方正小标宋_GBK"/>
      <w:sz w:val="44"/>
    </w:rPr>
  </w:style>
  <w:style w:type="paragraph" w:styleId="1019" w:customStyle="1">
    <w:name w:val="TOC 标题11"/>
    <w:basedOn w:val="749"/>
    <w:next w:val="748"/>
    <w:uiPriority w:val="39"/>
    <w:qFormat/>
    <w:pPr>
      <w:jc w:val="left"/>
      <w:keepLines/>
      <w:spacing w:before="480" w:line="276" w:lineRule="auto"/>
      <w:outlineLvl w:val="9"/>
    </w:pPr>
    <w:rPr>
      <w:rFonts w:ascii="Cambria" w:hAnsi="Cambria"/>
      <w:b w:val="0"/>
      <w:bCs/>
      <w:color w:val="365f91"/>
      <w:szCs w:val="28"/>
    </w:rPr>
  </w:style>
  <w:style w:type="paragraph" w:styleId="1020" w:customStyle="1">
    <w:name w:val="标题3"/>
    <w:basedOn w:val="748"/>
    <w:next w:val="748"/>
    <w:uiPriority w:val="0"/>
    <w:qFormat/>
    <w:rPr>
      <w:rFonts w:eastAsia="方正黑体_GBK"/>
    </w:rPr>
  </w:style>
  <w:style w:type="paragraph" w:styleId="1021" w:customStyle="1">
    <w:name w:val="纯文本1"/>
    <w:basedOn w:val="748"/>
    <w:uiPriority w:val="0"/>
    <w:qFormat/>
    <w:rPr>
      <w:rFonts w:hAnsi="Courier New" w:eastAsia="楷体_GB2312"/>
      <w:color w:val="000000"/>
      <w:sz w:val="26"/>
    </w:rPr>
  </w:style>
  <w:style w:type="paragraph" w:styleId="1022" w:customStyle="1">
    <w:name w:val="p2"/>
    <w:basedOn w:val="748"/>
    <w:uiPriority w:val="0"/>
    <w:qFormat/>
    <w:pPr>
      <w:jc w:val="left"/>
      <w:spacing w:before="100" w:beforeAutospacing="1" w:after="100" w:afterAutospacing="1"/>
      <w:widowControl/>
    </w:pPr>
    <w:rPr>
      <w:rFonts w:ascii="宋体" w:hAnsi="宋体" w:cs="宋体"/>
      <w:sz w:val="24"/>
    </w:rPr>
  </w:style>
  <w:style w:type="paragraph" w:styleId="102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文档正文"/>
    <w:basedOn w:val="748"/>
    <w:uiPriority w:val="0"/>
    <w:unhideWhenUsed/>
    <w:qFormat/>
    <w:pPr>
      <w:ind w:firstLine="482"/>
      <w:spacing w:before="60" w:after="60" w:line="360" w:lineRule="auto"/>
    </w:pPr>
  </w:style>
  <w:style w:type="character" w:styleId="1025" w:customStyle="1">
    <w:name w:val="font01"/>
    <w:basedOn w:val="758"/>
    <w:uiPriority w:val="0"/>
    <w:qFormat/>
    <w:rPr>
      <w:rFonts w:hint="eastAsia" w:ascii="宋体" w:hAnsi="宋体" w:eastAsia="宋体" w:cs="宋体"/>
      <w:color w:val="000000"/>
      <w:sz w:val="22"/>
      <w:szCs w:val="22"/>
      <w:u w:val="none"/>
    </w:rPr>
  </w:style>
  <w:style w:type="character" w:styleId="1026" w:customStyle="1">
    <w:name w:val="font11"/>
    <w:uiPriority w:val="0"/>
    <w:qFormat/>
    <w:rPr>
      <w:rFonts w:hint="eastAsia" w:ascii="宋体" w:hAnsi="宋体" w:eastAsia="宋体" w:cs="宋体"/>
      <w:color w:val="ff0000"/>
      <w:sz w:val="22"/>
      <w:szCs w:val="22"/>
      <w:u w:val="none"/>
    </w:rPr>
  </w:style>
  <w:style w:type="character" w:styleId="1027" w:customStyle="1">
    <w:name w:val="font31"/>
    <w:basedOn w:val="758"/>
    <w:uiPriority w:val="0"/>
    <w:qFormat/>
    <w:rPr>
      <w:rFonts w:hint="eastAsia" w:ascii="宋体" w:hAnsi="宋体" w:eastAsia="宋体" w:cs="宋体"/>
      <w:color w:val="000000"/>
      <w:sz w:val="22"/>
      <w:szCs w:val="22"/>
      <w:u w:val="none"/>
    </w:rPr>
  </w:style>
  <w:style w:type="paragraph" w:styleId="1028" w:customStyle="1">
    <w:name w:val="Table Paragraph"/>
    <w:basedOn w:val="748"/>
    <w:uiPriority w:val="1"/>
    <w:qFormat/>
    <w:pPr>
      <w:jc w:val="left"/>
    </w:pPr>
    <w:rPr>
      <w:sz w:val="24"/>
    </w:rPr>
  </w:style>
  <w:style w:type="paragraph" w:styleId="1029" w:customStyle="1">
    <w:name w:val="正文2"/>
    <w:basedOn w:val="748"/>
    <w:uiPriority w:val="0"/>
    <w:qFormat/>
    <w:pPr>
      <w:ind w:firstLine="200"/>
      <w:spacing w:before="156" w:line="360" w:lineRule="auto"/>
    </w:pPr>
    <w:rPr>
      <w:sz w:val="24"/>
      <w:szCs w:val="20"/>
    </w:rPr>
  </w:style>
  <w:style w:type="character" w:styleId="1030" w:customStyle="1">
    <w:name w:val="NormalCharacter"/>
    <w:link w:val="1031"/>
    <w:uiPriority w:val="0"/>
    <w:semiHidden/>
    <w:qFormat/>
    <w:rPr>
      <w:sz w:val="20"/>
      <w:szCs w:val="20"/>
    </w:rPr>
  </w:style>
  <w:style w:type="paragraph" w:styleId="1031" w:customStyle="1">
    <w:name w:val="UserStyle_0"/>
    <w:basedOn w:val="748"/>
    <w:link w:val="1030"/>
    <w:uiPriority w:val="0"/>
    <w:semiHidden/>
    <w:qFormat/>
    <w:pPr>
      <w:widowControl/>
    </w:pPr>
    <w:rPr>
      <w:sz w:val="20"/>
      <w:szCs w:val="20"/>
    </w:rPr>
  </w:style>
  <w:style w:type="paragraph" w:styleId="1032" w:customStyle="1">
    <w:name w:val="Body text|1"/>
    <w:uiPriority w:val="0"/>
    <w:qFormat/>
    <w:pPr>
      <w:jc w:val="both"/>
      <w:spacing w:after="60"/>
      <w:widowControl w:val="off"/>
    </w:pPr>
    <w:rPr>
      <w:rFonts w:hint="default" w:ascii="宋体" w:hAnsi="宋体" w:eastAsia="宋体" w:cs="宋体"/>
      <w:lang w:val="zh-TW" w:eastAsia="zh-TW" w:bidi="zh-TW"/>
    </w:rPr>
  </w:style>
  <w:style w:type="character" w:styleId="1033" w:customStyle="1">
    <w:name w:val="font61"/>
    <w:basedOn w:val="758"/>
    <w:uiPriority w:val="0"/>
    <w:qFormat/>
    <w:rPr>
      <w:rFonts w:ascii="方正仿宋_GBK" w:hAnsi="方正仿宋_GBK" w:eastAsia="方正仿宋_GBK" w:cs="方正仿宋_GBK"/>
      <w:b/>
      <w:bCs/>
      <w:color w:val="000000"/>
      <w:sz w:val="22"/>
      <w:szCs w:val="22"/>
      <w:u w:val="none"/>
    </w:rPr>
  </w:style>
  <w:style w:type="character" w:styleId="1034" w:customStyle="1">
    <w:name w:val="font51"/>
    <w:basedOn w:val="758"/>
    <w:uiPriority w:val="0"/>
    <w:qFormat/>
    <w:rPr>
      <w:rFonts w:hint="eastAsia" w:ascii="方正仿宋_GBK" w:hAnsi="方正仿宋_GBK" w:eastAsia="方正仿宋_GBK" w:cs="方正仿宋_GBK"/>
      <w:color w:val="000000"/>
      <w:sz w:val="22"/>
      <w:szCs w:val="22"/>
      <w:u w:val="none"/>
    </w:rPr>
  </w:style>
  <w:style w:type="character" w:styleId="1035" w:customStyle="1">
    <w:name w:val="font41"/>
    <w:basedOn w:val="758"/>
    <w:uiPriority w:val="0"/>
    <w:qFormat/>
    <w:rPr>
      <w:rFonts w:hint="default" w:ascii="Times New Roman" w:hAnsi="Times New Roman" w:cs="Times New Roman"/>
      <w:color w:val="000000"/>
      <w:sz w:val="22"/>
      <w:szCs w:val="22"/>
      <w:u w:val="none"/>
    </w:rPr>
  </w:style>
  <w:style w:type="character" w:styleId="1036" w:customStyle="1">
    <w:name w:val="font81"/>
    <w:basedOn w:val="758"/>
    <w:uiPriority w:val="0"/>
    <w:qFormat/>
    <w:rPr>
      <w:rFonts w:hint="eastAsia" w:ascii="宋体" w:hAnsi="宋体" w:eastAsia="宋体" w:cs="宋体"/>
      <w:b/>
      <w:bCs/>
      <w:color w:val="000000"/>
      <w:sz w:val="22"/>
      <w:szCs w:val="22"/>
      <w:u w:val="none"/>
    </w:rPr>
  </w:style>
  <w:style w:type="paragraph" w:styleId="1037" w:customStyle="1">
    <w:name w:val="正文1"/>
    <w:basedOn w:val="1038"/>
    <w:next w:val="1039"/>
    <w:uiPriority w:val="99"/>
    <w:qFormat/>
    <w:pPr>
      <w:jc w:val="both"/>
    </w:pPr>
    <w:rPr>
      <w:rFonts w:ascii="Times New Roman" w:hAnsi="Times New Roman" w:eastAsia="宋体" w:cs="Times New Roman"/>
      <w:sz w:val="21"/>
      <w:szCs w:val="21"/>
      <w:lang w:val="en-US" w:eastAsia="zh-CN" w:bidi="ar-SA"/>
    </w:rPr>
  </w:style>
  <w:style w:type="paragraph" w:styleId="1038" w:customStyle="1">
    <w:name w:val="正文11"/>
    <w:next w:val="1039"/>
    <w:uiPriority w:val="0"/>
    <w:qFormat/>
    <w:pPr>
      <w:jc w:val="both"/>
      <w:widowControl w:val="off"/>
    </w:pPr>
    <w:rPr>
      <w:rFonts w:hint="default" w:ascii="Calibri" w:hAnsi="Calibri" w:eastAsia="宋体" w:cs="Times New Roman"/>
      <w:sz w:val="21"/>
      <w:szCs w:val="24"/>
      <w:lang w:val="en-US" w:eastAsia="zh-CN" w:bidi="ar-SA"/>
    </w:rPr>
  </w:style>
  <w:style w:type="paragraph" w:styleId="1039" w:customStyle="1">
    <w:name w:val="正文文本1"/>
    <w:basedOn w:val="1037"/>
    <w:next w:val="1038"/>
    <w:uiPriority w:val="0"/>
    <w:qFormat/>
    <w:pPr>
      <w:ind w:left="1540"/>
    </w:pPr>
    <w:rPr>
      <w:sz w:val="24"/>
      <w:szCs w:val="24"/>
    </w:rPr>
  </w:style>
  <w:style w:type="paragraph" w:styleId="1040" w:customStyle="1">
    <w:name w:val="首行缩进"/>
    <w:basedOn w:val="748"/>
    <w:uiPriority w:val="0"/>
    <w:qFormat/>
    <w:pPr>
      <w:ind w:firstLine="480"/>
    </w:pPr>
    <w:rPr>
      <w:lang w:val="zh-CN"/>
    </w:rPr>
  </w:style>
  <w:style w:type="paragraph" w:styleId="1041" w:customStyle="1">
    <w:name w:val="列出段落2"/>
    <w:basedOn w:val="748"/>
    <w:uiPriority w:val="34"/>
    <w:qFormat/>
    <w:pPr>
      <w:ind w:firstLine="420"/>
    </w:pPr>
    <w:rPr>
      <w:rFonts w:eastAsia="仿宋"/>
      <w:sz w:val="30"/>
    </w:rPr>
  </w:style>
  <w:style w:type="paragraph" w:styleId="1042" w:customStyle="1">
    <w:name w:val="正文 正文"/>
    <w:basedOn w:val="748"/>
    <w:uiPriority w:val="0"/>
    <w:qFormat/>
    <w:pPr>
      <w:ind w:firstLine="200"/>
      <w:spacing w:before="50" w:after="50" w:line="360" w:lineRule="auto"/>
    </w:pPr>
  </w:style>
  <w:style w:type="paragraph" w:styleId="1043"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44" w:customStyle="1">
    <w:name w:val="修订2"/>
    <w:hidden/>
    <w:uiPriority w:val="99"/>
    <w:unhideWhenUsed/>
    <w:qFormat/>
    <w:rPr>
      <w:rFonts w:hint="default" w:ascii="Times New Roman" w:hAnsi="Times New Roman" w:eastAsia="宋体" w:cs="Times New Roman"/>
      <w:sz w:val="21"/>
      <w:szCs w:val="24"/>
      <w:lang w:val="en-US" w:eastAsia="zh-CN" w:bidi="ar-SA"/>
    </w:rPr>
  </w:style>
  <w:style w:type="table" w:styleId="1045" w:customStyle="1">
    <w:name w:val="Table Normal"/>
    <w:uiPriority w:val="0"/>
    <w:semiHidden/>
    <w:unhideWhenUsed/>
    <w:qFormat/>
    <w:tblPr>
      <w:tblCellMar>
        <w:left w:w="0" w:type="dxa"/>
        <w:top w:w="0" w:type="dxa"/>
        <w:right w:w="0" w:type="dxa"/>
        <w:bottom w:w="0" w:type="dxa"/>
      </w:tblCellMar>
    </w:tblPr>
  </w:style>
  <w:style w:type="paragraph" w:styleId="104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6E68E78C-5E98-47FB-8041-62D88885F52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车玉彩</cp:lastModifiedBy>
  <cp:revision>84</cp:revision>
  <dcterms:created xsi:type="dcterms:W3CDTF">2023-10-09T13:20:00Z</dcterms:created>
  <dcterms:modified xsi:type="dcterms:W3CDTF">2026-03-13T03:38:22Z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1FF5419F9DBE4971ABADD1BB6E63C744_13</vt:lpwstr>
  </property>
  <property fmtid="{D5CDD505-2E9C-101B-9397-08002B2CF9AE}" pid="4" name="KSOTemplateDocerSaveRecord">
    <vt:lpwstr>eyJoZGlkIjoiMmUzMjEyYjM0MWMyZTBmYzdjZmFlYTA5NDA1YWRlNzYiLCJ1c2VySWQiOiI0NTY3NDIyNTMifQ==</vt:lpwstr>
  </property>
</Properties>
</file>