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竞争性谈判文件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w:t>
      </w:r>
      <w:r>
        <w:rPr>
          <w:rFonts w:ascii="Arial" w:hAnsi="Arial" w:eastAsia="Arial" w:cs="Arial"/>
          <w:b/>
          <w:color w:val="000000"/>
          <w:sz w:val="28"/>
        </w:rPr>
        <w:t xml:space="preserve">2026</w:t>
      </w:r>
      <w:r>
        <w:rPr>
          <w:rFonts w:ascii="SimSun" w:hAnsi="SimSun" w:eastAsia="SimSun" w:cs="SimSun"/>
          <w:b/>
          <w:color w:val="000000"/>
          <w:sz w:val="28"/>
        </w:rPr>
        <w:t xml:space="preserve">年度农产品质量安全定量检测委托第三方机构检测</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w:t>
      </w:r>
      <w:r>
        <w:rPr>
          <w:rFonts w:ascii="Arial" w:hAnsi="Arial" w:eastAsia="Arial" w:cs="Arial"/>
          <w:b/>
          <w:color w:val="000000"/>
          <w:sz w:val="28"/>
        </w:rPr>
        <w:t xml:space="preserve">JSZC-320685-NTHL-T2026-0004</w:t>
      </w:r>
      <w:r/>
    </w:p>
    <w:p>
      <w:pPr>
        <w:ind w:left="0" w:right="0" w:firstLine="147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Times New Roman" w:hAnsi="Times New Roman" w:eastAsia="Times New Roman" w:cs="Times New Roma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海安市农业农村局</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03</w:t>
      </w:r>
      <w:r>
        <w:rPr>
          <w:rFonts w:ascii="SimSun" w:hAnsi="SimSun" w:eastAsia="SimSun" w:cs="SimSun"/>
          <w:b/>
          <w:color w:val="000000"/>
          <w:sz w:val="32"/>
        </w:rPr>
        <w:t xml:space="preserve">月</w:t>
      </w:r>
      <w:r>
        <w:rPr>
          <w:rFonts w:ascii="Arial" w:hAnsi="Arial" w:eastAsia="Arial" w:cs="Arial"/>
          <w:b/>
          <w:color w:val="000000"/>
          <w:sz w:val="32"/>
        </w:rPr>
        <w:t xml:space="preserve">10</w:t>
      </w:r>
      <w:r>
        <w:rPr>
          <w:rFonts w:ascii="SimSun" w:hAnsi="SimSun" w:eastAsia="SimSun" w:cs="SimSun"/>
          <w:b/>
          <w:color w:val="000000"/>
          <w:sz w:val="32"/>
        </w:rPr>
        <w:t xml:space="preserve">日</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  目  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5"/>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谈判邀请</w:t>
      </w:r>
      <w:r/>
    </w:p>
    <w:p>
      <w:pPr>
        <w:numPr>
          <w:ilvl w:val="0"/>
          <w:numId w:val="5"/>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  </w:t>
      </w:r>
      <w:r/>
    </w:p>
    <w:p>
      <w:pPr>
        <w:numPr>
          <w:ilvl w:val="0"/>
          <w:numId w:val="5"/>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5"/>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  谈判邀请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受海安市农业农村局的委托，南通海陵工程项目管理有限公司就2026年度农产品质量安全定量检测委托第三方机构检测项目(项目编号：JSZC-320685-NTHL-T2026-0004)进行竞争性谈判采购，欢迎符合条件的供应商参加谈判。</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2026年度农产品质量安全定量检测委托第三方机构检测</w:t>
      </w:r>
      <w:r>
        <w:rPr>
          <w:rFonts w:ascii="SimSun" w:hAnsi="SimSun" w:eastAsia="SimSun" w:cs="SimSun"/>
          <w:color w:val="000000"/>
          <w:sz w:val="24"/>
        </w:rPr>
        <w:t xml:space="preserve">竞争性谈判项目的潜在供应商可在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谈判文件，并于</w:t>
      </w:r>
      <w:r>
        <w:rPr>
          <w:rFonts w:ascii="SimSun" w:hAnsi="SimSun" w:eastAsia="SimSun" w:cs="SimSun"/>
          <w:color w:val="000000"/>
          <w:sz w:val="24"/>
          <w:u w:val="single"/>
        </w:rPr>
        <w:t xml:space="preserve">2026年03月16日14点   00分（</w:t>
      </w:r>
      <w:r>
        <w:rPr>
          <w:rFonts w:ascii="SimSun" w:hAnsi="SimSun" w:eastAsia="SimSun" w:cs="SimSun"/>
          <w:color w:val="000000"/>
          <w:sz w:val="24"/>
        </w:rPr>
        <w:t xml:space="preserve">北京时间）前递交响应文件。</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1.项目编号：JSZC-320685-NTHL-T2026-0004</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2.项目名称：2026年度农产品质量安全定量检测委托第三方机构检测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3.项目类型：服务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4.项目行业：服务业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5.最高限价：102.86万元，其中一标段：52.08万元，二标段：36.86万元，三标段：13.92万元。（包括抽样过程中的样品费、交通费等一切与本项目有关的费用）。报价超过最高限价的将作为无效响应处理。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注：本项目供应商可参与三个标段投标，兼投不兼中，开标、评标、定标顺序：标段1→标段2→标段3依次进行。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6.采购需求：详细内容见本采购文件第三章，请仔细研究。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履行期限：中标供应商在每批次抽样后15日内提交检测报告，对阳性或不合格样品，应在2小时内通报采购单位，并在1个工作日内将书面检测报告送达采购单位，并将数据上传至江苏省农产品质量追溯平台。2026年12月1日前保质保量完成畜产品684批次（其中，风险监测513批次，监督抽检171批次）、水产品300批次（其中，风险监测225批次，监督抽检75批次）、绿色食品116批次样品抽检任务，2026年12月16日前提交所抽检样品检测报告及电子档结果汇总表，并将数据上传至江苏省农产品质量追溯平台，2027年第一季</w:t>
      </w:r>
      <w:r>
        <w:rPr>
          <w:rFonts w:ascii="SimSun" w:hAnsi="SimSun" w:eastAsia="SimSun" w:cs="SimSun"/>
          <w:color w:val="000000"/>
          <w:sz w:val="24"/>
        </w:rPr>
        <w:t xml:space="preserve">度前完成剩余批次检测报告及电子档结果汇总表，并将数据上传至江苏省农产品质量追溯平台。</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1.满足《中华人民共和国政府采购法》第二十二条规定。（按附件1格式进行声明，响应文件中无需提供其他证明材料）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查询，无被列入失信被执行人、重大税收违法案件当事人名单、政府采购严重失信行为记录名单及其他不符合《中华人民共和国政府采购法》第二十二条规定条件的信用记录。（按附件1格式进行声明，响应文件中无需提供其他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3.落实政府采购政策需满足的资格要求：本项目为专门面向中小微企业采购项目。（须按照财库〔2020〕46号文要求提供中小企业声明函。格式见附件9）。</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4.本项目不接受联合体投标。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5.本项目不接受进口产品投标。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6.本项目不接受分包。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投标人需具有农产品质量安全检验检测机构认证资格（CATL）及省级（或国家）检测认证资格（CMA），</w:t>
      </w:r>
      <w:r>
        <w:rPr>
          <w:rFonts w:ascii="SimSun" w:hAnsi="SimSun" w:eastAsia="SimSun" w:cs="SimSun"/>
          <w:color w:val="000000"/>
          <w:sz w:val="24"/>
        </w:rPr>
        <w:t xml:space="preserve">且</w:t>
      </w:r>
      <w:r>
        <w:rPr>
          <w:rFonts w:ascii="SimSun" w:hAnsi="SimSun" w:eastAsia="SimSun" w:cs="SimSun"/>
          <w:color w:val="000000"/>
          <w:sz w:val="24"/>
        </w:rPr>
        <w:t xml:space="preserve">需为绿色食品定点检测机构。</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三、获取谈判文件</w:t>
      </w:r>
      <w:r/>
    </w:p>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1.时间：2026年03月10日至2026年03月16日（提供期限自本公告发布之日起不得少于3个工作日）。</w:t>
      </w:r>
      <w:r/>
    </w:p>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2.方式：在“江苏政府采购网”自行免费下载谈判文件。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3.获取方式：本项目采用网上注册登记方式。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3.1潜在供应商访问电子招标响应交易平台的网络地址和方法：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3.2潜在供应商访问“苏采云”系统的网络地址和方法：“苏采云”系统的网址：http://jszfcg.jsczt.cn/。</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3.3“CA数字证书”的获取：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3.4采购文件（后缀名为“.kedt”）、供应商操作手册及政府采购客户端工具可通过“苏采云”系统--已报名项目--报名详情页面内相应链接进行下载。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3.5招标代理机构（采购代理机构）将数据电文形式的采购文件加载至“苏采云”系统，供潜在供应商下载或者查阅。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3.6请潜在供应商提前安装相应的控件（详见《江苏省政府采购管理交易系统（苏采云）供应商操作手册》）并使用谷歌浏览器登录“苏采云”系统参与不见面开评标。</w:t>
      </w:r>
      <w:r/>
    </w:p>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注：如潜在供应商未按上述要求操作，将自行承担所产生的风险。</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2026年03月16日14点00分</w:t>
      </w:r>
      <w:r>
        <w:rPr>
          <w:rFonts w:ascii="SimSun" w:hAnsi="SimSun" w:eastAsia="SimSun" w:cs="SimSun"/>
          <w:color w:val="000000"/>
          <w:sz w:val="24"/>
        </w:rPr>
        <w:t xml:space="preserve">（北京时间）。（自谈判文件开始发出之日起至供应商提交响应文件截止之日止，不得少于3个工作日）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注：各供应商请关注开标大厅交流区，在开标结束后，请勿离开开标大厅，待资格审查完毕，谈判小组发出报价指令后须在15分钟内完成系统报价。</w:t>
      </w:r>
      <w:r>
        <w:rPr>
          <w:rFonts w:ascii="SimSun" w:hAnsi="SimSun" w:eastAsia="SimSun" w:cs="SimSun"/>
          <w:color w:val="000000"/>
          <w:sz w:val="24"/>
        </w:rPr>
        <w:t xml:space="preserve">供应商未在谈判小组规定的时间内在苏采云系统中提交最后报价的视为放弃谈判，其响应文件按无效响应处理。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ascii="SimSun" w:hAnsi="SimSun" w:eastAsia="SimSun" w:cs="SimSun"/>
          <w:b/>
          <w:color w:val="000000"/>
          <w:sz w:val="24"/>
        </w:rPr>
        <w:t xml:space="preserve">供应商解密限定在开标后30分钟之内完成</w:t>
      </w:r>
      <w:r>
        <w:rPr>
          <w:rFonts w:ascii="SimSun" w:hAnsi="SimSun" w:eastAsia="SimSun" w:cs="SimSun"/>
          <w:color w:val="000000"/>
          <w:sz w:val="24"/>
        </w:rPr>
        <w:t xml:space="preserve">。</w:t>
      </w:r>
      <w:r>
        <w:rPr>
          <w:rFonts w:ascii="SimSun" w:hAnsi="SimSun" w:eastAsia="SimSun" w:cs="SimSun"/>
          <w:color w:val="000000"/>
          <w:sz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ascii="SimSun" w:hAnsi="SimSun" w:eastAsia="SimSun" w:cs="SimSun"/>
          <w:color w:val="000000"/>
          <w:sz w:val="24"/>
        </w:rPr>
        <w:t xml:space="preserve">；因采购人原因或网上招投标平台发生故障，导致无法按时完成响应文件解密或开、评标工作无法进行的，可根据实际情况相应延迟解密时间或调整开、评标时间。</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谈判公告及谈判文件公告期限为自本公告发布之日起3个工作日。</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1、投标保证金：免收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2、项目开标活动模式：不见面远程开标模式，供应商在各自地点通过“苏采云”政府采购交易系统参加谈判活动。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3、项目演示、样品、答辩等（如有请描述）：无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项目需求部分（供应商资格要求、项目需求、商务技术评分标准）的询问、质疑由采购人负责答复；对项目谈判文件其它部分的询问请向谈判文件制作人或项目谈判经办人提出；对在“电子交易平台”操作阶段的询问请向交易系统软件维护人员提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w:t>
      </w:r>
      <w:r>
        <w:rPr>
          <w:rFonts w:ascii="SimSun" w:hAnsi="SimSun" w:eastAsia="SimSun" w:cs="SimSun"/>
          <w:color w:val="000000"/>
          <w:sz w:val="24"/>
        </w:rPr>
        <w:t xml:space="preserve">0633ce9.html。（CA两种渠道办理：1、选择就近所在地市自行办理；2、联系江苏意源科技有限公司线上提交申请表 朱工 0513-59001215）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Times New Roman" w:hAnsi="Times New Roman" w:eastAsia="Times New Roman" w:cs="Times New Roman"/>
          <w:color w:val="000000"/>
          <w:sz w:val="22"/>
        </w:rPr>
        <w:t xml:space="preserve"> </w:t>
      </w:r>
      <w:r>
        <w:rPr>
          <w:rFonts w:ascii="SimSun" w:hAnsi="SimSun" w:eastAsia="SimSun" w:cs="SimSun"/>
          <w:color w:val="000000"/>
          <w:sz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有关本次谈判的事项若存在变动或修改，敬请及时关注采购人或采购代理机构在“江苏政府采购网”发布的更正公告。</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七、本次谈判联系方式</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称：海安市农业农村局 </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址：海安市万星路89号</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联系人：郭勇军</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联系方式：0513-88898503 </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2"/>
        </w:rPr>
        <w:t xml:space="preserve"> </w:t>
      </w:r>
      <w:r>
        <w:rPr>
          <w:rFonts w:ascii="SimSun" w:hAnsi="SimSun" w:eastAsia="SimSun" w:cs="SimSun"/>
          <w:color w:val="000000"/>
          <w:sz w:val="24"/>
        </w:rPr>
        <w:t xml:space="preserve">采购代理机构</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称：南通海陵工程项目管理有限公司</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址：海安市安平中路泰宁翠竹园26号楼301号</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联系人：时佳政  </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联系方式：0513-88962600 </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谈判文件制作人: 时佳政  0513-88962600</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项目谈判经办人：郭勇军  0513-88898503</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交易系统软件维护人员：0519-86722801、0513-59001950</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  供应商须知</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、采购方式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本次政府采购活动采取竞争性谈判(以下简称谈判)方式，本谈判文件仅适用于谈判公告中所述项目。</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、合格的供应商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2.1满足谈判公告中供应商资格要求的规定。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满足本谈判文件实质性要求和条件的规定。</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本次谈判及由此产生的合同受中华人民共和国有关的法律法规制约和保护。</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、谈判费用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4.1供应商应自行承担所有与参加本次谈判有关的费用，无论谈判过程中的做法和结果如何，采购人和采购代理机构在任何情况下均无义务和责任承担这些费用。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4.2本次谈判不收取标书工本费与成交服务费。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4.3本项目招标代理费由成交供应商综合考虑在投标报价中，在发放中标通知书后一周内支付。（一标段代理费为4000.00元；二标段代理费为3000.00元；三标段代理费为2000.00元。） </w:t>
      </w:r>
      <w:r/>
    </w:p>
    <w:p>
      <w:pPr>
        <w:ind w:left="0" w:right="0" w:firstLine="30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谈判文件的约束力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5.1供应商一旦参加本项目采购活动，即被认为接受了本谈判文件的规定和约束。</w:t>
      </w:r>
      <w:r/>
    </w:p>
    <w:p>
      <w:pPr>
        <w:ind w:left="0" w:right="0" w:firstLine="32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二、谈判文件</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、谈判文件构成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6.1谈判文件由以下部分组成：</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（1）谈判邀请</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（3）采购需求</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（4）响应文件格式</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（5）附件（如有）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请仔细检查谈判文件是否齐全，如有缺漏请立即与采购人或采购代理机构联系解决。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、谈判文件的澄清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任何要求对谈判文件进行澄清的供应商，应在谈判截止期5日前按谈判公告中的通讯地址，以书面形式通知采购人。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7.2采购人视情组织答疑会。</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、谈判文件的澄清和修改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在响应文件提交截止时间前，采购人可以对谈判文件进行澄清和修改,</w:t>
      </w:r>
      <w:r>
        <w:rPr>
          <w:rFonts w:ascii="Times New Roman" w:hAnsi="Times New Roman" w:eastAsia="Times New Roman" w:cs="Times New Roman"/>
          <w:color w:val="000000"/>
          <w:sz w:val="22"/>
        </w:rPr>
        <w:t xml:space="preserve"> </w:t>
      </w:r>
      <w:r>
        <w:rPr>
          <w:rFonts w:ascii="SimSun" w:hAnsi="SimSun" w:eastAsia="SimSun" w:cs="SimSun"/>
          <w:color w:val="000000"/>
          <w:sz w:val="24"/>
        </w:rPr>
        <w:t xml:space="preserve">澄清或者修改的内容作为谈判文件的组成部分。澄清或者修改的内容可能影响响应文件编制的，采购人将在提交首次响应文件截止时间至少5日前，在“江苏政府采购网”上发布书面更正公告形式通知所有获取谈判文件的供应商,</w:t>
      </w:r>
      <w:r>
        <w:rPr>
          <w:rFonts w:ascii="Times New Roman" w:hAnsi="Times New Roman" w:eastAsia="Times New Roman" w:cs="Times New Roman"/>
          <w:color w:val="000000"/>
          <w:sz w:val="22"/>
        </w:rPr>
        <w:t xml:space="preserve"> </w:t>
      </w:r>
      <w:r>
        <w:rPr>
          <w:rFonts w:ascii="SimSun" w:hAnsi="SimSun" w:eastAsia="SimSun" w:cs="SimSun"/>
          <w:color w:val="000000"/>
          <w:sz w:val="24"/>
        </w:rPr>
        <w:t xml:space="preserve">更正公告内容将作为谈判文件的组成部分，并对供应商具有约束力。不足5日的，采购人将顺延提交首次响应文件截止时间。</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、响应文件的语言及度量衡单位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9.1供应商提交的响应文件以及供应商与采购人就有关谈判的所有来往通知、函件和文件均应使用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、响应文件构成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10.1供应商编写的响应文件应包括资格证明文件、符合性证明文件、分项报价表、技术要求响应及偏离表、商务要求响应及偏离表、其他证明文件、谈判响应函等部分。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如标书制作工具中格式和内容与“江苏政府采购网”发布的谈判文件不一致，请以“江苏政府采购网”发布的谈判文件为准。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、证明谈判响应标的符合谈判文件规定的文件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11.1供应商应按照谈判文件要求提交证明文件，证明其及谈判响应标的符合谈判文件规定。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11.2谈判文件对证明文件无明确形式要求的，证明文件可以以文字资料、图纸和数据等形式提交。</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12.1供应商应按照谈判文件规定格式填报分项报价表。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12.2谈判货币。响应文件中的单价和总价无特殊规定的采用人民币报价，以元为单位标注。谈判文件中另有规定的按规定执行。</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13.1供应商需对谈判文件中的技术要求与商务要求逐项作出响应或偏离，并说明原因。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14.1供应商需根据谈判文件要求提供有关售后服务的管理制度，售后服务机构的分布情况，售后服务人员的数量、素质、技术水平及售后服务的反应能力等。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14.2供应商需根据谈判文件要求提供培训计划。</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14.3供应商需根据谈判文件要求提供谈判响应标的的主要组成部分、功能设计、实现思路及关键技术等。</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、谈判响应函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15.1供应商应按照谈判文件中提供的格式完整、正确填写谈判响应函。</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、谈判有效期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16.1谈判有效期为采购人规定的提交响应文件截止之日后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。谈判有效期比规定短的将被视为非实质性响应谈判文件而予以拒绝。</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、谈判有效期的延长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受谈判有效期约束的所有权利与义务均延长至新的有效期。</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、电子谈判响应文件的递交</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、提交响应文件截止时间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w:t>
      </w:r>
      <w:r>
        <w:rPr>
          <w:rFonts w:ascii="SimSun" w:hAnsi="SimSun" w:eastAsia="SimSun" w:cs="SimSun"/>
          <w:b/>
          <w:color w:val="000000"/>
          <w:sz w:val="24"/>
          <w:u w:val="single"/>
        </w:rPr>
        <w:t xml:space="preserve">供应商上传电子响应文件的时间不得迟于谈判公告中规定的提交响应文件截止时间。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供应商应充分考虑到网络环境、网络带宽等风险因素，如因供应商自身原因造成的电子响应文件上传不成功的按照本谈判文件第二章第26.3.2条规定做无效响应处理。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采购人可以按照规定，通过修改谈判文件酌情延长提交响应文件截止日期，在此情况下，供应商的所有权利和义务以及供应商受制的截止日期均应以延长后新的截止日期为准。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、响应文件的拒收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采购人拒绝接收在其规定的提交响应文件截止时间后上传的任何电子响应文件。</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、响应文件的撤回和修改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21.1.2供应商撤回电子响应文件，则认为其不再参与本项目谈判活动。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在提交响应文件截止时间至谈判文件中规定的谈判有效期满之间的这段时间内，供应商不得撤回其响应文件。</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、响应文件解密</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22.1供应商应当按照《操作手册》规定，在苏采云系统规定的时间内对谈判响应文件进行解密。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、谈判小组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23.1采购代理机构将组织谈判小组对响应文件进行评审。谈判小组由采购人代表和有关技术、经济等方面的专家组成，且人员构成符合政府采购有关规定。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23.2谈判小组独立工作，负责评审所有响应文件并确定成交侯选人。</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24、评审过程的保密与公正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24.1谈判小组、采购人和采购代理机构工作人员、相关监督人员等与评审工作有关的人员，对评审情况以及在评审过程中获悉的国家秘密、商业秘密负有保密责任。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24.2在评审过程中，供应商不得以任何行为影响谈判评审过程，否则其响应文件将被作为无效响应文件。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24.3在项目评审期间，采购代理机构将设专门人员与供应商联系。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采购人和谈判小组不向未成交的供应商解释未成交原因，也不公布评审过程中的相关细节。</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、评审过程中的的澄清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谈判小组并非对每个供应商都作澄清要求。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接到谈判小组澄清、说明和更正要求的供应商如未按规定做出澄清、说明和 更正，其风险由供应商自行承担。</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、对响应文件的审查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资格审查：由采购人依据法律法规和谈判文件的规定，对响应文件中的资格证明文件进行审查，以确定供应商是否具备参加谈判的资格。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采购人在进行资格审查的同时，将在“信用中国”网站（www.creditchina.gov.cn）查询供应商的信用记录，以确定供应商是否具备谈判资格,查询结果留存并归档。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符合性审查：依据谈判文件的规定，由谈判小组从响应文件的有效性、完整性和对谈判文件的响应程度进行审查，以确定是否对谈判文件的实质性要求作出响应。</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未通过资格审查或符合性审查的供应商，谈判小组将在苏采云系统中告知未通过资格审查或符合性审查的原因，评审结束后，谈判小组将不再告知未通过资格审查或符合性审查的原因。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谈判文件规定的实质性要求存在负偏离，或者在实质上与谈判文件不一致，而且限制了合同中买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26.3未实质性响应谈判文件的情形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26.3.2供应商未按照谈判文件要求上传电子响应文件的。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26.3.4供应商不具备谈判文件中规定资格要求的。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26.3.6不符合谈判文件中规定的实质性要求和条件的。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26.3.10响应文件未按照谈判文件要求加盖CA电子公章的。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26.4未实质性响应谈判文件的响应文件按无效响应处理。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26.5如果响应文件实质上没有响应谈判文件的要求，谈判小组将予以拒绝，供应商不得通过修改或撤销不合要求的偏离或保留而使其成为实质性响应的文件。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26.6谈判小组将对确定为实质性响应的文件进行进一步审核，看其是否有计算上或累加上的算术错误，修正错误的原则如下：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（1）响应文件中报价总表内容与响应文件中相应内容不一致的，以报价总表为准。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（3）单价金额小数点或者百分比有明显错位的，以报价总表的总价为准，并修改单价。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26.7供应商在项目评审全过程中应保持通讯畅通，并安排专人与采购人或采购代理机构及谈判小组联系。</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、谈判程序及成交原则</w:t>
      </w:r>
      <w:r/>
    </w:p>
    <w:p>
      <w:pPr>
        <w:ind w:left="0" w:right="0" w:firstLine="478"/>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27.1谈判程序</w:t>
      </w:r>
      <w:r/>
    </w:p>
    <w:p>
      <w:pPr>
        <w:ind w:left="0" w:right="0" w:firstLine="478"/>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left="0" w:right="0" w:firstLine="478"/>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left="0" w:right="0" w:firstLine="478"/>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left="0" w:right="0" w:firstLine="478"/>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78"/>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left="0" w:right="0" w:firstLine="478"/>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27.1.4异常低价响应审查程序</w:t>
      </w:r>
      <w:r/>
    </w:p>
    <w:p>
      <w:pPr>
        <w:ind w:left="0" w:right="0" w:firstLine="478"/>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出现下列情形之一的，磋商小组应当启动异常低价响应审查程序：</w:t>
      </w:r>
      <w:r/>
    </w:p>
    <w:p>
      <w:pPr>
        <w:ind w:left="0" w:right="0" w:firstLine="478"/>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78"/>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78"/>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78"/>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78"/>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启动异常低价响应审查后，属于前述第1项至第4项情形的，磋商小组将通过苏采云系统要求相关供应商在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78"/>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由磋商小组依据专业经验，参考同类项目中标（成交）价格、类似产品市场价格水平、行业人工费用标准、国家有关部门指导行业协会发布的行业平均成本等情况，对报价合理性进行判断。</w:t>
      </w:r>
      <w:r/>
    </w:p>
    <w:p>
      <w:pPr>
        <w:ind w:left="0" w:right="0" w:firstLine="478"/>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left="0" w:right="0" w:firstLine="478"/>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成交原则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27.2.1</w:t>
      </w:r>
      <w:r>
        <w:rPr>
          <w:rFonts w:ascii="SimSun" w:hAnsi="SimSun" w:eastAsia="SimSun" w:cs="SimSun"/>
          <w:color w:val="000000"/>
          <w:sz w:val="24"/>
        </w:rPr>
        <w:t xml:space="preserve">谈判小组将从质量和服务均能满足采购文件实质性响应要求的供应商中，按照最后报价由低到高顺序推荐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名成交候选供应商，并编写评审报告。采购人应根据谈判小组推荐的成交候选供应商确定成交供应商。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27.2.2 </w:t>
      </w:r>
      <w:r>
        <w:rPr>
          <w:rFonts w:ascii="SimSun" w:hAnsi="SimSun" w:eastAsia="SimSun" w:cs="SimSun"/>
          <w:color w:val="000000"/>
          <w:sz w:val="24"/>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27.2.3 </w:t>
      </w:r>
      <w:r>
        <w:rPr>
          <w:rFonts w:ascii="SimSun" w:hAnsi="SimSun" w:eastAsia="SimSun" w:cs="SimSun"/>
          <w:color w:val="000000"/>
          <w:sz w:val="24"/>
        </w:rPr>
        <w:t xml:space="preserve">供应商的最后报价如相同，则优先采购</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27.2.4 </w:t>
      </w:r>
      <w:r>
        <w:rPr>
          <w:rFonts w:ascii="SimSun" w:hAnsi="SimSun" w:eastAsia="SimSun" w:cs="SimSun"/>
          <w:color w:val="000000"/>
          <w:sz w:val="24"/>
        </w:rPr>
        <w:t xml:space="preserve">采购人确定成交供应商后，采购代理机构将在“江苏政府采购网”发布成交结果公告，公告期限为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w:t>
      </w:r>
      <w:r>
        <w:rPr>
          <w:rFonts w:ascii="SimSun" w:hAnsi="SimSun" w:eastAsia="SimSun" w:cs="SimSun"/>
          <w:color w:val="000000"/>
          <w:sz w:val="24"/>
        </w:rPr>
        <w:t xml:space="preserve">对小微型企业、监狱企业和残疾人福利单位的价格扣除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）小微型企业价格扣除</w:t>
      </w:r>
      <w:r/>
    </w:p>
    <w:p>
      <w:pPr>
        <w:ind w:left="0" w:right="0" w:firstLine="3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①本项目对小型和微型企业产品给予</w:t>
      </w:r>
      <w:r>
        <w:rPr>
          <w:rFonts w:ascii="Arial" w:hAnsi="Arial" w:eastAsia="Arial" w:cs="Arial"/>
          <w:color w:val="000000"/>
          <w:sz w:val="24"/>
          <w:u w:val="single"/>
        </w:rPr>
        <w:t xml:space="preserve">20%</w:t>
      </w:r>
      <w:r>
        <w:rPr>
          <w:rFonts w:ascii="SimSun" w:hAnsi="SimSun" w:eastAsia="SimSun" w:cs="SimSun"/>
          <w:color w:val="000000"/>
          <w:sz w:val="24"/>
        </w:rPr>
        <w:t xml:space="preserve">的扣除价格，用扣除后的价格参与评审。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②供应商需按照采购文件的要求提供相应的《中小企业声明函》。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号）文件规定自行填写。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）残疾人福利单位价格扣除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①本项目对残疾人福利性单位视同小型、微型企业，给予</w:t>
      </w:r>
      <w:r>
        <w:rPr>
          <w:rFonts w:ascii="Times New Roman" w:hAnsi="Times New Roman" w:eastAsia="Times New Roman" w:cs="Times New Roma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）监狱和戒毒企业价格扣除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①本项目对监狱和戒毒企业（简称监狱企业）视同小型、微型企业，给予</w:t>
      </w:r>
      <w:r>
        <w:rPr>
          <w:rFonts w:ascii="Times New Roman" w:hAnsi="Times New Roman" w:eastAsia="Times New Roman" w:cs="Times New Roma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出具的属于监狱企业的证明文件。供应商如不提供上述证明文件，价格将不做相应扣除。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w:t>
      </w:r>
      <w:r>
        <w:rPr>
          <w:rFonts w:ascii="Times New Roman" w:hAnsi="Times New Roman" w:eastAsia="Times New Roman" w:cs="Times New Roman"/>
          <w:color w:val="000000"/>
          <w:sz w:val="24"/>
        </w:rPr>
        <w:t xml:space="preserve">[2014]68</w:t>
      </w:r>
      <w:r>
        <w:rPr>
          <w:rFonts w:ascii="SimSun" w:hAnsi="SimSun" w:eastAsia="SimSun" w:cs="SimSun"/>
          <w:color w:val="000000"/>
          <w:sz w:val="24"/>
        </w:rPr>
        <w:t xml:space="preserve">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）残疾人福利单位、监狱企业属于小型、微型企业的，不重复享受政策。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）如本项目同意联合体参加谈判或同意分包履行合同的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以上的，给予联合体</w:t>
      </w:r>
      <w:r>
        <w:rPr>
          <w:rFonts w:ascii="Times New Roman" w:hAnsi="Times New Roman" w:eastAsia="Times New Roman" w:cs="Times New Roman"/>
          <w:color w:val="000000"/>
          <w:sz w:val="24"/>
          <w:u w:val="single"/>
        </w:rPr>
        <w:t xml:space="preserve">6%</w:t>
      </w:r>
      <w:r>
        <w:rPr>
          <w:rFonts w:ascii="SimSun" w:hAnsi="SimSun" w:eastAsia="SimSun" w:cs="SimSun"/>
          <w:color w:val="000000"/>
          <w:sz w:val="24"/>
        </w:rPr>
        <w:t xml:space="preserve">的价格扣除，用扣除后的价格参与评审。</w:t>
      </w: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）联合体各方均为小型、微型企业（残疾人福利单位、监狱企业）的，联合体享受</w:t>
      </w:r>
      <w:r>
        <w:rPr>
          <w:rFonts w:ascii="Times New Roman" w:hAnsi="Times New Roman" w:eastAsia="Times New Roman" w:cs="Times New Roman"/>
          <w:color w:val="000000"/>
          <w:sz w:val="24"/>
          <w:u w:val="single"/>
        </w:rPr>
        <w:t xml:space="preserve">20%</w:t>
      </w:r>
      <w:r>
        <w:rPr>
          <w:rFonts w:ascii="SimSun" w:hAnsi="SimSun" w:eastAsia="SimSun" w:cs="SimSun"/>
          <w:color w:val="000000"/>
          <w:sz w:val="24"/>
        </w:rPr>
        <w:t xml:space="preserve">价格扣除，用扣除后的价格参与评审。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）专门面向中小企业采购的项目或者采购包，不再执行价格评审优惠的扶持政策。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）根据《江苏省政府采购信用管理暂行办法》的规定，供应商信用评价结果为三星的给予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的价格加成，评价结果为二星的给予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的价格加成，评价结果为一星的给予</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的价格加成。</w:t>
      </w:r>
      <w:r/>
    </w:p>
    <w:p>
      <w:pPr>
        <w:ind w:left="0" w:right="0" w:firstLine="478"/>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27.4采购活动终止的情况</w:t>
      </w:r>
      <w:r/>
    </w:p>
    <w:p>
      <w:pPr>
        <w:ind w:left="0" w:right="0" w:firstLine="36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出现下列情形之一的，本次竞争性谈判采购活动将被终止：</w:t>
      </w:r>
      <w:r/>
    </w:p>
    <w:p>
      <w:pPr>
        <w:ind w:left="0" w:right="0" w:firstLine="36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27.4.1因情况变化，不再符合规定的竞争性谈判采购方式适用情形的。</w:t>
      </w:r>
      <w:r/>
    </w:p>
    <w:p>
      <w:pPr>
        <w:ind w:left="0" w:right="0" w:firstLine="36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27.4.2出现影响采购公正的违法、违规行为的。</w:t>
      </w:r>
      <w:r/>
    </w:p>
    <w:p>
      <w:pPr>
        <w:ind w:left="0" w:right="0" w:firstLine="36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27.4.3在采购过程中符合要求的供应商或者最后报价未超过采购预算的供应商不足3家的。</w:t>
      </w:r>
      <w:r/>
    </w:p>
    <w:p>
      <w:pPr>
        <w:ind w:left="0" w:right="0" w:firstLine="36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28</w:t>
      </w:r>
      <w:r>
        <w:rPr>
          <w:rFonts w:ascii="SimHei" w:hAnsi="SimHei" w:eastAsia="SimHei" w:cs="SimHei"/>
          <w:color w:val="000000"/>
          <w:sz w:val="28"/>
        </w:rPr>
        <w:t xml:space="preserve">、成交供应商被取消成交资格情形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若有充分证据证明，成交供应商出现下列情况之一的，一经查实，将被取消成交资格：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28.1提供虚假材料谋取成交的。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28.2与评审专家、采购人、其他供应商或者采购代理机构工作人员恶意串通的。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28.3向评审专家、采购人或采购代理机构工作人员行贿或者提供其他不正当利益的。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28.4恶意竞争，最后报价明显低于其自身合理成本且又无法提供证明的。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28.5不满足本谈判文件规定的实质性要求，但在评审过程中又未被谈判小组发现的。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28.6成交后无正当理由拒不与采购人签订政府采购合同或者未按照谈判文件确定的事项签订政府采购合同的。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28.7将政府采购合同转包的。</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29</w:t>
      </w:r>
      <w:r>
        <w:rPr>
          <w:rFonts w:ascii="SimHei" w:hAnsi="SimHei" w:eastAsia="SimHei" w:cs="SimHei"/>
          <w:color w:val="000000"/>
          <w:sz w:val="30"/>
        </w:rPr>
        <w:t xml:space="preserve">、质疑处理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29.2.2对采购过程提出质疑的，为各采购程序环节结束之日。</w:t>
        <w:br/>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29.2.3对成交结果提出质疑的，为成交结果公告期限届满之日。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采购人负责供应商质疑答复。供应商（含潜在供应商）对采购方式、采购需求、供应商资格条件、评审方法与评审标准、合同文本的询问、质疑请向采购人提出，由采购人负责答复。关于评审方面的质疑，采购人可以组织原评审委员会协助答复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采购人或采购代理机构只接收以纸质原件形式送达的质疑,建议供应商尽量通过邮寄方式提交质疑（采购人或采购代理机构不接受未填写快递运单的快件）。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采购人及采购代理机构质疑接收人及联系方式见本采购文件第一章。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未参加谈判活动的供应商或在谈判活动中自身权益未受到损害的供应商所提出的质疑。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29.5.5供应商组成联合体参加谈判，联合体中任何一方或多方未按要求签字、盖章、加盖公章的质疑。</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30、成交通知书</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31.l成交供应商应当在成交通知书发出之日起三十日内，按照谈判文件确定的事项与采购人签订政府采购合同。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31.2谈判文件、成交供应商的响应文件及谈判过程中有关澄清、承诺文件均应作为合同附件。</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b/>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33、政府采购履约资金扶持政策</w:t>
      </w:r>
      <w:r/>
    </w:p>
    <w:p>
      <w:pPr>
        <w:ind w:left="0" w:right="0" w:firstLine="556"/>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5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8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采购标的需实现的功能或者目标，以及为落实政府采购政策需满足的要求：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）根据检测内容和任务，落实有资质的专人负责现场采样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并支付样品费。采样过程须图片化、影像化全程留痕，并与检测结果形成完整的检测数据溯源链。采样需提前</w:t>
      </w: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天将采样计划及检测时间安排报采购单位，采购单位不定期进行抽查。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）检测时间。根据采购单位的时间部署和工作要求，分期、分批开展采样和检测工作并做到月均衡检测。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）对检测结果存有疑虑，或因非正常因素导致检测结果异常的，应重新取样检测（不负担检测费用）。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）中标单位应用的标准方法现行有效，且不接受联合体投标，不允许进行分包或转包。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）出具的检测报告具备法律效力。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）如有特殊情况需预检，预检抽样要求</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小时内能达到采购方指定地点，并在</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个自然日内微信告知检测结果，且需确保结果准确性。（提供承诺书，格式自拟）</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采购标的需执行的国家相关标准、行业标准、地方标准或者其他标准、规范：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标段一畜禽产品：生鲜乳抽样按照原农业部《生鲜乳抽样方法》执行，其他畜禽产品参照《动物及动物产品兽药残留监控抽样规范》（</w:t>
      </w:r>
      <w:r>
        <w:rPr>
          <w:rFonts w:ascii="Times New Roman" w:hAnsi="Times New Roman" w:eastAsia="Times New Roman" w:cs="Times New Roman"/>
          <w:color w:val="000000"/>
          <w:sz w:val="24"/>
        </w:rPr>
        <w:t xml:space="preserve">NY/T 1897</w:t>
      </w:r>
      <w:r>
        <w:rPr>
          <w:rFonts w:ascii="SimSun" w:hAnsi="SimSun" w:eastAsia="SimSun" w:cs="SimSun"/>
          <w:color w:val="000000"/>
          <w:sz w:val="24"/>
        </w:rPr>
        <w:t xml:space="preserve">）及有关标准执行，样品均需冷冻保存。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标段二水产品：按《水产品抽样规范》（</w:t>
      </w:r>
      <w:r>
        <w:rPr>
          <w:rFonts w:ascii="Times New Roman" w:hAnsi="Times New Roman" w:eastAsia="Times New Roman" w:cs="Times New Roman"/>
          <w:color w:val="000000"/>
          <w:sz w:val="24"/>
        </w:rPr>
        <w:t xml:space="preserve">GB/T 30891</w:t>
      </w:r>
      <w:r>
        <w:rPr>
          <w:rFonts w:ascii="SimSun" w:hAnsi="SimSun" w:eastAsia="SimSun" w:cs="SimSun"/>
          <w:color w:val="000000"/>
          <w:sz w:val="24"/>
        </w:rPr>
        <w:t xml:space="preserve">）规定执行，样品需冷冻保存。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标段三绿色食品：按《绿色食品</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产品抽样准则》（</w:t>
      </w:r>
      <w:r>
        <w:rPr>
          <w:rFonts w:ascii="Times New Roman" w:hAnsi="Times New Roman" w:eastAsia="Times New Roman" w:cs="Times New Roman"/>
          <w:color w:val="000000"/>
          <w:sz w:val="24"/>
        </w:rPr>
        <w:t xml:space="preserve">NY/T 896-2015</w:t>
      </w:r>
      <w:r>
        <w:rPr>
          <w:rFonts w:ascii="SimSun" w:hAnsi="SimSun" w:eastAsia="SimSun" w:cs="SimSun"/>
          <w:color w:val="000000"/>
          <w:sz w:val="24"/>
        </w:rPr>
        <w:t xml:space="preserve">）执行。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采购标的检测方法和判定依据：</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标段</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畜禽产品质量安全例行监测检测方法和判定依据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2"/>
        <w:gridCol w:w="3586"/>
        <w:gridCol w:w="2214"/>
        <w:gridCol w:w="2442"/>
      </w:tblGrid>
      <w:tr>
        <w:trPr>
          <w:trHeight w:val="6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0" w:after="0" w:line="26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样品种类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586" w:type="dxa"/>
            <w:vAlign w:val="center"/>
            <w:textDirection w:val="lrTb"/>
            <w:noWrap w:val="false"/>
          </w:tcPr>
          <w:p>
            <w:pPr>
              <w:ind w:left="0" w:right="0" w:firstLine="0"/>
              <w:jc w:val="center"/>
              <w:spacing w:before="0" w:after="0" w:line="26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监测项目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jc w:val="center"/>
              <w:spacing w:before="0" w:after="0" w:line="26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检测方法</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442" w:type="dxa"/>
            <w:vAlign w:val="center"/>
            <w:textDirection w:val="lrTb"/>
            <w:noWrap w:val="false"/>
          </w:tcPr>
          <w:p>
            <w:pPr>
              <w:ind w:left="0" w:right="0" w:firstLine="0"/>
              <w:jc w:val="center"/>
              <w:spacing w:before="0" w:after="0" w:line="26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判定限量（</w:t>
            </w:r>
            <w:r>
              <w:rPr>
                <w:rFonts w:ascii="Times New Roman" w:hAnsi="Times New Roman" w:eastAsia="Times New Roman" w:cs="Times New Roman"/>
                <w:color w:val="000000"/>
                <w:sz w:val="24"/>
              </w:rPr>
              <w:t xml:space="preserve">μg /kg</w:t>
            </w:r>
            <w:r>
              <w:rPr>
                <w:rFonts w:ascii="SimHei" w:hAnsi="SimHei" w:eastAsia="SimHei" w:cs="SimHei"/>
                <w:color w:val="000000"/>
                <w:sz w:val="24"/>
              </w:rPr>
              <w:t xml:space="preserve">）</w:t>
            </w:r>
            <w:r/>
          </w:p>
        </w:tc>
      </w:tr>
      <w:tr>
        <w:trPr>
          <w:trHeight w:val="11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vMerge w:val="restart"/>
            <w:textDirection w:val="lrTb"/>
            <w:noWrap w:val="false"/>
          </w:tcPr>
          <w:p>
            <w:pPr>
              <w:ind w:left="0" w:right="0" w:firstLine="0"/>
              <w:jc w:val="center"/>
              <w:spacing w:before="0" w:after="0" w:line="26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畜产品（猪肉、猪肝、</w:t>
            </w:r>
            <w:r/>
          </w:p>
          <w:p>
            <w:pPr>
              <w:ind w:left="0" w:right="0" w:firstLine="0"/>
              <w:jc w:val="center"/>
              <w:spacing w:before="0" w:after="0" w:line="26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牛肉、羊肉）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6"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β-</w:t>
            </w:r>
            <w:r>
              <w:rPr>
                <w:rFonts w:ascii="FangSong" w:hAnsi="FangSong" w:eastAsia="FangSong" w:cs="FangSong"/>
                <w:color w:val="000000"/>
                <w:sz w:val="24"/>
              </w:rPr>
              <w:t xml:space="preserve">受体激动剂类（克伦特罗、莱克多巴胺、沙丁胺醇、特布他林、西马特罗、非诺特罗、氯丙那林、妥布特罗、喷布特罗）</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GB 31658.22-2022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2"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不得检出（判定限</w:t>
            </w:r>
            <w:r>
              <w:rPr>
                <w:rFonts w:ascii="Times New Roman" w:hAnsi="Times New Roman" w:eastAsia="Times New Roman" w:cs="Times New Roman"/>
                <w:color w:val="000000"/>
                <w:sz w:val="24"/>
              </w:rPr>
              <w:t xml:space="preserve">0.5</w:t>
            </w:r>
            <w:r>
              <w:rPr>
                <w:rFonts w:ascii="FangSong" w:hAnsi="FangSong" w:eastAsia="FangSong" w:cs="FangSong"/>
                <w:color w:val="000000"/>
                <w:sz w:val="24"/>
              </w:rPr>
              <w:t xml:space="preserve">）</w:t>
            </w:r>
            <w:r/>
          </w:p>
        </w:tc>
      </w:tr>
      <w:tr>
        <w:trPr>
          <w:trHeight w:val="68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6"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氟喹诺酮类（恩诺沙星、环丙沙星）（不含猪肝）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GB 31658.17-2021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2" w:type="dxa"/>
            <w:vAlign w:val="center"/>
            <w:textDirection w:val="lrTb"/>
            <w:noWrap w:val="false"/>
          </w:tcPr>
          <w:p>
            <w:pPr>
              <w:ind w:left="0" w:right="0" w:firstLine="0"/>
              <w:jc w:val="both"/>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100</w:t>
            </w:r>
            <w:r>
              <w:rPr>
                <w:rFonts w:ascii="FangSong" w:hAnsi="FangSong" w:eastAsia="FangSong" w:cs="FangSong"/>
                <w:color w:val="000000"/>
                <w:sz w:val="24"/>
              </w:rPr>
              <w:t xml:space="preserve">（恩诺沙星和环丙沙星之和）</w:t>
            </w:r>
            <w:r/>
          </w:p>
        </w:tc>
      </w:tr>
      <w:tr>
        <w:trPr>
          <w:trHeight w:val="1235"/>
        </w:trPr>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3586"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磺胺类（磺胺间甲氧嘧啶、磺胺二甲嘧啶、磺胺甲噁唑、磺胺（间）二甲氧嘧啶、磺胺喹噁啉，</w:t>
            </w:r>
            <w:r>
              <w:rPr>
                <w:rFonts w:ascii="FangSong" w:hAnsi="FangSong" w:eastAsia="FangSong" w:cs="FangSong"/>
                <w:b/>
                <w:color w:val="000000"/>
                <w:sz w:val="24"/>
              </w:rPr>
              <w:t xml:space="preserve">甲氧苄啶</w:t>
            </w: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GB 31658.17-2021</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GB/T 21316-2007</w:t>
            </w:r>
            <w:r>
              <w:rPr>
                <w:rFonts w:ascii="FangSong" w:hAnsi="FangSong" w:eastAsia="FangSong" w:cs="FangSong"/>
                <w:color w:val="000000"/>
                <w:sz w:val="24"/>
              </w:rPr>
              <w:t xml:space="preserve">、农业部</w:t>
            </w:r>
            <w:r>
              <w:rPr>
                <w:rFonts w:ascii="Times New Roman" w:hAnsi="Times New Roman" w:eastAsia="Times New Roman" w:cs="Times New Roman"/>
                <w:color w:val="000000"/>
                <w:sz w:val="24"/>
              </w:rPr>
              <w:t xml:space="preserve">1025</w:t>
            </w:r>
            <w:r>
              <w:rPr>
                <w:rFonts w:ascii="FangSong" w:hAnsi="FangSong" w:eastAsia="FangSong" w:cs="FangSong"/>
                <w:color w:val="000000"/>
                <w:sz w:val="24"/>
              </w:rPr>
              <w:t xml:space="preserve">号公告</w:t>
            </w:r>
            <w:r>
              <w:rPr>
                <w:rFonts w:ascii="Times New Roman" w:hAnsi="Times New Roman" w:eastAsia="Times New Roman" w:cs="Times New Roman"/>
                <w:color w:val="000000"/>
                <w:sz w:val="24"/>
              </w:rPr>
              <w:t xml:space="preserve">-23- 2008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2" w:type="dxa"/>
            <w:vAlign w:val="center"/>
            <w:textDirection w:val="lrTb"/>
            <w:noWrap w:val="false"/>
          </w:tcPr>
          <w:p>
            <w:pPr>
              <w:ind w:left="0" w:right="0" w:firstLine="0"/>
              <w:jc w:val="both"/>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磺胺类：</w:t>
            </w:r>
            <w:r>
              <w:rPr>
                <w:rFonts w:ascii="Times New Roman" w:hAnsi="Times New Roman" w:eastAsia="Times New Roman" w:cs="Times New Roman"/>
                <w:color w:val="000000"/>
                <w:sz w:val="24"/>
              </w:rPr>
              <w:t xml:space="preserve">100</w:t>
            </w:r>
            <w:r>
              <w:rPr>
                <w:rFonts w:ascii="FangSong" w:hAnsi="FangSong" w:eastAsia="FangSong" w:cs="FangSong"/>
                <w:color w:val="000000"/>
                <w:sz w:val="24"/>
              </w:rPr>
              <w:t xml:space="preserve">（总量）；甲氧苄啶：</w:t>
            </w:r>
            <w:r>
              <w:rPr>
                <w:rFonts w:ascii="Times New Roman" w:hAnsi="Times New Roman" w:eastAsia="Times New Roman" w:cs="Times New Roman"/>
                <w:color w:val="000000"/>
                <w:sz w:val="24"/>
              </w:rPr>
              <w:t xml:space="preserve">50</w:t>
            </w:r>
            <w:r>
              <w:rPr>
                <w:rFonts w:ascii="FangSong" w:hAnsi="FangSong" w:eastAsia="FangSong" w:cs="FangSong"/>
                <w:color w:val="000000"/>
                <w:sz w:val="24"/>
              </w:rPr>
              <w:t xml:space="preserve">（仅判定猪肉、牛肉）</w:t>
            </w:r>
            <w:r/>
          </w:p>
        </w:tc>
      </w:tr>
      <w:tr>
        <w:trPr>
          <w:trHeight w:val="953"/>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3586"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四环素类（金霉素、土霉素、四环素、多西环素）（不含猪肝）</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GB 31658.17-2021</w:t>
            </w:r>
            <w:r>
              <w:rPr>
                <w:rFonts w:ascii="FangSong" w:hAnsi="FangSong" w:eastAsia="FangSong" w:cs="FangSong"/>
                <w:color w:val="000000"/>
                <w:sz w:val="24"/>
              </w:rPr>
              <w:t xml:space="preserve">或</w:t>
            </w:r>
            <w:r>
              <w:rPr>
                <w:rFonts w:ascii="Times New Roman" w:hAnsi="Times New Roman" w:eastAsia="Times New Roman" w:cs="Times New Roman"/>
                <w:color w:val="000000"/>
                <w:sz w:val="24"/>
              </w:rPr>
              <w:t xml:space="preserve">GB/T 21317-2007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2" w:type="dxa"/>
            <w:vAlign w:val="center"/>
            <w:textDirection w:val="lrTb"/>
            <w:noWrap w:val="false"/>
          </w:tcPr>
          <w:p>
            <w:pPr>
              <w:ind w:left="0" w:right="0" w:firstLine="0"/>
              <w:jc w:val="both"/>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金霉素、土霉素、四环素：</w:t>
            </w:r>
            <w:r>
              <w:rPr>
                <w:rFonts w:ascii="Times New Roman" w:hAnsi="Times New Roman" w:eastAsia="Times New Roman" w:cs="Times New Roman"/>
                <w:color w:val="000000"/>
                <w:sz w:val="24"/>
              </w:rPr>
              <w:t xml:space="preserve">200</w:t>
            </w:r>
            <w:r>
              <w:rPr>
                <w:rFonts w:ascii="FangSong" w:hAnsi="FangSong" w:eastAsia="FangSong" w:cs="FangSong"/>
                <w:color w:val="000000"/>
                <w:sz w:val="24"/>
              </w:rPr>
              <w:t xml:space="preserve">；多西环素：</w:t>
            </w:r>
            <w:r>
              <w:rPr>
                <w:rFonts w:ascii="Times New Roman" w:hAnsi="Times New Roman" w:eastAsia="Times New Roman" w:cs="Times New Roman"/>
                <w:color w:val="000000"/>
                <w:sz w:val="24"/>
              </w:rPr>
              <w:t xml:space="preserve">100</w:t>
            </w:r>
            <w:r>
              <w:rPr>
                <w:rFonts w:ascii="FangSong" w:hAnsi="FangSong" w:eastAsia="FangSong" w:cs="FangSong"/>
                <w:color w:val="000000"/>
                <w:sz w:val="24"/>
              </w:rPr>
              <w:t xml:space="preserve">（仅判定猪肉、牛肉）</w:t>
            </w:r>
            <w:r/>
          </w:p>
        </w:tc>
      </w:tr>
      <w:tr>
        <w:trPr>
          <w:trHeight w:val="966"/>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3586"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糖皮质激素类（地塞米松、倍他米松）（仅牛肉）</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农业部</w:t>
            </w:r>
            <w:r>
              <w:rPr>
                <w:rFonts w:ascii="Times New Roman" w:hAnsi="Times New Roman" w:eastAsia="Times New Roman" w:cs="Times New Roman"/>
                <w:color w:val="000000"/>
                <w:sz w:val="24"/>
              </w:rPr>
              <w:t xml:space="preserve">1031</w:t>
            </w:r>
            <w:r>
              <w:rPr>
                <w:rFonts w:ascii="FangSong" w:hAnsi="FangSong" w:eastAsia="FangSong" w:cs="FangSong"/>
                <w:color w:val="000000"/>
                <w:sz w:val="24"/>
              </w:rPr>
              <w:t xml:space="preserve">号公告</w:t>
            </w:r>
            <w:r>
              <w:rPr>
                <w:rFonts w:ascii="Times New Roman" w:hAnsi="Times New Roman" w:eastAsia="Times New Roman" w:cs="Times New Roman"/>
                <w:color w:val="000000"/>
                <w:sz w:val="24"/>
              </w:rPr>
              <w:t xml:space="preserve">-2-2008</w:t>
            </w:r>
            <w:r>
              <w:rPr>
                <w:rFonts w:ascii="FangSong" w:hAnsi="FangSong" w:eastAsia="FangSong" w:cs="FangSong"/>
                <w:color w:val="000000"/>
                <w:sz w:val="24"/>
              </w:rPr>
              <w:t xml:space="preserve">或</w:t>
            </w:r>
            <w:r>
              <w:rPr>
                <w:rFonts w:ascii="Times New Roman" w:hAnsi="Times New Roman" w:eastAsia="Times New Roman" w:cs="Times New Roman"/>
                <w:color w:val="000000"/>
                <w:sz w:val="24"/>
              </w:rPr>
              <w:t xml:space="preserve">GB/T 21981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2" w:type="dxa"/>
            <w:vAlign w:val="center"/>
            <w:textDirection w:val="lrTb"/>
            <w:noWrap w:val="false"/>
          </w:tcPr>
          <w:p>
            <w:pPr>
              <w:ind w:left="0" w:right="0" w:firstLine="0"/>
              <w:jc w:val="both"/>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地塞米松：</w:t>
            </w:r>
            <w:r>
              <w:rPr>
                <w:rFonts w:ascii="Times New Roman" w:hAnsi="Times New Roman" w:eastAsia="Times New Roman" w:cs="Times New Roman"/>
                <w:color w:val="000000"/>
                <w:sz w:val="24"/>
              </w:rPr>
              <w:t xml:space="preserve">1.0</w:t>
            </w:r>
            <w:r>
              <w:rPr>
                <w:rFonts w:ascii="FangSong" w:hAnsi="FangSong" w:eastAsia="FangSong" w:cs="FangSong"/>
                <w:color w:val="000000"/>
                <w:sz w:val="24"/>
              </w:rPr>
              <w:t xml:space="preserve">；倍他米松：</w:t>
            </w:r>
            <w:r>
              <w:rPr>
                <w:rFonts w:ascii="Times New Roman" w:hAnsi="Times New Roman" w:eastAsia="Times New Roman" w:cs="Times New Roman"/>
                <w:color w:val="000000"/>
                <w:sz w:val="24"/>
              </w:rPr>
              <w:t xml:space="preserve">0.75</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vMerge w:val="restart"/>
            <w:textDirection w:val="lrTb"/>
            <w:noWrap w:val="false"/>
          </w:tcPr>
          <w:p>
            <w:pPr>
              <w:ind w:left="0" w:right="0" w:firstLine="0"/>
              <w:jc w:val="center"/>
              <w:spacing w:before="0" w:after="0" w:line="26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禽肉（鸡肉、鸭肉、鸽肉）</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586" w:type="dxa"/>
            <w:vAlign w:val="center"/>
            <w:textDirection w:val="lrTb"/>
            <w:noWrap w:val="false"/>
          </w:tcPr>
          <w:p>
            <w:pPr>
              <w:ind w:left="0" w:right="0" w:firstLine="120"/>
              <w:spacing w:before="0" w:after="0" w:line="26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金刚烷胺</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jc w:val="both"/>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GB 31660.5-2019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2" w:type="dxa"/>
            <w:vAlign w:val="center"/>
            <w:textDirection w:val="lrTb"/>
            <w:noWrap w:val="false"/>
          </w:tcPr>
          <w:p>
            <w:pPr>
              <w:ind w:left="0" w:right="0" w:firstLine="0"/>
              <w:jc w:val="both"/>
              <w:spacing w:before="0" w:after="0" w:line="26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不得检出（判定限</w:t>
            </w:r>
            <w:r>
              <w:rPr>
                <w:rFonts w:ascii="Times New Roman" w:hAnsi="Times New Roman" w:eastAsia="Times New Roman" w:cs="Times New Roman"/>
                <w:color w:val="000000"/>
                <w:sz w:val="24"/>
              </w:rPr>
              <w:t xml:space="preserve">2.0</w:t>
            </w:r>
            <w:r>
              <w:rPr>
                <w:rFonts w:ascii="FangSong" w:hAnsi="FangSong" w:eastAsia="FangSong" w:cs="FangSong"/>
                <w:color w:val="000000"/>
                <w:sz w:val="24"/>
              </w:rPr>
              <w:t xml:space="preserve">）</w:t>
            </w:r>
            <w:r/>
          </w:p>
        </w:tc>
      </w:tr>
      <w:tr>
        <w:trPr>
          <w:trHeight w:val="9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6"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酰胺醇类（氯霉素，氟苯尼考、氟苯尼考胺，甲砜霉素）</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GB 31658.20-2022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2" w:type="dxa"/>
            <w:vAlign w:val="center"/>
            <w:textDirection w:val="lrTb"/>
            <w:noWrap w:val="false"/>
          </w:tcPr>
          <w:p>
            <w:pPr>
              <w:ind w:left="0" w:right="0" w:firstLine="0"/>
              <w:jc w:val="both"/>
              <w:spacing w:before="0" w:after="0" w:line="26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氯霉素：不得检出（判定限</w:t>
            </w:r>
            <w:r>
              <w:rPr>
                <w:rFonts w:ascii="Times New Roman" w:hAnsi="Times New Roman" w:eastAsia="Times New Roman" w:cs="Times New Roman"/>
                <w:color w:val="000000"/>
                <w:sz w:val="24"/>
              </w:rPr>
              <w:t xml:space="preserve">0.2</w:t>
            </w:r>
            <w:r>
              <w:rPr>
                <w:rFonts w:ascii="FangSong" w:hAnsi="FangSong" w:eastAsia="FangSong" w:cs="FangSong"/>
                <w:color w:val="000000"/>
                <w:sz w:val="24"/>
              </w:rPr>
              <w:t xml:space="preserve">）；氟苯尼考与氟苯尼考胺之和：</w:t>
            </w:r>
            <w:r>
              <w:rPr>
                <w:rFonts w:ascii="Times New Roman" w:hAnsi="Times New Roman" w:eastAsia="Times New Roman" w:cs="Times New Roman"/>
                <w:color w:val="000000"/>
                <w:sz w:val="24"/>
              </w:rPr>
              <w:t xml:space="preserve">100</w:t>
            </w:r>
            <w:r>
              <w:rPr>
                <w:rFonts w:ascii="FangSong" w:hAnsi="FangSong" w:eastAsia="FangSong" w:cs="FangSong"/>
                <w:color w:val="000000"/>
                <w:sz w:val="24"/>
              </w:rPr>
              <w:t xml:space="preserve">；甲砜霉素：</w:t>
            </w:r>
            <w:r>
              <w:rPr>
                <w:rFonts w:ascii="Times New Roman" w:hAnsi="Times New Roman" w:eastAsia="Times New Roman" w:cs="Times New Roman"/>
                <w:color w:val="000000"/>
                <w:sz w:val="24"/>
              </w:rPr>
              <w:t xml:space="preserve">50</w:t>
            </w:r>
            <w:r/>
          </w:p>
        </w:tc>
      </w:tr>
      <w:tr>
        <w:trPr>
          <w:trHeight w:val="16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6"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氟喹诺酮类（氧氟沙星、培氟沙星、诺氟沙星、洛美沙星，恩诺沙星、环丙沙星、沙拉沙星、达氟沙星）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GB/T 21312-2007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2" w:type="dxa"/>
            <w:vAlign w:val="center"/>
            <w:textDirection w:val="lrTb"/>
            <w:noWrap w:val="false"/>
          </w:tcPr>
          <w:p>
            <w:pPr>
              <w:ind w:left="0" w:right="0" w:firstLine="0"/>
              <w:jc w:val="both"/>
              <w:spacing w:before="0" w:after="0" w:line="26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氧氟沙星、培氟沙星、诺氟沙星、洛美沙星：不得检出（判定值</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）；恩诺沙星和环丙沙星之和：</w:t>
            </w:r>
            <w:r>
              <w:rPr>
                <w:rFonts w:ascii="Times New Roman" w:hAnsi="Times New Roman" w:eastAsia="Times New Roman" w:cs="Times New Roman"/>
                <w:color w:val="000000"/>
                <w:sz w:val="24"/>
              </w:rPr>
              <w:t xml:space="preserve">100</w:t>
            </w:r>
            <w:r>
              <w:rPr>
                <w:rFonts w:ascii="FangSong" w:hAnsi="FangSong" w:eastAsia="FangSong" w:cs="FangSong"/>
                <w:color w:val="000000"/>
                <w:sz w:val="24"/>
              </w:rPr>
              <w:t xml:space="preserve">；沙拉沙星：</w:t>
            </w:r>
            <w:r>
              <w:rPr>
                <w:rFonts w:ascii="Times New Roman" w:hAnsi="Times New Roman" w:eastAsia="Times New Roman" w:cs="Times New Roman"/>
                <w:color w:val="000000"/>
                <w:sz w:val="24"/>
              </w:rPr>
              <w:t xml:space="preserve">10</w:t>
            </w:r>
            <w:r>
              <w:rPr>
                <w:rFonts w:ascii="FangSong" w:hAnsi="FangSong" w:eastAsia="FangSong" w:cs="FangSong"/>
                <w:color w:val="000000"/>
                <w:sz w:val="24"/>
              </w:rPr>
              <w:t xml:space="preserve">（仅判定鸡肉）；达氟沙星：</w:t>
            </w:r>
            <w:r>
              <w:rPr>
                <w:rFonts w:ascii="Times New Roman" w:hAnsi="Times New Roman" w:eastAsia="Times New Roman" w:cs="Times New Roman"/>
                <w:color w:val="000000"/>
                <w:sz w:val="24"/>
              </w:rPr>
              <w:t xml:space="preserve">200</w:t>
            </w:r>
            <w:r/>
          </w:p>
        </w:tc>
      </w:tr>
      <w:tr>
        <w:trPr>
          <w:trHeight w:val="87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6"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FangSong" w:hAnsi="FangSong" w:eastAsia="FangSong" w:cs="FangSong"/>
                <w:b/>
                <w:color w:val="000000"/>
                <w:sz w:val="24"/>
              </w:rPr>
              <w:t xml:space="preserve">磺胺类（甲氧苄啶）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GB/T 21316-2007</w:t>
            </w:r>
            <w:r>
              <w:rPr>
                <w:rFonts w:ascii="FangSong" w:hAnsi="FangSong" w:eastAsia="FangSong" w:cs="FangSong"/>
                <w:color w:val="000000"/>
                <w:sz w:val="24"/>
              </w:rPr>
              <w:t xml:space="preserve">、农业部</w:t>
            </w:r>
            <w:r>
              <w:rPr>
                <w:rFonts w:ascii="Times New Roman" w:hAnsi="Times New Roman" w:eastAsia="Times New Roman" w:cs="Times New Roman"/>
                <w:color w:val="000000"/>
                <w:sz w:val="24"/>
              </w:rPr>
              <w:t xml:space="preserve">1025</w:t>
            </w:r>
            <w:r>
              <w:rPr>
                <w:rFonts w:ascii="FangSong" w:hAnsi="FangSong" w:eastAsia="FangSong" w:cs="FangSong"/>
                <w:color w:val="000000"/>
                <w:sz w:val="24"/>
              </w:rPr>
              <w:t xml:space="preserve">号公告</w:t>
            </w:r>
            <w:r>
              <w:rPr>
                <w:rFonts w:ascii="Times New Roman" w:hAnsi="Times New Roman" w:eastAsia="Times New Roman" w:cs="Times New Roman"/>
                <w:color w:val="000000"/>
                <w:sz w:val="24"/>
              </w:rPr>
              <w:t xml:space="preserve">-23-2008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2" w:type="dxa"/>
            <w:vAlign w:val="center"/>
            <w:textDirection w:val="lrTb"/>
            <w:noWrap w:val="false"/>
          </w:tcPr>
          <w:p>
            <w:pPr>
              <w:ind w:left="0" w:right="0" w:firstLine="0"/>
              <w:jc w:val="both"/>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50</w:t>
            </w:r>
            <w:r/>
          </w:p>
        </w:tc>
      </w:tr>
      <w:tr>
        <w:trPr>
          <w:trHeight w:val="5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6"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FangSong" w:hAnsi="FangSong" w:eastAsia="FangSong" w:cs="FangSong"/>
                <w:b/>
                <w:color w:val="000000"/>
                <w:sz w:val="24"/>
              </w:rPr>
              <w:t xml:space="preserve">四环素类（多西环素）</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GB 31658.17-2021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2" w:type="dxa"/>
            <w:vAlign w:val="center"/>
            <w:textDirection w:val="lrTb"/>
            <w:noWrap w:val="false"/>
          </w:tcPr>
          <w:p>
            <w:pPr>
              <w:ind w:left="0" w:right="0" w:firstLine="0"/>
              <w:jc w:val="both"/>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100</w:t>
            </w:r>
            <w:r/>
          </w:p>
        </w:tc>
      </w:tr>
      <w:tr>
        <w:trPr>
          <w:trHeight w:val="6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6"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FangSong" w:hAnsi="FangSong" w:eastAsia="FangSong" w:cs="FangSong"/>
                <w:b/>
                <w:color w:val="000000"/>
                <w:sz w:val="24"/>
              </w:rPr>
              <w:t xml:space="preserve">硝基咪唑类（甲硝唑、地美硝唑）</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GB 31658.23-2022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2" w:type="dxa"/>
            <w:vAlign w:val="center"/>
            <w:textDirection w:val="lrTb"/>
            <w:noWrap w:val="false"/>
          </w:tcPr>
          <w:p>
            <w:pPr>
              <w:ind w:left="0" w:right="0" w:firstLine="0"/>
              <w:jc w:val="both"/>
              <w:spacing w:before="0" w:after="0" w:line="26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不得检出</w:t>
            </w:r>
            <w:r>
              <w:rPr>
                <w:rFonts w:ascii="FangSong" w:hAnsi="FangSong" w:eastAsia="FangSong" w:cs="FangSong"/>
                <w:color w:val="000000"/>
                <w:sz w:val="24"/>
              </w:rPr>
              <w:t xml:space="preserve">（判定限</w:t>
            </w:r>
            <w:r>
              <w:rPr>
                <w:rFonts w:ascii="Times New Roman" w:hAnsi="Times New Roman" w:eastAsia="Times New Roman" w:cs="Times New Roman"/>
                <w:color w:val="000000"/>
                <w:sz w:val="24"/>
              </w:rPr>
              <w:t xml:space="preserve">1.0</w:t>
            </w:r>
            <w:r>
              <w:rPr>
                <w:rFonts w:ascii="FangSong" w:hAnsi="FangSong" w:eastAsia="FangSong" w:cs="FangSong"/>
                <w:color w:val="000000"/>
                <w:sz w:val="24"/>
              </w:rPr>
              <w:t xml:space="preserve">）</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vMerge w:val="restart"/>
            <w:textDirection w:val="lrTb"/>
            <w:noWrap w:val="false"/>
          </w:tcPr>
          <w:p>
            <w:pPr>
              <w:ind w:left="0" w:right="0" w:firstLine="0"/>
              <w:jc w:val="center"/>
              <w:spacing w:before="0" w:after="0" w:line="26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禽蛋（鸡蛋、鸭蛋、鹌鹑蛋、鸽蛋）</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6" w:type="dxa"/>
            <w:vAlign w:val="center"/>
            <w:textDirection w:val="lrTb"/>
            <w:noWrap w:val="false"/>
          </w:tcPr>
          <w:p>
            <w:pPr>
              <w:ind w:left="0" w:right="0" w:firstLine="120"/>
              <w:spacing w:before="0" w:after="0" w:line="26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金刚烷胺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jc w:val="both"/>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GB 31660.5-2019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2"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不得检出（判定限</w:t>
            </w:r>
            <w:r>
              <w:rPr>
                <w:rFonts w:ascii="Times New Roman" w:hAnsi="Times New Roman" w:eastAsia="Times New Roman" w:cs="Times New Roman"/>
                <w:color w:val="000000"/>
                <w:sz w:val="24"/>
              </w:rPr>
              <w:t xml:space="preserve">2.0</w:t>
            </w:r>
            <w:r>
              <w:rPr>
                <w:rFonts w:ascii="FangSong" w:hAnsi="FangSong" w:eastAsia="FangSong" w:cs="FangSong"/>
                <w:color w:val="000000"/>
                <w:sz w:val="24"/>
              </w:rPr>
              <w:t xml:space="preserve">）</w:t>
            </w:r>
            <w:r/>
          </w:p>
        </w:tc>
      </w:tr>
      <w:tr>
        <w:trPr>
          <w:trHeight w:val="103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6"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酰胺醇类（氯霉素，氟苯尼考、氟苯尼考胺，甲砜霉素）</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GB 31658.20-2022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2" w:type="dxa"/>
            <w:vAlign w:val="center"/>
            <w:textDirection w:val="lrTb"/>
            <w:noWrap w:val="false"/>
          </w:tcPr>
          <w:p>
            <w:pPr>
              <w:ind w:left="0" w:right="0" w:firstLine="0"/>
              <w:jc w:val="both"/>
              <w:spacing w:before="0" w:after="0" w:line="26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氯霉素：不得检出（判定限</w:t>
            </w:r>
            <w:r>
              <w:rPr>
                <w:rFonts w:ascii="Times New Roman" w:hAnsi="Times New Roman" w:eastAsia="Times New Roman" w:cs="Times New Roman"/>
                <w:color w:val="000000"/>
                <w:sz w:val="24"/>
              </w:rPr>
              <w:t xml:space="preserve">0.2</w:t>
            </w:r>
            <w:r>
              <w:rPr>
                <w:rFonts w:ascii="FangSong" w:hAnsi="FangSong" w:eastAsia="FangSong" w:cs="FangSong"/>
                <w:color w:val="000000"/>
                <w:sz w:val="24"/>
              </w:rPr>
              <w:t xml:space="preserve">）；氟苯尼考与氟苯尼考胺之和：</w:t>
            </w:r>
            <w:r>
              <w:rPr>
                <w:rFonts w:ascii="Times New Roman" w:hAnsi="Times New Roman" w:eastAsia="Times New Roman" w:cs="Times New Roman"/>
                <w:color w:val="000000"/>
                <w:sz w:val="24"/>
              </w:rPr>
              <w:t xml:space="preserve">10</w:t>
            </w:r>
            <w:r>
              <w:rPr>
                <w:rFonts w:ascii="FangSong" w:hAnsi="FangSong" w:eastAsia="FangSong" w:cs="FangSong"/>
                <w:color w:val="000000"/>
                <w:sz w:val="24"/>
              </w:rPr>
              <w:t xml:space="preserve">；甲砜霉素：</w:t>
            </w:r>
            <w:r>
              <w:rPr>
                <w:rFonts w:ascii="Times New Roman" w:hAnsi="Times New Roman" w:eastAsia="Times New Roman" w:cs="Times New Roman"/>
                <w:color w:val="000000"/>
                <w:sz w:val="24"/>
              </w:rPr>
              <w:t xml:space="preserve">10</w:t>
            </w:r>
            <w:r/>
          </w:p>
        </w:tc>
      </w:tr>
      <w:tr>
        <w:trPr>
          <w:trHeight w:val="180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6"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氟喹诺酮类（氧氟沙星、培氟沙星、诺氟沙星、洛美沙星，恩诺沙星、环丙沙星，沙拉沙星、达氟沙星）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jc w:val="both"/>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GB/T 21312-2007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2"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氧氟沙星、培氟沙星、诺氟沙星、洛美沙星：不得检出（判定值</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）；恩诺沙星和环丙沙星之和：</w:t>
            </w:r>
            <w:r>
              <w:rPr>
                <w:rFonts w:ascii="Times New Roman" w:hAnsi="Times New Roman" w:eastAsia="Times New Roman" w:cs="Times New Roman"/>
                <w:color w:val="000000"/>
                <w:sz w:val="24"/>
              </w:rPr>
              <w:t xml:space="preserve">10</w:t>
            </w:r>
            <w:r>
              <w:rPr>
                <w:rFonts w:ascii="FangSong" w:hAnsi="FangSong" w:eastAsia="FangSong" w:cs="FangSong"/>
                <w:color w:val="000000"/>
                <w:sz w:val="24"/>
              </w:rPr>
              <w:t xml:space="preserve">；沙拉沙星：</w:t>
            </w: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（仅判定鸡蛋）；达氟沙星：</w:t>
            </w:r>
            <w:r>
              <w:rPr>
                <w:rFonts w:ascii="Times New Roman" w:hAnsi="Times New Roman" w:eastAsia="Times New Roman" w:cs="Times New Roman"/>
                <w:color w:val="000000"/>
                <w:sz w:val="24"/>
              </w:rPr>
              <w:t xml:space="preserve">10</w:t>
            </w:r>
            <w:r/>
          </w:p>
        </w:tc>
      </w:tr>
      <w:tr>
        <w:trPr>
          <w:trHeight w:val="71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6"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FangSong" w:hAnsi="FangSong" w:eastAsia="FangSong" w:cs="FangSong"/>
                <w:b/>
                <w:color w:val="000000"/>
                <w:sz w:val="24"/>
              </w:rPr>
              <w:t xml:space="preserve">甲氧苄啶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农业部</w:t>
            </w:r>
            <w:r>
              <w:rPr>
                <w:rFonts w:ascii="Times New Roman" w:hAnsi="Times New Roman" w:eastAsia="Times New Roman" w:cs="Times New Roman"/>
                <w:color w:val="000000"/>
                <w:sz w:val="24"/>
              </w:rPr>
              <w:t xml:space="preserve">1025</w:t>
            </w:r>
            <w:r>
              <w:rPr>
                <w:rFonts w:ascii="FangSong" w:hAnsi="FangSong" w:eastAsia="FangSong" w:cs="FangSong"/>
                <w:color w:val="000000"/>
                <w:sz w:val="24"/>
              </w:rPr>
              <w:t xml:space="preserve">号公告</w:t>
            </w:r>
            <w:r>
              <w:rPr>
                <w:rFonts w:ascii="Times New Roman" w:hAnsi="Times New Roman" w:eastAsia="Times New Roman" w:cs="Times New Roman"/>
                <w:color w:val="000000"/>
                <w:sz w:val="24"/>
              </w:rPr>
              <w:t xml:space="preserve">-23-2008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2" w:type="dxa"/>
            <w:vAlign w:val="center"/>
            <w:textDirection w:val="lrTb"/>
            <w:noWrap w:val="false"/>
          </w:tcPr>
          <w:p>
            <w:pPr>
              <w:ind w:left="0" w:right="0" w:firstLine="0"/>
              <w:jc w:val="both"/>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10</w:t>
            </w:r>
            <w:r/>
          </w:p>
        </w:tc>
      </w:tr>
      <w:tr>
        <w:trPr>
          <w:trHeight w:val="6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6" w:type="dxa"/>
            <w:vAlign w:val="center"/>
            <w:textDirection w:val="lrTb"/>
            <w:noWrap w:val="false"/>
          </w:tcPr>
          <w:p>
            <w:pPr>
              <w:ind w:left="0" w:right="0" w:firstLine="120"/>
              <w:spacing w:before="0" w:after="0" w:line="26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四环素类（多西环素）</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GB 31659.2-2022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2"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10</w:t>
            </w:r>
            <w:r/>
          </w:p>
        </w:tc>
      </w:tr>
      <w:tr>
        <w:trPr>
          <w:trHeight w:val="63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6" w:type="dxa"/>
            <w:vAlign w:val="center"/>
            <w:textDirection w:val="lrTb"/>
            <w:noWrap w:val="false"/>
          </w:tcPr>
          <w:p>
            <w:pPr>
              <w:ind w:left="0" w:right="0" w:firstLine="120"/>
              <w:spacing w:before="0" w:after="0" w:line="26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硝基咪唑类（甲硝唑、地美硝唑）</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4"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SN/T 2624-2010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2" w:type="dxa"/>
            <w:vAlign w:val="center"/>
            <w:textDirection w:val="lrTb"/>
            <w:noWrap w:val="false"/>
          </w:tcPr>
          <w:p>
            <w:pPr>
              <w:ind w:left="0" w:right="0" w:firstLine="0"/>
              <w:spacing w:before="0" w:after="0" w:line="26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不得检出（判定限</w:t>
            </w:r>
            <w:r>
              <w:rPr>
                <w:rFonts w:ascii="Times New Roman" w:hAnsi="Times New Roman" w:eastAsia="Times New Roman" w:cs="Times New Roman"/>
                <w:color w:val="000000"/>
                <w:sz w:val="24"/>
              </w:rPr>
              <w:t xml:space="preserve">1.0</w:t>
            </w:r>
            <w:r>
              <w:rPr>
                <w:rFonts w:ascii="FangSong" w:hAnsi="FangSong" w:eastAsia="FangSong" w:cs="FangSong"/>
                <w:color w:val="000000"/>
                <w:sz w:val="24"/>
              </w:rPr>
              <w:t xml:space="preserve">，仅判定鸡蛋）</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2"/>
        </w:rPr>
        <w:t xml:space="preserve">注：</w:t>
      </w:r>
      <w:r>
        <w:rPr>
          <w:rFonts w:ascii="Times New Roman" w:hAnsi="Times New Roman" w:eastAsia="Times New Roman" w:cs="Times New Roman"/>
          <w:color w:val="000000"/>
          <w:sz w:val="22"/>
        </w:rPr>
        <w:t xml:space="preserve">1. </w:t>
      </w:r>
      <w:r>
        <w:rPr>
          <w:rFonts w:ascii="KaiTi" w:hAnsi="KaiTi" w:eastAsia="KaiTi" w:cs="KaiTi"/>
          <w:color w:val="000000"/>
          <w:sz w:val="22"/>
        </w:rPr>
        <w:t xml:space="preserve">检出</w:t>
      </w:r>
      <w:r>
        <w:rPr>
          <w:rFonts w:ascii="Times New Roman" w:hAnsi="Times New Roman" w:eastAsia="Times New Roman" w:cs="Times New Roman"/>
          <w:color w:val="000000"/>
          <w:sz w:val="22"/>
        </w:rPr>
        <w:t xml:space="preserve">β-</w:t>
      </w:r>
      <w:r>
        <w:rPr>
          <w:rFonts w:ascii="KaiTi" w:hAnsi="KaiTi" w:eastAsia="KaiTi" w:cs="KaiTi"/>
          <w:color w:val="000000"/>
          <w:sz w:val="22"/>
        </w:rPr>
        <w:t xml:space="preserve">受体激动剂阳性样品需</w:t>
      </w:r>
      <w:r>
        <w:rPr>
          <w:rFonts w:ascii="Times New Roman" w:hAnsi="Times New Roman" w:eastAsia="Times New Roman" w:cs="Times New Roman"/>
          <w:color w:val="000000"/>
          <w:sz w:val="22"/>
        </w:rPr>
        <w:t xml:space="preserve">24</w:t>
      </w:r>
      <w:r>
        <w:rPr>
          <w:rFonts w:ascii="KaiTi" w:hAnsi="KaiTi" w:eastAsia="KaiTi" w:cs="KaiTi"/>
          <w:color w:val="000000"/>
          <w:sz w:val="22"/>
        </w:rPr>
        <w:t xml:space="preserve">小时内送样至省畜产品质检中心进行确证。</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 </w:t>
      </w:r>
      <w:r>
        <w:rPr>
          <w:rFonts w:ascii="KaiTi" w:hAnsi="KaiTi" w:eastAsia="KaiTi" w:cs="KaiTi"/>
          <w:color w:val="000000"/>
          <w:sz w:val="22"/>
        </w:rPr>
        <w:t xml:space="preserve">国家现行有效方法也可以使用，但方法最低检出限必须满足判定依据限量值。</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84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水产品质量安全例行监测检测方法和判定依据</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35"/>
        <w:gridCol w:w="2298"/>
        <w:gridCol w:w="3321"/>
      </w:tblGrid>
      <w:tr>
        <w:trPr>
          <w:trHeight w:val="6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3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监测项目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98"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检测方法</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321"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判定限量（</w:t>
            </w:r>
            <w:r>
              <w:rPr>
                <w:rFonts w:ascii="Times New Roman" w:hAnsi="Times New Roman" w:eastAsia="Times New Roman" w:cs="Times New Roman"/>
                <w:color w:val="000000"/>
                <w:sz w:val="24"/>
              </w:rPr>
              <w:t xml:space="preserve">µg/kg</w:t>
            </w:r>
            <w:r>
              <w:rPr>
                <w:rFonts w:ascii="SimHei" w:hAnsi="SimHei" w:eastAsia="SimHei" w:cs="SimHei"/>
                <w:color w:val="000000"/>
                <w:sz w:val="24"/>
              </w:rPr>
              <w:t xml:space="preserve">）</w:t>
            </w:r>
            <w:r/>
          </w:p>
        </w:tc>
      </w:tr>
      <w:tr>
        <w:trPr>
          <w:trHeight w:val="10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5"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孔雀石绿（包括有色孔雀石绿和无色孔雀石绿）</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98"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GB/T 20361-2006</w:t>
            </w:r>
            <w:r>
              <w:rPr>
                <w:rFonts w:ascii="FangSong" w:hAnsi="FangSong" w:eastAsia="FangSong" w:cs="FangSong"/>
                <w:color w:val="000000"/>
                <w:sz w:val="24"/>
              </w:rPr>
              <w:t xml:space="preserve">、</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GB/T 19857-2005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21"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不得检出（判定限：</w:t>
            </w:r>
            <w:r>
              <w:rPr>
                <w:rFonts w:ascii="Times New Roman" w:hAnsi="Times New Roman" w:eastAsia="Times New Roman" w:cs="Times New Roman"/>
                <w:color w:val="000000"/>
                <w:sz w:val="24"/>
              </w:rPr>
              <w:t xml:space="preserve">1.0</w:t>
            </w:r>
            <w:r>
              <w:rPr>
                <w:rFonts w:ascii="FangSong" w:hAnsi="FangSong" w:eastAsia="FangSong" w:cs="FangSong"/>
                <w:color w:val="000000"/>
                <w:sz w:val="24"/>
              </w:rPr>
              <w:t xml:space="preserve">（有色孔雀石绿和无色孔雀石绿的总量））</w:t>
            </w:r>
            <w:r/>
          </w:p>
        </w:tc>
      </w:tr>
      <w:tr>
        <w:trPr>
          <w:trHeight w:val="107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5"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硝基呋喃类代谢物（呋喃唑酮代谢物、呋喃它酮代谢物、呋喃西林代谢物、呋喃妥因代谢物）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98"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GB 31656.13-2021</w:t>
            </w:r>
            <w:r>
              <w:rPr>
                <w:rFonts w:ascii="FangSong" w:hAnsi="FangSong" w:eastAsia="FangSong" w:cs="FangSong"/>
                <w:color w:val="000000"/>
                <w:sz w:val="24"/>
              </w:rPr>
              <w:t xml:space="preserve">、农业部</w:t>
            </w:r>
            <w:r>
              <w:rPr>
                <w:rFonts w:ascii="Times New Roman" w:hAnsi="Times New Roman" w:eastAsia="Times New Roman" w:cs="Times New Roman"/>
                <w:color w:val="000000"/>
                <w:sz w:val="24"/>
              </w:rPr>
              <w:t xml:space="preserve">783</w:t>
            </w:r>
            <w:r>
              <w:rPr>
                <w:rFonts w:ascii="FangSong" w:hAnsi="FangSong" w:eastAsia="FangSong" w:cs="FangSong"/>
                <w:color w:val="000000"/>
                <w:sz w:val="24"/>
              </w:rPr>
              <w:t xml:space="preserve">号公告</w:t>
            </w:r>
            <w:r>
              <w:rPr>
                <w:rFonts w:ascii="Times New Roman" w:hAnsi="Times New Roman" w:eastAsia="Times New Roman" w:cs="Times New Roman"/>
                <w:color w:val="000000"/>
                <w:sz w:val="24"/>
              </w:rPr>
              <w:t xml:space="preserve">-1-2006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21"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不得检出（判定限：</w:t>
            </w:r>
            <w:r>
              <w:rPr>
                <w:rFonts w:ascii="Times New Roman" w:hAnsi="Times New Roman" w:eastAsia="Times New Roman" w:cs="Times New Roman"/>
                <w:color w:val="000000"/>
                <w:sz w:val="24"/>
              </w:rPr>
              <w:t xml:space="preserve">1.0</w:t>
            </w:r>
            <w:r>
              <w:rPr>
                <w:rFonts w:ascii="FangSong" w:hAnsi="FangSong" w:eastAsia="FangSong" w:cs="FangSong"/>
                <w:color w:val="000000"/>
                <w:sz w:val="24"/>
              </w:rPr>
              <w:t xml:space="preserve">）（虾蟹类呋喃西林代谢物</w:t>
            </w:r>
            <w:r>
              <w:rPr>
                <w:rFonts w:ascii="Times New Roman" w:hAnsi="Times New Roman" w:eastAsia="Times New Roman" w:cs="Times New Roman"/>
                <w:color w:val="000000"/>
                <w:sz w:val="24"/>
              </w:rPr>
              <w:t xml:space="preserve">SEM</w:t>
            </w:r>
            <w:r>
              <w:rPr>
                <w:rFonts w:ascii="FangSong" w:hAnsi="FangSong" w:eastAsia="FangSong" w:cs="FangSong"/>
                <w:color w:val="000000"/>
                <w:sz w:val="24"/>
              </w:rPr>
              <w:t xml:space="preserve">不作判定）</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5"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地西泮（仅淡水鱼）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98"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SN/T3235-2012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21"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不得检出（判定限量值：</w:t>
            </w:r>
            <w:r>
              <w:rPr>
                <w:rFonts w:ascii="Times New Roman" w:hAnsi="Times New Roman" w:eastAsia="Times New Roman" w:cs="Times New Roman"/>
                <w:color w:val="000000"/>
                <w:sz w:val="24"/>
              </w:rPr>
              <w:t xml:space="preserve">0.5</w:t>
            </w:r>
            <w:r>
              <w:rPr>
                <w:rFonts w:ascii="FangSong" w:hAnsi="FangSong" w:eastAsia="FangSong" w:cs="FangSong"/>
                <w:color w:val="000000"/>
                <w:sz w:val="24"/>
              </w:rPr>
              <w:t xml:space="preserve">）</w:t>
            </w:r>
            <w:r/>
          </w:p>
        </w:tc>
      </w:tr>
      <w:tr>
        <w:trPr>
          <w:trHeight w:val="127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5"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酰胺醇类（氯霉素，甲砜霉素、氟苯尼考、氟苯尼考胺）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98"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GB/T 20756-2006</w:t>
            </w:r>
            <w:r>
              <w:rPr>
                <w:rFonts w:ascii="FangSong" w:hAnsi="FangSong" w:eastAsia="FangSong" w:cs="FangSong"/>
                <w:color w:val="000000"/>
                <w:sz w:val="24"/>
              </w:rPr>
              <w:t xml:space="preserve">、</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GB/T22338-2008</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SN/T 1865-2006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21"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氯霉素：不得检出（判定限：</w:t>
            </w:r>
            <w:r>
              <w:rPr>
                <w:rFonts w:ascii="Times New Roman" w:hAnsi="Times New Roman" w:eastAsia="Times New Roman" w:cs="Times New Roman"/>
                <w:color w:val="000000"/>
                <w:sz w:val="24"/>
              </w:rPr>
              <w:t xml:space="preserve">0.2</w:t>
            </w:r>
            <w:r>
              <w:rPr>
                <w:rFonts w:ascii="FangSong" w:hAnsi="FangSong" w:eastAsia="FangSong" w:cs="FangSong"/>
                <w:color w:val="000000"/>
                <w:sz w:val="24"/>
              </w:rPr>
              <w:t xml:space="preserve">）；甲砜霉素：</w:t>
            </w:r>
            <w:r>
              <w:rPr>
                <w:rFonts w:ascii="Times New Roman" w:hAnsi="Times New Roman" w:eastAsia="Times New Roman" w:cs="Times New Roman"/>
                <w:color w:val="000000"/>
                <w:sz w:val="24"/>
              </w:rPr>
              <w:t xml:space="preserve">50</w:t>
            </w:r>
            <w:r>
              <w:rPr>
                <w:rFonts w:ascii="FangSong" w:hAnsi="FangSong" w:eastAsia="FangSong" w:cs="FangSong"/>
                <w:color w:val="000000"/>
                <w:sz w:val="24"/>
              </w:rPr>
              <w:t xml:space="preserve">；氟苯尼考和氟苯尼考胺总量：</w:t>
            </w:r>
            <w:r>
              <w:rPr>
                <w:rFonts w:ascii="Times New Roman" w:hAnsi="Times New Roman" w:eastAsia="Times New Roman" w:cs="Times New Roman"/>
                <w:color w:val="000000"/>
                <w:sz w:val="24"/>
              </w:rPr>
              <w:t xml:space="preserve">1000</w:t>
            </w:r>
            <w:r/>
          </w:p>
        </w:tc>
      </w:tr>
      <w:tr>
        <w:trPr>
          <w:trHeight w:val="126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5"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氟喹诺酮类（诺氟沙星、氧氟沙星、培氟沙星、洛美沙星，恩诺沙星、环丙沙星）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98"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农业部</w:t>
            </w:r>
            <w:r>
              <w:rPr>
                <w:rFonts w:ascii="Times New Roman" w:hAnsi="Times New Roman" w:eastAsia="Times New Roman" w:cs="Times New Roman"/>
                <w:color w:val="000000"/>
                <w:sz w:val="24"/>
              </w:rPr>
              <w:t xml:space="preserve">1077</w:t>
            </w:r>
            <w:r>
              <w:rPr>
                <w:rFonts w:ascii="FangSong" w:hAnsi="FangSong" w:eastAsia="FangSong" w:cs="FangSong"/>
                <w:color w:val="000000"/>
                <w:sz w:val="24"/>
              </w:rPr>
              <w:t xml:space="preserve">号公告</w:t>
            </w:r>
            <w:r>
              <w:rPr>
                <w:rFonts w:ascii="Times New Roman" w:hAnsi="Times New Roman" w:eastAsia="Times New Roman" w:cs="Times New Roman"/>
                <w:color w:val="000000"/>
                <w:sz w:val="24"/>
              </w:rPr>
              <w:t xml:space="preserve">-1</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21"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诺氟沙星、氧氟沙星、培氟沙星、洛美沙星：食用动物中停止使用，不得检出（判定限：</w:t>
            </w:r>
            <w:r>
              <w:rPr>
                <w:rFonts w:ascii="Times New Roman" w:hAnsi="Times New Roman" w:eastAsia="Times New Roman" w:cs="Times New Roman"/>
                <w:color w:val="000000"/>
                <w:sz w:val="24"/>
              </w:rPr>
              <w:t xml:space="preserve">2.0</w:t>
            </w:r>
            <w:r>
              <w:rPr>
                <w:rFonts w:ascii="FangSong" w:hAnsi="FangSong" w:eastAsia="FangSong" w:cs="FangSong"/>
                <w:color w:val="000000"/>
                <w:sz w:val="24"/>
              </w:rPr>
              <w:t xml:space="preserve">）；恩诺沙星与环丙沙星之和：</w:t>
            </w:r>
            <w:r>
              <w:rPr>
                <w:rFonts w:ascii="Times New Roman" w:hAnsi="Times New Roman" w:eastAsia="Times New Roman" w:cs="Times New Roman"/>
                <w:color w:val="000000"/>
                <w:sz w:val="24"/>
              </w:rPr>
              <w:t xml:space="preserve">100</w:t>
            </w:r>
            <w:r/>
          </w:p>
        </w:tc>
      </w:tr>
      <w:tr>
        <w:trPr>
          <w:trHeight w:val="18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5"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磺胺类（磺胺嘧啶、磺胺二甲基嘧啶、磺胺甲基异噁唑、磺胺异噁唑、磺胺间二甲氧嘧啶、磺胺噻唑、磺胺甲基嘧啶、磺胺多辛、磺胺喹噁啉、磺胺间甲氧嘧啶、磺胺氯哒嗪、磺胺甲噻二唑，</w:t>
            </w:r>
            <w:r>
              <w:rPr>
                <w:rFonts w:ascii="FangSong" w:hAnsi="FangSong" w:eastAsia="FangSong" w:cs="FangSong"/>
                <w:b/>
                <w:color w:val="000000"/>
                <w:sz w:val="24"/>
              </w:rPr>
              <w:t xml:space="preserve">甲氧苄啶</w:t>
            </w: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98"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GB 29702-2013</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GB/T 21316-2007</w:t>
            </w:r>
            <w:r>
              <w:rPr>
                <w:rFonts w:ascii="FangSong" w:hAnsi="FangSong" w:eastAsia="FangSong" w:cs="FangSong"/>
                <w:color w:val="000000"/>
                <w:sz w:val="24"/>
              </w:rPr>
              <w:t xml:space="preserve">、农业部</w:t>
            </w:r>
            <w:r>
              <w:rPr>
                <w:rFonts w:ascii="Times New Roman" w:hAnsi="Times New Roman" w:eastAsia="Times New Roman" w:cs="Times New Roman"/>
                <w:color w:val="000000"/>
                <w:sz w:val="24"/>
              </w:rPr>
              <w:t xml:space="preserve">1077</w:t>
            </w:r>
            <w:r>
              <w:rPr>
                <w:rFonts w:ascii="FangSong" w:hAnsi="FangSong" w:eastAsia="FangSong" w:cs="FangSong"/>
                <w:color w:val="000000"/>
                <w:sz w:val="24"/>
              </w:rPr>
              <w:t xml:space="preserve">号公告</w:t>
            </w:r>
            <w:r>
              <w:rPr>
                <w:rFonts w:ascii="Times New Roman" w:hAnsi="Times New Roman" w:eastAsia="Times New Roman" w:cs="Times New Roman"/>
                <w:color w:val="000000"/>
                <w:sz w:val="24"/>
              </w:rPr>
              <w:t xml:space="preserve">-1-</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21"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磺胺类总量</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100</w:t>
            </w:r>
            <w:r>
              <w:rPr>
                <w:rFonts w:ascii="FangSong" w:hAnsi="FangSong" w:eastAsia="FangSong" w:cs="FangSong"/>
                <w:color w:val="000000"/>
                <w:sz w:val="24"/>
              </w:rPr>
              <w:t xml:space="preserve">；</w:t>
            </w:r>
            <w:r>
              <w:rPr>
                <w:rFonts w:ascii="FangSong" w:hAnsi="FangSong" w:eastAsia="FangSong" w:cs="FangSong"/>
                <w:b/>
                <w:color w:val="000000"/>
                <w:sz w:val="24"/>
              </w:rPr>
              <w:t xml:space="preserve">甲氧苄啶：</w:t>
            </w:r>
            <w:r>
              <w:rPr>
                <w:rFonts w:ascii="Times New Roman" w:hAnsi="Times New Roman" w:eastAsia="Times New Roman" w:cs="Times New Roman"/>
                <w:color w:val="000000"/>
                <w:sz w:val="24"/>
              </w:rPr>
              <w:t xml:space="preserve">50</w:t>
            </w:r>
            <w:r>
              <w:rPr>
                <w:rFonts w:ascii="FangSong" w:hAnsi="FangSong" w:eastAsia="FangSong" w:cs="FangSong"/>
                <w:color w:val="000000"/>
                <w:sz w:val="24"/>
              </w:rPr>
              <w:t xml:space="preserve">（牛蛙不作判定）</w:t>
            </w:r>
            <w:r/>
          </w:p>
        </w:tc>
      </w:tr>
      <w:tr>
        <w:trPr>
          <w:trHeight w:val="6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5"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四环素类（四环素、土霉素、金霉素、多西环素（强力霉素））</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98"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GB/T 21317-2007</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GB 31656.11-2021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21"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四环素、土霉素、金霉素</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200</w:t>
            </w:r>
            <w:r>
              <w:rPr>
                <w:rFonts w:ascii="FangSong" w:hAnsi="FangSong" w:eastAsia="FangSong" w:cs="FangSong"/>
                <w:color w:val="000000"/>
                <w:sz w:val="24"/>
              </w:rPr>
              <w:t xml:space="preserve">；多西环素</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100</w:t>
            </w:r>
            <w:r/>
          </w:p>
        </w:tc>
      </w:tr>
    </w:tbl>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2"/>
        </w:rPr>
        <w:t xml:space="preserve">注：国家现行有效方法也可以使用，但方法最低检出限必须满足判定依据限量值。</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0"/>
        </w:rPr>
        <w:t xml:space="preserve">2026</w:t>
      </w:r>
      <w:r>
        <w:rPr>
          <w:rFonts w:ascii="Arial" w:hAnsi="Arial" w:eastAsia="Arial" w:cs="Arial"/>
          <w:color w:val="000000"/>
          <w:sz w:val="40"/>
        </w:rPr>
        <w:t xml:space="preserve">年江苏省级农产品质量安全</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0"/>
        </w:rPr>
        <w:t xml:space="preserve">监督抽查检测方法和判定依据</w:t>
      </w:r>
      <w:r/>
    </w:p>
    <w:p>
      <w:pPr>
        <w:ind w:left="42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一、畜牧业产品</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32"/>
        <w:gridCol w:w="2602"/>
        <w:gridCol w:w="2394"/>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抽检参数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检测方法</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判定依据</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克伦特罗、沙丁胺醇、莱克多巴胺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2" w:type="dxa"/>
            <w:vAlign w:val="center"/>
            <w:vMerge w:val="restart"/>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国家现行有效的检测方法，但方法最低检出限必须满足判定依据限量值。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农业农村部公告第</w:t>
            </w:r>
            <w:r>
              <w:rPr>
                <w:rFonts w:ascii="Times New Roman" w:hAnsi="Times New Roman" w:eastAsia="Times New Roman" w:cs="Times New Roman"/>
                <w:color w:val="000000"/>
                <w:sz w:val="24"/>
              </w:rPr>
              <w:t xml:space="preserve">250</w:t>
            </w:r>
            <w:r>
              <w:rPr>
                <w:rFonts w:ascii="FangSong" w:hAnsi="FangSong" w:eastAsia="FangSong" w:cs="FangSong"/>
                <w:color w:val="000000"/>
                <w:sz w:val="24"/>
              </w:rPr>
              <w:t xml:space="preserve">号</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氯霉素、甲砜霉素、氟苯尼考和氟苯尼考胺</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农业农村部公告</w:t>
            </w: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第</w:t>
            </w:r>
            <w:r>
              <w:rPr>
                <w:rFonts w:ascii="Times New Roman" w:hAnsi="Times New Roman" w:eastAsia="Times New Roman" w:cs="Times New Roman"/>
                <w:color w:val="000000"/>
                <w:sz w:val="24"/>
              </w:rPr>
              <w:t xml:space="preserve">250</w:t>
            </w:r>
            <w:r>
              <w:rPr>
                <w:rFonts w:ascii="FangSong" w:hAnsi="FangSong" w:eastAsia="FangSong" w:cs="FangSong"/>
                <w:color w:val="000000"/>
                <w:sz w:val="24"/>
              </w:rPr>
              <w:t xml:space="preserve">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GB 31650- 2019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GB 31650.1-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2022</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恩诺沙星、环丙沙星、诺氟沙星、氧氟沙星、培氟沙星、洛美沙星、</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GB 31650- 2019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GB 31650.1- 2022</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金刚烷胺、利巴韦林</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农业农村部公告第</w:t>
            </w:r>
            <w:r>
              <w:rPr>
                <w:rFonts w:ascii="Times New Roman" w:hAnsi="Times New Roman" w:eastAsia="Times New Roman" w:cs="Times New Roman"/>
                <w:color w:val="000000"/>
                <w:sz w:val="24"/>
              </w:rPr>
              <w:t xml:space="preserve">560</w:t>
            </w:r>
            <w:r>
              <w:rPr>
                <w:rFonts w:ascii="FangSong" w:hAnsi="FangSong" w:eastAsia="FangSong" w:cs="FangSong"/>
                <w:color w:val="000000"/>
                <w:sz w:val="24"/>
              </w:rPr>
              <w:t xml:space="preserve">号</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硝基呋喃类代谢物（</w:t>
            </w:r>
            <w:r>
              <w:rPr>
                <w:rFonts w:ascii="Times New Roman" w:hAnsi="Times New Roman" w:eastAsia="Times New Roman" w:cs="Times New Roman"/>
                <w:color w:val="000000"/>
                <w:sz w:val="24"/>
              </w:rPr>
              <w:t xml:space="preserve">AOZ</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SEM</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AMOZ</w:t>
            </w:r>
            <w:r>
              <w:rPr>
                <w:rFonts w:ascii="FangSong" w:hAnsi="FangSong" w:eastAsia="FangSong" w:cs="FangSong"/>
                <w:color w:val="000000"/>
                <w:sz w:val="24"/>
              </w:rPr>
              <w:t xml:space="preserve">和</w:t>
            </w:r>
            <w:r>
              <w:rPr>
                <w:rFonts w:ascii="Times New Roman" w:hAnsi="Times New Roman" w:eastAsia="Times New Roman" w:cs="Times New Roman"/>
                <w:color w:val="000000"/>
                <w:sz w:val="24"/>
              </w:rPr>
              <w:t xml:space="preserve">AHD</w:t>
            </w:r>
            <w:r>
              <w:rPr>
                <w:rFonts w:ascii="FangSong" w:hAnsi="FangSong" w:eastAsia="FangSong" w:cs="FangSong"/>
                <w:color w:val="000000"/>
                <w:sz w:val="24"/>
              </w:rPr>
              <w:t xml:space="preserve">）</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农业农村部公告第</w:t>
            </w:r>
            <w:r>
              <w:rPr>
                <w:rFonts w:ascii="Times New Roman" w:hAnsi="Times New Roman" w:eastAsia="Times New Roman" w:cs="Times New Roman"/>
                <w:color w:val="000000"/>
                <w:sz w:val="24"/>
              </w:rPr>
              <w:t xml:space="preserve">250</w:t>
            </w:r>
            <w:r>
              <w:rPr>
                <w:rFonts w:ascii="FangSong" w:hAnsi="FangSong" w:eastAsia="FangSong" w:cs="FangSong"/>
                <w:color w:val="000000"/>
                <w:sz w:val="24"/>
              </w:rPr>
              <w:t xml:space="preserve">号</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多西环素、甲硝唑、地美硝唑</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GB 31650- 2019</w:t>
            </w:r>
            <w:r/>
          </w:p>
        </w:tc>
      </w:tr>
    </w:tbl>
    <w:p>
      <w:pPr>
        <w:ind w:left="212" w:right="0" w:firstLine="0"/>
        <w:spacing w:before="0" w:after="0" w:line="2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212" w:right="0" w:firstLine="0"/>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注：未规定具体限量值的检测参数按照方法定量限判定。</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二、水产品</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5"/>
        <w:gridCol w:w="2774"/>
        <w:gridCol w:w="2169"/>
        <w:gridCol w:w="1759"/>
      </w:tblGrid>
      <w:tr>
        <w:trPr>
          <w:trHeight w:val="8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抽检参数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检测方法</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判定值（</w:t>
            </w:r>
            <w:r>
              <w:rPr>
                <w:rFonts w:ascii="Times New Roman" w:hAnsi="Times New Roman" w:eastAsia="Times New Roman" w:cs="Times New Roman"/>
                <w:color w:val="000000"/>
                <w:sz w:val="24"/>
              </w:rPr>
              <w:t xml:space="preserve">µg/kg</w:t>
            </w:r>
            <w:r>
              <w:rPr>
                <w:rFonts w:ascii="SimHei" w:hAnsi="SimHei" w:eastAsia="SimHei" w:cs="SimHei"/>
                <w:color w:val="00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判定依据</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氯霉素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4"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GB/T 20756-2006</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GB/T 22338-2008</w:t>
            </w:r>
            <w:r>
              <w:rPr>
                <w:rFonts w:ascii="FangSong" w:hAnsi="FangSong" w:eastAsia="FangSong" w:cs="FangSong"/>
                <w:color w:val="000000"/>
                <w:sz w:val="24"/>
              </w:rPr>
              <w:t xml:space="preserve">、农业部</w:t>
            </w:r>
            <w:r>
              <w:rPr>
                <w:rFonts w:ascii="Times New Roman" w:hAnsi="Times New Roman" w:eastAsia="Times New Roman" w:cs="Times New Roman"/>
                <w:color w:val="000000"/>
                <w:sz w:val="24"/>
              </w:rPr>
              <w:t xml:space="preserve">781</w:t>
            </w:r>
            <w:r>
              <w:rPr>
                <w:rFonts w:ascii="FangSong" w:hAnsi="FangSong" w:eastAsia="FangSong" w:cs="FangSong"/>
                <w:color w:val="000000"/>
                <w:sz w:val="24"/>
              </w:rPr>
              <w:t xml:space="preserve">号公告</w:t>
            </w:r>
            <w:r>
              <w:rPr>
                <w:rFonts w:ascii="Times New Roman" w:hAnsi="Times New Roman" w:eastAsia="Times New Roman" w:cs="Times New Roman"/>
                <w:color w:val="000000"/>
                <w:sz w:val="24"/>
              </w:rPr>
              <w:t xml:space="preserve">-2-2006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不得检出</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判定值</w:t>
            </w:r>
            <w:r>
              <w:rPr>
                <w:rFonts w:ascii="Times New Roman" w:hAnsi="Times New Roman" w:eastAsia="Times New Roman" w:cs="Times New Roman"/>
                <w:color w:val="000000"/>
                <w:sz w:val="24"/>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农业农村部第</w:t>
            </w:r>
            <w:r>
              <w:rPr>
                <w:rFonts w:ascii="Times New Roman" w:hAnsi="Times New Roman" w:eastAsia="Times New Roman" w:cs="Times New Roman"/>
                <w:color w:val="000000"/>
                <w:sz w:val="24"/>
              </w:rPr>
              <w:t xml:space="preserve">250</w:t>
            </w:r>
            <w:r>
              <w:rPr>
                <w:rFonts w:ascii="FangSong" w:hAnsi="FangSong" w:eastAsia="FangSong" w:cs="FangSong"/>
                <w:color w:val="000000"/>
                <w:sz w:val="24"/>
              </w:rPr>
              <w:t xml:space="preserve">号公告</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孔雀石绿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4"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GB/T19857-2005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不得检出</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判定值有色孔雀石绿和无色孔雀石绿的总量</w:t>
            </w:r>
            <w:r>
              <w:rPr>
                <w:rFonts w:ascii="Times New Roman" w:hAnsi="Times New Roman" w:eastAsia="Times New Roman" w:cs="Times New Roma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农业农村部第</w:t>
            </w:r>
            <w:r>
              <w:rPr>
                <w:rFonts w:ascii="Times New Roman" w:hAnsi="Times New Roman" w:eastAsia="Times New Roman" w:cs="Times New Roman"/>
                <w:color w:val="000000"/>
                <w:sz w:val="24"/>
              </w:rPr>
              <w:t xml:space="preserve">250</w:t>
            </w:r>
            <w:r>
              <w:rPr>
                <w:rFonts w:ascii="FangSong" w:hAnsi="FangSong" w:eastAsia="FangSong" w:cs="FangSong"/>
                <w:color w:val="000000"/>
                <w:sz w:val="24"/>
              </w:rPr>
              <w:t xml:space="preserve">号公告</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硝基呋喃类代谢物</w:t>
            </w:r>
            <w:r>
              <w:rPr>
                <w:rFonts w:ascii="Times New Roman" w:hAnsi="Times New Roman" w:eastAsia="Times New Roman" w:cs="Times New Roman"/>
                <w:color w:val="000000"/>
                <w:sz w:val="24"/>
              </w:rPr>
              <w:t xml:space="preserve">(AOZ</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SEM</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AMOZ</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AHD)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4"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农业部</w:t>
            </w:r>
            <w:r>
              <w:rPr>
                <w:rFonts w:ascii="Times New Roman" w:hAnsi="Times New Roman" w:eastAsia="Times New Roman" w:cs="Times New Roman"/>
                <w:color w:val="000000"/>
                <w:sz w:val="24"/>
              </w:rPr>
              <w:t xml:space="preserve">783</w:t>
            </w:r>
            <w:r>
              <w:rPr>
                <w:rFonts w:ascii="FangSong" w:hAnsi="FangSong" w:eastAsia="FangSong" w:cs="FangSong"/>
                <w:color w:val="000000"/>
                <w:sz w:val="24"/>
              </w:rPr>
              <w:t xml:space="preserve">号公告</w:t>
            </w:r>
            <w:r>
              <w:rPr>
                <w:rFonts w:ascii="Times New Roman" w:hAnsi="Times New Roman" w:eastAsia="Times New Roman" w:cs="Times New Roman"/>
                <w:color w:val="000000"/>
                <w:sz w:val="24"/>
              </w:rPr>
              <w:t xml:space="preserve">-1-2006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不得检出</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判定值各为</w:t>
            </w:r>
            <w:r>
              <w:rPr>
                <w:rFonts w:ascii="Times New Roman" w:hAnsi="Times New Roman" w:eastAsia="Times New Roman" w:cs="Times New Roma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农业农村部第</w:t>
            </w:r>
            <w:r>
              <w:rPr>
                <w:rFonts w:ascii="Times New Roman" w:hAnsi="Times New Roman" w:eastAsia="Times New Roman" w:cs="Times New Roman"/>
                <w:color w:val="000000"/>
                <w:sz w:val="24"/>
              </w:rPr>
              <w:t xml:space="preserve">250</w:t>
            </w:r>
            <w:r>
              <w:rPr>
                <w:rFonts w:ascii="FangSong" w:hAnsi="FangSong" w:eastAsia="FangSong" w:cs="FangSong"/>
                <w:color w:val="000000"/>
                <w:sz w:val="24"/>
              </w:rPr>
              <w:t xml:space="preserve">号公告</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地西泮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4"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SN/T3235-2012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不得检出（判定限量值：</w:t>
            </w:r>
            <w:r>
              <w:rPr>
                <w:rFonts w:ascii="Times New Roman" w:hAnsi="Times New Roman" w:eastAsia="Times New Roman" w:cs="Times New Roman"/>
                <w:color w:val="000000"/>
                <w:sz w:val="24"/>
              </w:rPr>
              <w:t xml:space="preserve">0.5</w:t>
            </w: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GB 31650-2019</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诺氟沙星、氧氟沙星、培氟沙星、洛美沙星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4"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农业部</w:t>
            </w:r>
            <w:r>
              <w:rPr>
                <w:rFonts w:ascii="Times New Roman" w:hAnsi="Times New Roman" w:eastAsia="Times New Roman" w:cs="Times New Roman"/>
                <w:color w:val="000000"/>
                <w:sz w:val="24"/>
              </w:rPr>
              <w:t xml:space="preserve">1077</w:t>
            </w:r>
            <w:r>
              <w:rPr>
                <w:rFonts w:ascii="FangSong" w:hAnsi="FangSong" w:eastAsia="FangSong" w:cs="FangSong"/>
                <w:color w:val="000000"/>
                <w:sz w:val="24"/>
              </w:rPr>
              <w:t xml:space="preserve">号公告</w:t>
            </w:r>
            <w:r>
              <w:rPr>
                <w:rFonts w:ascii="Times New Roman" w:hAnsi="Times New Roman" w:eastAsia="Times New Roman" w:cs="Times New Roman"/>
                <w:color w:val="000000"/>
                <w:sz w:val="24"/>
              </w:rPr>
              <w:t xml:space="preserve">-1-2008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不得检出</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判定值各为</w:t>
            </w: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GB 31650.1-2022</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恩诺沙星和环丙沙星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4"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农业部</w:t>
            </w:r>
            <w:r>
              <w:rPr>
                <w:rFonts w:ascii="Times New Roman" w:hAnsi="Times New Roman" w:eastAsia="Times New Roman" w:cs="Times New Roman"/>
                <w:color w:val="000000"/>
                <w:sz w:val="24"/>
              </w:rPr>
              <w:t xml:space="preserve">1077</w:t>
            </w:r>
            <w:r>
              <w:rPr>
                <w:rFonts w:ascii="FangSong" w:hAnsi="FangSong" w:eastAsia="FangSong" w:cs="FangSong"/>
                <w:color w:val="000000"/>
                <w:sz w:val="24"/>
              </w:rPr>
              <w:t xml:space="preserve">号公告</w:t>
            </w:r>
            <w:r>
              <w:rPr>
                <w:rFonts w:ascii="Times New Roman" w:hAnsi="Times New Roman" w:eastAsia="Times New Roman" w:cs="Times New Roman"/>
                <w:color w:val="000000"/>
                <w:sz w:val="24"/>
              </w:rPr>
              <w:t xml:space="preserve">-1-2008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总量</w:t>
            </w: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GB 31650-2019</w:t>
            </w:r>
            <w:r/>
          </w:p>
        </w:tc>
      </w:tr>
    </w:tbl>
    <w:p>
      <w:pPr>
        <w:ind w:left="212" w:right="0" w:firstLine="0"/>
        <w:spacing w:before="0" w:after="0" w:line="2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212" w:right="0" w:firstLine="0"/>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虾蟹类呋喃西林代谢物</w:t>
      </w:r>
      <w:r>
        <w:rPr>
          <w:rFonts w:ascii="Times New Roman" w:hAnsi="Times New Roman" w:eastAsia="Times New Roman" w:cs="Times New Roman"/>
          <w:color w:val="000000"/>
          <w:sz w:val="24"/>
        </w:rPr>
        <w:t xml:space="preserve">SEM</w:t>
      </w:r>
      <w:r>
        <w:rPr>
          <w:rFonts w:ascii="FangSong" w:hAnsi="FangSong" w:eastAsia="FangSong" w:cs="FangSong"/>
          <w:color w:val="000000"/>
          <w:sz w:val="24"/>
        </w:rPr>
        <w:t xml:space="preserve">不作判定。</w:t>
      </w:r>
      <w:r/>
    </w:p>
    <w:p>
      <w:pPr>
        <w:ind w:left="210" w:right="0" w:firstLine="365"/>
        <w:spacing w:before="0" w:after="0" w:line="2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2.</w:t>
      </w:r>
      <w:r>
        <w:rPr>
          <w:rFonts w:ascii="FangSong" w:hAnsi="FangSong" w:eastAsia="FangSong" w:cs="FangSong"/>
          <w:color w:val="000000"/>
          <w:sz w:val="24"/>
        </w:rPr>
        <w:t xml:space="preserve">其中只有淡水鱼类检测地西泮。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3.</w:t>
      </w:r>
      <w:r>
        <w:rPr>
          <w:rFonts w:ascii="FangSong" w:hAnsi="FangSong" w:eastAsia="FangSong" w:cs="FangSong"/>
          <w:color w:val="000000"/>
          <w:sz w:val="24"/>
        </w:rPr>
        <w:t xml:space="preserve">国家现行有效方法也可以使用，但方法最低检出限必须满足判定依据限量值。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标段三：按照中国绿色食品发展中心产品检测标准进行检测。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具体参数可根据采购方实际需求适当调整。</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采购标的的数量、采购项目交付或者实施的时间和地点：</w:t>
      </w:r>
      <w:r>
        <w:rPr>
          <w:rFonts w:ascii="Times New Roman" w:hAnsi="Times New Roman" w:eastAsia="Times New Roman" w:cs="Times New Roman"/>
          <w:b/>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一：本级所有畜禽养殖场、屠宰场、农产品收储运经营主体、批发市场、校园餐直供主体等的当地生产量和消费量较大，能代表当地畜产品生产和消费基本情况的品种及重点问题农产品专项治理“鹌鹑蛋”及年度禽蛋兽药残留专项整治产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标段二：本级所有水产品养殖场、农产品收储运经营主体、批发市场、校园餐直供主体等的水产品，重点围绕重点问题农产品</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条鱼开展抽检。</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标段三：我市在有效期内的绿色食品、有机食品、绿优基地产品、名特优新农产品等。</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采购标的需满足的服务标准、期限、效率等要求：</w:t>
      </w:r>
      <w:r>
        <w:rPr>
          <w:rFonts w:ascii="Times New Roman" w:hAnsi="Times New Roman" w:eastAsia="Times New Roman" w:cs="Times New Roman"/>
          <w:b/>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中标供应商在每批次抽样后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日内提交检测报告，对阳性或不合格样品，应在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小时内通报采购单位，并在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个工作日内将书面检测报告送达采购单位，并将数据上传至江苏省农产品质量追溯平台。</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日前保质保量完成畜产品</w:t>
      </w:r>
      <w:r>
        <w:rPr>
          <w:rFonts w:ascii="Times New Roman" w:hAnsi="Times New Roman" w:eastAsia="Times New Roman" w:cs="Times New Roman"/>
          <w:color w:val="000000"/>
          <w:sz w:val="24"/>
        </w:rPr>
        <w:t xml:space="preserve">684</w:t>
      </w:r>
      <w:r>
        <w:rPr>
          <w:rFonts w:ascii="SimSun" w:hAnsi="SimSun" w:eastAsia="SimSun" w:cs="SimSun"/>
          <w:color w:val="000000"/>
          <w:sz w:val="24"/>
        </w:rPr>
        <w:t xml:space="preserve">批次（其中，风险监测</w:t>
      </w:r>
      <w:r>
        <w:rPr>
          <w:rFonts w:ascii="Times New Roman" w:hAnsi="Times New Roman" w:eastAsia="Times New Roman" w:cs="Times New Roman"/>
          <w:color w:val="000000"/>
          <w:sz w:val="24"/>
        </w:rPr>
        <w:t xml:space="preserve">513</w:t>
      </w:r>
      <w:r>
        <w:rPr>
          <w:rFonts w:ascii="SimSun" w:hAnsi="SimSun" w:eastAsia="SimSun" w:cs="SimSun"/>
          <w:color w:val="000000"/>
          <w:sz w:val="24"/>
        </w:rPr>
        <w:t xml:space="preserve">批次，监督抽检</w:t>
      </w: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批次）、水产品</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批次（其中，风险监测</w:t>
      </w:r>
      <w:r>
        <w:rPr>
          <w:rFonts w:ascii="Times New Roman" w:hAnsi="Times New Roman" w:eastAsia="Times New Roman" w:cs="Times New Roman"/>
          <w:color w:val="000000"/>
          <w:sz w:val="24"/>
        </w:rPr>
        <w:t xml:space="preserve">225</w:t>
      </w:r>
      <w:r>
        <w:rPr>
          <w:rFonts w:ascii="SimSun" w:hAnsi="SimSun" w:eastAsia="SimSun" w:cs="SimSun"/>
          <w:color w:val="000000"/>
          <w:sz w:val="24"/>
        </w:rPr>
        <w:t xml:space="preserve">批次，监督抽检</w:t>
      </w:r>
      <w:r>
        <w:rPr>
          <w:rFonts w:ascii="Times New Roman" w:hAnsi="Times New Roman" w:eastAsia="Times New Roman" w:cs="Times New Roman"/>
          <w:color w:val="000000"/>
          <w:sz w:val="24"/>
        </w:rPr>
        <w:t xml:space="preserve">75</w:t>
      </w:r>
      <w:r>
        <w:rPr>
          <w:rFonts w:ascii="SimSun" w:hAnsi="SimSun" w:eastAsia="SimSun" w:cs="SimSun"/>
          <w:color w:val="000000"/>
          <w:sz w:val="24"/>
        </w:rPr>
        <w:t xml:space="preserve">批次）、绿色食品</w:t>
      </w:r>
      <w:r>
        <w:rPr>
          <w:rFonts w:ascii="Times New Roman" w:hAnsi="Times New Roman" w:eastAsia="Times New Roman" w:cs="Times New Roman"/>
          <w:color w:val="000000"/>
          <w:sz w:val="24"/>
        </w:rPr>
        <w:t xml:space="preserve">116</w:t>
      </w:r>
      <w:r>
        <w:rPr>
          <w:rFonts w:ascii="SimSun" w:hAnsi="SimSun" w:eastAsia="SimSun" w:cs="SimSun"/>
          <w:color w:val="000000"/>
          <w:sz w:val="24"/>
        </w:rPr>
        <w:t xml:space="preserve">批次样品抽检任务，</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日前提交所抽检样品检测报告及电子档结果汇总表，并将数据上传至江苏省农产品质量追溯平台，</w:t>
      </w:r>
      <w:r>
        <w:rPr>
          <w:rFonts w:ascii="Times New Roman" w:hAnsi="Times New Roman" w:eastAsia="Times New Roman" w:cs="Times New Roman"/>
          <w:color w:val="000000"/>
          <w:sz w:val="24"/>
        </w:rPr>
        <w:t xml:space="preserve">2027</w:t>
      </w:r>
      <w:r>
        <w:rPr>
          <w:rFonts w:ascii="SimSun" w:hAnsi="SimSun" w:eastAsia="SimSun" w:cs="SimSun"/>
          <w:color w:val="000000"/>
          <w:sz w:val="24"/>
        </w:rPr>
        <w:t xml:space="preserve">年第一季度前完成剩余批次检测报告及电子档结果汇总表，并将数据上传至江苏省农产品质量追溯平台。</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采购标的的验收标准：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出具检测报告、平台上传截图、抽样现场图片影像、检测现场图片影像，不合格产品必须有复检报告及情况分析。</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采购标的的其他技术、服务等要求：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标段一畜禽产品：生鲜乳抽样按照原农业部《生鲜乳抽样方法》执行，其他畜禽产品参照《动物及动物产品兽药残留监控抽样规范》（</w:t>
      </w:r>
      <w:r>
        <w:rPr>
          <w:rFonts w:ascii="Times New Roman" w:hAnsi="Times New Roman" w:eastAsia="Times New Roman" w:cs="Times New Roman"/>
          <w:color w:val="000000"/>
          <w:sz w:val="24"/>
        </w:rPr>
        <w:t xml:space="preserve">NY/T 1897</w:t>
      </w:r>
      <w:r>
        <w:rPr>
          <w:rFonts w:ascii="SimSun" w:hAnsi="SimSun" w:eastAsia="SimSun" w:cs="SimSun"/>
          <w:color w:val="000000"/>
          <w:sz w:val="24"/>
        </w:rPr>
        <w:t xml:space="preserve">）及有关标准执行，样品均需冷冻保存。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标段二水产品：按《水产品抽样规范》（</w:t>
      </w:r>
      <w:r>
        <w:rPr>
          <w:rFonts w:ascii="Times New Roman" w:hAnsi="Times New Roman" w:eastAsia="Times New Roman" w:cs="Times New Roman"/>
          <w:color w:val="000000"/>
          <w:sz w:val="24"/>
        </w:rPr>
        <w:t xml:space="preserve">GB/T 30891</w:t>
      </w:r>
      <w:r>
        <w:rPr>
          <w:rFonts w:ascii="SimSun" w:hAnsi="SimSun" w:eastAsia="SimSun" w:cs="SimSun"/>
          <w:color w:val="000000"/>
          <w:sz w:val="24"/>
        </w:rPr>
        <w:t xml:space="preserve">）规定执行，样品需冷冻保存。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标段三绿色食品：按《绿色食品</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产品抽样准则》（</w:t>
      </w:r>
      <w:r>
        <w:rPr>
          <w:rFonts w:ascii="Times New Roman" w:hAnsi="Times New Roman" w:eastAsia="Times New Roman" w:cs="Times New Roman"/>
          <w:color w:val="000000"/>
          <w:sz w:val="24"/>
        </w:rPr>
        <w:t xml:space="preserve">NY/T 896-2015</w:t>
      </w:r>
      <w:r>
        <w:rPr>
          <w:rFonts w:ascii="SimSun" w:hAnsi="SimSun" w:eastAsia="SimSun" w:cs="SimSun"/>
          <w:color w:val="000000"/>
          <w:sz w:val="24"/>
        </w:rPr>
        <w:t xml:space="preserve">）执行。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包装要求：</w:t>
      </w: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7.2.1</w:t>
      </w:r>
      <w:r>
        <w:rPr>
          <w:rFonts w:ascii="SimSun" w:hAnsi="SimSun" w:eastAsia="SimSun" w:cs="SimSun"/>
          <w:color w:val="000000"/>
          <w:sz w:val="24"/>
        </w:rPr>
        <w:t xml:space="preserve">商品包装环保要求：应当按《关于印发〈商品包装政府采购需求标准（试行）〉、〈快递包装政府采购需求标准（试行）〉的通知》（财办库〔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号）文件执行。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）商品包装层数不得超过</w:t>
      </w:r>
      <w:r>
        <w:rPr>
          <w:rFonts w:ascii="Times New Roman" w:hAnsi="Times New Roman" w:eastAsia="Times New Roman" w:cs="Times New Roman"/>
          <w:color w:val="000000"/>
          <w:sz w:val="24"/>
        </w:rPr>
        <w:t xml:space="preserve"> 3 </w:t>
      </w:r>
      <w:r>
        <w:rPr>
          <w:rFonts w:ascii="SimSun" w:hAnsi="SimSun" w:eastAsia="SimSun" w:cs="SimSun"/>
          <w:color w:val="000000"/>
          <w:sz w:val="24"/>
        </w:rPr>
        <w:t xml:space="preserve">层，空隙率不大于</w:t>
      </w:r>
      <w:r>
        <w:rPr>
          <w:rFonts w:ascii="Times New Roman" w:hAnsi="Times New Roman" w:eastAsia="Times New Roman" w:cs="Times New Roman"/>
          <w:color w:val="000000"/>
          <w:sz w:val="24"/>
        </w:rPr>
        <w:t xml:space="preserve"> 40%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）商品包装尽可能使用单一材质的包装材料，如因功能需求必需使用不同材质，不同材质间应便于分离；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）商品包装中铅、汞、镉、六价铬的总含量应不大于</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）商品包装印刷使用的油墨中挥发性有机化合物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w:t>
      </w:r>
      <w:r>
        <w:rPr>
          <w:rFonts w:ascii="Times New Roman" w:hAnsi="Times New Roman" w:eastAsia="Times New Roman" w:cs="Times New Roman"/>
          <w:color w:val="000000"/>
          <w:sz w:val="24"/>
        </w:rPr>
        <w:t xml:space="preserve"> 5%</w:t>
      </w:r>
      <w:r>
        <w:rPr>
          <w:rFonts w:ascii="SimSun" w:hAnsi="SimSun" w:eastAsia="SimSun" w:cs="SimSun"/>
          <w:color w:val="000000"/>
          <w:sz w:val="24"/>
        </w:rPr>
        <w:t xml:space="preserve">（以重量计）；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）塑料材质商品包装上呈现的印刷颜色不得超过</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色；</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）纸质商品包装应使用</w:t>
      </w:r>
      <w:r>
        <w:rPr>
          <w:rFonts w:ascii="Times New Roman" w:hAnsi="Times New Roman" w:eastAsia="Times New Roman" w:cs="Times New Roman"/>
          <w:color w:val="000000"/>
          <w:sz w:val="24"/>
        </w:rPr>
        <w:t xml:space="preserve">75%</w:t>
      </w:r>
      <w:r>
        <w:rPr>
          <w:rFonts w:ascii="SimSun" w:hAnsi="SimSun" w:eastAsia="SimSun" w:cs="SimSun"/>
          <w:color w:val="000000"/>
          <w:sz w:val="24"/>
        </w:rPr>
        <w:t xml:space="preserve">以上的可再生纤维原料生产；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）木质商品包装的原料应来源于可持续性森林。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7.2.2</w:t>
      </w:r>
      <w:r>
        <w:rPr>
          <w:rFonts w:ascii="SimSun" w:hAnsi="SimSun" w:eastAsia="SimSun" w:cs="SimSun"/>
          <w:color w:val="000000"/>
          <w:sz w:val="24"/>
        </w:rPr>
        <w:t xml:space="preserve">快递包装环保要求：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）快递包装中重金属（铅、汞、镉、六价铬）总量应不大于</w:t>
      </w:r>
      <w:r>
        <w:rPr>
          <w:rFonts w:ascii="Times New Roman" w:hAnsi="Times New Roman" w:eastAsia="Times New Roman" w:cs="Times New Roman"/>
          <w:color w:val="000000"/>
          <w:sz w:val="24"/>
        </w:rPr>
        <w:t xml:space="preserve"> 100mg/kg</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）快递包装印刷使用的油墨中不应添加邻苯二甲酸酯，其挥发性有机化合物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）快递包装中使用纸基材的包装材料，纸基材中的有机氯的含量应不大于</w:t>
      </w:r>
      <w:r>
        <w:rPr>
          <w:rFonts w:ascii="Times New Roman" w:hAnsi="Times New Roman" w:eastAsia="Times New Roman" w:cs="Times New Roman"/>
          <w:color w:val="000000"/>
          <w:sz w:val="24"/>
        </w:rPr>
        <w:t xml:space="preserve"> 150 mg/kg</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）快递包装中使用塑料基材的包装材料不得使用邻苯二甲酸二异壬酯、邻苯二甲酸二正辛酯、邻苯二甲酸二</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己酯、邻苯二甲酸二异癸酯、邻苯二甲酸丁基苄基酯、邻苯二甲酸二丁酯等作为增塑剂；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）快递中使用的塑料包装袋不得使用聚氯乙烯作为原料，且原料应为单一材质制成，生物分解率大于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）快递中使用的充气类填充物不得使用聚氯乙烯作为</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原料，且原料为单一材质制成，生物分解率大于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）快递中使用的集装袋应为单一材质制成，其重复使用次数应不小于</w:t>
      </w:r>
      <w:r>
        <w:rPr>
          <w:rFonts w:ascii="Times New Roman" w:hAnsi="Times New Roman" w:eastAsia="Times New Roman" w:cs="Times New Roman"/>
          <w:color w:val="000000"/>
          <w:sz w:val="24"/>
        </w:rPr>
        <w:t xml:space="preserve"> 80 </w:t>
      </w:r>
      <w:r>
        <w:rPr>
          <w:rFonts w:ascii="SimSun" w:hAnsi="SimSun" w:eastAsia="SimSun" w:cs="SimSun"/>
          <w:color w:val="000000"/>
          <w:sz w:val="24"/>
        </w:rPr>
        <w:t xml:space="preserve">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）快递中应使用幅宽不大于</w:t>
      </w:r>
      <w:r>
        <w:rPr>
          <w:rFonts w:ascii="Times New Roman" w:hAnsi="Times New Roman" w:eastAsia="Times New Roman" w:cs="Times New Roman"/>
          <w:color w:val="000000"/>
          <w:sz w:val="24"/>
        </w:rPr>
        <w:t xml:space="preserve">45mm </w:t>
      </w:r>
      <w:r>
        <w:rPr>
          <w:rFonts w:ascii="SimSun" w:hAnsi="SimSun" w:eastAsia="SimSun" w:cs="SimSun"/>
          <w:color w:val="000000"/>
          <w:sz w:val="24"/>
        </w:rPr>
        <w:t xml:space="preserve">的生物降解胶带；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）快递包装中不得使用溶剂型胶粘剂；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）快递应使用电子面单；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）直接使用商品包装作为快递包装的商品，其商品包装满足《商品包装政府采购需求标准（试行）》即可；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）快递包装产品质量和封装方式应符合相关国家或行业标准技术指标要求。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w:t>
      </w:r>
      <w:r>
        <w:rPr>
          <w:rFonts w:ascii="SimSun" w:hAnsi="SimSun" w:eastAsia="SimSun" w:cs="SimSun"/>
          <w:color w:val="000000"/>
          <w:sz w:val="24"/>
        </w:rPr>
        <w:t xml:space="preserve">绿色数据中心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7.4</w:t>
      </w:r>
      <w:r>
        <w:rPr>
          <w:rFonts w:ascii="SimSun" w:hAnsi="SimSun" w:eastAsia="SimSun" w:cs="SimSun"/>
          <w:color w:val="000000"/>
          <w:sz w:val="24"/>
        </w:rPr>
        <w:t xml:space="preserve">低挥发性有机化合物产品：本项目中如有涉及涂料、胶黏剂、油墨、清洗剂等挥发性有机物产品的，属于强制性标准的，供应商应当执行国家和我省</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限制标准。供应商提供符合推荐性标准的涂料、胶黏剂、油墨、清洗剂等挥发性有机物产品的，予以评审优惠。在通用类货物、家具、印刷、公务车辆维修等采购项目中，供应商应优先使用低挥发性原辅材料，将使用低</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含量的涂料、胶黏剂等纳入合同条款。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7.5</w:t>
      </w:r>
      <w:r>
        <w:rPr>
          <w:rFonts w:ascii="SimSun" w:hAnsi="SimSun" w:eastAsia="SimSun" w:cs="SimSun"/>
          <w:color w:val="000000"/>
          <w:sz w:val="24"/>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7.6</w:t>
      </w:r>
      <w:r>
        <w:rPr>
          <w:rFonts w:ascii="SimSun" w:hAnsi="SimSun" w:eastAsia="SimSun" w:cs="SimSun"/>
          <w:color w:val="000000"/>
          <w:sz w:val="24"/>
        </w:rPr>
        <w:t xml:space="preserve">绿色低碳管理目标和服务要求：在物业、合同能源管理等服务类采购项目需求中，要强化绿色低碳管理目标和服务要求，促进绿色产品和服务推广应用。</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）非单一产品采购项目，采购标的中的核心产品：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年度农产品定量检测</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）本项目的主要标的：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标段一：畜禽产品</w:t>
      </w:r>
      <w:r>
        <w:rPr>
          <w:rFonts w:ascii="Times New Roman" w:hAnsi="Times New Roman" w:eastAsia="Times New Roman" w:cs="Times New Roman"/>
          <w:color w:val="000000"/>
          <w:sz w:val="24"/>
        </w:rPr>
        <w:t xml:space="preserve">700</w:t>
      </w:r>
      <w:r>
        <w:rPr>
          <w:rFonts w:ascii="SimSun" w:hAnsi="SimSun" w:eastAsia="SimSun" w:cs="SimSun"/>
          <w:color w:val="000000"/>
          <w:sz w:val="24"/>
        </w:rPr>
        <w:t xml:space="preserve">批次；标段二：水产品</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批次；标段三：绿色食品风险监测</w:t>
      </w:r>
      <w:r>
        <w:rPr>
          <w:rFonts w:ascii="Times New Roman" w:hAnsi="Times New Roman" w:eastAsia="Times New Roman" w:cs="Times New Roman"/>
          <w:color w:val="000000"/>
          <w:sz w:val="24"/>
        </w:rPr>
        <w:t xml:space="preserve">116</w:t>
      </w:r>
      <w:r>
        <w:rPr>
          <w:rFonts w:ascii="SimSun" w:hAnsi="SimSun" w:eastAsia="SimSun" w:cs="SimSun"/>
          <w:color w:val="000000"/>
          <w:sz w:val="24"/>
        </w:rPr>
        <w:t xml:space="preserve">批次。</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rPr>
          <w:rFonts w:ascii="SimSun" w:hAnsi="SimSun" w:eastAsia="SimSun" w:cs="SimSun"/>
          <w:b/>
          <w:color w:val="000000"/>
          <w:sz w:val="24"/>
          <w:u w:val="single"/>
        </w:rPr>
        <w:t xml:space="preserve">采购需求中必须满足的实质性要求</w:t>
      </w:r>
      <w:r>
        <w:rPr>
          <w:rFonts w:ascii="SimSun" w:hAnsi="SimSun" w:eastAsia="SimSun" w:cs="SimSun"/>
          <w:b/>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在每批次抽样后15日内提交检测报告，对阳性或不合格样品，应在2小时内通报采购单位，并在1个工作日内将书面检测报告送达采购单位，并将数据上传至江苏省农产品质量追溯平台。2026年12月1日前保质保量完成畜产品684批次（其中，风险监测513批次，监督抽检171批次）、水产品300批次（其中，风险监测225批次，监督抽检75批次）、绿色食品116批次样品抽检任务，2026年12月16日前提交所抽检样品检测报告及电子档结果汇总表，并将数据上传至江苏省农产品质量追溯平台，2027年第一季度前完成剩余批次检</w:t>
      </w:r>
      <w:r>
        <w:rPr>
          <w:rFonts w:ascii="SimSun" w:hAnsi="SimSun" w:eastAsia="SimSun" w:cs="SimSun"/>
          <w:color w:val="000000"/>
          <w:sz w:val="24"/>
        </w:rPr>
        <w:t xml:space="preserve">测报告及电子档结果汇总表，并将数据上传至江苏省农产品质量追溯平台。</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10.付款方式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合同签订后30日内支付预算金额30%的预付款；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在完成畜产品684批次（其中，风险监测513批次，监督抽检171批次）、水产品300批次（其中，风险监测225批次，监督抽检75批次）、绿色食品116批次检测任务，提交数据至省追溯平台，并出具具备法律效力检测报告给采购单位，三个月内，采购单位支付该批次检测费（扣除预付款后）给中标单位；剩余批次在2027年第一季度前完成，待剩余批次检测任务完成，提交数据至省追溯平台，并出具具备法律效力检测报告给采购单位，三个月内，采购单位支付剩余批次检测费给中标单位。</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11.1本项目免收履约保证金。</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12.合同条款（详见附件）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u w:val="none"/>
        </w:rPr>
        <w:t xml:space="preserve">第四章</w:t>
      </w:r>
      <w:r>
        <w:rPr>
          <w:rFonts w:ascii="SimHei" w:hAnsi="SimHei" w:eastAsia="SimHei" w:cs="SimHei"/>
          <w:color w:val="000000"/>
          <w:sz w:val="44"/>
        </w:rPr>
        <w:t xml:space="preserve">  响应文件格式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响应文件目录</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一、资格审查证明材料</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二、商务、技术标</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三、价格标</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四、其他资料（如有）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一、资格审查证明材料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1.供应商符合《政府采购法》第二十二条规定条件的承诺函（格式见附件1）；</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2.法定代表人身份证明书（格式见附件2）；</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3.法人授权书（格式见附件3）；</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4.谈判响应函（格式见附件4）</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4.采购公告中“二、申请人的资格要求”提供相应的佐证材料；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5.其它需要提交的资格审查证明材料。</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二、商务、技术标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1.商务部分正负偏离表；（格式见附件5）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2.技术部分正负偏离表；（格式见附件6）</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3.响应方案、货物（服务）清单。具有项目、数量、品牌、型号、配置性能等；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4.商务、技术评分标准中须提供的相关得分佐证材料；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5.供应商认为需要提交的其他商务、技术材料。</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三、价格标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Times New Roman" w:hAnsi="Times New Roman" w:eastAsia="Times New Roman" w:cs="Times New Roman"/>
          <w:color w:val="000000"/>
          <w:sz w:val="22"/>
        </w:rPr>
        <w:t xml:space="preserve"> </w:t>
      </w:r>
      <w:r>
        <w:rPr>
          <w:rFonts w:ascii="SimSun" w:hAnsi="SimSun" w:eastAsia="SimSun" w:cs="SimSun"/>
          <w:color w:val="000000"/>
          <w:sz w:val="24"/>
        </w:rPr>
        <w:t xml:space="preserve">报价总表（格式见附件7）；</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2.分项报价明细表（格式见附件8）。</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3.小型、微型企业声明函（如有）（格式见附件9）</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4.残疾人福利性单位声明函（如有）（格式见附件10）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5.监狱和戒毒企业证明材料（如有）（格式见附件11）</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SimSun" w:hAnsi="SimSun" w:eastAsia="SimSun" w:cs="SimSun"/>
          <w:color w:val="000000"/>
          <w:sz w:val="32"/>
        </w:rPr>
        <w:t xml:space="preserve">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供应商符合《政府采购法》第二十二条规定条件的声明函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（项目编号）采购活动。针对《中华人民共和国政府采购法》第二十二条规定做出如下声明：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SimSun" w:hAnsi="SimSun" w:eastAsia="SimSun" w:cs="SimSun"/>
          <w:color w:val="000000"/>
          <w:sz w:val="32"/>
        </w:rPr>
        <w:t xml:space="preserve">2</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法定代表人身份证明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先生/女士： 现任我单位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职务，为法定代表人，特此证明。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注：提供法定代表人的身份证复印件盖公章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SimSun" w:hAnsi="SimSun" w:eastAsia="SimSun" w:cs="SimSun"/>
          <w:color w:val="000000"/>
          <w:sz w:val="32"/>
        </w:rPr>
        <w:t xml:space="preserve">3</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JSZC-320685-NTHL-T2026-0004</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SimSun" w:hAnsi="SimSun" w:eastAsia="SimSun" w:cs="SimSun"/>
          <w:color w:val="000000"/>
          <w:sz w:val="32"/>
        </w:rPr>
        <w:t xml:space="preserve">4</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谈判响应函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致：海安市农业农村局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根据贵方的JSZC-320685-NTHL-T2026-0004谈判文件，正式授权下述签字人______(姓名)代表我方______________（供应商的名称），全权处理本次项目谈判的有关事宜。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1.按谈判文件规定的各项要求，向买方提供所需货物、服务（包含与货物相关的服务及与服务相关的货物）。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3.我们已详细审核全部谈判文件及其有效补充文件，我们知道必须放弃提出含糊不清或误解问题的权利。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4.我们同意从规定的开标日期起遵循本响应文件，并在规定的谈判有效期期满之前均具有约束力。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5.同意向贵方提供贵方可能另外要求的与谈判有关的任何证据或资料，并保证我方已提供和将要提供的文件是真实的、准确的。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6.一旦我方成交,我方将根据谈判文件的规定，严格履行合同的责任和义务,并保证在谈判文件规定的时间完成项目，交付买方验收、使用。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7.我方与本谈判有关的正式通讯地址为：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24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响应供应商全称(盖公章)：</w:t>
      </w:r>
      <w:r/>
    </w:p>
    <w:p>
      <w:pPr>
        <w:ind w:left="420" w:right="0" w:firstLine="24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SimSun" w:hAnsi="SimSun" w:eastAsia="SimSun" w:cs="SimSun"/>
          <w:color w:val="000000"/>
          <w:sz w:val="32"/>
        </w:rPr>
        <w:t xml:space="preserve">5</w:t>
      </w:r>
      <w:r/>
    </w:p>
    <w:p>
      <w:pPr>
        <w:ind w:left="0" w:right="0" w:firstLine="0"/>
        <w:jc w:val="cente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商务部分正负偏离表</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（由供应商据实填写，表格不够自行添加）</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
        <w:gridCol w:w="2350"/>
        <w:gridCol w:w="2050"/>
        <w:gridCol w:w="2650"/>
        <w:gridCol w:w="1452"/>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谈判文件要求的商务条款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1.供应商提交的响应文件中与谈判文件第三部分“项目需求”中的商务部分的要求，应逐条填列在偏离表中。</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“偏离说明”一栏选择“正偏离”、“无偏离”、“负偏离”进行填写。正偏离、无偏离的确认和负偏离的是否响应采购文件，由谈判小组认定。</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3.供应商如果虚假响应，将被暂停参加采购人组织政府采购活动。</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4.供应商若提供其他增值服务，可以在表中自行据实填写。</w:t>
      </w:r>
      <w:r/>
    </w:p>
    <w:p>
      <w:pPr>
        <w:ind w:left="0" w:right="0" w:firstLine="54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SimSun" w:hAnsi="SimSun" w:eastAsia="SimSun" w:cs="SimSun"/>
          <w:color w:val="000000"/>
          <w:sz w:val="32"/>
        </w:rPr>
        <w:t xml:space="preserve">6</w:t>
      </w:r>
      <w:r/>
    </w:p>
    <w:p>
      <w:pPr>
        <w:ind w:left="0" w:right="0" w:firstLine="0"/>
        <w:jc w:val="cente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技术部分正负偏离表</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（由供应商据实填写，表格不够自行添加）</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
        <w:gridCol w:w="2350"/>
        <w:gridCol w:w="2050"/>
        <w:gridCol w:w="2650"/>
        <w:gridCol w:w="1452"/>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谈判文件要求的技术要求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1.供应商提交的响应文件中与谈判文件第三部分“项目需求”中的技术部分的要求，应逐条填列在偏离表中。</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“偏离说明”一栏选择“正偏离”、“无偏离”、“负偏离”进行填写。正偏离、无偏离的确认和负偏离的是否响应采购文件，由谈判小组认定。</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3.供应商如果虚假响应，将被暂停参加采购人组织政府采购活动。</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4.供应商若提供其他增值服务，可以在表中自行据实填写。</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SimSun" w:hAnsi="SimSun" w:eastAsia="SimSun" w:cs="SimSun"/>
          <w:color w:val="000000"/>
          <w:sz w:val="32"/>
        </w:rPr>
        <w:t xml:space="preserve">7</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报价总表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供应商全称（加盖公章）：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分包号：</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24"/>
        <w:gridCol w:w="4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4"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谈判货物、服务名称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54"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谈判总报价</w:t>
            </w:r>
            <w:r/>
          </w:p>
        </w:tc>
      </w:tr>
      <w:tr>
        <w:trPr>
          <w:trHeight w:val="10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2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大写：</w:t>
              <w:br/>
              <w:t xml:space="preserve">小写：元（人民币）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2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主要货物、服务制造商及产地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2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核心产品品牌（如有）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1、报价总表必须加盖供应商公章（复印件无效）。</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2、如有分包，供应商投任何一个包的标的，都需单独填写报价总表。</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SimSun" w:hAnsi="SimSun" w:eastAsia="SimSun" w:cs="SimSun"/>
          <w:color w:val="000000"/>
          <w:sz w:val="32"/>
        </w:rPr>
        <w:t xml:space="preserve">8</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分项报价明细表（服务类）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供应商（盖章）：</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5"/>
        <w:gridCol w:w="1057"/>
        <w:gridCol w:w="1130"/>
        <w:gridCol w:w="1131"/>
        <w:gridCol w:w="1023"/>
        <w:gridCol w:w="1023"/>
        <w:gridCol w:w="700"/>
        <w:gridCol w:w="955"/>
      </w:tblGrid>
      <w:tr>
        <w:trPr>
          <w:trHeight w:val="6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服务范围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服务时间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10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 供应商须详细备注主要标的信息，并将随成交公告进行公示。内容不实的，属于提供虚假材料谋取中标、成交，依照《中华人民共和国政府采购法》等国家有关规定追究相应责任。</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9</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中小企业声明函（工程、服务）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本公司（联合体）郑重声明，根据《政府采购促进中小企业发展管理办法》（财库﹝</w:t>
      </w:r>
      <w:r>
        <w:rPr>
          <w:rFonts w:ascii="Times New Roman" w:hAnsi="Times New Roman" w:eastAsia="Times New Roman" w:cs="Times New Roman"/>
          <w:color w:val="000000"/>
          <w:sz w:val="28"/>
        </w:rPr>
        <w:t xml:space="preserve">2020</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46 </w:t>
      </w:r>
      <w:r>
        <w:rPr>
          <w:rFonts w:ascii="SimSun" w:hAnsi="SimSun" w:eastAsia="SimSun" w:cs="SimSun"/>
          <w:color w:val="000000"/>
          <w:sz w:val="28"/>
        </w:rPr>
        <w:t xml:space="preserve">号）的规定，本公司（联合体）参加</w:t>
      </w:r>
      <w:r>
        <w:rPr>
          <w:rFonts w:ascii="SimSun" w:hAnsi="SimSun" w:eastAsia="SimSun" w:cs="SimSun"/>
          <w:color w:val="000000"/>
          <w:sz w:val="28"/>
          <w:u w:val="single"/>
        </w:rPr>
        <w:t xml:space="preserve">（单位名称）</w:t>
      </w:r>
      <w:r>
        <w:rPr>
          <w:rFonts w:ascii="SimSun" w:hAnsi="SimSun" w:eastAsia="SimSun" w:cs="SimSun"/>
          <w:color w:val="000000"/>
          <w:sz w:val="28"/>
        </w:rPr>
        <w:t xml:space="preserve">的</w:t>
      </w:r>
      <w:r>
        <w:rPr>
          <w:rFonts w:ascii="SimSun" w:hAnsi="SimSun" w:eastAsia="SimSun" w:cs="SimSun"/>
          <w:color w:val="000000"/>
          <w:sz w:val="28"/>
          <w:u w:val="single"/>
        </w:rPr>
        <w:t xml:space="preserve">（项目名称）</w:t>
      </w:r>
      <w:r>
        <w:rPr>
          <w:rFonts w:ascii="SimSun" w:hAnsi="SimSun" w:eastAsia="SimSun" w:cs="SimSun"/>
          <w:color w:val="000000"/>
          <w:sz w:val="28"/>
        </w:rPr>
        <w:t xml:space="preserve">采购活动，工程的施工单位全部为符合政策要求的中小企业（或者：服务全部由符合政策要求的中小企业承接）。相关企业（含联合</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体中的中小企业、签订分包意向协议的中小企业）的具体情况如下：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u w:val="single"/>
        </w:rPr>
        <w:t xml:space="preserve">（标的名称）</w:t>
      </w:r>
      <w:r>
        <w:rPr>
          <w:rFonts w:ascii="SimSun" w:hAnsi="SimSun" w:eastAsia="SimSun" w:cs="SimSun"/>
          <w:color w:val="000000"/>
          <w:sz w:val="28"/>
        </w:rPr>
        <w:t xml:space="preserve">，属于（</w:t>
      </w:r>
      <w:r>
        <w:rPr>
          <w:rFonts w:ascii="SimSun" w:hAnsi="SimSun" w:eastAsia="SimSun" w:cs="SimSun"/>
          <w:color w:val="000000"/>
          <w:sz w:val="28"/>
          <w:u w:val="single"/>
        </w:rPr>
        <w:t xml:space="preserve">采购文件中明确的所属行业）</w:t>
      </w:r>
      <w:r>
        <w:rPr>
          <w:rFonts w:ascii="SimSun" w:hAnsi="SimSun" w:eastAsia="SimSun" w:cs="SimSun"/>
          <w:color w:val="000000"/>
          <w:sz w:val="28"/>
        </w:rPr>
        <w:t xml:space="preserve">；承建（承接）企业为</w:t>
      </w:r>
      <w:r>
        <w:rPr>
          <w:rFonts w:ascii="SimSun" w:hAnsi="SimSun" w:eastAsia="SimSun" w:cs="SimSun"/>
          <w:color w:val="000000"/>
          <w:sz w:val="28"/>
          <w:u w:val="single"/>
        </w:rPr>
        <w:t xml:space="preserve">（企业名称）</w:t>
      </w:r>
      <w:r>
        <w:rPr>
          <w:rFonts w:ascii="SimSun" w:hAnsi="SimSun" w:eastAsia="SimSun" w:cs="SimSun"/>
          <w:color w:val="000000"/>
          <w:sz w:val="28"/>
        </w:rPr>
        <w:t xml:space="preserve">，从业人员</w:t>
      </w:r>
      <w:r>
        <w:rPr>
          <w:rFonts w:ascii="Times New Roman" w:hAnsi="Times New Roman" w:eastAsia="Times New Roman" w:cs="Times New Roman"/>
          <w:color w:val="000000"/>
          <w:sz w:val="28"/>
          <w:u w:val="single"/>
        </w:rPr>
        <w:t xml:space="preserve"> </w:t>
        <w:tab/>
      </w:r>
      <w:r>
        <w:rPr>
          <w:rFonts w:ascii="SimSun" w:hAnsi="SimSun" w:eastAsia="SimSun" w:cs="SimSun"/>
          <w:color w:val="000000"/>
          <w:sz w:val="28"/>
        </w:rPr>
        <w:t xml:space="preserve">人，营业收入为</w:t>
      </w:r>
      <w:r>
        <w:rPr>
          <w:rFonts w:ascii="Times New Roman" w:hAnsi="Times New Roman" w:eastAsia="Times New Roman" w:cs="Times New Roman"/>
          <w:color w:val="000000"/>
          <w:sz w:val="28"/>
          <w:u w:val="single"/>
        </w:rPr>
        <w:t xml:space="preserve"> </w:t>
        <w:tab/>
      </w:r>
      <w:r>
        <w:rPr>
          <w:rFonts w:ascii="SimSun" w:hAnsi="SimSun" w:eastAsia="SimSun" w:cs="SimSun"/>
          <w:color w:val="000000"/>
          <w:sz w:val="28"/>
        </w:rPr>
        <w:t xml:space="preserve">万元，资产总额为</w:t>
      </w:r>
      <w:r>
        <w:rPr>
          <w:rFonts w:ascii="Times New Roman" w:hAnsi="Times New Roman" w:eastAsia="Times New Roman" w:cs="Times New Roman"/>
          <w:color w:val="000000"/>
          <w:sz w:val="28"/>
          <w:u w:val="single"/>
        </w:rPr>
        <w:t xml:space="preserve"> </w:t>
        <w:tab/>
      </w:r>
      <w:r>
        <w:rPr>
          <w:rFonts w:ascii="SimSun" w:hAnsi="SimSun" w:eastAsia="SimSun" w:cs="SimSun"/>
          <w:color w:val="000000"/>
          <w:sz w:val="28"/>
        </w:rPr>
        <w:t xml:space="preserve">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u w:val="single"/>
        </w:rPr>
        <w:t xml:space="preserve">（标的名称）</w:t>
      </w:r>
      <w:r>
        <w:rPr>
          <w:rFonts w:ascii="SimSun" w:hAnsi="SimSun" w:eastAsia="SimSun" w:cs="SimSun"/>
          <w:color w:val="000000"/>
          <w:sz w:val="28"/>
        </w:rPr>
        <w:t xml:space="preserve">，属于（</w:t>
      </w:r>
      <w:r>
        <w:rPr>
          <w:rFonts w:ascii="SimSun" w:hAnsi="SimSun" w:eastAsia="SimSun" w:cs="SimSun"/>
          <w:color w:val="000000"/>
          <w:sz w:val="28"/>
          <w:u w:val="single"/>
        </w:rPr>
        <w:t xml:space="preserve">采购文件中明确的所属行业）</w:t>
      </w:r>
      <w:r>
        <w:rPr>
          <w:rFonts w:ascii="SimSun" w:hAnsi="SimSun" w:eastAsia="SimSun" w:cs="SimSun"/>
          <w:color w:val="000000"/>
          <w:sz w:val="28"/>
        </w:rPr>
        <w:t xml:space="preserve">；承建（承接）企业为</w:t>
      </w:r>
      <w:r>
        <w:rPr>
          <w:rFonts w:ascii="SimSun" w:hAnsi="SimSun" w:eastAsia="SimSun" w:cs="SimSun"/>
          <w:color w:val="000000"/>
          <w:sz w:val="28"/>
          <w:u w:val="single"/>
        </w:rPr>
        <w:t xml:space="preserve">（企业名称）</w:t>
      </w:r>
      <w:r>
        <w:rPr>
          <w:rFonts w:ascii="SimSun" w:hAnsi="SimSun" w:eastAsia="SimSun" w:cs="SimSun"/>
          <w:color w:val="000000"/>
          <w:sz w:val="28"/>
        </w:rPr>
        <w:t xml:space="preserve">，从业人员</w:t>
      </w:r>
      <w:r>
        <w:rPr>
          <w:rFonts w:ascii="Times New Roman" w:hAnsi="Times New Roman" w:eastAsia="Times New Roman" w:cs="Times New Roman"/>
          <w:color w:val="000000"/>
          <w:sz w:val="28"/>
          <w:u w:val="single"/>
        </w:rPr>
        <w:t xml:space="preserve"> </w:t>
        <w:tab/>
      </w:r>
      <w:r>
        <w:rPr>
          <w:rFonts w:ascii="SimSun" w:hAnsi="SimSun" w:eastAsia="SimSun" w:cs="SimSun"/>
          <w:color w:val="000000"/>
          <w:sz w:val="28"/>
        </w:rPr>
        <w:t xml:space="preserve">人，营业收入为</w:t>
      </w:r>
      <w:r>
        <w:rPr>
          <w:rFonts w:ascii="Times New Roman" w:hAnsi="Times New Roman" w:eastAsia="Times New Roman" w:cs="Times New Roman"/>
          <w:color w:val="000000"/>
          <w:sz w:val="28"/>
          <w:u w:val="single"/>
        </w:rPr>
        <w:t xml:space="preserve"> </w:t>
        <w:tab/>
      </w:r>
      <w:r>
        <w:rPr>
          <w:rFonts w:ascii="SimSun" w:hAnsi="SimSun" w:eastAsia="SimSun" w:cs="SimSun"/>
          <w:color w:val="000000"/>
          <w:sz w:val="28"/>
        </w:rPr>
        <w:t xml:space="preserve">万元，资产总额为</w:t>
      </w:r>
      <w:r>
        <w:rPr>
          <w:rFonts w:ascii="Times New Roman" w:hAnsi="Times New Roman" w:eastAsia="Times New Roman" w:cs="Times New Roman"/>
          <w:color w:val="000000"/>
          <w:sz w:val="28"/>
          <w:u w:val="single"/>
        </w:rPr>
        <w:t xml:space="preserve"> </w:t>
        <w:tab/>
      </w:r>
      <w:r>
        <w:rPr>
          <w:rFonts w:ascii="SimSun" w:hAnsi="SimSun" w:eastAsia="SimSun" w:cs="SimSun"/>
          <w:color w:val="000000"/>
          <w:sz w:val="28"/>
        </w:rPr>
        <w:t xml:space="preserve">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本企业对上述声明内容的真实性负责。如有虚假，将依法承担相应责任。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注：1.如项目属性为“服务”或“工程”，请按本表填写。</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2.从业人员、营业收入、资产总额填报上一年度数据，无上一年度数据的新成立企业可不填报。</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right="0" w:firstLine="49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企业名称（盖章）：</w:t>
      </w:r>
      <w:r/>
    </w:p>
    <w:p>
      <w:pPr>
        <w:ind w:left="0" w:right="0" w:firstLine="49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10</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ascii="SimSun" w:hAnsi="SimSun" w:eastAsia="SimSun" w:cs="SimSun"/>
          <w:color w:val="000000"/>
          <w:sz w:val="28"/>
          <w:u w:val="single"/>
        </w:rPr>
        <w:t xml:space="preserve">       </w:t>
      </w:r>
      <w:r>
        <w:rPr>
          <w:rFonts w:ascii="SimSun" w:hAnsi="SimSun" w:eastAsia="SimSun" w:cs="SimSun"/>
          <w:color w:val="000000"/>
          <w:sz w:val="28"/>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本单位对上述声明的真实性负责。如有虚假，将依法承担相应责任。</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注：1、供应商如不提供此声明函，价格将不做相应扣除。</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left="0" w:right="0" w:firstLine="58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 </w:t>
      </w:r>
      <w:r/>
    </w:p>
    <w:p>
      <w:pPr>
        <w:ind w:left="0" w:right="1560" w:firstLine="58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             </w:t>
      </w:r>
      <w:r>
        <w:rPr>
          <w:rFonts w:ascii="SimSun" w:hAnsi="SimSun" w:eastAsia="SimSun" w:cs="SimSun"/>
          <w:color w:val="000000"/>
          <w:sz w:val="28"/>
        </w:rPr>
        <w:t xml:space="preserve">           供应商全称（盖章）：</w:t>
      </w:r>
      <w:r/>
    </w:p>
    <w:p>
      <w:pPr>
        <w:ind w:left="0" w:right="1560" w:firstLine="56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  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11</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监狱和戒毒企业证明材料</w:t>
      </w:r>
      <w:r/>
    </w:p>
    <w:p>
      <w:pPr>
        <w:ind w:left="0" w:right="0" w:firstLine="496"/>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98"/>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（格式自拟）</w:t>
      </w:r>
      <w:r/>
    </w:p>
    <w:p>
      <w:pPr>
        <w:ind w:left="0" w:right="0" w:firstLine="496"/>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61"/>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、供应商如不提供此声明函，价格将不做相应扣除。</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、成交供应商为监狱企业的，此声明函将随成交结果同时公告，</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接受社会监督。供应商按照本办法规定提供声明函内容不实的，属于</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提供虚假材料谋取中标、成交，依照《中华人民共和国政府采购法》</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等国家有关规定追究相应责任。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TXinwei" w:hAnsi="STXinwei" w:eastAsia="STXinwei" w:cs="STXinwei"/>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12</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13</w:t>
      </w:r>
      <w:r/>
    </w:p>
    <w:p>
      <w:pPr>
        <w:ind w:left="0" w:right="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各政府采购供应商：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欢迎贵公司参与南通市政府采购活动！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政府采购线上合同信用融资和履约保函（保险）是支持企业发展，针对参与政府采购活动的企业融资难、现金流不足等问题推出的一项服务举措。</w:t>
      </w:r>
      <w:r/>
    </w:p>
    <w:p>
      <w:pPr>
        <w:ind w:left="0" w:right="0" w:firstLine="64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ascii="Times New Roman" w:hAnsi="Times New Roman" w:eastAsia="Times New Roman" w:cs="Times New Roman"/>
          <w:color w:val="000000"/>
          <w:sz w:val="32"/>
        </w:rPr>
        <w:t xml:space="preserve">2023</w:t>
      </w:r>
      <w:r>
        <w:rPr>
          <w:rFonts w:ascii="FangSong" w:hAnsi="FangSong" w:eastAsia="FangSong" w:cs="FangSong"/>
          <w:color w:val="000000"/>
          <w:sz w:val="32"/>
        </w:rPr>
        <w:t xml:space="preserve">〕</w:t>
      </w:r>
      <w:r>
        <w:rPr>
          <w:rFonts w:ascii="Times New Roman" w:hAnsi="Times New Roman" w:eastAsia="Times New Roman" w:cs="Times New Roman"/>
          <w:color w:val="000000"/>
          <w:sz w:val="32"/>
        </w:rPr>
        <w:t xml:space="preserve">57</w:t>
      </w:r>
      <w:r>
        <w:rPr>
          <w:rFonts w:ascii="FangSong" w:hAnsi="FangSong" w:eastAsia="FangSong" w:cs="FangSong"/>
          <w:color w:val="000000"/>
          <w:sz w:val="32"/>
        </w:rPr>
        <w:t xml:space="preserve">号）和《关于深入开展南通市政府采购线上合同信用融资业务的通知》（通财购〔</w:t>
      </w:r>
      <w:r>
        <w:rPr>
          <w:rFonts w:ascii="Times New Roman" w:hAnsi="Times New Roman" w:eastAsia="Times New Roman" w:cs="Times New Roman"/>
          <w:color w:val="000000"/>
          <w:sz w:val="32"/>
        </w:rPr>
        <w:t xml:space="preserve">2022</w:t>
      </w:r>
      <w:r>
        <w:rPr>
          <w:rFonts w:ascii="FangSong" w:hAnsi="FangSong" w:eastAsia="FangSong" w:cs="FangSong"/>
          <w:color w:val="000000"/>
          <w:sz w:val="32"/>
        </w:rPr>
        <w:t xml:space="preserve">〕</w:t>
      </w:r>
      <w:r>
        <w:rPr>
          <w:rFonts w:ascii="Times New Roman" w:hAnsi="Times New Roman" w:eastAsia="Times New Roman" w:cs="Times New Roman"/>
          <w:color w:val="000000"/>
          <w:sz w:val="32"/>
        </w:rPr>
        <w:t xml:space="preserve">68</w:t>
      </w:r>
      <w:r>
        <w:rPr>
          <w:rFonts w:ascii="FangSong" w:hAnsi="FangSong" w:eastAsia="FangSong" w:cs="FangSong"/>
          <w:color w:val="000000"/>
          <w:sz w:val="32"/>
        </w:rPr>
        <w:t xml:space="preserve">号），按照双方自愿的原则提供便捷、优惠的服务。</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Xinwei">
    <w:panose1 w:val="02010800040101010101"/>
  </w:font>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４</w:t>
    </w:r>
    <w:r>
      <w:rPr>
        <w:rFonts w:ascii="宋体" w:hAnsi="宋体"/>
      </w:rPr>
      <w:fldChar w:fldCharType="end"/>
    </w:r>
    <w:r>
      <w:rPr>
        <w:rStyle w:val="944"/>
        <w:rFonts w:ascii="宋体" w:hAnsi="宋体"/>
      </w:rPr>
    </w:r>
    <w:r/>
  </w:p>
  <w:p>
    <w:pPr>
      <w:pStyle w:val="919"/>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0"/>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7"/>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1440" w:hanging="1440"/>
      </w:pPr>
      <w:rPr>
        <w:rFonts w:ascii="SimHei" w:hAnsi="SimHei" w:eastAsia="SimHei" w:cs="SimHei"/>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sz w:val="21"/>
      <w:szCs w:val="22"/>
      <w:lang w:val="en-US" w:eastAsia="zh-CN" w:bidi="ar-SA"/>
    </w:rPr>
  </w:style>
  <w:style w:type="paragraph" w:styleId="872">
    <w:name w:val="标题 1"/>
    <w:basedOn w:val="871"/>
    <w:next w:val="871"/>
    <w:link w:val="884"/>
    <w:qFormat/>
    <w:pPr>
      <w:jc w:val="center"/>
      <w:keepNext/>
      <w:outlineLvl w:val="0"/>
    </w:pPr>
    <w:rPr>
      <w:rFonts w:ascii="楷体_GB2312" w:eastAsia="楷体_GB2312"/>
      <w:sz w:val="28"/>
      <w:szCs w:val="28"/>
      <w:lang w:val="en-US" w:eastAsia="en-US"/>
    </w:rPr>
  </w:style>
  <w:style w:type="paragraph" w:styleId="873">
    <w:name w:val="标题 2"/>
    <w:basedOn w:val="871"/>
    <w:next w:val="886"/>
    <w:link w:val="88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74">
    <w:name w:val="标题 3"/>
    <w:basedOn w:val="871"/>
    <w:next w:val="886"/>
    <w:link w:val="888"/>
    <w:qFormat/>
    <w:pPr>
      <w:keepLines/>
      <w:keepNext/>
      <w:spacing w:before="260" w:after="260" w:line="416" w:lineRule="auto"/>
      <w:outlineLvl w:val="2"/>
    </w:pPr>
    <w:rPr>
      <w:b/>
      <w:bCs/>
      <w:sz w:val="32"/>
      <w:szCs w:val="32"/>
      <w:lang w:val="en-US" w:eastAsia="en-US"/>
    </w:rPr>
  </w:style>
  <w:style w:type="paragraph" w:styleId="875">
    <w:name w:val="标题 4"/>
    <w:basedOn w:val="871"/>
    <w:next w:val="886"/>
    <w:link w:val="889"/>
    <w:qFormat/>
    <w:pPr>
      <w:keepLines/>
      <w:keepNext/>
      <w:spacing w:before="280" w:after="290" w:line="376" w:lineRule="auto"/>
      <w:outlineLvl w:val="3"/>
    </w:pPr>
    <w:rPr>
      <w:rFonts w:ascii="Arial" w:hAnsi="Arial" w:eastAsia="黑体"/>
      <w:b/>
      <w:bCs/>
      <w:sz w:val="28"/>
      <w:szCs w:val="28"/>
      <w:lang w:val="en-US" w:eastAsia="en-US"/>
    </w:rPr>
  </w:style>
  <w:style w:type="paragraph" w:styleId="876">
    <w:name w:val="标题 5"/>
    <w:basedOn w:val="871"/>
    <w:next w:val="886"/>
    <w:link w:val="890"/>
    <w:qFormat/>
    <w:pPr>
      <w:keepNext/>
      <w:outlineLvl w:val="4"/>
    </w:pPr>
    <w:rPr>
      <w:rFonts w:ascii="宋体"/>
      <w:color w:val="000000"/>
      <w:sz w:val="28"/>
      <w:szCs w:val="28"/>
      <w:lang w:val="en-US" w:eastAsia="en-US"/>
    </w:rPr>
  </w:style>
  <w:style w:type="paragraph" w:styleId="877">
    <w:name w:val="标题 6"/>
    <w:basedOn w:val="871"/>
    <w:next w:val="871"/>
    <w:link w:val="89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78">
    <w:name w:val="标题 7"/>
    <w:basedOn w:val="871"/>
    <w:next w:val="871"/>
    <w:link w:val="892"/>
    <w:qFormat/>
    <w:pPr>
      <w:numPr>
        <w:ilvl w:val="6"/>
        <w:numId w:val="1"/>
      </w:numPr>
      <w:keepLines/>
      <w:keepNext/>
      <w:spacing w:before="240" w:after="64" w:line="320" w:lineRule="auto"/>
      <w:outlineLvl w:val="6"/>
    </w:pPr>
    <w:rPr>
      <w:b/>
      <w:bCs/>
      <w:sz w:val="24"/>
      <w:szCs w:val="24"/>
      <w:lang w:val="en-US" w:eastAsia="en-US"/>
    </w:rPr>
  </w:style>
  <w:style w:type="paragraph" w:styleId="879">
    <w:name w:val="标题 8"/>
    <w:basedOn w:val="871"/>
    <w:next w:val="871"/>
    <w:link w:val="893"/>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80">
    <w:name w:val="标题 9"/>
    <w:basedOn w:val="871"/>
    <w:next w:val="871"/>
    <w:link w:val="894"/>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numbering" w:styleId="883">
    <w:name w:val="无列表"/>
    <w:next w:val="883"/>
    <w:link w:val="871"/>
    <w:uiPriority w:val="99"/>
    <w:semiHidden/>
    <w:unhideWhenUsed/>
  </w:style>
  <w:style w:type="character" w:styleId="884">
    <w:name w:val="标题 1 Char"/>
    <w:next w:val="884"/>
    <w:link w:val="872"/>
    <w:rPr>
      <w:rFonts w:ascii="楷体_GB2312" w:hAnsi="Times New Roman" w:eastAsia="楷体_GB2312" w:cs="Times New Roman"/>
      <w:sz w:val="28"/>
      <w:szCs w:val="28"/>
    </w:rPr>
  </w:style>
  <w:style w:type="character" w:styleId="885">
    <w:name w:val="标题 2 Char"/>
    <w:next w:val="885"/>
    <w:link w:val="873"/>
    <w:rPr>
      <w:rFonts w:ascii="Arial" w:hAnsi="Arial" w:eastAsia="幼圆" w:cs="Arial"/>
      <w:b/>
      <w:bCs/>
      <w:sz w:val="44"/>
      <w:szCs w:val="44"/>
    </w:rPr>
  </w:style>
  <w:style w:type="paragraph" w:styleId="886">
    <w:name w:val="正文缩进"/>
    <w:basedOn w:val="871"/>
    <w:next w:val="886"/>
    <w:link w:val="887"/>
    <w:pPr>
      <w:ind w:firstLine="420"/>
    </w:pPr>
    <w:rPr>
      <w:sz w:val="20"/>
      <w:szCs w:val="21"/>
      <w:lang w:val="en-US" w:eastAsia="en-US"/>
    </w:rPr>
  </w:style>
  <w:style w:type="character" w:styleId="887">
    <w:name w:val="正文缩进 Char"/>
    <w:next w:val="887"/>
    <w:link w:val="886"/>
    <w:rPr>
      <w:szCs w:val="21"/>
    </w:rPr>
  </w:style>
  <w:style w:type="character" w:styleId="888">
    <w:name w:val="标题 3 Char"/>
    <w:next w:val="888"/>
    <w:link w:val="874"/>
    <w:rPr>
      <w:rFonts w:ascii="Times New Roman" w:hAnsi="Times New Roman" w:eastAsia="宋体" w:cs="Times New Roman"/>
      <w:b/>
      <w:bCs/>
      <w:sz w:val="32"/>
      <w:szCs w:val="32"/>
    </w:rPr>
  </w:style>
  <w:style w:type="character" w:styleId="889">
    <w:name w:val="标题 4 Char"/>
    <w:next w:val="889"/>
    <w:link w:val="875"/>
    <w:rPr>
      <w:rFonts w:ascii="Arial" w:hAnsi="Arial" w:eastAsia="黑体" w:cs="Arial"/>
      <w:b/>
      <w:bCs/>
      <w:sz w:val="28"/>
      <w:szCs w:val="28"/>
    </w:rPr>
  </w:style>
  <w:style w:type="character" w:styleId="890">
    <w:name w:val="标题 5 Char"/>
    <w:next w:val="890"/>
    <w:link w:val="876"/>
    <w:rPr>
      <w:rFonts w:ascii="宋体" w:hAnsi="Times New Roman" w:eastAsia="宋体" w:cs="Times New Roman"/>
      <w:color w:val="000000"/>
      <w:sz w:val="28"/>
      <w:szCs w:val="28"/>
    </w:rPr>
  </w:style>
  <w:style w:type="character" w:styleId="891">
    <w:name w:val="标题 6 Char"/>
    <w:next w:val="891"/>
    <w:link w:val="877"/>
    <w:rPr>
      <w:rFonts w:ascii="Arial" w:hAnsi="Arial" w:eastAsia="黑体" w:cs="Times New Roman"/>
      <w:b/>
      <w:bCs/>
      <w:sz w:val="24"/>
      <w:szCs w:val="24"/>
    </w:rPr>
  </w:style>
  <w:style w:type="character" w:styleId="892">
    <w:name w:val="标题 7 Char"/>
    <w:next w:val="892"/>
    <w:link w:val="878"/>
    <w:rPr>
      <w:rFonts w:ascii="Times New Roman" w:hAnsi="Times New Roman" w:eastAsia="宋体" w:cs="Times New Roman"/>
      <w:b/>
      <w:bCs/>
      <w:sz w:val="24"/>
      <w:szCs w:val="24"/>
    </w:rPr>
  </w:style>
  <w:style w:type="character" w:styleId="893">
    <w:name w:val="标题 8 Char"/>
    <w:next w:val="893"/>
    <w:link w:val="879"/>
    <w:rPr>
      <w:rFonts w:ascii="Arial" w:hAnsi="Arial" w:eastAsia="黑体" w:cs="Times New Roman"/>
      <w:sz w:val="24"/>
      <w:szCs w:val="24"/>
    </w:rPr>
  </w:style>
  <w:style w:type="character" w:styleId="894">
    <w:name w:val="标题 9 Char"/>
    <w:next w:val="894"/>
    <w:link w:val="880"/>
    <w:rPr>
      <w:rFonts w:ascii="Arial" w:hAnsi="Arial" w:eastAsia="黑体" w:cs="Times New Roman"/>
      <w:szCs w:val="21"/>
    </w:rPr>
  </w:style>
  <w:style w:type="paragraph" w:styleId="895">
    <w:name w:val="列表 3"/>
    <w:basedOn w:val="871"/>
    <w:next w:val="895"/>
    <w:link w:val="871"/>
    <w:pPr>
      <w:ind w:left="100" w:hanging="200"/>
    </w:pPr>
    <w:rPr>
      <w:rFonts w:ascii="Times New Roman" w:hAnsi="Times New Roman" w:eastAsia="宋体" w:cs="Times New Roman"/>
      <w:szCs w:val="21"/>
    </w:rPr>
  </w:style>
  <w:style w:type="paragraph" w:styleId="896">
    <w:name w:val="目录 7"/>
    <w:basedOn w:val="871"/>
    <w:next w:val="871"/>
    <w:link w:val="871"/>
    <w:semiHidden/>
    <w:pPr>
      <w:ind w:left="1260"/>
      <w:jc w:val="left"/>
    </w:pPr>
    <w:rPr>
      <w:rFonts w:ascii="Times New Roman" w:hAnsi="Times New Roman" w:eastAsia="宋体" w:cs="Times New Roman"/>
      <w:szCs w:val="21"/>
    </w:rPr>
  </w:style>
  <w:style w:type="paragraph" w:styleId="897">
    <w:name w:val="文档结构图"/>
    <w:basedOn w:val="871"/>
    <w:next w:val="897"/>
    <w:link w:val="898"/>
    <w:semiHidden/>
    <w:pPr>
      <w:shd w:val="clear" w:color="auto" w:fill="000080"/>
    </w:pPr>
    <w:rPr>
      <w:sz w:val="20"/>
      <w:szCs w:val="21"/>
      <w:lang w:val="en-US" w:eastAsia="en-US"/>
    </w:rPr>
  </w:style>
  <w:style w:type="character" w:styleId="898">
    <w:name w:val="文档结构图 Char"/>
    <w:next w:val="898"/>
    <w:link w:val="897"/>
    <w:semiHidden/>
    <w:rPr>
      <w:rFonts w:ascii="Times New Roman" w:hAnsi="Times New Roman" w:eastAsia="宋体" w:cs="Times New Roman"/>
      <w:szCs w:val="21"/>
      <w:shd w:val="clear" w:color="auto" w:fill="000080"/>
    </w:rPr>
  </w:style>
  <w:style w:type="paragraph" w:styleId="899">
    <w:name w:val="批注文字"/>
    <w:basedOn w:val="871"/>
    <w:next w:val="899"/>
    <w:link w:val="900"/>
    <w:uiPriority w:val="99"/>
    <w:unhideWhenUsed/>
    <w:pPr>
      <w:jc w:val="left"/>
    </w:pPr>
  </w:style>
  <w:style w:type="character" w:styleId="900">
    <w:name w:val="批注文字 Char"/>
    <w:next w:val="900"/>
    <w:link w:val="899"/>
    <w:uiPriority w:val="99"/>
    <w:semiHidden/>
  </w:style>
  <w:style w:type="paragraph" w:styleId="901">
    <w:name w:val="正文文本 3"/>
    <w:basedOn w:val="871"/>
    <w:next w:val="901"/>
    <w:link w:val="902"/>
    <w:rPr>
      <w:rFonts w:ascii="仿宋_GB2312" w:hAnsi="Arial" w:eastAsia="仿宋_GB2312"/>
      <w:sz w:val="32"/>
      <w:szCs w:val="32"/>
      <w:lang w:val="en-US" w:eastAsia="en-US"/>
    </w:rPr>
  </w:style>
  <w:style w:type="character" w:styleId="902">
    <w:name w:val="正文文本 3 Char"/>
    <w:next w:val="902"/>
    <w:link w:val="901"/>
    <w:rPr>
      <w:rFonts w:ascii="仿宋_GB2312" w:hAnsi="Arial" w:eastAsia="仿宋_GB2312" w:cs="Times New Roman"/>
      <w:sz w:val="32"/>
      <w:szCs w:val="32"/>
    </w:rPr>
  </w:style>
  <w:style w:type="paragraph" w:styleId="903">
    <w:name w:val="正文文本"/>
    <w:basedOn w:val="871"/>
    <w:next w:val="903"/>
    <w:link w:val="904"/>
    <w:rPr>
      <w:rFonts w:ascii="楷体_GB2312" w:hAnsi="Arial" w:eastAsia="楷体_GB2312"/>
      <w:sz w:val="28"/>
      <w:szCs w:val="28"/>
      <w:lang w:val="en-US" w:eastAsia="en-US"/>
    </w:rPr>
  </w:style>
  <w:style w:type="character" w:styleId="904">
    <w:name w:val="正文文本 Char"/>
    <w:next w:val="904"/>
    <w:link w:val="903"/>
    <w:rPr>
      <w:rFonts w:ascii="楷体_GB2312" w:hAnsi="Arial" w:eastAsia="楷体_GB2312" w:cs="Times New Roman"/>
      <w:sz w:val="28"/>
      <w:szCs w:val="28"/>
    </w:rPr>
  </w:style>
  <w:style w:type="paragraph" w:styleId="905">
    <w:name w:val="正文文本缩进"/>
    <w:basedOn w:val="871"/>
    <w:next w:val="905"/>
    <w:link w:val="906"/>
    <w:uiPriority w:val="99"/>
    <w:unhideWhenUsed/>
    <w:pPr>
      <w:ind w:left="420"/>
      <w:spacing w:after="120"/>
    </w:pPr>
  </w:style>
  <w:style w:type="character" w:styleId="906">
    <w:name w:val="正文文本缩进 Char"/>
    <w:next w:val="906"/>
    <w:link w:val="905"/>
    <w:uiPriority w:val="99"/>
    <w:semiHidden/>
  </w:style>
  <w:style w:type="paragraph" w:styleId="907">
    <w:name w:val="列表 2"/>
    <w:basedOn w:val="871"/>
    <w:next w:val="907"/>
    <w:link w:val="871"/>
    <w:pPr>
      <w:ind w:left="100" w:hanging="200"/>
    </w:pPr>
    <w:rPr>
      <w:rFonts w:ascii="Times New Roman" w:hAnsi="Times New Roman" w:eastAsia="宋体" w:cs="Times New Roman"/>
      <w:szCs w:val="21"/>
    </w:rPr>
  </w:style>
  <w:style w:type="paragraph" w:styleId="908">
    <w:name w:val="目录 5"/>
    <w:basedOn w:val="871"/>
    <w:next w:val="871"/>
    <w:link w:val="871"/>
    <w:semiHidden/>
    <w:pPr>
      <w:ind w:left="840"/>
      <w:jc w:val="left"/>
    </w:pPr>
    <w:rPr>
      <w:rFonts w:ascii="Times New Roman" w:hAnsi="Times New Roman" w:eastAsia="宋体" w:cs="Times New Roman"/>
      <w:szCs w:val="21"/>
    </w:rPr>
  </w:style>
  <w:style w:type="paragraph" w:styleId="909">
    <w:name w:val="目录 3"/>
    <w:basedOn w:val="871"/>
    <w:next w:val="871"/>
    <w:link w:val="871"/>
    <w:semiHidden/>
    <w:pPr>
      <w:ind w:left="420"/>
      <w:jc w:val="left"/>
    </w:pPr>
    <w:rPr>
      <w:rFonts w:ascii="Times New Roman" w:hAnsi="Times New Roman" w:eastAsia="宋体" w:cs="Times New Roman"/>
      <w:i/>
      <w:iCs/>
      <w:szCs w:val="24"/>
    </w:rPr>
  </w:style>
  <w:style w:type="paragraph" w:styleId="910">
    <w:name w:val="纯文本"/>
    <w:basedOn w:val="871"/>
    <w:next w:val="910"/>
    <w:link w:val="911"/>
    <w:rPr>
      <w:rFonts w:ascii="宋体" w:hAnsi="Courier New"/>
      <w:sz w:val="20"/>
      <w:szCs w:val="21"/>
      <w:lang w:val="en-US" w:eastAsia="en-US"/>
    </w:rPr>
  </w:style>
  <w:style w:type="character" w:styleId="911">
    <w:name w:val="纯文本 Char"/>
    <w:next w:val="911"/>
    <w:link w:val="910"/>
    <w:rPr>
      <w:rFonts w:ascii="宋体" w:hAnsi="Courier New" w:eastAsia="宋体" w:cs="Courier New"/>
      <w:szCs w:val="21"/>
    </w:rPr>
  </w:style>
  <w:style w:type="paragraph" w:styleId="912">
    <w:name w:val="目录 8"/>
    <w:basedOn w:val="871"/>
    <w:next w:val="871"/>
    <w:link w:val="871"/>
    <w:semiHidden/>
    <w:pPr>
      <w:ind w:left="1470"/>
      <w:jc w:val="left"/>
    </w:pPr>
    <w:rPr>
      <w:rFonts w:ascii="Times New Roman" w:hAnsi="Times New Roman" w:eastAsia="宋体" w:cs="Times New Roman"/>
      <w:szCs w:val="21"/>
    </w:rPr>
  </w:style>
  <w:style w:type="paragraph" w:styleId="913">
    <w:name w:val="日期"/>
    <w:basedOn w:val="871"/>
    <w:next w:val="871"/>
    <w:link w:val="914"/>
    <w:rPr>
      <w:sz w:val="24"/>
      <w:szCs w:val="24"/>
      <w:lang w:val="en-US" w:eastAsia="en-US"/>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71"/>
    <w:next w:val="915"/>
    <w:link w:val="916"/>
    <w:pPr>
      <w:ind w:left="630" w:firstLine="645"/>
    </w:pPr>
    <w:rPr>
      <w:rFonts w:ascii="Arial" w:hAnsi="Arial" w:eastAsia="仿宋_GB2312"/>
      <w:sz w:val="32"/>
      <w:szCs w:val="32"/>
      <w:lang w:val="en-US" w:eastAsia="en-US"/>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71"/>
    <w:next w:val="917"/>
    <w:link w:val="918"/>
    <w:semiHidden/>
    <w:rPr>
      <w:sz w:val="18"/>
      <w:szCs w:val="18"/>
      <w:lang w:val="en-US" w:eastAsia="en-US"/>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71"/>
    <w:next w:val="919"/>
    <w:link w:val="920"/>
    <w:pPr>
      <w:jc w:val="left"/>
      <w:tabs>
        <w:tab w:val="center" w:pos="4153" w:leader="none"/>
        <w:tab w:val="right" w:pos="8306" w:leader="none"/>
      </w:tabs>
    </w:pPr>
    <w:rPr>
      <w:sz w:val="18"/>
      <w:szCs w:val="18"/>
      <w:lang w:val="en-US" w:eastAsia="en-US"/>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71"/>
    <w:next w:val="921"/>
    <w:link w:val="922"/>
    <w:pPr>
      <w:jc w:val="center"/>
      <w:tabs>
        <w:tab w:val="center" w:pos="4153" w:leader="none"/>
        <w:tab w:val="right" w:pos="8306" w:leader="none"/>
      </w:tabs>
      <w:pBdr>
        <w:bottom w:val="single" w:color="000000" w:sz="6" w:space="1"/>
      </w:pBdr>
    </w:pPr>
    <w:rPr>
      <w:sz w:val="18"/>
      <w:szCs w:val="18"/>
      <w:lang w:val="en-US" w:eastAsia="en-US"/>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71"/>
    <w:next w:val="871"/>
    <w:link w:val="871"/>
    <w:semiHidden/>
    <w:pPr>
      <w:ind w:left="630"/>
      <w:jc w:val="left"/>
    </w:pPr>
    <w:rPr>
      <w:rFonts w:ascii="Times New Roman" w:hAnsi="Times New Roman" w:eastAsia="宋体" w:cs="Times New Roman"/>
      <w:szCs w:val="21"/>
    </w:rPr>
  </w:style>
  <w:style w:type="paragraph" w:styleId="925">
    <w:name w:val="列表"/>
    <w:basedOn w:val="871"/>
    <w:next w:val="925"/>
    <w:link w:val="871"/>
    <w:pPr>
      <w:ind w:left="200" w:hanging="200"/>
    </w:pPr>
    <w:rPr>
      <w:rFonts w:ascii="Times New Roman" w:hAnsi="Times New Roman" w:eastAsia="宋体" w:cs="Times New Roman"/>
      <w:szCs w:val="21"/>
    </w:rPr>
  </w:style>
  <w:style w:type="paragraph" w:styleId="926">
    <w:name w:val="目录 6"/>
    <w:basedOn w:val="871"/>
    <w:next w:val="871"/>
    <w:link w:val="871"/>
    <w:semiHidden/>
    <w:pPr>
      <w:ind w:left="1050"/>
      <w:jc w:val="left"/>
    </w:pPr>
    <w:rPr>
      <w:rFonts w:ascii="Times New Roman" w:hAnsi="Times New Roman" w:eastAsia="宋体" w:cs="Times New Roman"/>
      <w:szCs w:val="21"/>
    </w:rPr>
  </w:style>
  <w:style w:type="paragraph" w:styleId="927">
    <w:name w:val="正文文本缩进 3"/>
    <w:basedOn w:val="871"/>
    <w:next w:val="927"/>
    <w:link w:val="928"/>
    <w:pPr>
      <w:ind w:left="645" w:firstLine="645"/>
    </w:pPr>
    <w:rPr>
      <w:rFonts w:ascii="Arial" w:hAnsi="Arial" w:eastAsia="仿宋_GB2312"/>
      <w:color w:val="ffff00"/>
      <w:sz w:val="32"/>
      <w:szCs w:val="32"/>
      <w:lang w:val="en-US" w:eastAsia="en-US"/>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71"/>
    <w:next w:val="871"/>
    <w:link w:val="871"/>
    <w:semiHidden/>
    <w:pPr>
      <w:ind w:left="840" w:hanging="420"/>
    </w:pPr>
    <w:rPr>
      <w:rFonts w:ascii="Times New Roman" w:hAnsi="Times New Roman" w:eastAsia="宋体" w:cs="Times New Roman"/>
      <w:szCs w:val="21"/>
    </w:rPr>
  </w:style>
  <w:style w:type="paragraph" w:styleId="930">
    <w:name w:val="目录 2"/>
    <w:basedOn w:val="871"/>
    <w:next w:val="871"/>
    <w:link w:val="871"/>
    <w:semiHidden/>
    <w:pPr>
      <w:ind w:left="210"/>
      <w:jc w:val="left"/>
    </w:pPr>
    <w:rPr>
      <w:rFonts w:ascii="Times New Roman" w:hAnsi="Times New Roman" w:eastAsia="宋体" w:cs="Times New Roman"/>
      <w:smallCaps/>
      <w:szCs w:val="24"/>
    </w:rPr>
  </w:style>
  <w:style w:type="paragraph" w:styleId="931">
    <w:name w:val="目录 9"/>
    <w:basedOn w:val="871"/>
    <w:next w:val="871"/>
    <w:link w:val="871"/>
    <w:semiHidden/>
    <w:pPr>
      <w:ind w:left="1680"/>
      <w:jc w:val="left"/>
    </w:pPr>
    <w:rPr>
      <w:rFonts w:ascii="Times New Roman" w:hAnsi="Times New Roman" w:eastAsia="宋体" w:cs="Times New Roman"/>
      <w:szCs w:val="21"/>
    </w:rPr>
  </w:style>
  <w:style w:type="paragraph" w:styleId="932">
    <w:name w:val="正文文本 2"/>
    <w:basedOn w:val="871"/>
    <w:next w:val="932"/>
    <w:link w:val="933"/>
    <w:pPr>
      <w:jc w:val="center"/>
      <w:widowControl/>
    </w:pPr>
    <w:rPr>
      <w:rFonts w:ascii="楷体_GB2312" w:eastAsia="楷体_GB2312"/>
      <w:sz w:val="28"/>
      <w:szCs w:val="28"/>
      <w:lang w:val="en-US" w:eastAsia="en-US"/>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71"/>
    <w:next w:val="934"/>
    <w:link w:val="871"/>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71"/>
    <w:next w:val="871"/>
    <w:link w:val="871"/>
    <w:semiHidden/>
    <w:pPr>
      <w:spacing w:line="240" w:lineRule="atLeast"/>
    </w:pPr>
    <w:rPr>
      <w:rFonts w:ascii="Times New Roman" w:hAnsi="Times New Roman" w:eastAsia="宋体" w:cs="Times New Roman"/>
      <w:b/>
      <w:bCs/>
      <w:szCs w:val="21"/>
    </w:rPr>
  </w:style>
  <w:style w:type="paragraph" w:styleId="936">
    <w:name w:val="批注主题"/>
    <w:basedOn w:val="899"/>
    <w:next w:val="899"/>
    <w:link w:val="937"/>
    <w:semiHidden/>
    <w:rPr>
      <w:b/>
      <w:bCs/>
      <w:sz w:val="20"/>
      <w:szCs w:val="21"/>
      <w:lang w:val="en-US" w:eastAsia="en-US"/>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71"/>
    <w:next w:val="938"/>
    <w:link w:val="939"/>
    <w:pPr>
      <w:ind w:firstLine="200"/>
      <w:spacing w:line="360" w:lineRule="auto"/>
    </w:pPr>
    <w:rPr>
      <w:rFonts w:ascii="仿宋_GB2312" w:eastAsia="仿宋_GB2312"/>
      <w:sz w:val="30"/>
      <w:szCs w:val="30"/>
      <w:lang w:val="en-US" w:eastAsia="en-US"/>
    </w:rPr>
  </w:style>
  <w:style w:type="character" w:styleId="939">
    <w:name w:val="正文首行缩进 Char"/>
    <w:next w:val="939"/>
    <w:link w:val="938"/>
    <w:rPr>
      <w:rFonts w:ascii="仿宋_GB2312" w:hAnsi="Times New Roman" w:eastAsia="仿宋_GB2312" w:cs="Times New Roman"/>
      <w:sz w:val="30"/>
      <w:szCs w:val="30"/>
    </w:rPr>
  </w:style>
  <w:style w:type="paragraph" w:styleId="940">
    <w:name w:val="正文首行缩进 2"/>
    <w:basedOn w:val="905"/>
    <w:next w:val="940"/>
    <w:link w:val="941"/>
    <w:pPr>
      <w:ind w:left="0" w:firstLine="420"/>
      <w:spacing w:after="0" w:line="360" w:lineRule="auto"/>
    </w:pPr>
    <w:rPr>
      <w:rFonts w:ascii="宋体" w:hAnsi="宋体"/>
      <w:sz w:val="20"/>
      <w:szCs w:val="20"/>
      <w:lang w:val="en-US" w:eastAsia="en-US"/>
    </w:rPr>
  </w:style>
  <w:style w:type="character" w:styleId="941">
    <w:name w:val="正文首行缩进 2 Char"/>
    <w:next w:val="941"/>
    <w:link w:val="940"/>
    <w:rPr>
      <w:rFonts w:ascii="宋体" w:hAnsi="宋体" w:eastAsia="宋体" w:cs="Times New Roman"/>
      <w:szCs w:val="2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超链接"/>
    <w:next w:val="946"/>
    <w:link w:val="871"/>
    <w:rPr>
      <w:color w:val="0000ff"/>
      <w:u w:val="single"/>
    </w:rPr>
  </w:style>
  <w:style w:type="character" w:styleId="947">
    <w:name w:val="批注引用"/>
    <w:next w:val="947"/>
    <w:link w:val="871"/>
    <w:semiHidden/>
    <w:rPr>
      <w:sz w:val="21"/>
      <w:szCs w:val="21"/>
    </w:rPr>
  </w:style>
  <w:style w:type="character" w:styleId="948">
    <w:name w:val="font5 Char"/>
    <w:next w:val="948"/>
    <w:link w:val="871"/>
    <w:rPr>
      <w:rFonts w:ascii="宋体" w:hAnsi="宋体" w:eastAsia="宋体"/>
      <w:sz w:val="28"/>
      <w:szCs w:val="28"/>
      <w:lang w:val="en-US" w:eastAsia="zh-CN" w:bidi="ar-SA"/>
    </w:rPr>
  </w:style>
  <w:style w:type="character" w:styleId="949">
    <w:name w:val="二级目录 Char"/>
    <w:next w:val="949"/>
    <w:link w:val="950"/>
    <w:rPr>
      <w:b/>
      <w:sz w:val="30"/>
      <w:szCs w:val="28"/>
      <w:lang w:val="en-US" w:eastAsia="zh-CN" w:bidi="ar-SA"/>
    </w:rPr>
  </w:style>
  <w:style w:type="paragraph" w:styleId="950">
    <w:name w:val="二级目录"/>
    <w:next w:val="871"/>
    <w:link w:val="949"/>
    <w:pPr>
      <w:numPr>
        <w:ilvl w:val="0"/>
        <w:numId w:val="2"/>
      </w:numPr>
      <w:tabs>
        <w:tab w:val="left" w:pos="907" w:leader="none"/>
        <w:tab w:val="left" w:pos="1145" w:leader="none"/>
      </w:tabs>
      <w:outlineLvl w:val="1"/>
    </w:pPr>
    <w:rPr>
      <w:b/>
      <w:sz w:val="30"/>
      <w:szCs w:val="28"/>
      <w:lang w:val="en-US" w:eastAsia="zh-CN" w:bidi="ar-SA"/>
    </w:rPr>
  </w:style>
  <w:style w:type="character" w:styleId="951">
    <w:name w:val="列出段落 Char,Bullet List Char,numbered Char,FooterText Char,List Paragraph1 Char,Paragraphe de liste1 Char"/>
    <w:next w:val="951"/>
    <w:link w:val="952"/>
    <w:rPr>
      <w:rFonts w:ascii="Calibri" w:hAnsi="Calibri"/>
      <w:sz w:val="24"/>
      <w:szCs w:val="24"/>
      <w:lang w:eastAsia="en-US" w:bidi="en-US"/>
    </w:rPr>
  </w:style>
  <w:style w:type="paragraph" w:styleId="952">
    <w:name w:val="列出段落1"/>
    <w:basedOn w:val="871"/>
    <w:next w:val="952"/>
    <w:link w:val="951"/>
    <w:qFormat/>
    <w:pPr>
      <w:contextualSpacing/>
      <w:ind w:left="720"/>
      <w:jc w:val="left"/>
      <w:widowControl/>
    </w:pPr>
    <w:rPr>
      <w:rFonts w:ascii="Calibri" w:hAnsi="Calibri"/>
      <w:sz w:val="24"/>
      <w:szCs w:val="24"/>
      <w:lang w:val="en-US" w:eastAsia="en-US" w:bidi="en-US"/>
    </w:rPr>
  </w:style>
  <w:style w:type="paragraph" w:styleId="953">
    <w:name w:val="Body Text(ch)"/>
    <w:basedOn w:val="871"/>
    <w:next w:val="903"/>
    <w:link w:val="871"/>
    <w:pPr>
      <w:spacing w:after="120"/>
    </w:pPr>
    <w:rPr>
      <w:rFonts w:ascii="宋体" w:hAnsi="Arial" w:eastAsia="宋体" w:cs="Times New Roman"/>
      <w:bCs/>
      <w:iCs/>
      <w:szCs w:val="24"/>
    </w:rPr>
  </w:style>
  <w:style w:type="paragraph" w:styleId="954">
    <w:name w:val="xl27"/>
    <w:basedOn w:val="871"/>
    <w:next w:val="954"/>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name w:val="xl26"/>
    <w:basedOn w:val="871"/>
    <w:next w:val="955"/>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Char"/>
    <w:basedOn w:val="871"/>
    <w:next w:val="956"/>
    <w:link w:val="871"/>
    <w:pPr>
      <w:ind w:firstLine="200"/>
      <w:tabs>
        <w:tab w:val="left" w:pos="360" w:leader="none"/>
      </w:tabs>
    </w:pPr>
    <w:rPr>
      <w:rFonts w:ascii="Times New Roman" w:hAnsi="Times New Roman" w:eastAsia="宋体" w:cs="Times New Roman"/>
      <w:sz w:val="28"/>
      <w:szCs w:val="30"/>
    </w:rPr>
  </w:style>
  <w:style w:type="paragraph" w:styleId="957">
    <w:name w:val=" Char"/>
    <w:basedOn w:val="897"/>
    <w:next w:val="957"/>
    <w:link w:val="871"/>
    <w:rPr>
      <w:rFonts w:ascii="Tahoma" w:hAnsi="Tahoma"/>
      <w:sz w:val="24"/>
      <w:szCs w:val="24"/>
    </w:rPr>
  </w:style>
  <w:style w:type="paragraph" w:styleId="958">
    <w:name w:val="普通正文"/>
    <w:basedOn w:val="871"/>
    <w:next w:val="958"/>
    <w:link w:val="871"/>
    <w:pPr>
      <w:ind w:firstLine="480"/>
      <w:jc w:val="left"/>
      <w:spacing w:before="120" w:after="120" w:line="360" w:lineRule="auto"/>
    </w:pPr>
    <w:rPr>
      <w:rFonts w:ascii="Arial" w:hAnsi="Arial" w:eastAsia="宋体" w:cs="Times New Roman"/>
      <w:sz w:val="24"/>
      <w:szCs w:val="24"/>
    </w:rPr>
  </w:style>
  <w:style w:type="paragraph" w:styleId="959">
    <w:name w:val="table_lines"/>
    <w:basedOn w:val="871"/>
    <w:next w:val="959"/>
    <w:link w:val="871"/>
    <w:pPr>
      <w:jc w:val="left"/>
      <w:widowControl/>
    </w:pPr>
    <w:rPr>
      <w:rFonts w:ascii="Times New Roman" w:hAnsi="Times New Roman" w:eastAsia="宋体" w:cs="Times New Roman"/>
      <w:sz w:val="20"/>
      <w:szCs w:val="20"/>
      <w:lang w:val="de-DE" w:eastAsia="de-DE"/>
    </w:rPr>
  </w:style>
  <w:style w:type="paragraph" w:styleId="960">
    <w:name w:val="附录1"/>
    <w:next w:val="960"/>
    <w:link w:val="871"/>
    <w:pPr>
      <w:numPr>
        <w:ilvl w:val="0"/>
        <w:numId w:val="2"/>
      </w:numPr>
      <w:spacing w:before="240" w:line="600" w:lineRule="atLeast"/>
      <w:tabs>
        <w:tab w:val="left" w:pos="907" w:leader="none"/>
      </w:tabs>
    </w:pPr>
    <w:rPr>
      <w:b/>
      <w:i/>
      <w:sz w:val="28"/>
      <w:lang w:val="en-US" w:eastAsia="zh-CN" w:bidi="ar-SA"/>
    </w:rPr>
  </w:style>
  <w:style w:type="paragraph" w:styleId="961">
    <w:name w:val="font7"/>
    <w:basedOn w:val="871"/>
    <w:next w:val="961"/>
    <w:link w:val="871"/>
    <w:pPr>
      <w:jc w:val="left"/>
      <w:spacing w:before="100" w:beforeAutospacing="1" w:after="100" w:afterAutospacing="1"/>
      <w:widowControl/>
    </w:pPr>
    <w:rPr>
      <w:rFonts w:hint="eastAsia" w:ascii="宋体" w:hAnsi="宋体" w:eastAsia="宋体" w:cs="Times New Roman"/>
      <w:sz w:val="18"/>
      <w:szCs w:val="18"/>
    </w:rPr>
  </w:style>
  <w:style w:type="paragraph" w:styleId="962">
    <w:name w:val=" Char Char Char Char"/>
    <w:basedOn w:val="897"/>
    <w:next w:val="962"/>
    <w:link w:val="871"/>
    <w:pPr>
      <w:spacing w:line="360" w:lineRule="auto"/>
    </w:pPr>
    <w:rPr>
      <w:rFonts w:ascii="Tahoma" w:hAnsi="Tahoma"/>
      <w:sz w:val="24"/>
      <w:szCs w:val="24"/>
    </w:rPr>
  </w:style>
  <w:style w:type="paragraph" w:styleId="963">
    <w:name w:val="列出段落"/>
    <w:basedOn w:val="871"/>
    <w:next w:val="963"/>
    <w:link w:val="871"/>
    <w:qFormat/>
    <w:pPr>
      <w:contextualSpacing/>
      <w:ind w:left="720"/>
      <w:jc w:val="left"/>
      <w:widowControl/>
    </w:pPr>
    <w:rPr>
      <w:rFonts w:ascii="Calibri" w:hAnsi="Calibri" w:eastAsia="宋体" w:cs="Times New Roman"/>
      <w:sz w:val="24"/>
      <w:szCs w:val="24"/>
      <w:lang w:eastAsia="en-US" w:bidi="en-US"/>
    </w:rPr>
  </w:style>
  <w:style w:type="paragraph" w:styleId="964">
    <w:name w:val="4"/>
    <w:basedOn w:val="871"/>
    <w:next w:val="927"/>
    <w:link w:val="871"/>
    <w:pPr>
      <w:ind w:firstLine="420"/>
      <w:spacing w:line="360" w:lineRule="auto"/>
    </w:pPr>
    <w:rPr>
      <w:rFonts w:ascii="Times New Roman" w:hAnsi="Times New Roman" w:eastAsia="宋体" w:cs="Times New Roman"/>
      <w:color w:val="ff0000"/>
      <w:sz w:val="24"/>
      <w:szCs w:val="24"/>
    </w:rPr>
  </w:style>
  <w:style w:type="paragraph" w:styleId="965">
    <w:name w:val="普通 (Web)"/>
    <w:basedOn w:val="871"/>
    <w:next w:val="965"/>
    <w:link w:val="871"/>
    <w:pPr>
      <w:jc w:val="left"/>
      <w:spacing w:before="100" w:beforeAutospacing="1" w:after="100" w:afterAutospacing="1"/>
      <w:widowControl/>
    </w:pPr>
    <w:rPr>
      <w:rFonts w:ascii="宋体" w:hAnsi="宋体" w:eastAsia="宋体" w:cs="Times New Roman"/>
      <w:sz w:val="24"/>
      <w:szCs w:val="24"/>
    </w:rPr>
  </w:style>
  <w:style w:type="paragraph" w:styleId="966">
    <w:name w:val=" Char Char Char Char Char Char Char Char Char Char"/>
    <w:basedOn w:val="871"/>
    <w:next w:val="966"/>
    <w:link w:val="871"/>
    <w:pPr>
      <w:spacing w:line="360" w:lineRule="auto"/>
    </w:pPr>
    <w:rPr>
      <w:rFonts w:ascii="Times New Roman" w:hAnsi="Times New Roman" w:eastAsia="宋体" w:cs="Times New Roman"/>
      <w:sz w:val="24"/>
      <w:szCs w:val="20"/>
    </w:rPr>
  </w:style>
  <w:style w:type="paragraph" w:styleId="967">
    <w:name w:val="样式1"/>
    <w:basedOn w:val="871"/>
    <w:next w:val="967"/>
    <w:link w:val="871"/>
    <w:pPr>
      <w:numPr>
        <w:ilvl w:val="0"/>
        <w:numId w:val="3"/>
      </w:numPr>
      <w:tabs>
        <w:tab w:val="left" w:pos="709" w:leader="none"/>
      </w:tabs>
    </w:pPr>
    <w:rPr>
      <w:rFonts w:ascii="宋体" w:hAnsi="宋体" w:eastAsia="宋体" w:cs="Times New Roman"/>
      <w:szCs w:val="21"/>
    </w:rPr>
  </w:style>
  <w:style w:type="paragraph" w:styleId="968">
    <w:name w:val="font6"/>
    <w:basedOn w:val="871"/>
    <w:next w:val="968"/>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69">
    <w:name w:val="xl25"/>
    <w:basedOn w:val="871"/>
    <w:next w:val="969"/>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1">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2">
    <w:name w:val="xl24"/>
    <w:basedOn w:val="871"/>
    <w:next w:val="972"/>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name w:val="xl29"/>
    <w:basedOn w:val="871"/>
    <w:next w:val="973"/>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4">
    <w:name w:val="Char Char Char Char Char Char Char Char"/>
    <w:basedOn w:val="871"/>
    <w:next w:val="974"/>
    <w:link w:val="871"/>
    <w:pPr>
      <w:jc w:val="left"/>
      <w:spacing w:after="160" w:line="240" w:lineRule="exact"/>
      <w:widowControl/>
    </w:pPr>
    <w:rPr>
      <w:rFonts w:ascii="Verdana" w:hAnsi="Verdana" w:eastAsia="宋体" w:cs="Times New Roman"/>
      <w:sz w:val="20"/>
      <w:szCs w:val="20"/>
      <w:lang w:eastAsia="en-US"/>
    </w:rPr>
  </w:style>
  <w:style w:type="paragraph" w:styleId="975">
    <w:name w:val="xl28"/>
    <w:basedOn w:val="871"/>
    <w:next w:val="975"/>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6">
    <w:name w:val=" Char Char Char Char Char Char Char Char"/>
    <w:basedOn w:val="871"/>
    <w:next w:val="976"/>
    <w:link w:val="871"/>
    <w:pPr>
      <w:jc w:val="left"/>
      <w:spacing w:after="160" w:line="240" w:lineRule="exact"/>
      <w:widowControl/>
    </w:pPr>
    <w:rPr>
      <w:rFonts w:ascii="Verdana" w:hAnsi="Verdana" w:eastAsia="宋体" w:cs="Times New Roman"/>
      <w:sz w:val="20"/>
      <w:szCs w:val="20"/>
      <w:lang w:eastAsia="en-US"/>
    </w:rPr>
  </w:style>
  <w:style w:type="paragraph" w:styleId="977">
    <w:name w:val="xl30"/>
    <w:basedOn w:val="871"/>
    <w:next w:val="977"/>
    <w:link w:val="871"/>
    <w:pPr>
      <w:jc w:val="center"/>
      <w:spacing w:before="100" w:beforeAutospacing="1" w:after="100" w:afterAutospacing="1"/>
      <w:widowControl/>
    </w:pPr>
    <w:rPr>
      <w:rFonts w:ascii="宋体" w:hAnsi="宋体" w:eastAsia="宋体" w:cs="Times New Roman"/>
      <w:b/>
      <w:bCs/>
      <w:sz w:val="36"/>
      <w:szCs w:val="36"/>
    </w:rPr>
  </w:style>
  <w:style w:type="paragraph" w:styleId="978">
    <w:name w:val="Char Char Char Char"/>
    <w:basedOn w:val="897"/>
    <w:next w:val="978"/>
    <w:link w:val="871"/>
    <w:pPr>
      <w:spacing w:line="360" w:lineRule="auto"/>
    </w:pPr>
    <w:rPr>
      <w:rFonts w:ascii="Tahoma" w:hAnsi="Tahoma"/>
      <w:sz w:val="24"/>
      <w:szCs w:val="24"/>
    </w:rPr>
  </w:style>
  <w:style w:type="paragraph" w:styleId="979">
    <w:name w:val="table_1stline"/>
    <w:basedOn w:val="871"/>
    <w:next w:val="979"/>
    <w:link w:val="871"/>
    <w:pPr>
      <w:jc w:val="left"/>
      <w:spacing w:before="120"/>
      <w:widowControl/>
    </w:pPr>
    <w:rPr>
      <w:rFonts w:ascii="Times New Roman" w:hAnsi="Times New Roman" w:eastAsia="宋体" w:cs="Times New Roman"/>
      <w:bCs/>
      <w:sz w:val="20"/>
      <w:szCs w:val="20"/>
      <w:lang w:val="de-DE" w:eastAsia="de-DE"/>
    </w:rPr>
  </w:style>
  <w:style w:type="paragraph" w:styleId="980">
    <w:name w:val="font5"/>
    <w:basedOn w:val="871"/>
    <w:next w:val="980"/>
    <w:link w:val="871"/>
    <w:pPr>
      <w:jc w:val="left"/>
      <w:spacing w:before="100" w:beforeAutospacing="1" w:after="100" w:afterAutospacing="1"/>
      <w:widowControl/>
    </w:pPr>
    <w:rPr>
      <w:rFonts w:hint="eastAsia" w:ascii="宋体" w:hAnsi="宋体" w:eastAsia="宋体" w:cs="Times New Roman"/>
      <w:sz w:val="28"/>
      <w:szCs w:val="28"/>
    </w:rPr>
  </w:style>
  <w:style w:type="paragraph" w:styleId="981">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2">
    <w:name w:val="修订"/>
    <w:next w:val="982"/>
    <w:link w:val="871"/>
    <w:uiPriority w:val="99"/>
    <w:semiHidden/>
    <w:rPr>
      <w:sz w:val="21"/>
      <w:szCs w:val="21"/>
      <w:lang w:val="en-US" w:eastAsia="zh-CN" w:bidi="ar-SA"/>
    </w:rPr>
  </w:style>
  <w:style w:type="paragraph" w:styleId="983">
    <w:name w:val="无间隔"/>
    <w:next w:val="983"/>
    <w:link w:val="871"/>
    <w:uiPriority w:val="99"/>
    <w:qFormat/>
    <w:pPr>
      <w:jc w:val="both"/>
      <w:widowControl w:val="off"/>
    </w:pPr>
    <w:rPr>
      <w:sz w:val="21"/>
      <w:szCs w:val="21"/>
      <w:lang w:val="en-US" w:eastAsia="zh-CN" w:bidi="ar-SA"/>
    </w:rPr>
  </w:style>
  <w:style w:type="paragraph" w:styleId="984">
    <w:name w:val="Default"/>
    <w:basedOn w:val="871"/>
    <w:next w:val="984"/>
    <w:link w:val="871"/>
    <w:qFormat/>
    <w:pPr>
      <w:jc w:val="left"/>
    </w:pPr>
    <w:rPr>
      <w:color w:val="000000"/>
      <w:sz w:val="24"/>
      <w:szCs w:val="24"/>
    </w:rPr>
  </w:style>
  <w:style w:type="character" w:styleId="985" w:default="1">
    <w:name w:val="Default Paragraph Font"/>
    <w:uiPriority w:val="1"/>
    <w:semiHidden/>
    <w:unhideWhenUsed/>
  </w:style>
  <w:style w:type="numbering" w:styleId="986" w:default="1">
    <w:name w:val="No List"/>
    <w:uiPriority w:val="99"/>
    <w:semiHidden/>
    <w:unhideWhenUsed/>
  </w:style>
  <w:style w:type="table" w:styleId="9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付萌萌</cp:lastModifiedBy>
  <cp:revision>4</cp:revision>
  <dcterms:created xsi:type="dcterms:W3CDTF">2026-03-02T03:27:00Z</dcterms:created>
  <dcterms:modified xsi:type="dcterms:W3CDTF">2026-03-10T07:33:19Z</dcterms:modified>
  <cp:version>786432</cp:version>
</cp:coreProperties>
</file>