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72"/>
        </w:rPr>
      </w:pPr>
      <w:r>
        <w:rPr>
          <w:rFonts w:ascii="宋体" w:hAnsi="宋体" w:cs="宋体"/>
          <w:b/>
          <w:sz w:val="72"/>
        </w:rPr>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采购编号：JSZC-320500-CJZB-C2026-0026</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项目名称：危险化学品行政许可审查指导服务</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采购单位：苏州市应急管理局</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8"/>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b/>
          <w:sz w:val="30"/>
          <w:szCs w:val="30"/>
        </w:rPr>
        <w:t xml:space="preserve">二〇二六年三月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962" w:type="dxa"/>
        <w:jc w:val="center"/>
        <w:tblLayout w:type="fixed"/>
        <w:tblCellMar>
          <w:left w:w="0" w:type="dxa"/>
          <w:right w:w="0" w:type="dxa"/>
        </w:tblCellMar>
        <w:tblLook w:val="04A0" w:firstRow="1" w:lastRow="0" w:firstColumn="1" w:lastColumn="0" w:noHBand="0" w:noVBand="1"/>
      </w:tblPr>
      <w:tblGrid>
        <w:gridCol w:w="815"/>
        <w:gridCol w:w="1721"/>
        <w:gridCol w:w="7426"/>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JSZC-320500-CJZB-C2026-0026</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危险化学品行政许可审查指导服务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地址：苏州市干将西路399号银海大厦303室</w:t>
            </w:r>
            <w:r/>
          </w:p>
          <w:p>
            <w:pPr>
              <w:jc w:val="left"/>
              <w:spacing w:line="360" w:lineRule="auto"/>
              <w:rPr>
                <w:rFonts w:ascii="宋体" w:hAnsi="宋体" w:cs="宋体"/>
                <w:szCs w:val="21"/>
              </w:rPr>
            </w:pPr>
            <w:r>
              <w:rPr>
                <w:rFonts w:hint="eastAsia" w:ascii="宋体" w:hAnsi="宋体" w:cs="宋体"/>
                <w:szCs w:val="21"/>
              </w:rPr>
              <w:t xml:space="preserve">联系人：朱晓芹 </w:t>
            </w:r>
            <w:r>
              <w:rPr>
                <w:rFonts w:hint="eastAsia" w:ascii="宋体" w:hAnsi="宋体" w:cs="宋体"/>
                <w:szCs w:val="21"/>
              </w:rPr>
              <w:t xml:space="preserve"> </w:t>
            </w:r>
            <w:r>
              <w:rPr>
                <w:rFonts w:hint="eastAsia" w:ascii="宋体" w:hAnsi="宋体" w:cs="宋体"/>
                <w:szCs w:val="21"/>
              </w:rPr>
              <w:t xml:space="preserve">潘莉莉  路丽丽  </w:t>
            </w:r>
            <w:r/>
          </w:p>
          <w:p>
            <w:pPr>
              <w:jc w:val="left"/>
              <w:spacing w:line="360" w:lineRule="auto"/>
              <w:rPr>
                <w:rFonts w:ascii="宋体" w:hAnsi="宋体" w:cs="宋体"/>
              </w:rPr>
            </w:pPr>
            <w:r>
              <w:rPr>
                <w:rFonts w:hint="eastAsia" w:ascii="宋体" w:hAnsi="宋体" w:cs="宋体"/>
                <w:szCs w:val="21"/>
              </w:rPr>
              <w:t xml:space="preserve">联系电话：0512-68669209</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名称：苏州市应急管理局</w:t>
            </w:r>
            <w:r/>
          </w:p>
          <w:p>
            <w:pPr>
              <w:jc w:val="left"/>
              <w:spacing w:line="360" w:lineRule="auto"/>
              <w:rPr>
                <w:rFonts w:ascii="宋体" w:hAnsi="宋体" w:cs="宋体"/>
                <w:szCs w:val="21"/>
                <w:lang w:val="zh-CN"/>
              </w:rPr>
            </w:pPr>
            <w:r>
              <w:rPr>
                <w:rFonts w:hint="eastAsia" w:ascii="宋体" w:hAnsi="宋体" w:cs="宋体"/>
                <w:szCs w:val="21"/>
                <w:lang w:val="zh-CN"/>
              </w:rPr>
              <w:t xml:space="preserve">地址：苏州市虎丘路88号</w:t>
            </w:r>
            <w:r/>
          </w:p>
          <w:p>
            <w:pPr>
              <w:jc w:val="left"/>
              <w:spacing w:line="360" w:lineRule="auto"/>
              <w:rPr>
                <w:rFonts w:ascii="宋体" w:hAnsi="宋体" w:cs="宋体"/>
                <w:szCs w:val="21"/>
                <w:lang w:val="zh-CN"/>
              </w:rPr>
            </w:pPr>
            <w:r>
              <w:rPr>
                <w:rFonts w:hint="eastAsia" w:ascii="宋体" w:hAnsi="宋体" w:cs="宋体"/>
                <w:szCs w:val="21"/>
                <w:lang w:val="zh-CN"/>
              </w:rPr>
              <w:t xml:space="preserve">联 系人：</w:t>
            </w:r>
            <w:r>
              <w:rPr>
                <w:rFonts w:hint="eastAsia" w:ascii="宋体" w:hAnsi="宋体" w:cs="宋体"/>
                <w:szCs w:val="21"/>
              </w:rPr>
              <w:t xml:space="preserve">陈嫦龄</w:t>
            </w:r>
            <w:r/>
          </w:p>
          <w:p>
            <w:pPr>
              <w:jc w:val="left"/>
              <w:spacing w:line="360" w:lineRule="auto"/>
              <w:rPr>
                <w:rFonts w:ascii="宋体" w:hAnsi="宋体" w:cs="宋体"/>
                <w:szCs w:val="21"/>
              </w:rPr>
            </w:pPr>
            <w:r>
              <w:rPr>
                <w:rFonts w:hint="eastAsia" w:ascii="宋体" w:hAnsi="宋体" w:cs="宋体"/>
                <w:szCs w:val="21"/>
                <w:lang w:val="zh-CN"/>
              </w:rPr>
              <w:t xml:space="preserve">联系电话：0512-</w:t>
            </w:r>
            <w:r>
              <w:rPr>
                <w:rFonts w:hint="eastAsia" w:ascii="宋体" w:hAnsi="宋体" w:cs="宋体"/>
                <w:szCs w:val="21"/>
              </w:rPr>
              <w:t xml:space="preserve">68611770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w:t>
            </w:r>
            <w:r/>
          </w:p>
          <w:p>
            <w:pPr>
              <w:jc w:val="center"/>
              <w:spacing w:line="360" w:lineRule="auto"/>
              <w:rPr>
                <w:rFonts w:ascii="宋体" w:hAnsi="宋体" w:cs="宋体"/>
                <w:szCs w:val="21"/>
              </w:rPr>
            </w:pPr>
            <w:r>
              <w:rPr>
                <w:rFonts w:hint="eastAsia" w:ascii="宋体" w:hAnsi="宋体" w:cs="宋体"/>
                <w:szCs w:val="21"/>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响应文件网上</w:t>
            </w:r>
            <w:r/>
          </w:p>
          <w:p>
            <w:pPr>
              <w:jc w:val="left"/>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2026年3月16日13点30分（北京时间）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2026年3月16日13点30分（北京时间）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9"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2026年3月16日13点30分（北京时间）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苏州市高新区邓尉路105号狮山科技馆</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成交后5个工作日内，成交单位向招标代理机构提供与电子响应文件内容一致</w:t>
            </w:r>
            <w:r>
              <w:rPr>
                <w:rFonts w:hint="eastAsia" w:ascii="宋体" w:hAnsi="宋体" w:cs="宋体"/>
              </w:rPr>
              <w:t xml:space="preserve">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合同规定，合同未做说明的则为无。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6" w:type="dxa"/>
            <w:vAlign w:val="center"/>
            <w:textDirection w:val="lrTb"/>
            <w:noWrap w:val="false"/>
          </w:tcPr>
          <w:p>
            <w:pPr>
              <w:pStyle w:val="948"/>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948"/>
              <w:ind w:firstLine="0"/>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危险化学品行政许可审查指导服务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2026年3月16日13点30分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项目编号：JSZC-320500-CJZB-C2026-0026</w:t>
      </w:r>
      <w:r/>
    </w:p>
    <w:p>
      <w:pPr>
        <w:ind w:firstLine="420"/>
        <w:spacing w:line="360" w:lineRule="auto"/>
        <w:rPr>
          <w:rFonts w:ascii="宋体" w:hAnsi="宋体" w:cs="宋体"/>
          <w:szCs w:val="21"/>
        </w:rPr>
      </w:pPr>
      <w:r>
        <w:rPr>
          <w:rFonts w:hint="eastAsia" w:ascii="宋体" w:hAnsi="宋体" w:cs="宋体"/>
          <w:szCs w:val="21"/>
        </w:rPr>
        <w:t xml:space="preserve">项目名称：危险化学品行政许可审查指导服务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人民币贰佰零贰万叁仟伍佰元整（小写：2023500.00元）</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人民币贰佰零贰万叁仟伍佰元整（小写：2023500.00元）</w:t>
      </w:r>
      <w:r/>
    </w:p>
    <w:p>
      <w:pPr>
        <w:ind w:firstLine="420"/>
        <w:spacing w:line="360" w:lineRule="auto"/>
        <w:rPr>
          <w:rFonts w:ascii="宋体" w:hAnsi="宋体" w:cs="宋体"/>
        </w:rPr>
      </w:pPr>
      <w:r>
        <w:rPr>
          <w:rFonts w:hint="eastAsia" w:ascii="宋体" w:hAnsi="宋体" w:cs="宋体"/>
        </w:rPr>
        <w:t xml:space="preserve">采购需求：1.对危险化学品生产企业安全生产许可证到期的44家企业开展换证核查提供专家指导服务。 2.对危险化学品安全使用许可证到期的1家企业开展换证核查提供专家指导服务。 3.对危险化学品经营许可证到期的16家企业开展换证核查提供专家指导服务。 4.对65个新建危险化学品建设项目开展安全审查和复核提供专家指导服务。 5.</w:t>
      </w:r>
      <w:bookmarkStart w:id="0" w:name="_GoBack"/>
      <w:r/>
      <w:bookmarkEnd w:id="0"/>
      <w:r>
        <w:rPr>
          <w:rFonts w:hint="eastAsia" w:ascii="宋体" w:hAnsi="宋体" w:cs="宋体"/>
        </w:rPr>
        <w:t xml:space="preserve">对68家领危险化学品安全生产证企业开展事后监管提供专家指导服务。具体见采购文件要求。</w:t>
      </w:r>
      <w:r/>
    </w:p>
    <w:p>
      <w:pPr>
        <w:ind w:firstLine="420"/>
        <w:spacing w:line="360" w:lineRule="auto"/>
        <w:rPr>
          <w:rFonts w:ascii="宋体" w:hAnsi="宋体" w:cs="宋体"/>
        </w:rPr>
      </w:pPr>
      <w:r>
        <w:rPr>
          <w:rFonts w:hint="eastAsia" w:ascii="宋体" w:hAnsi="宋体" w:cs="宋体"/>
        </w:rPr>
        <w:t xml:space="preserve">合同履约期限：合同签订之日起一年。</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2、落实政府采购政策需满足的资格要求：</w:t>
      </w:r>
      <w:bookmarkStart w:id="1" w:name="OLE_LINK1"/>
      <w:r/>
      <w:bookmarkStart w:id="2" w:name="OLE_LINK2"/>
      <w:r>
        <w:rPr>
          <w:rFonts w:hint="eastAsia" w:ascii="宋体" w:hAnsi="宋体" w:cs="宋体"/>
          <w:szCs w:val="21"/>
        </w:rPr>
        <w:t xml:space="preserve">本项目</w:t>
      </w:r>
      <w:r>
        <w:rPr>
          <w:rFonts w:hint="eastAsia" w:ascii="宋体" w:hAnsi="宋体" w:cs="宋体"/>
          <w:b/>
          <w:bCs/>
          <w:szCs w:val="21"/>
        </w:rPr>
        <w:t xml:space="preserve">非</w:t>
      </w:r>
      <w:r>
        <w:rPr>
          <w:rFonts w:hint="eastAsia" w:ascii="宋体" w:hAnsi="宋体" w:cs="宋体"/>
          <w:szCs w:val="21"/>
        </w:rPr>
        <w:t xml:space="preserve">专门面向中小企业采购，所属行业为其他未列明行业。</w:t>
      </w:r>
      <w:bookmarkEnd w:id="1"/>
      <w:r/>
      <w:bookmarkEnd w:id="2"/>
      <w:r/>
      <w:r/>
    </w:p>
    <w:p>
      <w:pPr>
        <w:ind w:firstLine="420"/>
        <w:spacing w:line="360" w:lineRule="auto"/>
        <w:rPr>
          <w:rFonts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20"/>
        <w:spacing w:line="360" w:lineRule="auto"/>
        <w:rPr>
          <w:rFonts w:ascii="宋体" w:hAnsi="宋体" w:cs="宋体"/>
        </w:rPr>
      </w:pPr>
      <w:r>
        <w:rPr>
          <w:rFonts w:hint="eastAsia" w:ascii="宋体" w:hAnsi="宋体" w:cs="宋体"/>
        </w:rPr>
        <w:t xml:space="preserve">（4）为采购项目提供整体设计、规范编制或者项目管理、监理、检测等服务的供应商，不得再参加</w:t>
      </w:r>
      <w:r>
        <w:rPr>
          <w:rFonts w:hint="eastAsia" w:ascii="宋体" w:hAnsi="宋体" w:cs="宋体"/>
        </w:rPr>
        <w:t xml:space="preserve">该采购项目的其他采购活动。</w:t>
      </w:r>
      <w:r/>
    </w:p>
    <w:p>
      <w:pPr>
        <w:ind w:firstLine="420"/>
        <w:spacing w:line="360" w:lineRule="auto"/>
        <w:rPr>
          <w:rFonts w:ascii="宋体" w:hAnsi="宋体" w:cs="宋体"/>
        </w:rPr>
      </w:pPr>
      <w:r>
        <w:rPr>
          <w:rFonts w:hint="eastAsia" w:ascii="宋体" w:hAnsi="宋体" w:cs="宋体"/>
        </w:rPr>
        <w:t xml:space="preserve">（5）其他特定资格要求：无。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3" w:name="_Toc28359005"/>
      <w:r/>
      <w:bookmarkStart w:id="4" w:name="_Toc28359082"/>
      <w:r/>
      <w:bookmarkStart w:id="5" w:name="_Toc35393793"/>
      <w:r/>
      <w:bookmarkStart w:id="6" w:name="_Toc35393624"/>
      <w:r>
        <w:rPr>
          <w:rFonts w:hint="eastAsia" w:ascii="宋体" w:hAnsi="宋体" w:cs="宋体"/>
          <w:szCs w:val="21"/>
          <w:shd w:val="clear" w:color="auto" w:fill="ffffff"/>
        </w:rPr>
        <w:t xml:space="preserve">1.时间：自公告发布之日起5个工作日（具体见政府采购网本项目招标公告）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苏州现场办理地址：苏州市高新区邓尉路105号狮山科技馆1楼服务大厅，咨询电话：0512-65737699。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76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76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76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系统使用指导与咨询：联系电话：13914088964；智能客服：登录苏采云系统后，联系系统右下方智能客服图标进行咨询。</w:t>
      </w:r>
      <w:r/>
    </w:p>
    <w:p>
      <w:pPr>
        <w:ind w:firstLine="420"/>
        <w:jc w:val="left"/>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bookmarkEnd w:id="3"/>
      <w:r/>
      <w:bookmarkEnd w:id="4"/>
      <w:r/>
      <w:bookmarkEnd w:id="5"/>
      <w:r/>
      <w:bookmarkEnd w:id="6"/>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：2026年3月16日13点30分（北京时间）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w:t>
      </w:r>
      <w:r>
        <w:rPr>
          <w:rFonts w:hint="eastAsia" w:ascii="宋体" w:hAnsi="宋体" w:cs="宋体"/>
          <w:szCs w:val="21"/>
        </w:rPr>
        <w:t xml:space="preserve">加采购活动。</w:t>
      </w:r>
      <w:r/>
    </w:p>
    <w:p>
      <w:pPr>
        <w:ind w:firstLine="420"/>
        <w:spacing w:line="360" w:lineRule="auto"/>
        <w:rPr>
          <w:rFonts w:ascii="宋体" w:hAnsi="宋体" w:cs="宋体"/>
          <w:b/>
          <w:bCs/>
          <w:szCs w:val="21"/>
        </w:rPr>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1.时间：2026年3月16日13点30分（北京时间）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3.苏州市财政局政府采购监管处电话：0512-68616651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1.采购单位信息</w:t>
      </w:r>
      <w:r/>
    </w:p>
    <w:p>
      <w:pPr>
        <w:ind w:firstLine="420"/>
        <w:jc w:val="left"/>
        <w:spacing w:line="360" w:lineRule="auto"/>
        <w:rPr>
          <w:rFonts w:ascii="宋体" w:hAnsi="宋体" w:cs="宋体"/>
          <w:szCs w:val="21"/>
        </w:rPr>
      </w:pPr>
      <w:r>
        <w:rPr>
          <w:rFonts w:hint="eastAsia" w:ascii="宋体" w:hAnsi="宋体" w:cs="宋体"/>
          <w:szCs w:val="21"/>
        </w:rPr>
        <w:t xml:space="preserve">名称：苏州市应急管理局</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地址：苏州市虎丘路88号</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联 系人：</w:t>
      </w:r>
      <w:r>
        <w:rPr>
          <w:rFonts w:hint="eastAsia" w:ascii="宋体" w:hAnsi="宋体" w:cs="宋体"/>
          <w:szCs w:val="21"/>
        </w:rPr>
        <w:t xml:space="preserve">陈嫦龄</w:t>
      </w:r>
      <w:r/>
    </w:p>
    <w:p>
      <w:pPr>
        <w:ind w:firstLine="420"/>
        <w:jc w:val="left"/>
        <w:spacing w:line="360" w:lineRule="auto"/>
        <w:rPr>
          <w:rFonts w:ascii="宋体" w:hAnsi="宋体" w:cs="宋体"/>
          <w:szCs w:val="21"/>
        </w:rPr>
      </w:pPr>
      <w:r>
        <w:rPr>
          <w:rFonts w:hint="eastAsia" w:ascii="宋体" w:hAnsi="宋体" w:cs="宋体"/>
          <w:szCs w:val="21"/>
          <w:lang w:val="zh-CN"/>
        </w:rPr>
        <w:t xml:space="preserve">联系电话：0512-</w:t>
      </w:r>
      <w:r>
        <w:rPr>
          <w:rFonts w:hint="eastAsia" w:ascii="宋体" w:hAnsi="宋体" w:cs="宋体"/>
          <w:szCs w:val="21"/>
        </w:rPr>
        <w:t xml:space="preserve">68611770</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ascii="宋体" w:hAnsi="宋体" w:cs="宋体"/>
          <w:szCs w:val="21"/>
        </w:rPr>
      </w:pPr>
      <w:r>
        <w:rPr>
          <w:rFonts w:hint="eastAsia" w:ascii="宋体" w:hAnsi="宋体" w:cs="宋体"/>
          <w:szCs w:val="21"/>
        </w:rPr>
        <w:t xml:space="preserve">名  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联 系 人：朱晓芹  潘莉莉  路丽丽 </w:t>
      </w:r>
      <w:r/>
    </w:p>
    <w:p>
      <w:pPr>
        <w:ind w:firstLine="420"/>
        <w:spacing w:line="360" w:lineRule="auto"/>
        <w:rPr>
          <w:rFonts w:ascii="宋体" w:hAnsi="宋体" w:cs="宋体"/>
          <w:szCs w:val="21"/>
        </w:rPr>
      </w:pPr>
      <w:r>
        <w:rPr>
          <w:rFonts w:hint="eastAsia" w:ascii="宋体" w:hAnsi="宋体" w:cs="宋体"/>
          <w:szCs w:val="21"/>
        </w:rPr>
        <w:t xml:space="preserve">联系方式：0512-68669209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话：0512-68669209</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受苏州市应急管理局之委托，苏州市创杰招投标咨询服务有限公司对其需采购的危险化学品行政许可审查指导服务在国内组织竞争性磋商采购。欢迎符合资格条件的供应商前来报名参加磋商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JSZC-320500-CJZB-C2026-0026</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危险化学品行政许可审查指导服务</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rPr>
        <w:t xml:space="preserve">人民币贰佰零贰万叁仟伍佰元整（小写：2023500.00元）</w:t>
      </w:r>
      <w:r/>
    </w:p>
    <w:p>
      <w:pPr>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p>
    <w:p>
      <w:pPr>
        <w:jc w:val="left"/>
        <w:spacing w:line="360" w:lineRule="auto"/>
        <w:widowControl/>
        <w:rPr>
          <w:rFonts w:ascii="宋体" w:hAnsi="宋体" w:cs="宋体"/>
          <w:b/>
          <w:bCs/>
          <w:szCs w:val="21"/>
        </w:rPr>
      </w:pPr>
      <w:r/>
      <w:bookmarkStart w:id="7" w:name="_Toc62561680"/>
      <w:r>
        <w:rPr>
          <w:rFonts w:hint="eastAsia" w:ascii="宋体" w:hAnsi="宋体" w:cs="宋体"/>
          <w:b/>
          <w:bCs/>
          <w:szCs w:val="21"/>
        </w:rPr>
        <w:t xml:space="preserve">（一）服务需求清单：</w:t>
      </w:r>
      <w:r/>
    </w:p>
    <w:tbl>
      <w:tblPr>
        <w:tblStyle w:val="1006"/>
        <w:tblW w:w="9610" w:type="dxa"/>
        <w:tblInd w:w="2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9"/>
        <w:gridCol w:w="2071"/>
        <w:gridCol w:w="1800"/>
        <w:gridCol w:w="4850"/>
      </w:tblGrid>
      <w:tr>
        <w:trPr>
          <w:trHeight w:val="90"/>
        </w:trPr>
        <w:tc>
          <w:tcPr>
            <w:tcW w:w="8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07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包含具体工作内容</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预计服务对象数（服务最低数量，项目实施过程中按照实际情况最终确认）</w:t>
            </w:r>
            <w:r/>
          </w:p>
        </w:tc>
        <w:tc>
          <w:tcPr>
            <w:tcW w:w="48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具体要求</w:t>
            </w:r>
            <w:r/>
          </w:p>
        </w:tc>
      </w:tr>
      <w:tr>
        <w:trPr/>
        <w:tc>
          <w:tcPr>
            <w:tcW w:w="8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07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危险化学品生产企业安全生产许可证到期换证核查专家指导服务</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44家</w:t>
            </w:r>
            <w:r/>
          </w:p>
        </w:tc>
        <w:tc>
          <w:tcPr>
            <w:tcW w:w="48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安排1个专家指导组（专家5人），为安全监管人员对2026年5月份至2027年2月份危险化学品生产企业安全生产许可证到期的企业开展换证核查提供专家指导服务，每家至少2天</w:t>
            </w:r>
            <w:r/>
          </w:p>
        </w:tc>
      </w:tr>
      <w:tr>
        <w:trPr/>
        <w:tc>
          <w:tcPr>
            <w:tcW w:w="8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071"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危险化学品安全使用许可证到期</w:t>
            </w:r>
            <w:r>
              <w:rPr>
                <w:rFonts w:hint="eastAsia" w:ascii="宋体" w:hAnsi="宋体" w:cs="宋体"/>
                <w:szCs w:val="21"/>
              </w:rPr>
              <w:t xml:space="preserve">换证核查专家指导服务</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1家</w:t>
            </w:r>
            <w:r/>
          </w:p>
        </w:tc>
        <w:tc>
          <w:tcPr>
            <w:tcW w:w="48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安排1个专家指导组（专家5人），为安全监管人员对2026年5月份至2027年2月份</w:t>
            </w:r>
            <w:r>
              <w:rPr>
                <w:rFonts w:hint="eastAsia" w:ascii="宋体" w:hAnsi="宋体" w:cs="宋体"/>
              </w:rPr>
              <w:t xml:space="preserve">对危险化学品安全使用许可证到期的企业开展换证核查提供专家指导服务</w:t>
            </w:r>
            <w:r>
              <w:rPr>
                <w:rFonts w:hint="eastAsia" w:ascii="宋体" w:hAnsi="宋体" w:cs="宋体"/>
                <w:szCs w:val="21"/>
              </w:rPr>
              <w:t xml:space="preserve">，每家至少2天</w:t>
            </w:r>
            <w:r/>
          </w:p>
        </w:tc>
      </w:tr>
      <w:tr>
        <w:trPr/>
        <w:tc>
          <w:tcPr>
            <w:tcW w:w="8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07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危险化学品经营企业专家指导服务</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16家</w:t>
            </w:r>
            <w:r/>
          </w:p>
        </w:tc>
        <w:tc>
          <w:tcPr>
            <w:tcW w:w="48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安排1个专家指导组（专家3人），为安全监管人员对2026年5月份至2027年2月份带存储（仓储）危险化学品经营证到期的企业开展换证核查提供专家指导服务，每家至少2天；</w:t>
            </w:r>
            <w:r/>
          </w:p>
        </w:tc>
      </w:tr>
      <w:tr>
        <w:trPr/>
        <w:tc>
          <w:tcPr>
            <w:tcW w:w="8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07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危险化学品建设项目专家指导服务</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65个</w:t>
            </w:r>
            <w:r/>
          </w:p>
        </w:tc>
        <w:tc>
          <w:tcPr>
            <w:tcW w:w="48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安排1个专家指导组（专家5人），为安全监管人员对2026年危险化学品建设项目</w:t>
            </w:r>
            <w:r>
              <w:rPr>
                <w:rFonts w:hint="eastAsia" w:ascii="宋体" w:hAnsi="宋体" w:cs="宋体"/>
              </w:rPr>
              <w:t xml:space="preserve">开展安全审查专家指导服务</w:t>
            </w:r>
            <w:r>
              <w:rPr>
                <w:rFonts w:hint="eastAsia" w:ascii="宋体" w:hAnsi="宋体" w:cs="宋体"/>
                <w:szCs w:val="21"/>
              </w:rPr>
              <w:t xml:space="preserve">，每个项目最少2天；或安排1个专家指导组（专家3人），为安全监管人员对各县级市（区）、各国开区赋权事项开展复核，每个项目最少1天。</w:t>
            </w:r>
            <w:r/>
          </w:p>
        </w:tc>
      </w:tr>
      <w:tr>
        <w:trPr/>
        <w:tc>
          <w:tcPr>
            <w:tcW w:w="88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07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领危险化学品安全生产证企业事后监</w:t>
            </w:r>
            <w:r>
              <w:rPr>
                <w:rFonts w:hint="eastAsia" w:ascii="宋体" w:hAnsi="宋体" w:cs="宋体"/>
                <w:szCs w:val="21"/>
              </w:rPr>
              <w:t xml:space="preserve">管提供专家指导服务</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68家</w:t>
            </w:r>
            <w:r/>
          </w:p>
        </w:tc>
        <w:tc>
          <w:tcPr>
            <w:tcW w:w="48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安排1个专家指导组（专家至少3人），为安全监管人员对2027年到期的领危险化学品安全生产证</w:t>
            </w:r>
            <w:r>
              <w:rPr>
                <w:rFonts w:hint="eastAsia" w:ascii="宋体" w:hAnsi="宋体" w:cs="宋体"/>
                <w:szCs w:val="21"/>
              </w:rPr>
              <w:t xml:space="preserve">企业开展事后监管提供专家指导服务，每家至少2天。</w:t>
            </w:r>
            <w:r/>
          </w:p>
        </w:tc>
      </w:tr>
    </w:tbl>
    <w:p>
      <w:pPr>
        <w:jc w:val="left"/>
        <w:spacing w:line="360" w:lineRule="auto"/>
        <w:widowControl/>
        <w:rPr>
          <w:rFonts w:ascii="宋体" w:hAnsi="宋体" w:cs="宋体"/>
          <w:szCs w:val="21"/>
        </w:rPr>
      </w:pPr>
      <w:r>
        <w:rPr>
          <w:rFonts w:hint="eastAsia" w:ascii="宋体" w:hAnsi="宋体" w:cs="宋体"/>
          <w:szCs w:val="21"/>
        </w:rPr>
        <w:t xml:space="preserve">1.1投入本项目的服务团队成员不得少于10人（不含负责人），需明确服务团队项目负责人1人；服务团队成员要求具备相关服务的技术资质及能力。</w:t>
      </w:r>
      <w:r/>
    </w:p>
    <w:p>
      <w:pPr>
        <w:jc w:val="left"/>
        <w:spacing w:line="360" w:lineRule="auto"/>
        <w:widowControl/>
        <w:rPr>
          <w:rFonts w:ascii="宋体" w:hAnsi="宋体" w:cs="宋体"/>
          <w:b/>
          <w:bCs/>
          <w:szCs w:val="21"/>
        </w:rPr>
      </w:pPr>
      <w:r>
        <w:rPr>
          <w:rFonts w:hint="eastAsia" w:ascii="宋体" w:hAnsi="宋体" w:cs="宋体"/>
          <w:b/>
          <w:bCs/>
          <w:szCs w:val="21"/>
        </w:rPr>
        <w:t xml:space="preserve">（二）技术要求：</w:t>
      </w:r>
      <w:r/>
    </w:p>
    <w:p>
      <w:pPr>
        <w:pStyle w:val="1008"/>
        <w:jc w:val="both"/>
        <w:spacing w:beforeAutospacing="0" w:afterAutospacing="0" w:line="360" w:lineRule="auto"/>
        <w:widowControl/>
        <w:rPr>
          <w:rFonts w:ascii="宋体" w:hAnsi="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t xml:space="preserve">2.1检查重点：</w:t>
      </w:r>
      <w:r>
        <w:rPr>
          <w:rFonts w:hint="eastAsia" w:ascii="宋体" w:hAnsi="宋体" w:cs="宋体"/>
          <w:sz w:val="21"/>
          <w:szCs w:val="21"/>
        </w:rPr>
        <w:t xml:space="preserve">一是重点审查安全间距、精细化工反应安全风险评估、首次工艺安全可靠性论证、项目变更管理、安全设施建设与设计的符合性、现场实际与设计方案的一致性、自动控制系统与设计方案的一致性等内容。二是从营业执照、经营许可证、人员培训、管理制度和岗位操作规程、事故应急预案、经营场所、经营管理等方面，从严进行现场核查。三是重点复核内部安全间距、外部防护距离、重大危险源核算、爆炸危险性分析等内容。</w:t>
      </w:r>
      <w:r/>
    </w:p>
    <w:p>
      <w:pPr>
        <w:spacing w:line="360" w:lineRule="auto"/>
        <w:rPr>
          <w:rFonts w:ascii="宋体" w:hAnsi="宋体" w:cs="宋体"/>
          <w:b/>
          <w:bCs/>
          <w:szCs w:val="21"/>
        </w:rPr>
      </w:pPr>
      <w:r>
        <w:rPr>
          <w:rFonts w:hint="eastAsia" w:ascii="宋体" w:hAnsi="宋体" w:cs="宋体"/>
          <w:b/>
          <w:bCs/>
          <w:szCs w:val="21"/>
        </w:rPr>
        <w:t xml:space="preserve">2.2预期成效：</w:t>
      </w:r>
      <w:r/>
    </w:p>
    <w:tbl>
      <w:tblPr>
        <w:tblStyle w:val="1006"/>
        <w:tblW w:w="9843" w:type="dxa"/>
        <w:tblInd w:w="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878"/>
        <w:gridCol w:w="6086"/>
      </w:tblGrid>
      <w:tr>
        <w:trPr/>
        <w:tc>
          <w:tcPr>
            <w:tcW w:w="8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87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包含具体工作内容</w:t>
            </w:r>
            <w:r/>
          </w:p>
        </w:tc>
        <w:tc>
          <w:tcPr>
            <w:tcW w:w="60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预期成效</w:t>
            </w:r>
            <w:r/>
          </w:p>
        </w:tc>
      </w:tr>
      <w:tr>
        <w:trPr/>
        <w:tc>
          <w:tcPr>
            <w:tcW w:w="8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87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危险化学品生产企业安全生产许可证到期换证核查专家指导服务</w:t>
            </w:r>
            <w:r/>
          </w:p>
        </w:tc>
        <w:tc>
          <w:tcPr>
            <w:tcW w:w="608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指导服务情况，填写《专家指导服务意见》，企业完成问题整改后，经专家现场复核及监管部门确认通过后，提请换证申请。根据换证核查情况，填写《危险化学品生产企业现场核查表》，确认通过后，经监管部门形式审查和集中会商后通过许可。</w:t>
            </w:r>
            <w:r/>
          </w:p>
        </w:tc>
      </w:tr>
      <w:tr>
        <w:trPr/>
        <w:tc>
          <w:tcPr>
            <w:tcW w:w="8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878" w:type="dxa"/>
            <w:vAlign w:val="center"/>
            <w:textDirection w:val="lrTb"/>
            <w:noWrap w:val="false"/>
          </w:tcPr>
          <w:p>
            <w:pPr>
              <w:spacing w:line="360" w:lineRule="auto"/>
              <w:rPr>
                <w:rFonts w:ascii="宋体" w:hAnsi="宋体" w:cs="宋体"/>
                <w:szCs w:val="21"/>
              </w:rPr>
            </w:pPr>
            <w:r>
              <w:rPr>
                <w:rFonts w:hint="eastAsia" w:ascii="宋体" w:hAnsi="宋体" w:cs="宋体"/>
              </w:rPr>
              <w:t xml:space="preserve">危险化学品安全使用许可证到期</w:t>
            </w:r>
            <w:r>
              <w:rPr>
                <w:rFonts w:hint="eastAsia" w:ascii="宋体" w:hAnsi="宋体" w:cs="宋体"/>
                <w:szCs w:val="21"/>
              </w:rPr>
              <w:t xml:space="preserve">换证核查专家指导服务</w:t>
            </w:r>
            <w:r/>
          </w:p>
        </w:tc>
        <w:tc>
          <w:tcPr>
            <w:tcW w:w="608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现场核查情况，填写《危险化学品安全使用许可证现场核查表》《危险化学品安全使用许可证现场核查专家审查意见》，企业完成问题整改后，经专家复核及监管部门现场复核、形式审查和集中会商后通过许可。</w:t>
            </w:r>
            <w:r/>
          </w:p>
        </w:tc>
      </w:tr>
      <w:tr>
        <w:trPr/>
        <w:tc>
          <w:tcPr>
            <w:tcW w:w="8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87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危险化学品经营企业专家指导服务</w:t>
            </w:r>
            <w:r/>
          </w:p>
        </w:tc>
        <w:tc>
          <w:tcPr>
            <w:tcW w:w="608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根据现场核查情况，填写《危险化学品经营许可证现场核查表》《危险化学品经营许可证现场核查专家审查意见》，企业完成问题整改后，经专家复核及监管部门现场复核、形式审查和集中会商后通过许可。</w:t>
            </w:r>
            <w:r/>
          </w:p>
        </w:tc>
      </w:tr>
      <w:tr>
        <w:trPr/>
        <w:tc>
          <w:tcPr>
            <w:tcW w:w="8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87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危险化学品建设项目专家指导服务</w:t>
            </w:r>
            <w:r/>
          </w:p>
        </w:tc>
        <w:tc>
          <w:tcPr>
            <w:tcW w:w="608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安全审查情况，填写《江苏省危险化学品建设项目安全审查要点》，出具《专家组意见》《专家个人综合审查意见》，企业完成整改并经专家组长书面确认后由审批部门进行审批，确保危险化学品建设项目合法合规落地；根据审查复核情况，出具《专家个人综合审查意见》，反馈监管部门，督促企业整改，确保危险化学品建设项目合法合规落地。</w:t>
            </w:r>
            <w:r/>
          </w:p>
        </w:tc>
      </w:tr>
      <w:tr>
        <w:trPr/>
        <w:tc>
          <w:tcPr>
            <w:tcW w:w="87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87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领危险化学品安全生产证企业事后监管提供专家指导服</w:t>
            </w:r>
            <w:r>
              <w:rPr>
                <w:rFonts w:hint="eastAsia" w:ascii="宋体" w:hAnsi="宋体" w:cs="宋体"/>
                <w:szCs w:val="21"/>
              </w:rPr>
              <w:t xml:space="preserve">务</w:t>
            </w:r>
            <w:r/>
          </w:p>
        </w:tc>
        <w:tc>
          <w:tcPr>
            <w:tcW w:w="608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根据生产企业现场核查情况，出具《事后监督检查表》，反馈监管部门，录入系统，督促企业整改，提升本质安全水平。</w:t>
            </w:r>
            <w:r/>
          </w:p>
        </w:tc>
      </w:tr>
    </w:tbl>
    <w:p>
      <w:pPr>
        <w:spacing w:line="360" w:lineRule="auto"/>
        <w:rPr>
          <w:rFonts w:ascii="宋体" w:hAnsi="宋体" w:cs="宋体"/>
          <w:spacing w:val="-4"/>
          <w:szCs w:val="21"/>
        </w:rPr>
      </w:pPr>
      <w:r>
        <w:rPr>
          <w:rFonts w:hint="eastAsia" w:ascii="宋体" w:hAnsi="宋体" w:cs="宋体"/>
          <w:spacing w:val="-4"/>
          <w:szCs w:val="21"/>
        </w:rPr>
        <w:t xml:space="preserve">2.3结果运用：分析共性问题，提出监管层面进一步规范危险化学品安全许可审查、优化换证审批流程和安全监管等工作建议。</w:t>
      </w:r>
      <w:r/>
    </w:p>
    <w:p>
      <w:pPr>
        <w:spacing w:line="360" w:lineRule="auto"/>
        <w:rPr>
          <w:rFonts w:ascii="宋体" w:hAnsi="宋体" w:cs="宋体"/>
          <w:spacing w:val="-4"/>
          <w:szCs w:val="21"/>
        </w:rPr>
      </w:pPr>
      <w:r>
        <w:rPr>
          <w:rFonts w:hint="eastAsia" w:ascii="宋体" w:hAnsi="宋体" w:cs="宋体"/>
          <w:spacing w:val="-4"/>
          <w:szCs w:val="21"/>
        </w:rPr>
        <w:t xml:space="preserve">2.4编制依据（服务期内如有最新标准出台的，则按照最新标准执行，涉及费用含在投标报价之内）：</w:t>
      </w:r>
      <w:r/>
    </w:p>
    <w:p>
      <w:pPr>
        <w:spacing w:line="360" w:lineRule="auto"/>
        <w:rPr>
          <w:rFonts w:ascii="宋体" w:hAnsi="宋体" w:cs="宋体"/>
          <w:spacing w:val="-4"/>
          <w:szCs w:val="21"/>
        </w:rPr>
      </w:pPr>
      <w:r>
        <w:rPr>
          <w:rFonts w:hint="eastAsia" w:ascii="宋体" w:hAnsi="宋体" w:cs="宋体"/>
          <w:spacing w:val="-4"/>
          <w:szCs w:val="21"/>
        </w:rPr>
        <w:t xml:space="preserve">（1）《中华人民共和国安全生产法》（中华人民共和国主席令第十三号，自2014年12月1日起实施）；</w:t>
      </w:r>
      <w:r/>
    </w:p>
    <w:p>
      <w:pPr>
        <w:spacing w:line="360" w:lineRule="auto"/>
        <w:rPr>
          <w:rFonts w:ascii="宋体" w:hAnsi="宋体" w:cs="宋体"/>
          <w:spacing w:val="-4"/>
          <w:szCs w:val="21"/>
        </w:rPr>
      </w:pPr>
      <w:r>
        <w:rPr>
          <w:rFonts w:hint="eastAsia" w:ascii="宋体" w:hAnsi="宋体" w:cs="宋体"/>
          <w:spacing w:val="-4"/>
          <w:szCs w:val="21"/>
        </w:rPr>
        <w:t xml:space="preserve">（2）《危险化学品安全管理条例》；</w:t>
      </w:r>
      <w:r/>
    </w:p>
    <w:p>
      <w:pPr>
        <w:spacing w:line="360" w:lineRule="auto"/>
        <w:rPr>
          <w:rFonts w:ascii="宋体" w:hAnsi="宋体" w:cs="宋体"/>
          <w:spacing w:val="-4"/>
          <w:szCs w:val="21"/>
        </w:rPr>
      </w:pPr>
      <w:r>
        <w:rPr>
          <w:rFonts w:hint="eastAsia" w:ascii="宋体" w:hAnsi="宋体" w:cs="宋体"/>
          <w:spacing w:val="-4"/>
          <w:szCs w:val="21"/>
        </w:rPr>
        <w:t xml:space="preserve">（3）《建设项目安全设施“三同时”监督管理暂行办法》</w:t>
      </w:r>
      <w:r/>
    </w:p>
    <w:p>
      <w:pPr>
        <w:spacing w:line="360" w:lineRule="auto"/>
        <w:rPr>
          <w:rFonts w:ascii="宋体" w:hAnsi="宋体" w:cs="宋体"/>
          <w:spacing w:val="-4"/>
          <w:szCs w:val="21"/>
        </w:rPr>
      </w:pPr>
      <w:r>
        <w:rPr>
          <w:rFonts w:hint="eastAsia" w:ascii="宋体" w:hAnsi="宋体" w:cs="宋体"/>
          <w:spacing w:val="-4"/>
          <w:szCs w:val="21"/>
        </w:rPr>
        <w:t xml:space="preserve">（4）《危险化学品建设项目安全监督管理办法》</w:t>
      </w:r>
      <w:r/>
    </w:p>
    <w:p>
      <w:pPr>
        <w:spacing w:line="360" w:lineRule="auto"/>
        <w:rPr>
          <w:rFonts w:ascii="宋体" w:hAnsi="宋体" w:cs="宋体"/>
          <w:spacing w:val="-4"/>
          <w:szCs w:val="21"/>
        </w:rPr>
      </w:pPr>
      <w:r>
        <w:rPr>
          <w:rFonts w:hint="eastAsia" w:ascii="宋体" w:hAnsi="宋体" w:cs="宋体"/>
          <w:spacing w:val="-4"/>
          <w:szCs w:val="21"/>
        </w:rPr>
        <w:t xml:space="preserve">（5）《危险化学品生产企业安全生产许可证实施办法》</w:t>
      </w:r>
      <w:r/>
    </w:p>
    <w:p>
      <w:pPr>
        <w:spacing w:line="360" w:lineRule="auto"/>
        <w:rPr>
          <w:rFonts w:ascii="宋体" w:hAnsi="宋体" w:cs="宋体"/>
          <w:spacing w:val="-4"/>
          <w:szCs w:val="21"/>
        </w:rPr>
      </w:pPr>
      <w:r>
        <w:rPr>
          <w:rFonts w:hint="eastAsia" w:ascii="宋体" w:hAnsi="宋体" w:cs="宋体"/>
          <w:spacing w:val="-4"/>
          <w:szCs w:val="21"/>
        </w:rPr>
        <w:t xml:space="preserve">（6）《危险化学品经营许可证管理办法》</w:t>
      </w:r>
      <w:r/>
    </w:p>
    <w:p>
      <w:pPr>
        <w:spacing w:line="360" w:lineRule="auto"/>
        <w:rPr>
          <w:rFonts w:ascii="宋体" w:hAnsi="宋体" w:cs="宋体"/>
          <w:spacing w:val="-4"/>
          <w:szCs w:val="21"/>
        </w:rPr>
      </w:pPr>
      <w:r>
        <w:rPr>
          <w:rFonts w:hint="eastAsia" w:ascii="宋体" w:hAnsi="宋体" w:cs="宋体"/>
          <w:spacing w:val="-4"/>
          <w:szCs w:val="21"/>
        </w:rPr>
        <w:t xml:space="preserve">（7）《关于印发〈危险化学品生产建设项目安全风险防控指南（试行）〉的通知》（应急〔2022〕52号）</w:t>
      </w:r>
      <w:r/>
    </w:p>
    <w:p>
      <w:pPr>
        <w:spacing w:line="360" w:lineRule="auto"/>
        <w:rPr>
          <w:rFonts w:ascii="宋体" w:hAnsi="宋体" w:cs="宋体"/>
          <w:spacing w:val="-4"/>
          <w:szCs w:val="21"/>
        </w:rPr>
      </w:pPr>
      <w:r>
        <w:rPr>
          <w:rFonts w:hint="eastAsia" w:ascii="宋体" w:hAnsi="宋体" w:cs="宋体"/>
          <w:spacing w:val="-4"/>
          <w:szCs w:val="21"/>
        </w:rPr>
        <w:t xml:space="preserve">（8）《省应急管理厅关于进一步加强危险化学品生产企业安全生产行政许可工作的通知》（苏应急〔2020〕32号）</w:t>
      </w:r>
      <w:r/>
    </w:p>
    <w:p>
      <w:pPr>
        <w:spacing w:line="360" w:lineRule="auto"/>
        <w:rPr>
          <w:rFonts w:ascii="宋体" w:hAnsi="宋体" w:cs="宋体"/>
          <w:spacing w:val="-4"/>
          <w:szCs w:val="21"/>
        </w:rPr>
      </w:pPr>
      <w:r>
        <w:rPr>
          <w:rFonts w:hint="eastAsia" w:ascii="宋体" w:hAnsi="宋体" w:cs="宋体"/>
          <w:spacing w:val="-4"/>
          <w:szCs w:val="21"/>
        </w:rPr>
        <w:t xml:space="preserve">（9）《省应急管理厅关于加强危险化学品生产企业安全生产许可事中事后监管的通知（苏应急函〔2022〕177号）》</w:t>
      </w:r>
      <w:r/>
    </w:p>
    <w:p>
      <w:pPr>
        <w:spacing w:line="360" w:lineRule="auto"/>
        <w:rPr>
          <w:rFonts w:ascii="宋体" w:hAnsi="宋体" w:cs="宋体"/>
          <w:spacing w:val="-4"/>
          <w:szCs w:val="21"/>
        </w:rPr>
      </w:pPr>
      <w:r>
        <w:rPr>
          <w:rFonts w:hint="eastAsia" w:ascii="宋体" w:hAnsi="宋体" w:cs="宋体"/>
          <w:spacing w:val="-4"/>
          <w:szCs w:val="21"/>
        </w:rPr>
        <w:t xml:space="preserve">3、在合同履行期间，为保证公正，成交单位在苏州范围内不能开展安全评价业务，具体根据采购单位相关规定为准。</w:t>
      </w:r>
      <w:r/>
    </w:p>
    <w:p>
      <w:pPr>
        <w:spacing w:line="360" w:lineRule="auto"/>
        <w:rPr>
          <w:rFonts w:ascii="宋体" w:hAnsi="宋体" w:cs="宋体"/>
          <w:spacing w:val="-4"/>
          <w:szCs w:val="21"/>
        </w:rPr>
      </w:pPr>
      <w:r>
        <w:rPr>
          <w:rFonts w:hint="eastAsia" w:ascii="宋体" w:hAnsi="宋体" w:cs="宋体"/>
          <w:spacing w:val="-4"/>
          <w:szCs w:val="21"/>
        </w:rPr>
        <w:t xml:space="preserve">4、合同履约期限：合同签订之日起一年。</w:t>
      </w:r>
      <w:r/>
    </w:p>
    <w:p>
      <w:pPr>
        <w:spacing w:line="360" w:lineRule="auto"/>
        <w:rPr>
          <w:rFonts w:ascii="宋体" w:hAnsi="宋体" w:cs="宋体"/>
          <w:spacing w:val="-4"/>
          <w:szCs w:val="21"/>
        </w:rPr>
      </w:pPr>
      <w:r>
        <w:rPr>
          <w:rFonts w:hint="eastAsia" w:ascii="宋体" w:hAnsi="宋体" w:cs="宋体"/>
          <w:spacing w:val="-4"/>
          <w:szCs w:val="21"/>
        </w:rPr>
        <w:t xml:space="preserve">5、付款步骤：见合同条款约定。</w:t>
      </w:r>
      <w:r/>
    </w:p>
    <w:p>
      <w:pPr>
        <w:spacing w:line="360" w:lineRule="auto"/>
        <w:rPr>
          <w:rFonts w:ascii="宋体" w:hAnsi="宋体" w:cs="宋体"/>
          <w:b/>
          <w:bCs/>
          <w:szCs w:val="21"/>
        </w:rPr>
      </w:pPr>
      <w:r>
        <w:rPr>
          <w:rFonts w:hint="eastAsia" w:ascii="宋体" w:hAnsi="宋体" w:cs="宋体"/>
          <w:b/>
          <w:bCs/>
          <w:szCs w:val="21"/>
        </w:rPr>
        <w:t xml:space="preserve">（三）其他说明：</w:t>
      </w:r>
      <w:r/>
    </w:p>
    <w:p>
      <w:pPr>
        <w:spacing w:line="360" w:lineRule="auto"/>
        <w:rPr>
          <w:rFonts w:ascii="宋体" w:hAnsi="宋体" w:cs="宋体"/>
          <w:spacing w:val="-4"/>
          <w:szCs w:val="21"/>
        </w:rPr>
      </w:pPr>
      <w:r>
        <w:rPr>
          <w:rFonts w:hint="eastAsia" w:ascii="宋体" w:hAnsi="宋体" w:cs="宋体"/>
          <w:spacing w:val="-4"/>
          <w:szCs w:val="21"/>
        </w:rPr>
        <w:t xml:space="preserve">1.成交单位须按照本磋商采购文件的要求对该磋商项目进行服务工作。</w:t>
      </w:r>
      <w:r>
        <w:rPr>
          <w:rFonts w:hint="eastAsia" w:ascii="宋体" w:hAnsi="宋体" w:cs="宋体"/>
          <w:szCs w:val="21"/>
        </w:rPr>
        <w:t xml:space="preserve">采购单位有权对成交单位的工作进行监督检查，对采购单位提出的要求，成交单位应及时响应。</w:t>
      </w:r>
      <w:r/>
    </w:p>
    <w:p>
      <w:pPr>
        <w:spacing w:line="360" w:lineRule="auto"/>
        <w:rPr>
          <w:rFonts w:ascii="宋体" w:hAnsi="宋体" w:cs="宋体"/>
          <w:spacing w:val="-4"/>
          <w:szCs w:val="21"/>
        </w:rPr>
      </w:pPr>
      <w:r>
        <w:rPr>
          <w:rFonts w:hint="eastAsia" w:ascii="宋体" w:hAnsi="宋体" w:cs="宋体"/>
          <w:spacing w:val="-4"/>
          <w:szCs w:val="21"/>
        </w:rPr>
        <w:t xml:space="preserve">2.响应单位必须承诺磋商采购文件中提出的全部要求，如果以其中某些条款不响应时，应在响应文件中逐条列出，未列出的视同响应。</w:t>
      </w:r>
      <w:r>
        <w:rPr>
          <w:rFonts w:hint="eastAsia" w:ascii="宋体" w:hAnsi="宋体" w:cs="宋体"/>
          <w:szCs w:val="21"/>
        </w:rPr>
        <w:t xml:space="preserve">磋商响应单位需根据本项目工作内容，提出自己的具体的工作方案，详细阐述</w:t>
      </w:r>
      <w:r>
        <w:rPr>
          <w:rFonts w:hint="eastAsia" w:ascii="宋体" w:hAnsi="宋体" w:cs="宋体"/>
          <w:bCs/>
          <w:szCs w:val="21"/>
        </w:rPr>
        <w:t xml:space="preserve">针对本项目的工作目标方案、重难点分析、工作思路、服务流程方案、工作计划方案、各项保障措施方案等。</w:t>
      </w:r>
      <w:r/>
    </w:p>
    <w:p>
      <w:pPr>
        <w:ind w:right="163"/>
        <w:spacing w:line="360" w:lineRule="auto"/>
        <w:rPr>
          <w:rFonts w:ascii="宋体" w:hAnsi="宋体" w:cs="宋体"/>
          <w:b/>
          <w:bCs/>
          <w:szCs w:val="21"/>
        </w:rPr>
      </w:pPr>
      <w:r>
        <w:rPr>
          <w:rFonts w:hint="eastAsia" w:ascii="宋体" w:hAnsi="宋体" w:cs="宋体"/>
          <w:b/>
          <w:bCs/>
          <w:spacing w:val="-4"/>
          <w:szCs w:val="21"/>
        </w:rPr>
        <w:t xml:space="preserve">3.</w:t>
      </w:r>
      <w:r>
        <w:rPr>
          <w:rFonts w:hint="eastAsia" w:ascii="宋体" w:hAnsi="宋体" w:cs="宋体"/>
          <w:b/>
          <w:bCs/>
          <w:szCs w:val="21"/>
        </w:rPr>
        <w:t xml:space="preserve">项目安全：成交单位在项目服务期间应制定项目安全实施管理措施，并严格遵守安全管理要求，成交单位在项目服务过程中因管理不当、维护措施不当等因素或不按安全管理要求，造成人员安全或财产损失事故的，其责任均由成交单位自行承担，采购单位不承担责任。成交单位应严格遵守双方确定的员工行为规范和管理规定。</w:t>
      </w:r>
      <w:r/>
    </w:p>
    <w:p>
      <w:pPr>
        <w:ind w:right="163"/>
        <w:spacing w:line="360" w:lineRule="auto"/>
        <w:rPr>
          <w:rFonts w:ascii="宋体" w:hAnsi="宋体" w:cs="宋体"/>
          <w:szCs w:val="21"/>
        </w:rPr>
      </w:pPr>
      <w:r>
        <w:rPr>
          <w:rFonts w:hint="eastAsia" w:ascii="宋体" w:hAnsi="宋体" w:cs="宋体"/>
          <w:szCs w:val="21"/>
        </w:rPr>
        <w:t xml:space="preserve">4.磋商响应单位必须对所提供服务等知识产权方面的一切产权关系负全部责任，由此而引起的法律纠纷以及费用响应单位须全部承担。</w:t>
      </w:r>
      <w:r/>
    </w:p>
    <w:p>
      <w:pPr>
        <w:ind w:right="163"/>
        <w:spacing w:line="360" w:lineRule="auto"/>
        <w:rPr>
          <w:rFonts w:ascii="宋体" w:hAnsi="宋体" w:cs="宋体"/>
          <w:szCs w:val="21"/>
        </w:rPr>
      </w:pPr>
      <w:r>
        <w:rPr>
          <w:rFonts w:hint="eastAsia" w:ascii="宋体" w:hAnsi="宋体" w:cs="宋体"/>
          <w:szCs w:val="21"/>
        </w:rPr>
        <w:t xml:space="preserve">5.各磋商响应单位对《合同主要条款》中的付款步骤不能偏离。</w:t>
      </w:r>
      <w:bookmarkEnd w:id="7"/>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jc w:val="left"/>
        <w:spacing w:line="360" w:lineRule="auto"/>
        <w:widowControl/>
        <w:rPr>
          <w:rFonts w:ascii="宋体" w:hAnsi="宋体" w:cs="宋体"/>
          <w:szCs w:val="21"/>
        </w:rPr>
      </w:pPr>
      <w:r>
        <w:rPr>
          <w:rFonts w:hint="eastAsia" w:ascii="宋体" w:hAnsi="宋体" w:cs="宋体"/>
          <w:szCs w:val="21"/>
        </w:rPr>
        <w:t xml:space="preserve">（一）文件组成（部分格式见附件）</w:t>
      </w:r>
      <w:r/>
    </w:p>
    <w:p>
      <w:pPr>
        <w:pStyle w:val="994"/>
        <w:ind w:firstLine="0"/>
        <w:spacing w:line="360" w:lineRule="auto"/>
        <w:rPr>
          <w:rFonts w:ascii="宋体" w:hAnsi="宋体" w:cs="宋体"/>
          <w:b/>
          <w:szCs w:val="21"/>
        </w:rPr>
      </w:pPr>
      <w:r>
        <w:rPr>
          <w:rFonts w:hint="eastAsia" w:ascii="宋体" w:hAnsi="宋体" w:cs="宋体"/>
          <w:b/>
          <w:szCs w:val="21"/>
        </w:rPr>
        <w:t xml:space="preserve">1、封面</w:t>
      </w:r>
      <w:r/>
    </w:p>
    <w:p>
      <w:pPr>
        <w:pStyle w:val="994"/>
        <w:ind w:firstLine="0"/>
        <w:spacing w:line="360" w:lineRule="auto"/>
        <w:rPr>
          <w:rFonts w:ascii="宋体" w:hAnsi="宋体" w:cs="宋体"/>
          <w:b/>
          <w:szCs w:val="21"/>
        </w:rPr>
      </w:pPr>
      <w:r>
        <w:rPr>
          <w:rFonts w:hint="eastAsia" w:ascii="宋体" w:hAnsi="宋体" w:cs="宋体"/>
          <w:b/>
          <w:szCs w:val="21"/>
        </w:rPr>
        <w:t xml:space="preserve">2、开标一览表</w:t>
      </w:r>
      <w:r/>
    </w:p>
    <w:p>
      <w:pPr>
        <w:pStyle w:val="994"/>
        <w:ind w:firstLine="0"/>
        <w:spacing w:line="360" w:lineRule="auto"/>
        <w:rPr>
          <w:rFonts w:ascii="宋体" w:hAnsi="宋体" w:cs="宋体"/>
          <w:b/>
          <w:szCs w:val="21"/>
        </w:rPr>
      </w:pPr>
      <w:r>
        <w:rPr>
          <w:rFonts w:hint="eastAsia" w:ascii="宋体" w:hAnsi="宋体" w:cs="宋体"/>
          <w:b/>
          <w:szCs w:val="21"/>
        </w:rPr>
        <w:t xml:space="preserve">3、磋商报价分析表（如有）</w:t>
      </w:r>
      <w:r/>
    </w:p>
    <w:p>
      <w:pPr>
        <w:pStyle w:val="994"/>
        <w:ind w:firstLine="0"/>
        <w:spacing w:line="360" w:lineRule="auto"/>
        <w:rPr>
          <w:rFonts w:ascii="宋体" w:hAnsi="宋体" w:cs="宋体"/>
          <w:b/>
          <w:szCs w:val="21"/>
        </w:rPr>
      </w:pPr>
      <w:r>
        <w:rPr>
          <w:rFonts w:hint="eastAsia" w:ascii="宋体" w:hAnsi="宋体" w:cs="宋体"/>
          <w:b/>
          <w:szCs w:val="21"/>
        </w:rPr>
        <w:t xml:space="preserve">4、资格审查响应文件</w:t>
      </w:r>
      <w:r/>
    </w:p>
    <w:p>
      <w:pPr>
        <w:pStyle w:val="994"/>
        <w:ind w:firstLine="0"/>
        <w:spacing w:line="360" w:lineRule="auto"/>
        <w:rPr>
          <w:rFonts w:ascii="宋体" w:hAnsi="宋体" w:cs="宋体"/>
          <w:bCs/>
          <w:szCs w:val="21"/>
        </w:rPr>
      </w:pPr>
      <w:r>
        <w:rPr>
          <w:rFonts w:hint="eastAsia" w:ascii="宋体" w:hAnsi="宋体" w:cs="宋体"/>
          <w:bCs/>
          <w:szCs w:val="21"/>
        </w:rPr>
        <w:t xml:space="preserve">4.1满足《中华人民共和国政府采购法》第二十二条规定：</w:t>
      </w:r>
      <w:r/>
    </w:p>
    <w:p>
      <w:pPr>
        <w:pStyle w:val="994"/>
        <w:ind w:firstLine="0"/>
        <w:spacing w:line="360" w:lineRule="auto"/>
        <w:rPr>
          <w:rFonts w:ascii="宋体" w:hAnsi="宋体" w:cs="宋体"/>
          <w:bCs/>
          <w:szCs w:val="21"/>
        </w:rPr>
      </w:pPr>
      <w:r>
        <w:rPr>
          <w:rFonts w:hint="eastAsia" w:ascii="宋体" w:hAnsi="宋体" w:cs="宋体"/>
          <w:bCs/>
          <w:szCs w:val="21"/>
        </w:rPr>
        <w:t xml:space="preserve">4.1.1具有独立承担民事责任的能力。提供包括法人或者其他组织的营业执照等证明文件，自然人的身份证明；</w:t>
      </w:r>
      <w:r/>
    </w:p>
    <w:p>
      <w:pPr>
        <w:pStyle w:val="994"/>
        <w:ind w:firstLine="0"/>
        <w:spacing w:line="360" w:lineRule="auto"/>
        <w:rPr>
          <w:rFonts w:ascii="宋体" w:hAnsi="宋体" w:cs="宋体"/>
          <w:bCs/>
          <w:szCs w:val="21"/>
        </w:rPr>
      </w:pPr>
      <w:r>
        <w:rPr>
          <w:rFonts w:hint="eastAsia" w:ascii="宋体" w:hAnsi="宋体" w:cs="宋体"/>
          <w:bCs/>
          <w:szCs w:val="21"/>
        </w:rPr>
        <w:t xml:space="preserve">4.1.2具有良好的商业信誉和健全的财务会计制度。提供包括但不限于最近一期（2024年度或2025年度）财务审计报告或最近一期（2025年8月以来任意一期）财务报表</w:t>
      </w:r>
      <w:r>
        <w:rPr>
          <w:rFonts w:hint="eastAsia" w:ascii="宋体" w:hAnsi="宋体" w:cs="宋体"/>
          <w:szCs w:val="21"/>
          <w:lang w:val="zh-CN"/>
        </w:rPr>
        <w:t xml:space="preserve">，</w:t>
      </w:r>
      <w:r>
        <w:rPr>
          <w:rFonts w:hint="eastAsia" w:ascii="宋体" w:hAnsi="宋体" w:cs="宋体"/>
          <w:szCs w:val="21"/>
        </w:rPr>
        <w:t xml:space="preserve">或投标截止前六个月内银行金融机构出具的资信证明；</w:t>
      </w:r>
      <w:r/>
    </w:p>
    <w:p>
      <w:pPr>
        <w:pStyle w:val="994"/>
        <w:ind w:firstLine="0"/>
        <w:spacing w:line="360" w:lineRule="auto"/>
        <w:rPr>
          <w:rFonts w:ascii="宋体" w:hAnsi="宋体" w:cs="宋体"/>
          <w:bCs/>
          <w:szCs w:val="21"/>
        </w:rPr>
      </w:pPr>
      <w:r>
        <w:rPr>
          <w:rFonts w:hint="eastAsia" w:ascii="宋体" w:hAnsi="宋体" w:cs="宋体"/>
          <w:bCs/>
          <w:szCs w:val="21"/>
        </w:rPr>
        <w:t xml:space="preserve">4.1.3具有履行合同所必需的设备和专业技术能力。提供证明材料或承诺；</w:t>
      </w:r>
      <w:r/>
    </w:p>
    <w:p>
      <w:pPr>
        <w:pStyle w:val="994"/>
        <w:ind w:firstLine="0"/>
        <w:spacing w:line="360" w:lineRule="auto"/>
        <w:rPr>
          <w:rFonts w:ascii="宋体" w:hAnsi="宋体" w:cs="宋体"/>
          <w:bCs/>
          <w:szCs w:val="21"/>
        </w:rPr>
      </w:pPr>
      <w:r>
        <w:rPr>
          <w:rFonts w:hint="eastAsia" w:ascii="宋体" w:hAnsi="宋体" w:cs="宋体"/>
          <w:bCs/>
          <w:szCs w:val="21"/>
        </w:rPr>
        <w:t xml:space="preserve">4.1.4有依法缴纳税收和社会保障资金的良好记录。提供2025年8月以来任意一期依法缴纳税收及缴纳社会保障资金的证明材料，如相关主管部门证明或银行代扣证明。响应单位如依法享受缓缴、免缴税收、社会保障资金的应提供相关主管部门出具的证明材料；</w:t>
      </w:r>
      <w:r/>
    </w:p>
    <w:p>
      <w:pPr>
        <w:pStyle w:val="994"/>
        <w:ind w:firstLine="0"/>
        <w:spacing w:line="360" w:lineRule="auto"/>
        <w:rPr>
          <w:rFonts w:ascii="宋体" w:hAnsi="宋体" w:cs="宋体"/>
          <w:bCs/>
          <w:szCs w:val="21"/>
        </w:rPr>
      </w:pPr>
      <w:r>
        <w:rPr>
          <w:rFonts w:hint="eastAsia" w:ascii="宋体" w:hAnsi="宋体" w:cs="宋体"/>
          <w:bCs/>
          <w:szCs w:val="21"/>
        </w:rPr>
        <w:t xml:space="preserve">4.1.5参加政府采购活动前三年内在经营活动中没有重大违法记录。提供书面声明函；</w:t>
      </w:r>
      <w:r/>
    </w:p>
    <w:p>
      <w:pPr>
        <w:pStyle w:val="994"/>
        <w:ind w:firstLine="0"/>
        <w:spacing w:line="360" w:lineRule="auto"/>
        <w:rPr>
          <w:rFonts w:ascii="宋体" w:hAnsi="宋体" w:cs="宋体"/>
          <w:bCs/>
          <w:szCs w:val="21"/>
        </w:rPr>
      </w:pPr>
      <w:r>
        <w:rPr>
          <w:rFonts w:hint="eastAsia" w:ascii="宋体" w:hAnsi="宋体" w:cs="宋体"/>
          <w:bCs/>
          <w:szCs w:val="21"/>
        </w:rPr>
        <w:t xml:space="preserve">4.1.6法律、行政法规规定的其他条件。承诺符合。</w:t>
      </w:r>
      <w:r/>
    </w:p>
    <w:p>
      <w:pPr>
        <w:pStyle w:val="994"/>
        <w:ind w:firstLine="0"/>
        <w:spacing w:line="360" w:lineRule="auto"/>
        <w:rPr>
          <w:rFonts w:ascii="宋体" w:hAnsi="宋体" w:cs="宋体"/>
          <w:bCs/>
          <w:szCs w:val="21"/>
        </w:rPr>
      </w:pPr>
      <w:r>
        <w:rPr>
          <w:rFonts w:hint="eastAsia" w:ascii="宋体" w:hAnsi="宋体" w:cs="宋体"/>
          <w:bCs/>
          <w:szCs w:val="21"/>
        </w:rPr>
        <w:t xml:space="preserve">4.2其它有关资格证明的文件（包括但不限于磋商采购公告中其他特定资格要求的证明文件，如有要求须提供）；</w:t>
      </w:r>
      <w:r/>
    </w:p>
    <w:p>
      <w:pPr>
        <w:pStyle w:val="994"/>
        <w:ind w:firstLine="0"/>
        <w:spacing w:line="360" w:lineRule="auto"/>
        <w:rPr>
          <w:rFonts w:ascii="宋体" w:hAnsi="宋体" w:cs="宋体"/>
          <w:b/>
          <w:szCs w:val="21"/>
        </w:rPr>
      </w:pPr>
      <w:r>
        <w:rPr>
          <w:rFonts w:hint="eastAsia" w:ascii="宋体" w:hAnsi="宋体" w:cs="宋体"/>
          <w:b/>
          <w:szCs w:val="21"/>
        </w:rPr>
        <w:t xml:space="preserve">5、符合性审查响应文件</w:t>
      </w:r>
      <w:r/>
    </w:p>
    <w:p>
      <w:pPr>
        <w:pStyle w:val="994"/>
        <w:ind w:firstLine="0"/>
        <w:spacing w:line="360" w:lineRule="auto"/>
        <w:rPr>
          <w:rFonts w:ascii="宋体" w:hAnsi="宋体" w:cs="宋体"/>
          <w:szCs w:val="21"/>
        </w:rPr>
      </w:pPr>
      <w:r>
        <w:rPr>
          <w:rFonts w:hint="eastAsia" w:ascii="宋体" w:hAnsi="宋体" w:cs="宋体"/>
          <w:szCs w:val="21"/>
        </w:rPr>
        <w:t xml:space="preserve">5.1磋商响应函；</w:t>
      </w:r>
      <w:r/>
    </w:p>
    <w:p>
      <w:pPr>
        <w:pStyle w:val="994"/>
        <w:ind w:firstLine="0"/>
        <w:spacing w:line="360" w:lineRule="auto"/>
        <w:rPr>
          <w:rFonts w:ascii="宋体" w:hAnsi="宋体" w:cs="宋体"/>
          <w:szCs w:val="21"/>
        </w:rPr>
      </w:pPr>
      <w:r>
        <w:rPr>
          <w:rFonts w:hint="eastAsia" w:ascii="宋体" w:hAnsi="宋体" w:cs="宋体"/>
          <w:szCs w:val="21"/>
        </w:rPr>
        <w:t xml:space="preserve">5.2</w:t>
      </w:r>
      <w:bookmarkStart w:id="8" w:name="OLE_LINK3"/>
      <w:r/>
      <w:bookmarkStart w:id="9" w:name="OLE_LINK4"/>
      <w:r>
        <w:rPr>
          <w:rFonts w:hint="eastAsia" w:ascii="宋体" w:hAnsi="宋体" w:cs="宋体"/>
          <w:szCs w:val="21"/>
        </w:rPr>
        <w:t xml:space="preserve">关于资格文件的声明函；</w:t>
      </w:r>
      <w:bookmarkEnd w:id="8"/>
      <w:r/>
      <w:bookmarkEnd w:id="9"/>
      <w:r/>
      <w:r/>
    </w:p>
    <w:p>
      <w:pPr>
        <w:pStyle w:val="994"/>
        <w:ind w:firstLine="0"/>
        <w:spacing w:line="360" w:lineRule="auto"/>
        <w:rPr>
          <w:rFonts w:ascii="宋体" w:hAnsi="宋体" w:cs="宋体"/>
          <w:szCs w:val="21"/>
        </w:rPr>
      </w:pPr>
      <w:r>
        <w:rPr>
          <w:rFonts w:hint="eastAsia" w:ascii="宋体" w:hAnsi="宋体" w:cs="宋体"/>
          <w:szCs w:val="21"/>
        </w:rPr>
        <w:t xml:space="preserve">5.3磋商响应单位法定代表人身份证复印件；法人授权委托书和磋商响应单位授权代理人身份证复印件（如有授权）；</w:t>
      </w:r>
      <w:r/>
    </w:p>
    <w:p>
      <w:pPr>
        <w:pStyle w:val="994"/>
        <w:ind w:firstLine="0"/>
        <w:spacing w:line="360" w:lineRule="auto"/>
        <w:rPr>
          <w:rFonts w:ascii="宋体" w:hAnsi="宋体" w:cs="宋体"/>
          <w:szCs w:val="21"/>
        </w:rPr>
      </w:pPr>
      <w:r>
        <w:rPr>
          <w:rFonts w:hint="eastAsia" w:ascii="宋体" w:hAnsi="宋体" w:cs="宋体"/>
          <w:szCs w:val="21"/>
        </w:rPr>
        <w:t xml:space="preserve">5.4服务偏离表；</w:t>
      </w:r>
      <w:r/>
    </w:p>
    <w:p>
      <w:pPr>
        <w:pStyle w:val="994"/>
        <w:ind w:firstLine="0"/>
        <w:spacing w:line="360" w:lineRule="auto"/>
        <w:rPr>
          <w:rFonts w:ascii="宋体" w:hAnsi="宋体" w:cs="宋体"/>
          <w:szCs w:val="21"/>
        </w:rPr>
      </w:pPr>
      <w:r>
        <w:rPr>
          <w:rFonts w:hint="eastAsia" w:ascii="宋体" w:hAnsi="宋体" w:cs="宋体"/>
          <w:szCs w:val="21"/>
        </w:rPr>
        <w:t xml:space="preserve">5.5商务条款偏离表；</w:t>
      </w:r>
      <w:r/>
    </w:p>
    <w:p>
      <w:pPr>
        <w:pStyle w:val="994"/>
        <w:ind w:firstLine="0"/>
        <w:spacing w:line="360" w:lineRule="auto"/>
        <w:rPr>
          <w:rFonts w:ascii="宋体" w:hAnsi="宋体" w:cs="宋体"/>
          <w:szCs w:val="21"/>
        </w:rPr>
      </w:pPr>
      <w:r>
        <w:rPr>
          <w:rFonts w:hint="eastAsia" w:ascii="宋体" w:hAnsi="宋体" w:cs="宋体"/>
          <w:szCs w:val="21"/>
        </w:rPr>
        <w:t xml:space="preserve">5.6投标（响应）保证承诺书；</w:t>
      </w:r>
      <w:r/>
    </w:p>
    <w:p>
      <w:pPr>
        <w:pStyle w:val="994"/>
        <w:ind w:firstLine="0"/>
        <w:spacing w:line="360" w:lineRule="auto"/>
        <w:rPr>
          <w:rFonts w:ascii="宋体" w:hAnsi="宋体" w:cs="宋体"/>
          <w:szCs w:val="21"/>
        </w:rPr>
      </w:pPr>
      <w:r>
        <w:rPr>
          <w:rFonts w:hint="eastAsia" w:ascii="宋体" w:hAnsi="宋体" w:cs="宋体"/>
          <w:szCs w:val="21"/>
        </w:rPr>
        <w:t xml:space="preserve">5.7磋商响应单位基本情况表；</w:t>
      </w:r>
      <w:r/>
    </w:p>
    <w:p>
      <w:pPr>
        <w:pStyle w:val="994"/>
        <w:ind w:firstLine="0"/>
        <w:spacing w:line="360" w:lineRule="auto"/>
        <w:rPr>
          <w:rFonts w:ascii="宋体" w:hAnsi="宋体" w:cs="宋体"/>
          <w:szCs w:val="21"/>
        </w:rPr>
      </w:pPr>
      <w:r>
        <w:rPr>
          <w:rFonts w:hint="eastAsia" w:ascii="宋体" w:hAnsi="宋体" w:cs="宋体"/>
          <w:szCs w:val="21"/>
        </w:rPr>
        <w:t xml:space="preserve">5.8</w:t>
      </w:r>
      <w:bookmarkStart w:id="10" w:name="OLE_LINK5"/>
      <w:r/>
      <w:bookmarkStart w:id="11" w:name="OLE_LINK6"/>
      <w:r>
        <w:rPr>
          <w:rFonts w:hint="eastAsia" w:ascii="宋体" w:hAnsi="宋体" w:cs="宋体"/>
          <w:szCs w:val="21"/>
        </w:rPr>
        <w:t xml:space="preserve">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bookmarkEnd w:id="10"/>
      <w:r/>
      <w:bookmarkEnd w:id="11"/>
      <w:r/>
      <w:r/>
    </w:p>
    <w:p>
      <w:pPr>
        <w:pStyle w:val="994"/>
        <w:ind w:firstLine="0"/>
        <w:spacing w:line="360" w:lineRule="auto"/>
        <w:rPr>
          <w:rFonts w:ascii="宋体" w:hAnsi="宋体" w:cs="宋体"/>
          <w:b/>
          <w:szCs w:val="21"/>
        </w:rPr>
      </w:pPr>
      <w:r>
        <w:rPr>
          <w:rFonts w:hint="eastAsia" w:ascii="宋体" w:hAnsi="宋体" w:cs="宋体"/>
          <w:b/>
          <w:szCs w:val="21"/>
        </w:rPr>
        <w:t xml:space="preserve">6、综合评审响应文件（具体模块以系统生成为准）</w:t>
      </w:r>
      <w:r/>
    </w:p>
    <w:p>
      <w:pPr>
        <w:pStyle w:val="994"/>
        <w:ind w:firstLine="0"/>
        <w:spacing w:line="360" w:lineRule="auto"/>
        <w:rPr>
          <w:rFonts w:ascii="宋体" w:hAnsi="宋体" w:cs="宋体"/>
          <w:szCs w:val="21"/>
        </w:rPr>
      </w:pPr>
      <w:r>
        <w:rPr>
          <w:rFonts w:hint="eastAsia" w:ascii="宋体" w:hAnsi="宋体" w:cs="宋体"/>
          <w:szCs w:val="21"/>
        </w:rPr>
        <w:t xml:space="preserve">6.1项目服务方案（具体按评分标准要求）；</w:t>
      </w:r>
      <w:r/>
    </w:p>
    <w:p>
      <w:pPr>
        <w:pStyle w:val="994"/>
        <w:ind w:firstLine="0"/>
        <w:spacing w:line="360" w:lineRule="auto"/>
        <w:rPr>
          <w:rFonts w:ascii="宋体" w:hAnsi="宋体" w:cs="宋体"/>
          <w:szCs w:val="21"/>
        </w:rPr>
      </w:pPr>
      <w:r>
        <w:rPr>
          <w:rFonts w:hint="eastAsia" w:ascii="宋体" w:hAnsi="宋体" w:cs="宋体"/>
          <w:szCs w:val="21"/>
        </w:rPr>
        <w:t xml:space="preserve">6.2针对本项目的人员配置表；</w:t>
      </w:r>
      <w:r/>
    </w:p>
    <w:p>
      <w:pPr>
        <w:pStyle w:val="994"/>
        <w:ind w:firstLine="0"/>
        <w:spacing w:line="360" w:lineRule="auto"/>
        <w:rPr>
          <w:rFonts w:ascii="宋体" w:hAnsi="宋体" w:cs="宋体"/>
          <w:szCs w:val="21"/>
        </w:rPr>
      </w:pPr>
      <w:r>
        <w:rPr>
          <w:rFonts w:hint="eastAsia" w:ascii="宋体" w:hAnsi="宋体" w:cs="宋体"/>
          <w:szCs w:val="21"/>
        </w:rPr>
        <w:t xml:space="preserve">6.3 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994"/>
        <w:ind w:firstLine="0"/>
        <w:spacing w:line="360" w:lineRule="auto"/>
        <w:rPr>
          <w:rFonts w:ascii="宋体" w:hAnsi="宋体" w:cs="宋体"/>
          <w:szCs w:val="21"/>
        </w:rPr>
      </w:pPr>
      <w:r>
        <w:rPr>
          <w:rFonts w:hint="eastAsia" w:ascii="宋体" w:hAnsi="宋体" w:cs="宋体"/>
          <w:szCs w:val="21"/>
        </w:rPr>
        <w:t xml:space="preserve">6.4 采购需求及评分标准中所涉及到的其他材料。</w:t>
      </w:r>
      <w:r/>
    </w:p>
    <w:p>
      <w:pPr>
        <w:pStyle w:val="994"/>
        <w:ind w:firstLine="0"/>
        <w:spacing w:line="360" w:lineRule="auto"/>
        <w:rPr>
          <w:rFonts w:ascii="宋体" w:hAnsi="宋体" w:cs="宋体"/>
          <w:b/>
          <w:bCs/>
          <w:szCs w:val="21"/>
        </w:rPr>
      </w:pPr>
      <w:r>
        <w:rPr>
          <w:rFonts w:hint="eastAsia" w:ascii="宋体" w:hAnsi="宋体" w:cs="宋体"/>
          <w:b/>
          <w:szCs w:val="21"/>
        </w:rPr>
        <w:t xml:space="preserve">7、价格折扣文件：</w:t>
      </w:r>
      <w:r/>
    </w:p>
    <w:p>
      <w:pPr>
        <w:pStyle w:val="994"/>
        <w:ind w:firstLine="0"/>
        <w:spacing w:line="360" w:lineRule="auto"/>
        <w:rPr>
          <w:rFonts w:ascii="宋体" w:hAnsi="宋体" w:cs="宋体"/>
          <w:szCs w:val="21"/>
        </w:rPr>
      </w:pPr>
      <w:r>
        <w:rPr>
          <w:rFonts w:hint="eastAsia" w:ascii="宋体" w:hAnsi="宋体" w:cs="宋体"/>
          <w:szCs w:val="21"/>
        </w:rPr>
        <w:t xml:space="preserve">7.1</w:t>
      </w:r>
      <w:r>
        <w:rPr>
          <w:rFonts w:hint="eastAsia" w:ascii="宋体" w:hAnsi="宋体" w:cs="宋体"/>
          <w:lang w:val="zh-CN"/>
        </w:rPr>
        <w:t xml:space="preserve">《中小企业声明函》、《残疾人福利性单位声明函》、省级以上监狱管理局、戒毒管理局（含新疆生产建设兵团）出具的属于监狱企业的证明文件（不属于上述企业类型的单位应根据单位实际类型提供声明函）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rPr>
        <w:t xml:space="preserve">。</w:t>
      </w:r>
      <w:r/>
    </w:p>
    <w:p>
      <w:pPr>
        <w:pStyle w:val="994"/>
        <w:ind w:firstLine="0"/>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（1）以上4.1-4.2为资格审查要求提供的材料，是作为对供应商资格审查、质疑身份认定的依据，响应供应商必须提供并加盖电子公章。否则，磋商响应文件将被认定为不符合资格审查要求。</w:t>
      </w:r>
      <w:r/>
    </w:p>
    <w:p>
      <w:pPr>
        <w:pStyle w:val="994"/>
        <w:ind w:firstLine="422"/>
        <w:spacing w:line="360" w:lineRule="auto"/>
        <w:rPr>
          <w:rFonts w:ascii="宋体" w:hAnsi="宋体" w:cs="宋体"/>
          <w:szCs w:val="21"/>
        </w:rPr>
      </w:pPr>
      <w:r>
        <w:rPr>
          <w:rFonts w:hint="eastAsia" w:ascii="宋体" w:hAnsi="宋体" w:cs="宋体"/>
          <w:b/>
          <w:bCs/>
          <w:szCs w:val="21"/>
        </w:rPr>
        <w:t xml:space="preserve">（2）以上5.1-5.8为符合性审查须提供的资料，响应供应商必须提供并加盖电子公章。否则，磋商响应文件将被认定为未实质性响应。</w:t>
      </w:r>
      <w:r/>
    </w:p>
    <w:p>
      <w:pPr>
        <w:pStyle w:val="994"/>
        <w:ind w:firstLine="422"/>
        <w:spacing w:line="360" w:lineRule="auto"/>
        <w:rPr>
          <w:rFonts w:ascii="宋体" w:hAnsi="宋体" w:cs="宋体"/>
          <w:b/>
          <w:bCs/>
          <w:szCs w:val="21"/>
        </w:rPr>
      </w:pPr>
      <w:r>
        <w:rPr>
          <w:rFonts w:hint="eastAsia" w:ascii="宋体" w:hAnsi="宋体" w:cs="宋体"/>
          <w:b/>
          <w:bCs/>
          <w:szCs w:val="21"/>
        </w:rPr>
        <w:t xml:space="preserve">（3）制作电子响应文件时必须与投标文件制作软件目录一一对应，将相关资料上传至相应模块。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61"/>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61"/>
        <w:spacing w:line="360" w:lineRule="auto"/>
        <w:rPr>
          <w:rFonts w:ascii="宋体" w:hAnsi="宋体" w:eastAsia="宋体" w:cs="宋体"/>
          <w:b/>
          <w:sz w:val="21"/>
          <w:szCs w:val="21"/>
        </w:rPr>
      </w:pPr>
      <w:r>
        <w:rPr>
          <w:rFonts w:hint="eastAsia" w:ascii="宋体" w:hAnsi="宋体" w:eastAsia="宋体" w:cs="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六、磋商程序</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1、采购代理机构按规定的时间、地点主持磋商采购活动。</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3、在磋商响应文件网上递交截止时间止成功解密的磋商供应商少于三家，则本次采购失败。</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4、由磋商小组审查供应商解密的响应文件。</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5、由磋商小组对各响应单位的资格进行审查。资格审查内容包括：</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（1）供应商是否满足《中华人民共和国政府采购法》第二十二条规定的基本条件；</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（2）信用查询，现场审查供应商是否在参加政府采购活动前三年内，在经营活动中没有重大违法记录；</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（3）专门面向中小企业的项目，应当在资格审查环节对供应商出具的《中小企业声明函》进行审查；</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（4）接受联合体投标的项目，联合体各方是否满足采购文件规定并提交相应证明文件；</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（5）供应商是否满足采购文件规定的其他特定条件；</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（6）供应商是否存在其他不得参与该政府采购项目的情形。</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761"/>
        <w:ind w:firstLine="0"/>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7、磋商小组要求供应商澄清、说明或者更正响应文件应当以书面形式做出。供应商的澄清、说明或者更正应当由其单位加盖电子公章。</w:t>
      </w:r>
      <w:r/>
    </w:p>
    <w:p>
      <w:pPr>
        <w:pStyle w:val="948"/>
        <w:ind w:firstLine="0"/>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61"/>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61"/>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6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76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spacing w:line="360" w:lineRule="auto"/>
        <w:rPr>
          <w:rFonts w:ascii="宋体" w:hAnsi="宋体" w:cs="宋体"/>
          <w:szCs w:val="21"/>
        </w:rPr>
      </w:pPr>
      <w:r>
        <w:rPr>
          <w:rFonts w:hint="eastAsia" w:ascii="宋体" w:hAnsi="宋体" w:cs="宋体"/>
          <w:szCs w:val="21"/>
        </w:rPr>
        <w:t xml:space="preserve">1、磋商响应总报价包括完成本项目服务工作期间所需的人员费用、调研费、交通费、食宿费、设备使用费、培训、报告及相关档案等费用，以及法定税金、利润、政策性文件规定及合同包含的所有风险、责任</w:t>
      </w:r>
      <w:r>
        <w:rPr>
          <w:rFonts w:hint="eastAsia" w:ascii="宋体" w:hAnsi="宋体" w:cs="宋体"/>
          <w:szCs w:val="21"/>
        </w:rPr>
        <w:t xml:space="preserve">及验收等各项应有费用。除非合同条款中另有规定，否则，成交单位所报价格在合同实施期间不因市场变化因素而变动。磋商响应单位未填价格的项目，在实施后，采购单位将不予支付，并视为该项费用已包括磋商总报价中。</w:t>
      </w:r>
      <w:r/>
    </w:p>
    <w:p>
      <w:pPr>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996"/>
          <w:rFonts w:ascii="宋体" w:hAnsi="宋体" w:cs="宋体"/>
          <w:b/>
          <w:szCs w:val="21"/>
        </w:rPr>
      </w:pPr>
      <w:r>
        <w:rPr>
          <w:rStyle w:val="996"/>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spacing w:line="360" w:lineRule="auto"/>
        <w:rPr>
          <w:rFonts w:ascii="宋体" w:hAnsi="宋体" w:cs="宋体"/>
        </w:rPr>
      </w:pPr>
      <w:r>
        <w:rPr>
          <w:rFonts w:hint="eastAsia" w:ascii="宋体" w:hAnsi="宋体" w:cs="宋体"/>
          <w:bCs/>
          <w:szCs w:val="21"/>
        </w:rPr>
        <w:t xml:space="preserve">4、代理服务费：</w:t>
      </w:r>
      <w:r>
        <w:rPr>
          <w:rStyle w:val="996"/>
          <w:rFonts w:hint="eastAsia" w:ascii="宋体" w:hAnsi="宋体" w:cs="宋体"/>
          <w:szCs w:val="21"/>
        </w:rPr>
        <w:t xml:space="preserve">由成交单位按照预算金额计算并支付，具体为100万元以内1.5%、100万元～500万元以内1.1%差额定率累进法计算并支付代理服务费，该费用应在领取成交通知书时付清。本项目服务费金额为人民币</w:t>
      </w:r>
      <w:r>
        <w:rPr>
          <w:rFonts w:hint="eastAsia"/>
        </w:rPr>
        <w:t xml:space="preserve">贰万陆仟贰佰伍拾捌元整</w:t>
      </w:r>
      <w:r>
        <w:rPr>
          <w:rStyle w:val="996"/>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spacing w:line="360" w:lineRule="auto"/>
        <w:rPr>
          <w:rFonts w:ascii="宋体" w:hAnsi="宋体" w:cs="宋体"/>
          <w:bCs/>
          <w:szCs w:val="21"/>
        </w:rPr>
      </w:pPr>
      <w:r>
        <w:rPr>
          <w:rFonts w:hint="eastAsia" w:ascii="宋体" w:hAnsi="宋体" w:cs="宋体"/>
          <w:bCs/>
          <w:szCs w:val="21"/>
        </w:rPr>
        <w:t xml:space="preserve">5、磋商说明：</w:t>
      </w:r>
      <w:r/>
    </w:p>
    <w:p>
      <w:pPr>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994"/>
        <w:ind w:firstLine="0"/>
        <w:jc w:val="left"/>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994"/>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994"/>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）联合体各方共同与采购单位签订合同，就采购合同约定的事项对采购单位承担连带责任。</w:t>
      </w:r>
      <w:r/>
    </w:p>
    <w:p>
      <w:pPr>
        <w:pStyle w:val="994"/>
        <w:ind w:firstLine="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）除非另有规定或说明，本文中“响应单位”一词亦指联合体各成员。</w:t>
      </w:r>
      <w:r/>
    </w:p>
    <w:p>
      <w:pPr>
        <w:spacing w:line="360" w:lineRule="auto"/>
        <w:rPr>
          <w:rFonts w:ascii="宋体" w:hAnsi="宋体" w:cs="宋体"/>
          <w:bCs/>
          <w:szCs w:val="21"/>
        </w:rPr>
      </w:pPr>
      <w:r>
        <w:rPr>
          <w:rFonts w:hint="eastAsia" w:ascii="宋体" w:hAnsi="宋体" w:cs="宋体"/>
          <w:bCs/>
          <w:szCs w:val="21"/>
        </w:rPr>
        <w:t xml:space="preserve">7、凡涉及磋商采购文件的补充说明和修改，均以苏州政府采购网上发布的通知为准。</w:t>
      </w:r>
      <w:r/>
    </w:p>
    <w:p>
      <w:pPr>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（1）采购代理机构会在接收响应文件截止时间后，登录信用中国网站（www.creditchina.gov.cn/）查询供应商的信用记录，并将查询结果递交评审小组。</w:t>
      </w:r>
      <w:r/>
    </w:p>
    <w:p>
      <w:pPr>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spacing w:line="360" w:lineRule="auto"/>
        <w:rPr>
          <w:rFonts w:ascii="宋体" w:hAnsi="宋体" w:cs="宋体"/>
          <w:szCs w:val="21"/>
        </w:rPr>
      </w:pPr>
      <w:r>
        <w:rPr>
          <w:rFonts w:hint="eastAsia" w:ascii="宋体" w:hAnsi="宋体" w:cs="宋体"/>
          <w:szCs w:val="21"/>
        </w:rPr>
        <w:t xml:space="preserve">1）被列入失信被执行人名单；</w:t>
      </w:r>
      <w:r/>
    </w:p>
    <w:p>
      <w:pPr>
        <w:spacing w:line="360" w:lineRule="auto"/>
        <w:rPr>
          <w:rFonts w:ascii="宋体" w:hAnsi="宋体" w:cs="宋体"/>
          <w:szCs w:val="21"/>
        </w:rPr>
      </w:pPr>
      <w:r>
        <w:rPr>
          <w:rFonts w:hint="eastAsia" w:ascii="宋体" w:hAnsi="宋体" w:cs="宋体"/>
          <w:szCs w:val="21"/>
        </w:rPr>
        <w:t xml:space="preserve">2）被列入重大税收违法案件当事人名单；</w:t>
      </w:r>
      <w:r/>
    </w:p>
    <w:p>
      <w:pPr>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ascii="宋体" w:hAnsi="宋体" w:cs="宋体"/>
          <w:szCs w:val="21"/>
        </w:rPr>
      </w:pPr>
      <w:r>
        <w:rPr>
          <w:rFonts w:hint="eastAsia" w:ascii="宋体" w:hAnsi="宋体" w:cs="宋体"/>
          <w:szCs w:val="21"/>
        </w:rPr>
        <w:t xml:space="preserve">9、告知成交结果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12" w:name="_Hlk132385577"/>
      <w:r/>
      <w:bookmarkStart w:id="13" w:name="_Hlk132389804"/>
      <w:r/>
      <w:bookmarkStart w:id="14" w:name="_Hlk132385599"/>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2"/>
      <w:r/>
      <w:bookmarkEnd w:id="13"/>
      <w:r/>
      <w:bookmarkEnd w:id="14"/>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rPr>
          <w:rFonts w:ascii="宋体" w:hAnsi="宋体" w:cs="宋体"/>
          <w:szCs w:val="21"/>
        </w:rPr>
      </w:pPr>
      <w:r>
        <w:rPr>
          <w:rFonts w:hint="eastAsia" w:ascii="宋体" w:hAnsi="宋体" w:cs="宋体"/>
          <w:szCs w:val="21"/>
        </w:rPr>
        <w:t xml:space="preserve">10、成交供应商除发生法律规定的不能预见、不能避免并不能克服的客观情况外不得放弃或拒绝签订合同</w:t>
      </w:r>
      <w:r>
        <w:rPr>
          <w:rFonts w:hint="eastAsia" w:ascii="宋体" w:hAnsi="宋体" w:cs="宋体"/>
          <w:szCs w:val="21"/>
        </w:rPr>
        <w:t xml:space="preserve">的。放弃或拒绝签订合同的，采购单位视情将其通报给财政部门。</w:t>
      </w:r>
      <w:r/>
    </w:p>
    <w:p>
      <w:pPr>
        <w:spacing w:line="360" w:lineRule="auto"/>
        <w:rPr>
          <w:rFonts w:ascii="宋体" w:hAnsi="宋体" w:cs="宋体"/>
          <w:szCs w:val="21"/>
        </w:rPr>
      </w:pPr>
      <w:r>
        <w:rPr>
          <w:rFonts w:hint="eastAsia" w:ascii="宋体" w:hAnsi="宋体" w:cs="宋体"/>
          <w:szCs w:val="21"/>
        </w:rPr>
        <w:t xml:space="preserve">11、采购合同履行中，采购单位需追加与合同标的相同的服务的，在不改变合同其他条款的前提下，可以与成交供应商协商签订补充合同，但所有补充合同的项目金额不得超过原合同项目金额的百分之十。</w:t>
      </w:r>
      <w:r/>
    </w:p>
    <w:p>
      <w:pPr>
        <w:spacing w:line="360" w:lineRule="auto"/>
        <w:rPr>
          <w:rFonts w:ascii="宋体" w:hAnsi="宋体" w:cs="宋体"/>
          <w:szCs w:val="21"/>
        </w:rPr>
      </w:pPr>
      <w:r>
        <w:rPr>
          <w:rFonts w:hint="eastAsia" w:ascii="宋体" w:hAnsi="宋体" w:cs="宋体"/>
          <w:szCs w:val="21"/>
        </w:rPr>
        <w:t xml:space="preserve">12、成交供应商拒绝签订采购合同的，或因不可抗力或者自身原因不能履行采购合同的，采购单位可以视情与排位在成交供应商之后第一位的成交候选供应商签订采购合同，也可以重新开展招标活动。</w:t>
      </w:r>
      <w:r/>
    </w:p>
    <w:p>
      <w:pPr>
        <w:spacing w:line="360" w:lineRule="auto"/>
        <w:rPr>
          <w:rFonts w:ascii="宋体" w:hAnsi="宋体" w:cs="宋体"/>
          <w:szCs w:val="21"/>
        </w:rPr>
      </w:pPr>
      <w:r>
        <w:rPr>
          <w:rFonts w:hint="eastAsia" w:ascii="宋体" w:hAnsi="宋体" w:cs="宋体"/>
          <w:szCs w:val="21"/>
        </w:rPr>
        <w:t xml:space="preserve">13、质疑处理</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13.1供应商认为采购文件、采购过程或成交结果使自己的权益受到损害的，可以在知道或者应知其权益受到损害之日起7个工作日内，以书面形式向采购单位、采购代理机构提出质疑。采购代理机构应当在收到供应商书面质疑后7个工作日内作出答复。</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13.2本次采购文件要求供应商在法定质疑期内一次性提出针对同一采购程序环节的质疑。</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13.3供应商提出质疑应当提交质疑函和必要的证明材料，质疑函应当包括下列内容：</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6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761"/>
        <w:ind w:firstLine="0"/>
        <w:spacing w:line="360" w:lineRule="auto"/>
        <w:rPr>
          <w:rFonts w:ascii="宋体" w:hAnsi="宋体" w:eastAsia="宋体" w:cs="宋体"/>
          <w:b/>
          <w:sz w:val="21"/>
          <w:szCs w:val="21"/>
        </w:rPr>
      </w:pPr>
      <w:r>
        <w:rPr>
          <w:rFonts w:hint="eastAsia" w:ascii="宋体" w:hAnsi="宋体" w:eastAsia="宋体" w:cs="宋体"/>
          <w:sz w:val="21"/>
          <w:szCs w:val="21"/>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13.5接收质疑函的方式：书面形式（当场送达或邮寄方式）</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质疑联系人：朱晓芹   潘莉莉  路丽丽</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联系电话：0512-68669209</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spacing w:line="360" w:lineRule="auto"/>
        <w:rPr>
          <w:rFonts w:ascii="宋体" w:hAnsi="宋体" w:cs="宋体"/>
          <w:szCs w:val="21"/>
        </w:rPr>
      </w:pPr>
      <w:r>
        <w:rPr>
          <w:rFonts w:hint="eastAsia" w:ascii="宋体" w:hAnsi="宋体" w:cs="宋体"/>
          <w:szCs w:val="21"/>
        </w:rPr>
        <w:t xml:space="preserve">14、相关政策（如涉及）</w:t>
      </w:r>
      <w:r/>
    </w:p>
    <w:p>
      <w:pPr>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szCs w:val="21"/>
        </w:rPr>
        <w:t xml:space="preserve">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其中，供应商提供的货物既有中小企业制造货物，也有大型企业制造货物的，不享受中小企业扶持政策。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761"/>
        <w:ind w:firstLine="0"/>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sz w:val="21"/>
          <w:szCs w:val="21"/>
        </w:rPr>
        <w:t xml:space="preserve">项目的终止</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761"/>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spacing w:line="360" w:lineRule="auto"/>
        <w:rPr>
          <w:rFonts w:ascii="宋体" w:hAnsi="宋体" w:cs="宋体"/>
          <w:b/>
          <w:bCs/>
          <w:szCs w:val="21"/>
        </w:rPr>
      </w:pPr>
      <w:r>
        <w:rPr>
          <w:rFonts w:hint="eastAsia" w:ascii="宋体" w:hAnsi="宋体" w:cs="宋体"/>
          <w:b/>
          <w:bCs/>
          <w:szCs w:val="21"/>
        </w:rPr>
        <w:t xml:space="preserve">16、导致无效投标因素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（6）法律、法规和招标（采购）文件规定的其他无效情形。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成交单位</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3、如出现评标总得分最高的磋商响应单位有两个或两个以上的，以投标报价较低者优先作为成交单位，如果实际投标报价也相同的，则由采购单位或者采购代理机构以抽签方式确定成交单位。</w:t>
      </w:r>
      <w:r/>
    </w:p>
    <w:p>
      <w:pPr>
        <w:spacing w:line="360" w:lineRule="auto"/>
        <w:rPr>
          <w:rFonts w:ascii="宋体" w:hAnsi="宋体" w:cs="宋体"/>
        </w:rPr>
      </w:pPr>
      <w:r>
        <w:rPr>
          <w:rFonts w:hint="eastAsia" w:ascii="宋体" w:hAnsi="宋体" w:cs="宋体"/>
          <w:szCs w:val="21"/>
          <w:shd w:val="clear" w:color="auto" w:fill="ffffff"/>
        </w:rPr>
        <w:t xml:space="preserve">4、</w:t>
      </w:r>
      <w:r>
        <w:rPr>
          <w:rFonts w:hint="eastAsia" w:ascii="宋体" w:hAnsi="宋体" w:cs="宋体"/>
        </w:rPr>
        <w:t xml:space="preserve">异常低价审查</w:t>
      </w:r>
      <w:r/>
    </w:p>
    <w:p>
      <w:pPr>
        <w:spacing w:line="360" w:lineRule="auto"/>
        <w:rPr>
          <w:rFonts w:ascii="宋体" w:hAnsi="宋体" w:cs="宋体"/>
        </w:rPr>
      </w:pPr>
      <w:r>
        <w:rPr>
          <w:rFonts w:hint="eastAsia" w:ascii="宋体" w:hAnsi="宋体" w:cs="宋体"/>
        </w:rPr>
        <w:t xml:space="preserve">（一）参照财政部发布的《关于推动解决政府采购异常低价问题的通知》（ 财库〔2026〕2号）文，项目采购评审中出现下列情形之一的，评审委员会应当启动异常低价投标（响应）审查程序：</w:t>
      </w:r>
      <w:r/>
    </w:p>
    <w:p>
      <w:pPr>
        <w:spacing w:line="360" w:lineRule="auto"/>
        <w:rPr>
          <w:rFonts w:ascii="宋体" w:hAnsi="宋体" w:cs="宋体"/>
        </w:rPr>
      </w:pPr>
      <w:r>
        <w:rPr>
          <w:rFonts w:hint="eastAsia" w:ascii="宋体" w:hAnsi="宋体" w:cs="宋体"/>
        </w:rPr>
        <w:t xml:space="preserve">A、评审过程中出现下列情形之一的，评审委员会应当启动异常低价投标（响应）审查程序：</w:t>
      </w:r>
      <w:r/>
    </w:p>
    <w:p>
      <w:pPr>
        <w:spacing w:line="360" w:lineRule="auto"/>
        <w:rPr>
          <w:rFonts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p>
    <w:p>
      <w:pPr>
        <w:spacing w:line="360" w:lineRule="auto"/>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p>
    <w:p>
      <w:pPr>
        <w:spacing w:line="360" w:lineRule="auto"/>
        <w:rPr>
          <w:rFonts w:ascii="宋体" w:hAnsi="宋体" w:cs="宋体"/>
        </w:rPr>
      </w:pPr>
      <w:r>
        <w:rPr>
          <w:rFonts w:hint="eastAsia" w:ascii="宋体" w:hAnsi="宋体" w:cs="宋体"/>
        </w:rPr>
        <w:t xml:space="preserve">3.投标（响应）报价低于采购项目最高限价45%的，即投标（响应）报价&lt;采购项目最高限价×45%；</w:t>
      </w:r>
      <w:r/>
    </w:p>
    <w:p>
      <w:pPr>
        <w:spacing w:line="360" w:lineRule="auto"/>
        <w:rPr>
          <w:rFonts w:ascii="宋体" w:hAnsi="宋体" w:cs="宋体"/>
        </w:rPr>
      </w:pPr>
      <w:r>
        <w:rPr>
          <w:rFonts w:hint="eastAsia" w:ascii="宋体" w:hAnsi="宋体" w:cs="宋体"/>
        </w:rPr>
        <w:t xml:space="preserve">4.评审委员会基于专业判断，认为供应商报价过低，有可能影响产品质量或者不能诚信履约的其他情形。</w:t>
      </w:r>
      <w:r/>
    </w:p>
    <w:p>
      <w:pPr>
        <w:spacing w:line="360" w:lineRule="auto"/>
        <w:rPr>
          <w:rFonts w:ascii="宋体" w:hAnsi="宋体" w:cs="宋体"/>
        </w:rPr>
      </w:pPr>
      <w:r>
        <w:rPr>
          <w:rFonts w:hint="eastAsia" w:ascii="宋体" w:hAnsi="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rPr>
          <w:rFonts w:ascii="宋体" w:hAnsi="宋体" w:cs="宋体"/>
          <w:b/>
          <w:bCs/>
          <w:szCs w:val="21"/>
        </w:rPr>
        <w:outlineLvl w:val="2"/>
      </w:pPr>
      <w:r>
        <w:rPr>
          <w:rFonts w:hint="eastAsia" w:ascii="宋体" w:hAnsi="宋体" w:cs="宋体"/>
          <w:b/>
          <w:bCs/>
          <w:szCs w:val="21"/>
        </w:rPr>
        <w:t xml:space="preserve">（一）价格分（10分，以最后报价作为计算依据）</w:t>
      </w:r>
      <w:r/>
    </w:p>
    <w:p>
      <w:pPr>
        <w:spacing w:line="360" w:lineRule="auto"/>
        <w:rPr>
          <w:rFonts w:ascii="宋体" w:hAnsi="宋体" w:cs="宋体"/>
          <w:szCs w:val="21"/>
        </w:rPr>
      </w:pPr>
      <w:r>
        <w:rPr>
          <w:rFonts w:hint="eastAsia" w:ascii="宋体" w:hAnsi="宋体" w:cs="宋体"/>
          <w:szCs w:val="21"/>
        </w:rPr>
        <w:t xml:space="preserve">第一步：磋商总报价低于或等于采购预算价格且投标报价符合采购最高限价规定的，为有效投标报价。超采购预算的磋商报价或投标报价超采购最高限价规定的报价为无效投标报价。无效投标报价的响应文件不进行评审，也不得标。</w:t>
      </w:r>
      <w:r/>
    </w:p>
    <w:p>
      <w:pPr>
        <w:spacing w:line="360" w:lineRule="auto"/>
        <w:rPr>
          <w:rFonts w:ascii="宋体" w:hAnsi="宋体" w:cs="宋体"/>
          <w:szCs w:val="21"/>
        </w:rPr>
      </w:pPr>
      <w:r>
        <w:rPr>
          <w:rFonts w:hint="eastAsia" w:ascii="宋体" w:hAnsi="宋体" w:cs="宋体"/>
          <w:szCs w:val="21"/>
        </w:rPr>
        <w:t xml:space="preserve">第二步：在所有有效投标报价中满足磋商文件要求，且投标价格最低的磋商报价为磋商基准价</w:t>
      </w:r>
      <w:r>
        <w:rPr>
          <w:rFonts w:hint="eastAsia"/>
          <w:bCs/>
          <w:lang w:val="zh-CN"/>
        </w:rPr>
        <w:t xml:space="preserve">【如</w:t>
      </w:r>
      <w:r>
        <w:rPr>
          <w:rFonts w:hint="eastAsia"/>
          <w:bCs/>
        </w:rPr>
        <w:t xml:space="preserve">响应</w:t>
      </w:r>
      <w:r>
        <w:rPr>
          <w:rFonts w:hint="eastAsia"/>
          <w:bCs/>
          <w:lang w:val="zh-CN"/>
        </w:rPr>
        <w:t xml:space="preserve">单位为小微企业、监狱企业或残疾人福利性单位的，则用扣除后的价格参与评审，如扣除后的价格为最低价的，则作为评标基准价，</w:t>
      </w:r>
      <w:r>
        <w:rPr>
          <w:rFonts w:hint="eastAsia"/>
          <w:bCs/>
        </w:rPr>
        <w:t xml:space="preserve">成交</w:t>
      </w:r>
      <w:r>
        <w:rPr>
          <w:rFonts w:hint="eastAsia"/>
          <w:bCs/>
          <w:lang w:val="zh-CN"/>
        </w:rPr>
        <w:t xml:space="preserve">金额则以实际投标报价为准。】</w:t>
      </w:r>
      <w:r>
        <w:rPr>
          <w:rFonts w:hint="eastAsia" w:ascii="宋体" w:hAnsi="宋体" w:cs="宋体"/>
          <w:szCs w:val="21"/>
        </w:rPr>
        <w:t xml:space="preserve">，其他响应单位的价格分按照下列公式计算（计算结果四舍五入保留两位小数）：磋商报价得分=（磋商基准价/最后磋商报价）×价格权值×100（价格权值为10%）。</w:t>
      </w:r>
      <w:r/>
    </w:p>
    <w:p>
      <w:pPr>
        <w:spacing w:line="360" w:lineRule="auto"/>
        <w:tabs>
          <w:tab w:val="left" w:pos="567" w:leader="none"/>
          <w:tab w:val="left" w:pos="2870" w:leader="none"/>
        </w:tabs>
        <w:rPr>
          <w:rFonts w:ascii="宋体" w:hAnsi="宋体" w:cs="宋体"/>
          <w:b/>
          <w:szCs w:val="21"/>
        </w:rPr>
      </w:pPr>
      <w:r>
        <w:rPr>
          <w:rFonts w:hint="eastAsia" w:ascii="宋体" w:hAnsi="宋体" w:cs="宋体"/>
          <w:b/>
          <w:szCs w:val="21"/>
        </w:rPr>
        <w:t xml:space="preserve">（二）项目服务方案（45分）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2.1针对本项目的工作目标方案（11分）</w:t>
      </w:r>
      <w:r/>
    </w:p>
    <w:p>
      <w:pPr>
        <w:spacing w:line="360" w:lineRule="auto"/>
        <w:tabs>
          <w:tab w:val="left" w:pos="567" w:leader="none"/>
          <w:tab w:val="left" w:pos="2870" w:leader="none"/>
        </w:tabs>
      </w:pPr>
      <w:r>
        <w:rPr>
          <w:rFonts w:hint="eastAsia" w:ascii="宋体" w:hAnsi="宋体" w:cs="宋体"/>
          <w:szCs w:val="21"/>
        </w:rPr>
        <w:t xml:space="preserve">根据响应单位针对本项目制定的各项工作目标方案内容评定：</w:t>
      </w:r>
      <w:r>
        <w:rPr>
          <w:rFonts w:hint="eastAsia" w:ascii="宋体" w:hAnsi="宋体" w:cs="宋体"/>
          <w:bCs/>
          <w:szCs w:val="21"/>
        </w:rPr>
        <w:t xml:space="preserve">对项目现状和项目特点有全面深入的了解并有针对性研究，</w:t>
      </w:r>
      <w:r>
        <w:rPr>
          <w:rFonts w:hint="eastAsia" w:ascii="宋体" w:hAnsi="宋体" w:cs="宋体"/>
          <w:szCs w:val="21"/>
        </w:rPr>
        <w:t xml:space="preserve">针对本项目的各项工作目标方案</w:t>
      </w:r>
      <w:r>
        <w:rPr>
          <w:rFonts w:hint="eastAsia" w:ascii="宋体" w:hAnsi="宋体" w:cs="宋体"/>
          <w:bCs/>
          <w:szCs w:val="21"/>
        </w:rPr>
        <w:t xml:space="preserve">详实具体，贴合项目需求，针对性高的为11分；对项目现状和项目特点有基本了解和研究，</w:t>
      </w:r>
      <w:r>
        <w:rPr>
          <w:rFonts w:hint="eastAsia" w:ascii="宋体" w:hAnsi="宋体" w:cs="宋体"/>
          <w:szCs w:val="21"/>
        </w:rPr>
        <w:t xml:space="preserve">针对本项目的各项工作目标方案</w:t>
      </w:r>
      <w:r>
        <w:rPr>
          <w:rFonts w:hint="eastAsia" w:ascii="宋体" w:hAnsi="宋体" w:cs="宋体"/>
          <w:bCs/>
          <w:szCs w:val="21"/>
        </w:rPr>
        <w:t xml:space="preserve">较为详细，较为符合项目需求，针对性较好的为9分；对项目现状和项目特点有基本了解但不全面，</w:t>
      </w:r>
      <w:r>
        <w:rPr>
          <w:rFonts w:hint="eastAsia" w:ascii="宋体" w:hAnsi="宋体" w:cs="宋体"/>
          <w:szCs w:val="21"/>
        </w:rPr>
        <w:t xml:space="preserve">针对本项目的各项工作目标方案</w:t>
      </w:r>
      <w:r>
        <w:rPr>
          <w:rFonts w:hint="eastAsia" w:ascii="宋体" w:hAnsi="宋体" w:cs="宋体"/>
          <w:bCs/>
          <w:szCs w:val="21"/>
        </w:rPr>
        <w:t xml:space="preserve">不够详细，针对性较差的为7分；对项目现状和项目特点了解较缺乏，</w:t>
      </w:r>
      <w:r>
        <w:rPr>
          <w:rFonts w:hint="eastAsia" w:ascii="宋体" w:hAnsi="宋体" w:cs="宋体"/>
          <w:szCs w:val="21"/>
        </w:rPr>
        <w:t xml:space="preserve">针对本项目的各项工作目标方案内容</w:t>
      </w:r>
      <w:r>
        <w:rPr>
          <w:rFonts w:hint="eastAsia" w:ascii="宋体" w:hAnsi="宋体" w:cs="宋体"/>
          <w:bCs/>
          <w:szCs w:val="21"/>
        </w:rPr>
        <w:t xml:space="preserve">简单且针对性差的为5分；未提供上述相关内容的不得分。 </w:t>
      </w:r>
      <w:r/>
    </w:p>
    <w:p>
      <w:pPr>
        <w:spacing w:line="360" w:lineRule="auto"/>
        <w:rPr>
          <w:rFonts w:ascii="宋体" w:hAnsi="宋体" w:cs="宋体"/>
          <w:bCs/>
          <w:szCs w:val="21"/>
        </w:rPr>
      </w:pPr>
      <w:r>
        <w:rPr>
          <w:rFonts w:hint="eastAsia" w:ascii="宋体" w:hAnsi="宋体" w:cs="宋体"/>
          <w:szCs w:val="21"/>
        </w:rPr>
        <w:t xml:space="preserve">2.2</w:t>
      </w:r>
      <w:r>
        <w:rPr>
          <w:rFonts w:hint="eastAsia" w:ascii="宋体" w:hAnsi="宋体" w:cs="宋体"/>
          <w:bCs/>
          <w:szCs w:val="21"/>
        </w:rPr>
        <w:t xml:space="preserve">对本项目的重点、难点的分析（10分）</w:t>
      </w:r>
      <w:r/>
    </w:p>
    <w:p>
      <w:pPr>
        <w:spacing w:line="360" w:lineRule="auto"/>
        <w:rPr>
          <w:rFonts w:ascii="宋体" w:hAnsi="宋体" w:cs="宋体"/>
          <w:bCs/>
          <w:szCs w:val="21"/>
        </w:rPr>
      </w:pPr>
      <w:r>
        <w:rPr>
          <w:rFonts w:hint="eastAsia" w:ascii="宋体" w:hAnsi="宋体" w:cs="宋体"/>
          <w:bCs/>
          <w:szCs w:val="21"/>
        </w:rPr>
        <w:t xml:space="preserve">响应单位对本项目的重点、难点的分析，准确到位、有贴合实际对应方案的得10分；对项目的重点、难点的分析内容基本准确、有较贴合实际处理方案的得8分；对项目的重点、难点的分析不够准确，所提供的处理预案可行性较弱的得6分；对项目的重点、难点的分析简单，相关处理预案提供不全的得4分；未提供上述相关内容的不得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2.3针对本项目的工作思路（6分）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根据响应单位针对本项目制定的各项工作思路方案内容评定：针对本项目各项工作制定的工作思路内容</w:t>
      </w:r>
      <w:r>
        <w:rPr>
          <w:rFonts w:hint="eastAsia" w:ascii="宋体" w:hAnsi="宋体" w:cs="宋体"/>
          <w:bCs/>
          <w:szCs w:val="21"/>
        </w:rPr>
        <w:t xml:space="preserve">详实具体，贴合项目需求，针对性和可实施性高的为6分；</w:t>
      </w:r>
      <w:r>
        <w:rPr>
          <w:rFonts w:hint="eastAsia" w:ascii="宋体" w:hAnsi="宋体" w:cs="宋体"/>
          <w:szCs w:val="21"/>
        </w:rPr>
        <w:t xml:space="preserve">针对本项目各项工作制定的工作思路内容</w:t>
      </w:r>
      <w:r>
        <w:rPr>
          <w:rFonts w:hint="eastAsia" w:ascii="宋体" w:hAnsi="宋体" w:cs="宋体"/>
          <w:bCs/>
          <w:szCs w:val="21"/>
        </w:rPr>
        <w:t xml:space="preserve">较为详细，较为符合项目需求，可实施性较好的为4分；</w:t>
      </w:r>
      <w:r>
        <w:rPr>
          <w:rFonts w:hint="eastAsia" w:ascii="宋体" w:hAnsi="宋体" w:cs="宋体"/>
          <w:szCs w:val="21"/>
        </w:rPr>
        <w:t xml:space="preserve">针对本项目各项工作制定的工作思路内容</w:t>
      </w:r>
      <w:r>
        <w:rPr>
          <w:rFonts w:hint="eastAsia" w:ascii="宋体" w:hAnsi="宋体" w:cs="宋体"/>
          <w:bCs/>
          <w:szCs w:val="21"/>
        </w:rPr>
        <w:t xml:space="preserve">不够详细，可实施性较差的为2分；</w:t>
      </w:r>
      <w:r>
        <w:rPr>
          <w:rFonts w:hint="eastAsia" w:ascii="宋体" w:hAnsi="宋体" w:cs="宋体"/>
          <w:szCs w:val="21"/>
        </w:rPr>
        <w:t xml:space="preserve">针对本项目各项工作制定的工作思路内容</w:t>
      </w:r>
      <w:r>
        <w:rPr>
          <w:rFonts w:hint="eastAsia" w:ascii="宋体" w:hAnsi="宋体" w:cs="宋体"/>
          <w:bCs/>
          <w:szCs w:val="21"/>
        </w:rPr>
        <w:t xml:space="preserve">简单且可实施性差的为1分；未提供上述相关内容的不得分。 </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2.4针对本项目的具体服务流程方案（6分）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根据响应单位针对本项目制定的各项具体服务流程方案内容评定：针对本项目制定的各项具体服务流程方案</w:t>
      </w:r>
      <w:r>
        <w:rPr>
          <w:rFonts w:hint="eastAsia" w:ascii="宋体" w:hAnsi="宋体" w:cs="宋体"/>
          <w:bCs/>
          <w:szCs w:val="21"/>
        </w:rPr>
        <w:t xml:space="preserve">详实具体，贴合项目需求，针对性和可实施性高的为6分；</w:t>
      </w:r>
      <w:r>
        <w:rPr>
          <w:rFonts w:hint="eastAsia" w:ascii="宋体" w:hAnsi="宋体" w:cs="宋体"/>
          <w:szCs w:val="21"/>
        </w:rPr>
        <w:t xml:space="preserve">针对本项目制定的各项具体服务流程方案</w:t>
      </w:r>
      <w:r>
        <w:rPr>
          <w:rFonts w:hint="eastAsia" w:ascii="宋体" w:hAnsi="宋体" w:cs="宋体"/>
          <w:bCs/>
          <w:szCs w:val="21"/>
        </w:rPr>
        <w:t xml:space="preserve">较为详细，较为符合项目需求，可实施性较好的为4分；</w:t>
      </w:r>
      <w:r>
        <w:rPr>
          <w:rFonts w:hint="eastAsia" w:ascii="宋体" w:hAnsi="宋体" w:cs="宋体"/>
          <w:szCs w:val="21"/>
        </w:rPr>
        <w:t xml:space="preserve">针对本项目制定的各项具体服务流程方案</w:t>
      </w:r>
      <w:r>
        <w:rPr>
          <w:rFonts w:hint="eastAsia" w:ascii="宋体" w:hAnsi="宋体" w:cs="宋体"/>
          <w:bCs/>
          <w:szCs w:val="21"/>
        </w:rPr>
        <w:t xml:space="preserve">不够详细，可实施性较差的为2分；</w:t>
      </w:r>
      <w:r>
        <w:rPr>
          <w:rFonts w:hint="eastAsia" w:ascii="宋体" w:hAnsi="宋体" w:cs="宋体"/>
          <w:szCs w:val="21"/>
        </w:rPr>
        <w:t xml:space="preserve">针对本项目制定的各项具体服务流程方案</w:t>
      </w:r>
      <w:r>
        <w:rPr>
          <w:rFonts w:hint="eastAsia" w:ascii="宋体" w:hAnsi="宋体" w:cs="宋体"/>
          <w:bCs/>
          <w:szCs w:val="21"/>
        </w:rPr>
        <w:t xml:space="preserve">内容简单且可实施性差的为1分；未提供上述相关内容的不得分。 </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2.5针对本项目服务的工作计划方案（6分）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根据响应单位针对本项目制定的各项工作计划方案内容评定：针对本项目制定的各项工作计划方案</w:t>
      </w:r>
      <w:r>
        <w:rPr>
          <w:rFonts w:hint="eastAsia" w:ascii="宋体" w:hAnsi="宋体" w:cs="宋体"/>
          <w:bCs/>
          <w:szCs w:val="21"/>
        </w:rPr>
        <w:t xml:space="preserve">详实具体，贴合项目需求，针对性和可实施性高的为6分；</w:t>
      </w:r>
      <w:r>
        <w:rPr>
          <w:rFonts w:hint="eastAsia" w:ascii="宋体" w:hAnsi="宋体" w:cs="宋体"/>
          <w:szCs w:val="21"/>
        </w:rPr>
        <w:t xml:space="preserve">针对本项目制定的各项工作计划方案</w:t>
      </w:r>
      <w:r>
        <w:rPr>
          <w:rFonts w:hint="eastAsia" w:ascii="宋体" w:hAnsi="宋体" w:cs="宋体"/>
          <w:bCs/>
          <w:szCs w:val="21"/>
        </w:rPr>
        <w:t xml:space="preserve">较为详细，较为符合项目需求，可实施性较好的为4分；</w:t>
      </w:r>
      <w:r>
        <w:rPr>
          <w:rFonts w:hint="eastAsia" w:ascii="宋体" w:hAnsi="宋体" w:cs="宋体"/>
          <w:szCs w:val="21"/>
        </w:rPr>
        <w:t xml:space="preserve">针对本项目制定的各项工作计划方案</w:t>
      </w:r>
      <w:r>
        <w:rPr>
          <w:rFonts w:hint="eastAsia" w:ascii="宋体" w:hAnsi="宋体" w:cs="宋体"/>
          <w:bCs/>
          <w:szCs w:val="21"/>
        </w:rPr>
        <w:t xml:space="preserve">不够详细，可实施性较差的</w:t>
      </w:r>
      <w:r>
        <w:rPr>
          <w:rFonts w:hint="eastAsia" w:ascii="宋体" w:hAnsi="宋体" w:cs="宋体"/>
          <w:bCs/>
          <w:szCs w:val="21"/>
        </w:rPr>
        <w:t xml:space="preserve">为2分；</w:t>
      </w:r>
      <w:r>
        <w:rPr>
          <w:rFonts w:hint="eastAsia" w:ascii="宋体" w:hAnsi="宋体" w:cs="宋体"/>
          <w:szCs w:val="21"/>
        </w:rPr>
        <w:t xml:space="preserve">针对本项目制定的各项工作计划方案</w:t>
      </w:r>
      <w:r>
        <w:rPr>
          <w:rFonts w:hint="eastAsia" w:ascii="宋体" w:hAnsi="宋体" w:cs="宋体"/>
          <w:bCs/>
          <w:szCs w:val="21"/>
        </w:rPr>
        <w:t xml:space="preserve">内容简单且可实施性差的为1分；未提供上述相关内容的不得分。 </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2.6针对本项目服务的各项保障措施方案（6分）</w:t>
      </w:r>
      <w:r/>
    </w:p>
    <w:p>
      <w:pPr>
        <w:spacing w:line="360" w:lineRule="auto"/>
        <w:rPr>
          <w:rFonts w:ascii="宋体" w:hAnsi="宋体" w:cs="宋体"/>
          <w:szCs w:val="21"/>
        </w:rPr>
      </w:pPr>
      <w:r>
        <w:rPr>
          <w:rFonts w:hint="eastAsia" w:ascii="宋体" w:hAnsi="宋体" w:cs="宋体"/>
          <w:szCs w:val="21"/>
        </w:rPr>
        <w:t xml:space="preserve">根据响应单位针对本项目制定的各项保障措施方案内容评定：各项保障措施方案</w:t>
      </w:r>
      <w:r>
        <w:rPr>
          <w:rFonts w:hint="eastAsia" w:ascii="宋体" w:hAnsi="宋体" w:cs="宋体"/>
          <w:bCs/>
          <w:szCs w:val="21"/>
        </w:rPr>
        <w:t xml:space="preserve">详实具体，贴合项目需求，针对性和可实施性高的为6分；</w:t>
      </w:r>
      <w:r>
        <w:rPr>
          <w:rFonts w:hint="eastAsia" w:ascii="宋体" w:hAnsi="宋体" w:cs="宋体"/>
          <w:szCs w:val="21"/>
        </w:rPr>
        <w:t xml:space="preserve">各项保障措施方案</w:t>
      </w:r>
      <w:r>
        <w:rPr>
          <w:rFonts w:hint="eastAsia" w:ascii="宋体" w:hAnsi="宋体" w:cs="宋体"/>
          <w:bCs/>
          <w:szCs w:val="21"/>
        </w:rPr>
        <w:t xml:space="preserve">较为详细，较为符合项目需求，可实施性较好的为4分；</w:t>
      </w:r>
      <w:r>
        <w:rPr>
          <w:rFonts w:hint="eastAsia" w:ascii="宋体" w:hAnsi="宋体" w:cs="宋体"/>
          <w:szCs w:val="21"/>
        </w:rPr>
        <w:t xml:space="preserve">各项保障措施方案</w:t>
      </w:r>
      <w:r>
        <w:rPr>
          <w:rFonts w:hint="eastAsia" w:ascii="宋体" w:hAnsi="宋体" w:cs="宋体"/>
          <w:bCs/>
          <w:szCs w:val="21"/>
        </w:rPr>
        <w:t xml:space="preserve">不够详细，可实施性较差的为2分；</w:t>
      </w:r>
      <w:r>
        <w:rPr>
          <w:rFonts w:hint="eastAsia" w:ascii="宋体" w:hAnsi="宋体" w:cs="宋体"/>
          <w:szCs w:val="21"/>
        </w:rPr>
        <w:t xml:space="preserve">各项保障措施方案</w:t>
      </w:r>
      <w:r>
        <w:rPr>
          <w:rFonts w:hint="eastAsia" w:ascii="宋体" w:hAnsi="宋体" w:cs="宋体"/>
          <w:bCs/>
          <w:szCs w:val="21"/>
        </w:rPr>
        <w:t xml:space="preserve">内容简单且可实施性差的为1分；未提供上述相关内容的不得分。 </w:t>
      </w:r>
      <w:r/>
    </w:p>
    <w:p>
      <w:pPr>
        <w:spacing w:line="360" w:lineRule="auto"/>
        <w:tabs>
          <w:tab w:val="left" w:pos="567" w:leader="none"/>
          <w:tab w:val="left" w:pos="2870" w:leader="none"/>
        </w:tabs>
        <w:rPr>
          <w:rFonts w:ascii="宋体" w:hAnsi="宋体" w:cs="宋体"/>
          <w:b/>
          <w:szCs w:val="21"/>
        </w:rPr>
      </w:pPr>
      <w:r>
        <w:rPr>
          <w:rFonts w:hint="eastAsia" w:ascii="宋体" w:hAnsi="宋体" w:cs="宋体"/>
          <w:b/>
          <w:szCs w:val="21"/>
        </w:rPr>
        <w:t xml:space="preserve">（三）针对本项目的技术力量配置（32分）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3.1针对本项目的项目负责人配置（4分）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项目负责人(1名)：具备与本项目服务相关专业的高级（或以上）工程师职称证书、中级注册安全工程师证书的，每具备一项得2分，最高为4分；提供上述对应人员对应评分内容的证书证明文件复印件，及对应人员在响应单位的最近三个月内任意一个月的社保缴纳证明或劳动聘用关系证明文件，复印件加盖响应单位签章，资料未提供或所提供资料无法证明对应评分内容的，对应项不得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3.2针对本项目的项目组其他成员的技术职称情况（10分）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针对本项目的项目组其他成员（除项目负责人）具备化工工艺、仪器仪表、化工机械、电气工程、安全管理等与本项目服务相关专业的高级（或以上）工程师职称证书的，每具备1人得2分，同一人员或同一专业不重复计分，最高为10分。提供上述对应人员对应评分内容的证书证明文件复印件，及对应人员在响应单位的最近三个月内任意一个月的社保缴纳证明或劳动聘用关系证明文件，复印件加盖响应单位签章，资料未提供或所提供资料无法证明对应评分内容的，对应项不得分，3.2和3.3同一人员不重复计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3.3针对本项目的项目组其他成员技术力量配置（7分）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针对本项目的项目组其他成员（除项目负责人）具备与本项目服务相关专业的中级注册安全工程师证书或者高级（或以上）工程师职称证书的，每具备1名得1分，最高为7分。提供上述对应人员对应评分内容的证书证明文件复印件，及对应人员在响应单位的最近三个月内任意一个月的社保缴纳证明或劳动聘用关系证明文件，复印件加盖响应单位签章，资料未提供或所提供资料无法证明对应评分内容的，对应项不得分，3.2和3.3同一人员不重复计分。</w:t>
      </w:r>
      <w:r/>
    </w:p>
    <w:p>
      <w:pPr>
        <w:spacing w:line="360" w:lineRule="auto"/>
        <w:rPr>
          <w:rFonts w:ascii="宋体" w:hAnsi="宋体" w:cs="宋体"/>
          <w:bCs/>
          <w:szCs w:val="21"/>
        </w:rPr>
      </w:pPr>
      <w:r>
        <w:rPr>
          <w:rFonts w:hint="eastAsia" w:ascii="宋体" w:hAnsi="宋体" w:cs="宋体"/>
          <w:szCs w:val="21"/>
        </w:rPr>
        <w:t xml:space="preserve">3.4</w:t>
      </w:r>
      <w:r>
        <w:rPr>
          <w:rFonts w:hint="eastAsia" w:ascii="宋体" w:hAnsi="宋体" w:cs="宋体"/>
          <w:bCs/>
          <w:szCs w:val="21"/>
        </w:rPr>
        <w:t xml:space="preserve">针对本项目服务人员的管理方案（6分） </w:t>
      </w:r>
      <w:r/>
    </w:p>
    <w:p>
      <w:pPr>
        <w:spacing w:line="360" w:lineRule="auto"/>
        <w:rPr>
          <w:rFonts w:ascii="宋体" w:hAnsi="宋体" w:cs="宋体"/>
          <w:bCs/>
          <w:szCs w:val="21"/>
        </w:rPr>
      </w:pPr>
      <w:r>
        <w:rPr>
          <w:rFonts w:hint="eastAsia" w:ascii="宋体" w:hAnsi="宋体" w:cs="宋体"/>
          <w:bCs/>
          <w:szCs w:val="21"/>
        </w:rPr>
        <w:t xml:space="preserve">响应单位针对本项目的团队人员的管理方案，项目团队人员配备符合项目要求的基础上，根据其分工方案、岗位职责分配的合理性等评定：项目团队人员管理方案内容详实具体，团队人员分工细致，岗位职责明确、科学合理可行的得6分；项目团队人员管理方案内容较为详细，团队人员分工基本明确，岗位职责科学合理性较好的得4分；项目团队人员管理方案内容不够详细，团队人员分工简单，岗位职责和科学合理较差的得2分；项目团队人员管理方案内容简单，团队人员分工不明确，岗位职责和科学合理性差的得1分；未提供上述相关内容的不得分。 </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3.5针对本项目的服务的装备配备（5分）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针对本项目服务配置7座车辆1辆（或以上），或者配置5座普通轿车达到2辆（或以上）的得2分，针</w:t>
      </w:r>
      <w:r>
        <w:rPr>
          <w:rFonts w:hint="eastAsia" w:ascii="宋体" w:hAnsi="宋体" w:cs="宋体"/>
          <w:szCs w:val="21"/>
        </w:rPr>
        <w:t xml:space="preserve">对本项目配置服务相关的考评分析软件的得2分，针对本项目配置服务相关其他装备的得1分，最高为5分；自有的提供设备清单、购置发票复印件；租赁的提供设备清单、购置发票复印件、租赁协议复印件及租赁费用发票复印件；承诺中标后配置的，提供承诺配置清单及承诺中标后进场服务之前配置到位的承诺书；上述资料均需加盖响应单位公章，资料未提供或所提供资料无法证明的对应项不得分。</w:t>
      </w:r>
      <w:r/>
    </w:p>
    <w:p>
      <w:pPr>
        <w:spacing w:line="360" w:lineRule="auto"/>
        <w:tabs>
          <w:tab w:val="left" w:pos="567" w:leader="none"/>
          <w:tab w:val="left" w:pos="2870" w:leader="none"/>
        </w:tabs>
        <w:rPr>
          <w:rFonts w:ascii="宋体" w:hAnsi="宋体" w:cs="宋体"/>
          <w:b/>
          <w:szCs w:val="21"/>
        </w:rPr>
      </w:pPr>
      <w:r>
        <w:rPr>
          <w:rFonts w:hint="eastAsia" w:ascii="宋体" w:hAnsi="宋体" w:cs="宋体"/>
          <w:b/>
          <w:szCs w:val="21"/>
          <w:lang w:val="zh-TW" w:eastAsia="zh-TW"/>
        </w:rPr>
        <w:t xml:space="preserve">（</w:t>
      </w:r>
      <w:r>
        <w:rPr>
          <w:rFonts w:hint="eastAsia" w:ascii="宋体" w:hAnsi="宋体" w:cs="宋体"/>
          <w:b/>
          <w:szCs w:val="21"/>
        </w:rPr>
        <w:t xml:space="preserve">四</w:t>
      </w:r>
      <w:r>
        <w:rPr>
          <w:rFonts w:hint="eastAsia" w:ascii="宋体" w:hAnsi="宋体" w:cs="宋体"/>
          <w:b/>
          <w:szCs w:val="21"/>
          <w:lang w:val="zh-TW" w:eastAsia="zh-TW"/>
        </w:rPr>
        <w:t xml:space="preserve">）</w:t>
      </w:r>
      <w:r>
        <w:rPr>
          <w:rFonts w:hint="eastAsia" w:ascii="宋体" w:hAnsi="宋体" w:cs="宋体"/>
          <w:b/>
          <w:szCs w:val="21"/>
        </w:rPr>
        <w:t xml:space="preserve">响应单位针对本项目服务的综合实力（13分）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4.1响应单位具有与本项目服务相关的技术成果情况（5分）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响应单位具有与本项目服务相关的经国家行政主管部门批准实施的安全生产及相关领域的标准的参与编制、规范或发表过本项目相关安全生产技术论文等成果的，有一个得1分，最高得5分。提供标准、规范、图集等的封面及扉页等复印件及对应参与人员在响应单位的最近三个月内任意一个月的社保缴纳证明或劳动聘用关系证明文件，复印件加盖响应单位签章，资料未提供或所提供资料无法证明对应评分内容的，对应项不得分。</w:t>
      </w:r>
      <w:r/>
    </w:p>
    <w:p>
      <w:pPr>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4.2响应单位类似项目业绩（8分）</w:t>
      </w:r>
      <w:r/>
    </w:p>
    <w:p>
      <w:pPr>
        <w:spacing w:line="360" w:lineRule="auto"/>
        <w:tabs>
          <w:tab w:val="left" w:pos="567" w:leader="none"/>
          <w:tab w:val="left" w:pos="2870" w:leader="none"/>
        </w:tabs>
        <w:rPr>
          <w:rFonts w:hint="eastAsia" w:ascii="宋体" w:hAnsi="宋体" w:cs="宋体"/>
          <w:szCs w:val="21"/>
        </w:rPr>
      </w:pPr>
      <w:r>
        <w:rPr>
          <w:rFonts w:hint="eastAsia" w:ascii="宋体" w:hAnsi="宋体" w:cs="宋体"/>
          <w:szCs w:val="21"/>
        </w:rPr>
        <w:t xml:space="preserve">响应单位2023年1月1日以来（以合同签订日期为准），具有与本项目服务相关的类似服务业绩的，有一份得1分，最高为8分。响应文件中提供合同、服务期内任意一期发票的复印件加盖响应单位签章，资料未提供或所提供资料无法证明对应评分内容的，对应项不得分。</w:t>
      </w:r>
      <w:r/>
    </w:p>
    <w:p>
      <w:pPr>
        <w:pStyle w:val="759"/>
        <w:ind w:left="0"/>
      </w:pPr>
      <w:r/>
      <w:r/>
    </w:p>
    <w:p>
      <w:pPr>
        <w:numPr>
          <w:ilvl w:val="0"/>
          <w:numId w:val="3"/>
        </w:numPr>
        <w:jc w:val="left"/>
        <w:spacing w:line="360" w:lineRule="auto"/>
        <w:rPr>
          <w:rFonts w:ascii="宋体" w:hAnsi="宋体" w:cs="宋体"/>
          <w:b/>
          <w:bCs/>
          <w:szCs w:val="21"/>
        </w:rPr>
      </w:pPr>
      <w:r>
        <w:rPr>
          <w:rFonts w:hint="eastAsia" w:ascii="宋体" w:hAnsi="宋体" w:cs="宋体"/>
          <w:b/>
          <w:bCs/>
          <w:szCs w:val="21"/>
        </w:rPr>
        <w:t xml:space="preserve">其他说明：</w:t>
      </w:r>
      <w:r/>
    </w:p>
    <w:p>
      <w:pPr>
        <w:jc w:val="left"/>
        <w:spacing w:line="360" w:lineRule="auto"/>
        <w:rPr>
          <w:rFonts w:ascii="宋体" w:hAnsi="宋体" w:cs="宋体"/>
          <w:szCs w:val="21"/>
        </w:rPr>
      </w:pPr>
      <w:r>
        <w:rPr>
          <w:rFonts w:hint="eastAsia" w:ascii="宋体" w:hAnsi="宋体" w:cs="宋体"/>
          <w:szCs w:val="21"/>
        </w:rPr>
        <w:t xml:space="preserve">1、报价超过采购预算（最高限价）或付款步骤、服务期限有负偏离的将不进入综合评审程序，也不得成交。</w:t>
      </w:r>
      <w:r/>
    </w:p>
    <w:p>
      <w:pPr>
        <w:jc w:val="left"/>
        <w:spacing w:line="360" w:lineRule="auto"/>
        <w:rPr>
          <w:rFonts w:ascii="宋体" w:hAnsi="宋体" w:cs="宋体"/>
          <w:szCs w:val="21"/>
        </w:rPr>
      </w:pPr>
      <w:r>
        <w:rPr>
          <w:rFonts w:hint="eastAsia" w:ascii="宋体" w:hAnsi="宋体" w:cs="宋体"/>
          <w:szCs w:val="21"/>
        </w:rPr>
        <w:t xml:space="preserve">2、针对评分标准中评分的每一条，磋商响应单位均应提供相关资料并作出相应说明供评委评判，不提供相关资料的视为不具备该项得分的条件。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szCs w:val="21"/>
        </w:rPr>
      </w:pPr>
      <w:r>
        <w:rPr>
          <w:rFonts w:hint="eastAsia" w:ascii="宋体" w:hAnsi="宋体" w:cs="宋体"/>
          <w:szCs w:val="21"/>
        </w:rPr>
        <w:t xml:space="preserve">3、采购文件中要求加盖响应单位公章的，可用电子签章代替；要求提供复印件的，也可提供扫描件。</w:t>
      </w:r>
      <w:r/>
    </w:p>
    <w:p>
      <w:pPr>
        <w:spacing w:line="360" w:lineRule="auto"/>
        <w:rPr>
          <w:rFonts w:ascii="宋体" w:hAnsi="宋体" w:cs="宋体"/>
          <w:szCs w:val="21"/>
        </w:rPr>
      </w:pPr>
      <w:r>
        <w:rPr>
          <w:rFonts w:hint="eastAsia" w:ascii="宋体" w:hAnsi="宋体" w:cs="宋体"/>
          <w:szCs w:val="21"/>
        </w:rPr>
        <w:t xml:space="preserve">4、响应单位必须保证全部响应资料的真实性，如有虚假或对磋商文件所要求说明的情况故意隐瞒或虚报，视为不实质性响应磋商文件，为无效响应，已成交的将取消成交资格，并按《中华人民共和国政府采购法》第七十七条“提供虚假材料谋取中标、成交”相关处理办法处理。</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ind w:right="675"/>
        <w:spacing w:line="360" w:lineRule="auto"/>
        <w:tabs>
          <w:tab w:val="left" w:pos="9498" w:leader="none"/>
        </w:tabs>
        <w:rPr>
          <w:rFonts w:ascii="宋体" w:hAnsi="宋体" w:cs="宋体"/>
          <w:szCs w:val="21"/>
        </w:rPr>
      </w:pPr>
      <w:r>
        <w:rPr>
          <w:rFonts w:hint="eastAsia" w:ascii="宋体" w:hAnsi="宋体" w:cs="宋体"/>
          <w:szCs w:val="21"/>
        </w:rPr>
        <w:t xml:space="preserve">采购编号：</w:t>
      </w:r>
      <w:r/>
    </w:p>
    <w:p>
      <w:pPr>
        <w:ind w:right="675"/>
        <w:spacing w:line="360" w:lineRule="auto"/>
        <w:tabs>
          <w:tab w:val="left" w:pos="9498" w:leader="none"/>
        </w:tabs>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甲方（采购单位）：苏州市应急管理局</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szCs w:val="21"/>
        </w:rPr>
      </w:pPr>
      <w:r>
        <w:rPr>
          <w:rFonts w:hint="eastAsia" w:ascii="宋体" w:hAnsi="宋体"/>
          <w:szCs w:val="21"/>
        </w:rPr>
        <w:t xml:space="preserve">联系电话：</w:t>
      </w:r>
      <w:r/>
    </w:p>
    <w:p>
      <w:pPr>
        <w:spacing w:line="360" w:lineRule="auto"/>
        <w:rPr>
          <w:rFonts w:ascii="宋体" w:hAnsi="宋体"/>
          <w:szCs w:val="21"/>
        </w:rPr>
      </w:pPr>
      <w:r>
        <w:rPr>
          <w:rFonts w:hint="eastAsia" w:ascii="宋体" w:hAnsi="宋体"/>
          <w:szCs w:val="21"/>
        </w:rPr>
        <w:t xml:space="preserve">联系地址：</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乙方（成交单位）： </w:t>
      </w:r>
      <w:r/>
    </w:p>
    <w:p>
      <w:pPr>
        <w:spacing w:line="360" w:lineRule="auto"/>
        <w:rPr>
          <w:rFonts w:ascii="宋体" w:hAnsi="宋体"/>
          <w:szCs w:val="21"/>
        </w:rPr>
      </w:pPr>
      <w:r>
        <w:rPr>
          <w:rFonts w:hint="eastAsia" w:ascii="宋体" w:hAnsi="宋体"/>
          <w:szCs w:val="21"/>
        </w:rPr>
        <w:t xml:space="preserve">联系人：</w:t>
      </w:r>
      <w:r/>
    </w:p>
    <w:p>
      <w:pPr>
        <w:spacing w:line="360" w:lineRule="auto"/>
        <w:rPr>
          <w:rFonts w:ascii="宋体" w:hAnsi="宋体" w:cs="宋体"/>
          <w:szCs w:val="21"/>
        </w:rPr>
      </w:pPr>
      <w:r>
        <w:rPr>
          <w:rFonts w:hint="eastAsia" w:ascii="宋体" w:hAnsi="宋体"/>
          <w:szCs w:val="21"/>
        </w:rPr>
        <w:t xml:space="preserve">联系电话：</w:t>
      </w:r>
      <w:r/>
    </w:p>
    <w:p>
      <w:pPr>
        <w:spacing w:line="360" w:lineRule="auto"/>
        <w:rPr>
          <w:rFonts w:ascii="宋体" w:hAnsi="宋体" w:cs="宋体"/>
          <w:szCs w:val="21"/>
        </w:rPr>
      </w:pPr>
      <w:r>
        <w:rPr>
          <w:rFonts w:hint="eastAsia" w:ascii="宋体" w:hAnsi="宋体"/>
          <w:szCs w:val="21"/>
        </w:rPr>
        <w:t xml:space="preserve">联系地址：</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采购编号JSZC-320500-CJZB-C2026-0026号【危险化学品行政许可审查指导服务】采购文件及乙方的响应文件和成交通知书，采购单位（简称“甲方”）、成交单位（简称“乙方”）双方就此次成交事宜，签订本合同书。</w:t>
      </w:r>
      <w:r/>
    </w:p>
    <w:p>
      <w:pPr>
        <w:spacing w:line="360" w:lineRule="auto"/>
        <w:rPr>
          <w:rFonts w:ascii="宋体" w:hAnsi="宋体" w:cs="宋体"/>
          <w:szCs w:val="21"/>
        </w:rPr>
      </w:pPr>
      <w:r>
        <w:rPr>
          <w:rFonts w:hint="eastAsia" w:ascii="宋体" w:hAnsi="宋体" w:cs="宋体"/>
          <w:b/>
          <w:bCs/>
          <w:szCs w:val="21"/>
        </w:rPr>
        <w:t xml:space="preserve">一、合同内容：</w:t>
      </w:r>
      <w:r/>
    </w:p>
    <w:p>
      <w:pPr>
        <w:pStyle w:val="771"/>
        <w:spacing w:line="360" w:lineRule="auto"/>
        <w:rPr>
          <w:rFonts w:hAnsi="宋体" w:eastAsia="宋体" w:cs="宋体"/>
          <w:sz w:val="21"/>
          <w:szCs w:val="21"/>
        </w:rPr>
      </w:pPr>
      <w:r>
        <w:rPr>
          <w:rFonts w:hint="eastAsia" w:hAnsi="宋体" w:eastAsia="宋体" w:cs="宋体"/>
          <w:sz w:val="21"/>
          <w:szCs w:val="21"/>
        </w:rPr>
        <w:t xml:space="preserve">1.乙方负责完成甲方</w:t>
      </w:r>
      <w:r>
        <w:rPr>
          <w:rFonts w:hint="eastAsia" w:hAnsi="宋体" w:eastAsia="宋体" w:cs="宋体"/>
          <w:sz w:val="21"/>
          <w:szCs w:val="21"/>
          <w:u w:val="single"/>
        </w:rPr>
        <w:t xml:space="preserve">危险化学品行政许可审查指导服务</w:t>
      </w:r>
      <w:r>
        <w:rPr>
          <w:rFonts w:hint="eastAsia" w:hAnsi="宋体" w:eastAsia="宋体" w:cs="宋体"/>
          <w:sz w:val="21"/>
          <w:szCs w:val="21"/>
        </w:rPr>
        <w:t xml:space="preserve">。</w:t>
      </w:r>
      <w:r/>
    </w:p>
    <w:p>
      <w:pPr>
        <w:pStyle w:val="771"/>
        <w:spacing w:line="360" w:lineRule="auto"/>
        <w:rPr>
          <w:rFonts w:hAnsi="宋体" w:eastAsia="宋体" w:cs="宋体"/>
          <w:sz w:val="21"/>
          <w:szCs w:val="21"/>
        </w:rPr>
      </w:pPr>
      <w:r>
        <w:rPr>
          <w:rFonts w:hint="eastAsia" w:hAnsi="宋体" w:eastAsia="宋体" w:cs="宋体"/>
          <w:sz w:val="21"/>
          <w:szCs w:val="21"/>
        </w:rPr>
        <w:t xml:space="preserve">2.下列文件为本合同不可分割部分：</w:t>
      </w:r>
      <w:r/>
    </w:p>
    <w:p>
      <w:pPr>
        <w:pStyle w:val="771"/>
        <w:spacing w:line="360" w:lineRule="auto"/>
        <w:rPr>
          <w:rFonts w:hAnsi="宋体" w:eastAsia="宋体" w:cs="宋体"/>
          <w:sz w:val="21"/>
          <w:szCs w:val="21"/>
        </w:rPr>
      </w:pPr>
      <w:r>
        <w:rPr>
          <w:rFonts w:hint="eastAsia" w:hAnsi="宋体" w:eastAsia="宋体" w:cs="宋体"/>
          <w:sz w:val="21"/>
          <w:szCs w:val="21"/>
        </w:rPr>
        <w:t xml:space="preserve">① 成交通知书；</w:t>
      </w:r>
      <w:r/>
    </w:p>
    <w:p>
      <w:pPr>
        <w:pStyle w:val="771"/>
        <w:spacing w:line="360" w:lineRule="auto"/>
        <w:rPr>
          <w:rFonts w:hAnsi="宋体" w:eastAsia="宋体" w:cs="宋体"/>
          <w:sz w:val="21"/>
          <w:szCs w:val="21"/>
        </w:rPr>
      </w:pPr>
      <w:r>
        <w:rPr>
          <w:rFonts w:hint="eastAsia" w:hAnsi="宋体" w:eastAsia="宋体" w:cs="宋体"/>
          <w:sz w:val="21"/>
          <w:szCs w:val="21"/>
        </w:rPr>
        <w:t xml:space="preserve">② 乙方成交的响应文件；</w:t>
      </w:r>
      <w:r/>
    </w:p>
    <w:p>
      <w:pPr>
        <w:pStyle w:val="771"/>
        <w:spacing w:line="360" w:lineRule="auto"/>
        <w:rPr>
          <w:rFonts w:hAnsi="宋体" w:eastAsia="宋体" w:cs="宋体"/>
          <w:sz w:val="21"/>
          <w:szCs w:val="21"/>
        </w:rPr>
      </w:pPr>
      <w:r>
        <w:rPr>
          <w:rFonts w:hint="eastAsia" w:hAnsi="宋体" w:eastAsia="宋体" w:cs="宋体"/>
          <w:sz w:val="21"/>
          <w:szCs w:val="21"/>
        </w:rPr>
        <w:t xml:space="preserve">③ 乙方在响应过程中所作的其它承诺、声明、书面澄清等；</w:t>
      </w:r>
      <w:r/>
    </w:p>
    <w:p>
      <w:pPr>
        <w:pStyle w:val="771"/>
        <w:spacing w:line="360" w:lineRule="auto"/>
        <w:rPr>
          <w:rFonts w:hAnsi="宋体" w:eastAsia="宋体" w:cs="宋体"/>
          <w:sz w:val="21"/>
          <w:szCs w:val="21"/>
        </w:rPr>
      </w:pPr>
      <w:r>
        <w:rPr>
          <w:rFonts w:hint="eastAsia" w:hAnsi="宋体" w:eastAsia="宋体" w:cs="宋体"/>
          <w:sz w:val="21"/>
          <w:szCs w:val="21"/>
        </w:rPr>
        <w:t xml:space="preserve">④ 采购文件及其附件；</w:t>
      </w:r>
      <w:r/>
    </w:p>
    <w:p>
      <w:pPr>
        <w:pStyle w:val="771"/>
        <w:spacing w:line="360" w:lineRule="auto"/>
        <w:rPr>
          <w:rFonts w:hAnsi="宋体" w:eastAsia="宋体" w:cs="宋体"/>
          <w:sz w:val="21"/>
          <w:szCs w:val="21"/>
        </w:rPr>
      </w:pPr>
      <w:r>
        <w:rPr>
          <w:rFonts w:hint="eastAsia" w:hAnsi="宋体" w:eastAsia="宋体" w:cs="宋体"/>
          <w:sz w:val="21"/>
          <w:szCs w:val="21"/>
        </w:rPr>
        <w:t xml:space="preserve">⑤ 合同附件。</w:t>
      </w:r>
      <w:r/>
    </w:p>
    <w:p>
      <w:pPr>
        <w:pStyle w:val="771"/>
        <w:spacing w:line="360" w:lineRule="auto"/>
        <w:rPr>
          <w:rFonts w:hAnsi="宋体" w:eastAsia="宋体" w:cs="宋体"/>
          <w:sz w:val="21"/>
          <w:szCs w:val="21"/>
        </w:rPr>
      </w:pPr>
      <w:r>
        <w:rPr>
          <w:rFonts w:hint="eastAsia" w:hAnsi="宋体" w:eastAsia="宋体" w:cs="宋体"/>
          <w:sz w:val="21"/>
          <w:szCs w:val="21"/>
        </w:rPr>
        <w:t xml:space="preserve">以上与本合同具有同等法律效力。</w:t>
      </w:r>
      <w:r/>
    </w:p>
    <w:p>
      <w:pPr>
        <w:pStyle w:val="771"/>
        <w:spacing w:line="360" w:lineRule="auto"/>
        <w:rPr>
          <w:rFonts w:hAnsi="宋体" w:eastAsia="宋体" w:cs="宋体"/>
          <w:sz w:val="21"/>
          <w:szCs w:val="21"/>
        </w:rPr>
      </w:pPr>
      <w:r>
        <w:rPr>
          <w:rFonts w:hint="eastAsia" w:hAnsi="宋体" w:eastAsia="宋体" w:cs="宋体"/>
          <w:sz w:val="21"/>
          <w:szCs w:val="21"/>
        </w:rPr>
        <w:t xml:space="preserve">3.主要服务内容：见采购文件采购需求。</w:t>
      </w:r>
      <w:r/>
    </w:p>
    <w:p>
      <w:pPr>
        <w:spacing w:line="360" w:lineRule="auto"/>
        <w:rPr>
          <w:rFonts w:ascii="宋体" w:hAnsi="宋体" w:cs="宋体"/>
        </w:rPr>
      </w:pPr>
      <w:r>
        <w:rPr>
          <w:rFonts w:hint="eastAsia" w:ascii="宋体" w:hAnsi="宋体" w:cs="宋体"/>
          <w:b/>
          <w:bCs/>
          <w:szCs w:val="21"/>
        </w:rPr>
        <w:t xml:space="preserve">二、</w:t>
      </w:r>
      <w:r>
        <w:rPr>
          <w:rFonts w:hint="eastAsia" w:ascii="宋体" w:hAnsi="宋体" w:cs="宋体"/>
          <w:b/>
          <w:bCs/>
        </w:rPr>
        <w:t xml:space="preserve">合同履约期限：</w:t>
      </w:r>
      <w:r>
        <w:rPr>
          <w:rFonts w:hint="eastAsia" w:ascii="宋体" w:hAnsi="宋体" w:cs="宋体"/>
        </w:rPr>
        <w:t xml:space="preserve">合同签订之日起一年</w:t>
      </w:r>
      <w:r>
        <w:rPr>
          <w:rFonts w:hint="eastAsia" w:ascii="宋体" w:hAnsi="宋体" w:cs="宋体"/>
        </w:rPr>
        <w:t xml:space="preserve">。</w:t>
      </w:r>
      <w:r/>
    </w:p>
    <w:p>
      <w:pPr>
        <w:spacing w:line="360" w:lineRule="auto"/>
        <w:tabs>
          <w:tab w:val="left" w:pos="567" w:leader="none"/>
        </w:tabs>
        <w:rPr>
          <w:rFonts w:ascii="宋体" w:hAnsi="宋体" w:cs="宋体"/>
          <w:b/>
          <w:szCs w:val="21"/>
        </w:rPr>
      </w:pPr>
      <w:r>
        <w:rPr>
          <w:rFonts w:hint="eastAsia" w:ascii="宋体" w:hAnsi="宋体" w:cs="宋体"/>
          <w:b/>
          <w:bCs/>
          <w:szCs w:val="21"/>
        </w:rPr>
        <w:t xml:space="preserve">三、</w:t>
      </w:r>
      <w:r>
        <w:rPr>
          <w:rFonts w:hint="eastAsia" w:ascii="宋体" w:hAnsi="宋体" w:cs="宋体"/>
          <w:b/>
          <w:szCs w:val="21"/>
        </w:rPr>
        <w:t xml:space="preserve">合同价格与支付</w:t>
      </w:r>
      <w:r/>
    </w:p>
    <w:p>
      <w:pPr>
        <w:spacing w:line="360" w:lineRule="auto"/>
        <w:rPr>
          <w:rFonts w:ascii="宋体" w:hAnsi="宋体" w:cs="宋体"/>
          <w:szCs w:val="21"/>
        </w:rPr>
      </w:pPr>
      <w:r>
        <w:rPr>
          <w:rFonts w:hint="eastAsia" w:ascii="宋体" w:hAnsi="宋体" w:cs="宋体"/>
          <w:szCs w:val="21"/>
        </w:rPr>
        <w:t xml:space="preserve">1.合同价格（大写）</w:t>
      </w:r>
      <w:r>
        <w:rPr>
          <w:rFonts w:hint="eastAsia" w:ascii="宋体" w:hAnsi="宋体" w:cs="宋体"/>
          <w:szCs w:val="21"/>
          <w:u w:val="single"/>
        </w:rPr>
        <w:t xml:space="preserve">人民币         （￥        ）</w:t>
      </w:r>
      <w:r>
        <w:rPr>
          <w:rFonts w:hint="eastAsia" w:ascii="宋体" w:hAnsi="宋体" w:cs="宋体"/>
          <w:szCs w:val="21"/>
        </w:rPr>
        <w:t xml:space="preserve">。合同价格包括完成本项目服务工作期间所需的人员费用、调研费、交通费、食宿费、设备使用费、培训、报告及相关档案等费用，以及法定税金、利润、政策性文件规定及合同包含的所有风险、责任及验收等各项应有费用。</w:t>
      </w:r>
      <w:r/>
    </w:p>
    <w:p>
      <w:pPr>
        <w:spacing w:line="360" w:lineRule="auto"/>
        <w:rPr>
          <w:rFonts w:ascii="宋体" w:hAnsi="宋体" w:cs="宋体"/>
          <w:szCs w:val="21"/>
        </w:rPr>
      </w:pPr>
      <w:r>
        <w:rPr>
          <w:rFonts w:hint="eastAsia" w:ascii="宋体" w:hAnsi="宋体" w:cs="宋体"/>
          <w:szCs w:val="21"/>
        </w:rPr>
        <w:t xml:space="preserve">2.政府根据现行税法规定对乙方征收的、与本合同有关的一切税费，均由乙方自行承担含在合同总价之内。</w:t>
      </w:r>
      <w:r/>
    </w:p>
    <w:p>
      <w:pPr>
        <w:spacing w:line="360" w:lineRule="auto"/>
        <w:rPr>
          <w:rFonts w:ascii="宋体" w:hAnsi="宋体" w:cs="宋体"/>
          <w:szCs w:val="21"/>
        </w:rPr>
      </w:pPr>
      <w:r>
        <w:rPr>
          <w:rFonts w:hint="eastAsia" w:ascii="宋体" w:hAnsi="宋体" w:cs="宋体"/>
          <w:szCs w:val="21"/>
        </w:rPr>
        <w:t xml:space="preserve">3.付款步骤：</w:t>
      </w:r>
      <w:r>
        <w:rPr>
          <w:rFonts w:hint="eastAsia" w:ascii="宋体" w:hAnsi="宋体" w:cs="宋体"/>
          <w:spacing w:val="-4"/>
          <w:szCs w:val="21"/>
        </w:rPr>
        <w:t xml:space="preserve">合同签订之日起，甲方支付乙方合同金额的50%为预付款，完成项目约定的50%工作并经甲方确</w:t>
      </w:r>
      <w:r>
        <w:rPr>
          <w:rFonts w:hint="eastAsia" w:ascii="宋体" w:hAnsi="宋体" w:cs="宋体"/>
          <w:spacing w:val="-4"/>
          <w:szCs w:val="21"/>
        </w:rPr>
        <w:t xml:space="preserve">认后付合同金额的45%作为中期款，项目结束并经甲方验收合格后支付合同金额的5%。</w:t>
      </w:r>
      <w:r/>
    </w:p>
    <w:p>
      <w:pPr>
        <w:spacing w:line="360" w:lineRule="auto"/>
        <w:rPr>
          <w:rFonts w:ascii="宋体" w:hAnsi="宋体" w:cs="宋体"/>
          <w:szCs w:val="21"/>
        </w:rPr>
      </w:pPr>
      <w:r>
        <w:rPr>
          <w:rFonts w:hint="eastAsia" w:ascii="宋体" w:hAnsi="宋体" w:cs="宋体"/>
          <w:szCs w:val="21"/>
        </w:rPr>
        <w:t xml:space="preserve">备注：上述付款，甲方不代扣或代缴任何税金，直接将合同款汇到乙方指定银行账户。甲方支付此项费用外不再承担其它任何费用（包括个人），服务人员的薪金、福利、休假日补贴等由乙方付给，与甲方无关。鉴于甲方向政府财政部门申请资金等因素，具体付款进度视财政拨付情况而定。若因此甲方未能遵照3.支付步骤和比例付款，不视为甲方逾期支付。</w:t>
      </w:r>
      <w:r/>
    </w:p>
    <w:p>
      <w:pPr>
        <w:spacing w:line="360" w:lineRule="auto"/>
        <w:rPr>
          <w:rFonts w:ascii="宋体" w:hAnsi="宋体" w:cs="宋体"/>
          <w:szCs w:val="21"/>
        </w:rPr>
      </w:pPr>
      <w:r>
        <w:rPr>
          <w:rFonts w:hint="eastAsia" w:ascii="宋体" w:hAnsi="宋体" w:cs="宋体"/>
          <w:szCs w:val="21"/>
        </w:rPr>
        <w:t xml:space="preserve">4.乙方要求付款应提供以下资料：</w:t>
      </w:r>
      <w:r/>
    </w:p>
    <w:p>
      <w:pPr>
        <w:spacing w:line="360" w:lineRule="auto"/>
        <w:rPr>
          <w:rFonts w:ascii="宋体" w:hAnsi="宋体" w:cs="宋体"/>
          <w:szCs w:val="21"/>
        </w:rPr>
      </w:pPr>
      <w:r>
        <w:rPr>
          <w:rFonts w:hint="eastAsia" w:ascii="宋体" w:hAnsi="宋体" w:cs="宋体"/>
          <w:szCs w:val="21"/>
        </w:rPr>
        <w:t xml:space="preserve">合格的发票。</w:t>
      </w:r>
      <w:r/>
    </w:p>
    <w:p>
      <w:pPr>
        <w:spacing w:line="360" w:lineRule="auto"/>
        <w:rPr>
          <w:rFonts w:ascii="宋体" w:hAnsi="宋体" w:cs="宋体"/>
          <w:szCs w:val="21"/>
        </w:rPr>
      </w:pPr>
      <w:r>
        <w:rPr>
          <w:rFonts w:hint="eastAsia" w:ascii="宋体" w:hAnsi="宋体" w:cs="宋体"/>
          <w:szCs w:val="21"/>
        </w:rPr>
        <w:t xml:space="preserve">工作完成证明文件，包括项目总结报告和相关支撑材料等。</w:t>
      </w:r>
      <w:r/>
    </w:p>
    <w:p>
      <w:pPr>
        <w:spacing w:line="360" w:lineRule="auto"/>
        <w:rPr>
          <w:rFonts w:ascii="宋体" w:hAnsi="宋体" w:cs="宋体"/>
          <w:szCs w:val="21"/>
        </w:rPr>
      </w:pPr>
      <w:r>
        <w:rPr>
          <w:rFonts w:hint="eastAsia" w:ascii="宋体" w:hAnsi="宋体" w:cs="宋体"/>
          <w:szCs w:val="21"/>
        </w:rPr>
        <w:t xml:space="preserve">5.支付方式：银行转账。</w:t>
      </w:r>
      <w:r/>
    </w:p>
    <w:p>
      <w:pPr>
        <w:spacing w:line="360" w:lineRule="auto"/>
        <w:rPr>
          <w:rFonts w:ascii="宋体" w:hAnsi="宋体" w:cs="宋体"/>
          <w:szCs w:val="21"/>
        </w:rPr>
      </w:pPr>
      <w:r>
        <w:rPr>
          <w:rFonts w:hint="eastAsia" w:ascii="宋体" w:hAnsi="宋体" w:cs="宋体"/>
          <w:szCs w:val="21"/>
        </w:rPr>
        <w:t xml:space="preserve">6.乙方账户信息：</w:t>
      </w:r>
      <w:r/>
    </w:p>
    <w:p>
      <w:pPr>
        <w:spacing w:line="360" w:lineRule="auto"/>
        <w:rPr>
          <w:rFonts w:ascii="宋体" w:hAnsi="宋体" w:cs="宋体"/>
          <w:szCs w:val="21"/>
        </w:rPr>
      </w:pPr>
      <w:r>
        <w:rPr>
          <w:rFonts w:hint="eastAsia" w:ascii="宋体" w:hAnsi="宋体" w:cs="宋体"/>
          <w:szCs w:val="21"/>
        </w:rPr>
        <w:t xml:space="preserve">账户名：</w:t>
      </w:r>
      <w:r/>
    </w:p>
    <w:p>
      <w:pPr>
        <w:spacing w:line="360" w:lineRule="auto"/>
        <w:rPr>
          <w:rFonts w:ascii="宋体" w:hAnsi="宋体" w:cs="宋体"/>
          <w:szCs w:val="21"/>
        </w:rPr>
      </w:pPr>
      <w:r>
        <w:rPr>
          <w:rFonts w:hint="eastAsia" w:ascii="宋体" w:hAnsi="宋体" w:cs="宋体"/>
          <w:szCs w:val="21"/>
        </w:rPr>
        <w:t xml:space="preserve">开户行：</w:t>
      </w:r>
      <w:r/>
    </w:p>
    <w:p>
      <w:pPr>
        <w:spacing w:line="360" w:lineRule="auto"/>
        <w:rPr>
          <w:rFonts w:ascii="宋体" w:hAnsi="宋体" w:cs="宋体"/>
          <w:szCs w:val="21"/>
        </w:rPr>
      </w:pPr>
      <w:r>
        <w:rPr>
          <w:rFonts w:hint="eastAsia" w:ascii="宋体" w:hAnsi="宋体" w:cs="宋体"/>
          <w:szCs w:val="21"/>
        </w:rPr>
        <w:t xml:space="preserve">账号：</w:t>
      </w:r>
      <w:r/>
    </w:p>
    <w:p>
      <w:pPr>
        <w:spacing w:line="360" w:lineRule="auto"/>
        <w:rPr>
          <w:rFonts w:ascii="宋体" w:hAnsi="宋体" w:cs="宋体"/>
          <w:szCs w:val="21"/>
        </w:rPr>
      </w:pPr>
      <w:r>
        <w:rPr>
          <w:rFonts w:hint="eastAsia" w:ascii="宋体" w:hAnsi="宋体" w:cs="宋体"/>
          <w:szCs w:val="21"/>
        </w:rPr>
        <w:t xml:space="preserve">乙方数字人民币账户信息： （如有）</w:t>
      </w:r>
      <w:r/>
    </w:p>
    <w:p>
      <w:pPr>
        <w:spacing w:line="360" w:lineRule="auto"/>
        <w:widowControl/>
        <w:rPr>
          <w:rFonts w:ascii="宋体" w:hAnsi="宋体" w:cs="宋体"/>
          <w:szCs w:val="21"/>
        </w:rPr>
      </w:pPr>
      <w:r>
        <w:rPr>
          <w:rFonts w:hint="eastAsia" w:ascii="宋体" w:hAnsi="宋体" w:cs="宋体"/>
          <w:spacing w:val="-4"/>
          <w:szCs w:val="21"/>
        </w:rPr>
        <w:t xml:space="preserve">7.履约保证金</w:t>
      </w:r>
      <w:r/>
    </w:p>
    <w:p>
      <w:pPr>
        <w:spacing w:line="360" w:lineRule="auto"/>
        <w:widowControl/>
        <w:rPr>
          <w:rFonts w:ascii="宋体" w:hAnsi="宋体" w:cs="宋体"/>
          <w:spacing w:val="-4"/>
          <w:szCs w:val="21"/>
        </w:rPr>
      </w:pPr>
      <w:r>
        <w:rPr>
          <w:rFonts w:hint="eastAsia" w:ascii="宋体" w:hAnsi="宋体" w:cs="宋体"/>
          <w:spacing w:val="-4"/>
          <w:szCs w:val="21"/>
        </w:rPr>
        <w:t xml:space="preserve">本项目：</w:t>
      </w:r>
      <w:r/>
    </w:p>
    <w:p>
      <w:pPr>
        <w:ind w:firstLine="406"/>
        <w:spacing w:line="360" w:lineRule="auto"/>
        <w:widowControl/>
        <w:rPr>
          <w:rFonts w:ascii="宋体" w:hAnsi="宋体" w:cs="宋体"/>
          <w:b/>
          <w:bCs/>
          <w:szCs w:val="21"/>
        </w:rPr>
      </w:pPr>
      <w:r>
        <w:rPr>
          <w:rFonts w:hint="eastAsia" w:ascii="宋体" w:hAnsi="宋体" w:cs="宋体"/>
          <w:b/>
          <w:bCs/>
          <w:spacing w:val="-4"/>
          <w:szCs w:val="21"/>
        </w:rPr>
        <w:t xml:space="preserve">√不要求提交履约保证金；</w:t>
      </w:r>
      <w:r/>
    </w:p>
    <w:p>
      <w:pPr>
        <w:ind w:firstLine="416"/>
        <w:spacing w:line="360" w:lineRule="auto"/>
        <w:widowControl/>
        <w:rPr>
          <w:rFonts w:ascii="宋体" w:hAnsi="宋体" w:cs="宋体"/>
          <w:szCs w:val="21"/>
        </w:rPr>
      </w:pPr>
      <w:r>
        <w:rPr>
          <w:rFonts w:hint="eastAsia" w:ascii="宋体" w:hAnsi="宋体" w:cs="宋体"/>
          <w:spacing w:val="-1"/>
          <w:szCs w:val="21"/>
        </w:rPr>
        <w:t xml:space="preserve">□要求提交履约保证金，金额：合同金额的</w:t>
      </w:r>
      <w:r>
        <w:rPr>
          <w:rFonts w:hint="eastAsia" w:ascii="宋体" w:hAnsi="宋体" w:cs="宋体"/>
          <w:spacing w:val="-2"/>
          <w:szCs w:val="21"/>
        </w:rPr>
        <w:t xml:space="preserve">【】%，要求如下：</w:t>
      </w:r>
      <w:r/>
    </w:p>
    <w:p>
      <w:pPr>
        <w:ind w:right="72" w:firstLine="388"/>
        <w:spacing w:line="360" w:lineRule="auto"/>
        <w:widowControl/>
        <w:rPr>
          <w:rFonts w:ascii="宋体" w:hAnsi="宋体" w:cs="宋体"/>
          <w:szCs w:val="21"/>
        </w:rPr>
      </w:pPr>
      <w:r>
        <w:rPr>
          <w:rFonts w:hint="eastAsia" w:ascii="宋体" w:hAnsi="宋体" w:cs="宋体"/>
          <w:spacing w:val="-8"/>
          <w:szCs w:val="21"/>
        </w:rPr>
        <w:t xml:space="preserve">（1）在签订合同前，乙方应当以支票、汇票、本票或者金融机构、担保机构出具的保</w:t>
      </w:r>
      <w:r>
        <w:rPr>
          <w:rFonts w:hint="eastAsia" w:ascii="宋体" w:hAnsi="宋体" w:cs="宋体"/>
          <w:spacing w:val="1"/>
          <w:szCs w:val="21"/>
        </w:rPr>
        <w:t xml:space="preserve">函等非现金形式提交。联合体成交的，其履</w:t>
      </w:r>
      <w:r>
        <w:rPr>
          <w:rFonts w:hint="eastAsia" w:ascii="宋体" w:hAnsi="宋体" w:cs="宋体"/>
          <w:szCs w:val="21"/>
        </w:rPr>
        <w:t xml:space="preserve">约保证金以联合体各方或者联合体中牵头人的名</w:t>
      </w:r>
      <w:r>
        <w:rPr>
          <w:rFonts w:hint="eastAsia" w:ascii="宋体" w:hAnsi="宋体" w:cs="宋体"/>
          <w:spacing w:val="-2"/>
          <w:szCs w:val="21"/>
        </w:rPr>
        <w:t xml:space="preserve">义提交。履约保证金的数额不超过合同金额的10%。</w:t>
      </w:r>
      <w:r/>
    </w:p>
    <w:p>
      <w:pPr>
        <w:ind w:right="72" w:firstLine="420"/>
        <w:spacing w:line="360" w:lineRule="auto"/>
        <w:widowControl/>
        <w:rPr>
          <w:rFonts w:ascii="宋体" w:hAnsi="宋体" w:cs="宋体"/>
          <w:szCs w:val="21"/>
        </w:rPr>
      </w:pPr>
      <w:r>
        <w:rPr>
          <w:rFonts w:hint="eastAsia" w:ascii="宋体" w:hAnsi="宋体" w:cs="宋体"/>
          <w:szCs w:val="21"/>
        </w:rPr>
        <w:t xml:space="preserve">（2）乙方无故拖延或拒不提交履约保证金的，视为拒绝与甲方签订合同，甲方有权另行采购，由此发生的费用均由乙方承担。</w:t>
      </w:r>
      <w:r/>
    </w:p>
    <w:p>
      <w:pPr>
        <w:ind w:right="72" w:firstLine="420"/>
        <w:spacing w:line="360" w:lineRule="auto"/>
        <w:widowControl/>
        <w:rPr>
          <w:rFonts w:ascii="宋体" w:hAnsi="宋体" w:cs="宋体"/>
          <w:szCs w:val="21"/>
        </w:rPr>
      </w:pPr>
      <w:r>
        <w:rPr>
          <w:rFonts w:hint="eastAsia" w:ascii="宋体" w:hAnsi="宋体" w:cs="宋体"/>
          <w:szCs w:val="21"/>
        </w:rPr>
        <w:t xml:space="preserve">（3）履约保证金将在乙方合同履行完毕且验收合格后，甲方在五个工作日内无息退返乙方。</w:t>
      </w:r>
      <w:r/>
    </w:p>
    <w:p>
      <w:pPr>
        <w:ind w:right="72" w:firstLine="420"/>
        <w:spacing w:line="360" w:lineRule="auto"/>
        <w:widowControl/>
        <w:rPr>
          <w:rFonts w:ascii="宋体" w:hAnsi="宋体" w:cs="宋体"/>
          <w:szCs w:val="21"/>
        </w:rPr>
      </w:pPr>
      <w:r>
        <w:rPr>
          <w:rFonts w:hint="eastAsia" w:ascii="宋体" w:hAnsi="宋体" w:cs="宋体"/>
          <w:szCs w:val="21"/>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pStyle w:val="957"/>
        <w:ind w:firstLine="0"/>
        <w:rPr>
          <w:rFonts w:ascii="宋体" w:hAnsi="宋体" w:cs="宋体"/>
          <w:b/>
          <w:sz w:val="21"/>
          <w:szCs w:val="21"/>
          <w:lang w:val="zh-CN"/>
        </w:rPr>
      </w:pPr>
      <w:r>
        <w:rPr>
          <w:rFonts w:hint="eastAsia" w:ascii="宋体" w:hAnsi="宋体" w:cs="宋体"/>
          <w:b/>
          <w:bCs/>
          <w:sz w:val="21"/>
          <w:szCs w:val="21"/>
        </w:rPr>
        <w:t xml:space="preserve">四、</w:t>
      </w:r>
      <w:r>
        <w:rPr>
          <w:rFonts w:hint="eastAsia" w:ascii="宋体" w:hAnsi="宋体" w:cs="宋体"/>
          <w:b/>
          <w:sz w:val="21"/>
          <w:szCs w:val="21"/>
        </w:rPr>
        <w:t xml:space="preserve">项目</w:t>
      </w:r>
      <w:r>
        <w:rPr>
          <w:rFonts w:hint="eastAsia" w:ascii="宋体" w:hAnsi="宋体" w:cs="宋体"/>
          <w:b/>
          <w:sz w:val="21"/>
          <w:szCs w:val="21"/>
          <w:lang w:val="zh-CN"/>
        </w:rPr>
        <w:t xml:space="preserve">验收</w:t>
      </w:r>
      <w:r/>
    </w:p>
    <w:p>
      <w:pPr>
        <w:pStyle w:val="957"/>
        <w:ind w:firstLine="0"/>
        <w:rPr>
          <w:rFonts w:ascii="宋体" w:hAnsi="宋体" w:cs="宋体"/>
          <w:bCs/>
          <w:sz w:val="21"/>
          <w:szCs w:val="21"/>
          <w:lang w:val="zh-CN"/>
        </w:rPr>
      </w:pPr>
      <w:r>
        <w:rPr>
          <w:rFonts w:hint="eastAsia" w:ascii="宋体" w:hAnsi="宋体" w:cs="宋体"/>
          <w:bCs/>
          <w:sz w:val="21"/>
          <w:szCs w:val="21"/>
        </w:rPr>
        <w:t xml:space="preserve">1.</w:t>
      </w:r>
      <w:r>
        <w:rPr>
          <w:rFonts w:hint="eastAsia" w:ascii="宋体" w:hAnsi="宋体" w:cs="宋体"/>
          <w:bCs/>
          <w:sz w:val="21"/>
          <w:szCs w:val="21"/>
          <w:lang w:val="zh-CN"/>
        </w:rPr>
        <w:t xml:space="preserve">履约验收标准：采购合同</w:t>
      </w:r>
      <w:r>
        <w:rPr>
          <w:rFonts w:hint="eastAsia" w:ascii="宋体" w:hAnsi="宋体" w:cs="宋体"/>
          <w:bCs/>
          <w:sz w:val="21"/>
          <w:szCs w:val="21"/>
        </w:rPr>
        <w:t xml:space="preserve">中相关服务内容的完成质量，验收组意见为“合格”的视为通过验收</w:t>
      </w:r>
      <w:r>
        <w:rPr>
          <w:rFonts w:hint="eastAsia" w:ascii="宋体" w:hAnsi="宋体" w:cs="宋体"/>
          <w:bCs/>
          <w:sz w:val="21"/>
          <w:szCs w:val="21"/>
          <w:lang w:val="zh-CN"/>
        </w:rPr>
        <w:t xml:space="preserve">。</w:t>
      </w:r>
      <w:r/>
    </w:p>
    <w:p>
      <w:pPr>
        <w:pStyle w:val="957"/>
        <w:ind w:firstLine="0"/>
        <w:rPr>
          <w:rFonts w:ascii="宋体" w:hAnsi="宋体" w:cs="宋体"/>
          <w:bCs/>
          <w:sz w:val="21"/>
          <w:szCs w:val="21"/>
          <w:lang w:val="zh-CN"/>
        </w:rPr>
      </w:pPr>
      <w:r>
        <w:rPr>
          <w:rFonts w:hint="eastAsia" w:ascii="宋体" w:hAnsi="宋体" w:cs="宋体"/>
          <w:bCs/>
          <w:sz w:val="21"/>
          <w:szCs w:val="21"/>
        </w:rPr>
        <w:t xml:space="preserve">2.</w:t>
      </w:r>
      <w:r>
        <w:rPr>
          <w:rFonts w:hint="eastAsia" w:ascii="宋体" w:hAnsi="宋体" w:cs="宋体"/>
          <w:bCs/>
          <w:sz w:val="21"/>
          <w:szCs w:val="21"/>
          <w:lang w:val="zh-CN"/>
        </w:rPr>
        <w:t xml:space="preserve">履约验收主体：由甲方</w:t>
      </w:r>
      <w:r>
        <w:rPr>
          <w:rFonts w:hint="eastAsia" w:ascii="宋体" w:hAnsi="宋体" w:cs="宋体"/>
          <w:bCs/>
          <w:sz w:val="21"/>
          <w:szCs w:val="21"/>
        </w:rPr>
        <w:t xml:space="preserve">组织</w:t>
      </w:r>
      <w:r>
        <w:rPr>
          <w:rFonts w:hint="eastAsia" w:ascii="宋体" w:hAnsi="宋体" w:cs="宋体"/>
          <w:bCs/>
          <w:sz w:val="21"/>
          <w:szCs w:val="21"/>
          <w:lang w:val="zh-CN"/>
        </w:rPr>
        <w:t xml:space="preserve">验收。</w:t>
      </w:r>
      <w:r/>
    </w:p>
    <w:p>
      <w:pPr>
        <w:pStyle w:val="957"/>
        <w:ind w:firstLine="0"/>
        <w:rPr>
          <w:rFonts w:ascii="宋体" w:hAnsi="宋体" w:cs="宋体"/>
          <w:bCs/>
          <w:sz w:val="21"/>
          <w:szCs w:val="21"/>
          <w:lang w:val="zh-CN"/>
        </w:rPr>
      </w:pPr>
      <w:r>
        <w:rPr>
          <w:rFonts w:hint="eastAsia" w:ascii="宋体" w:hAnsi="宋体" w:cs="宋体"/>
          <w:bCs/>
          <w:sz w:val="21"/>
          <w:szCs w:val="21"/>
        </w:rPr>
        <w:t xml:space="preserve">3.</w:t>
      </w:r>
      <w:r>
        <w:rPr>
          <w:rFonts w:hint="eastAsia" w:ascii="宋体" w:hAnsi="宋体" w:cs="宋体"/>
          <w:bCs/>
          <w:sz w:val="21"/>
          <w:szCs w:val="21"/>
          <w:lang w:val="zh-CN"/>
        </w:rPr>
        <w:t xml:space="preserve">履约验收方式：</w:t>
      </w:r>
      <w:r>
        <w:rPr>
          <w:rFonts w:hint="eastAsia" w:ascii="宋体" w:hAnsi="宋体" w:cs="宋体"/>
          <w:bCs/>
          <w:sz w:val="21"/>
          <w:szCs w:val="21"/>
        </w:rPr>
        <w:t xml:space="preserve">项目完成后一次性验收。</w:t>
      </w:r>
      <w:r/>
    </w:p>
    <w:p>
      <w:pPr>
        <w:pStyle w:val="957"/>
        <w:ind w:firstLine="0"/>
        <w:rPr>
          <w:rFonts w:ascii="宋体" w:hAnsi="宋体" w:cs="宋体"/>
          <w:bCs/>
          <w:sz w:val="21"/>
          <w:szCs w:val="21"/>
          <w:lang w:val="zh-CN"/>
        </w:rPr>
      </w:pPr>
      <w:r>
        <w:rPr>
          <w:rFonts w:hint="eastAsia" w:ascii="宋体" w:hAnsi="宋体" w:cs="宋体"/>
          <w:bCs/>
          <w:sz w:val="21"/>
          <w:szCs w:val="21"/>
        </w:rPr>
        <w:t xml:space="preserve">4.</w:t>
      </w:r>
      <w:r>
        <w:rPr>
          <w:rFonts w:hint="eastAsia" w:ascii="宋体" w:hAnsi="宋体" w:cs="宋体"/>
          <w:bCs/>
          <w:sz w:val="21"/>
          <w:szCs w:val="21"/>
          <w:lang w:val="zh-CN"/>
        </w:rPr>
        <w:t xml:space="preserve">验收程序：</w:t>
      </w:r>
      <w:r/>
    </w:p>
    <w:p>
      <w:pPr>
        <w:pStyle w:val="957"/>
        <w:ind w:firstLine="0"/>
        <w:rPr>
          <w:rFonts w:ascii="宋体" w:hAnsi="宋体" w:cs="宋体"/>
          <w:bCs/>
          <w:sz w:val="21"/>
          <w:szCs w:val="21"/>
          <w:lang w:val="zh-CN"/>
        </w:rPr>
      </w:pPr>
      <w:r>
        <w:rPr>
          <w:rFonts w:hint="eastAsia" w:ascii="宋体" w:hAnsi="宋体" w:cs="宋体"/>
          <w:bCs/>
          <w:sz w:val="21"/>
          <w:szCs w:val="21"/>
        </w:rPr>
        <w:t xml:space="preserve">4.1</w:t>
      </w:r>
      <w:r>
        <w:rPr>
          <w:rFonts w:hint="eastAsia" w:ascii="宋体" w:hAnsi="宋体" w:cs="宋体"/>
          <w:bCs/>
          <w:sz w:val="21"/>
          <w:szCs w:val="21"/>
          <w:lang w:val="zh-CN"/>
        </w:rPr>
        <w:t xml:space="preserve">乙方按照政府采购合同的约定</w:t>
      </w:r>
      <w:r>
        <w:rPr>
          <w:rFonts w:hint="eastAsia" w:ascii="宋体" w:hAnsi="宋体" w:cs="宋体"/>
          <w:bCs/>
          <w:sz w:val="21"/>
          <w:szCs w:val="21"/>
        </w:rPr>
        <w:t xml:space="preserve">完成工作后，</w:t>
      </w:r>
      <w:r>
        <w:rPr>
          <w:rFonts w:hint="eastAsia" w:ascii="宋体" w:hAnsi="宋体" w:cs="宋体"/>
          <w:bCs/>
          <w:sz w:val="21"/>
          <w:szCs w:val="21"/>
          <w:lang w:val="zh-CN"/>
        </w:rPr>
        <w:t xml:space="preserve">向甲方提交书面</w:t>
      </w:r>
      <w:r>
        <w:rPr>
          <w:rFonts w:hint="eastAsia" w:ascii="宋体" w:hAnsi="宋体" w:cs="宋体"/>
          <w:bCs/>
          <w:sz w:val="21"/>
          <w:szCs w:val="21"/>
        </w:rPr>
        <w:t xml:space="preserve">总结</w:t>
      </w:r>
      <w:r>
        <w:rPr>
          <w:rFonts w:hint="eastAsia" w:ascii="宋体" w:hAnsi="宋体" w:cs="宋体"/>
          <w:bCs/>
          <w:sz w:val="21"/>
          <w:szCs w:val="21"/>
          <w:lang w:val="zh-CN"/>
        </w:rPr>
        <w:t xml:space="preserve">报告</w:t>
      </w:r>
      <w:r>
        <w:rPr>
          <w:rFonts w:hint="eastAsia" w:ascii="宋体" w:hAnsi="宋体" w:cs="宋体"/>
          <w:bCs/>
          <w:sz w:val="21"/>
          <w:szCs w:val="21"/>
        </w:rPr>
        <w:t xml:space="preserve">和相关佐证资料</w:t>
      </w:r>
      <w:r>
        <w:rPr>
          <w:rFonts w:hint="eastAsia" w:ascii="宋体" w:hAnsi="宋体" w:cs="宋体"/>
          <w:bCs/>
          <w:sz w:val="21"/>
          <w:szCs w:val="21"/>
          <w:lang w:val="zh-CN"/>
        </w:rPr>
        <w:t xml:space="preserve">，详细说明工作完成情况；</w:t>
      </w:r>
      <w:r/>
    </w:p>
    <w:p>
      <w:pPr>
        <w:pStyle w:val="957"/>
        <w:ind w:firstLine="0"/>
        <w:rPr>
          <w:rFonts w:ascii="宋体" w:hAnsi="宋体" w:cs="宋体"/>
          <w:bCs/>
          <w:sz w:val="21"/>
          <w:szCs w:val="21"/>
          <w:lang w:val="zh-CN"/>
        </w:rPr>
      </w:pPr>
      <w:r>
        <w:rPr>
          <w:rFonts w:hint="eastAsia" w:ascii="宋体" w:hAnsi="宋体" w:cs="宋体"/>
          <w:bCs/>
          <w:sz w:val="21"/>
          <w:szCs w:val="21"/>
          <w:lang w:val="zh-CN"/>
        </w:rPr>
        <w:t xml:space="preserve">4.</w:t>
      </w:r>
      <w:r>
        <w:rPr>
          <w:rFonts w:hint="eastAsia" w:ascii="宋体" w:hAnsi="宋体" w:cs="宋体"/>
          <w:bCs/>
          <w:sz w:val="21"/>
          <w:szCs w:val="21"/>
        </w:rPr>
        <w:t xml:space="preserve">2 </w:t>
      </w:r>
      <w:r>
        <w:rPr>
          <w:rFonts w:hint="eastAsia" w:ascii="宋体" w:hAnsi="宋体" w:cs="宋体"/>
          <w:bCs/>
          <w:sz w:val="21"/>
          <w:szCs w:val="21"/>
          <w:lang w:val="zh-CN"/>
        </w:rPr>
        <w:t xml:space="preserve">甲方成立验收组；</w:t>
      </w:r>
      <w:r/>
    </w:p>
    <w:p>
      <w:pPr>
        <w:pStyle w:val="957"/>
        <w:ind w:firstLine="0"/>
        <w:rPr>
          <w:rFonts w:ascii="宋体" w:hAnsi="宋体" w:cs="宋体"/>
          <w:bCs/>
          <w:sz w:val="21"/>
          <w:szCs w:val="21"/>
          <w:lang w:val="zh-CN"/>
        </w:rPr>
      </w:pPr>
      <w:r>
        <w:rPr>
          <w:rFonts w:hint="eastAsia" w:ascii="宋体" w:hAnsi="宋体" w:cs="宋体"/>
          <w:bCs/>
          <w:sz w:val="21"/>
          <w:szCs w:val="21"/>
          <w:lang w:val="zh-CN"/>
        </w:rPr>
        <w:t xml:space="preserve">4.</w:t>
      </w:r>
      <w:r>
        <w:rPr>
          <w:rFonts w:hint="eastAsia" w:ascii="宋体" w:hAnsi="宋体" w:cs="宋体"/>
          <w:bCs/>
          <w:sz w:val="21"/>
          <w:szCs w:val="21"/>
        </w:rPr>
        <w:t xml:space="preserve">3 </w:t>
      </w:r>
      <w:r>
        <w:rPr>
          <w:rFonts w:hint="eastAsia" w:ascii="宋体" w:hAnsi="宋体" w:cs="宋体"/>
          <w:bCs/>
          <w:sz w:val="21"/>
          <w:szCs w:val="21"/>
          <w:lang w:val="zh-CN"/>
        </w:rPr>
        <w:t xml:space="preserve">验收组</w:t>
      </w:r>
      <w:r>
        <w:rPr>
          <w:rFonts w:hint="eastAsia" w:ascii="宋体" w:hAnsi="宋体" w:cs="宋体"/>
          <w:bCs/>
          <w:sz w:val="21"/>
          <w:szCs w:val="21"/>
        </w:rPr>
        <w:t xml:space="preserve">召开项目验收会，乙方对服务情况进行现场汇报，验收组对</w:t>
      </w:r>
      <w:r>
        <w:rPr>
          <w:rFonts w:hint="eastAsia" w:ascii="宋体" w:hAnsi="宋体" w:cs="宋体"/>
          <w:bCs/>
          <w:sz w:val="21"/>
          <w:szCs w:val="21"/>
          <w:lang w:val="zh-CN"/>
        </w:rPr>
        <w:t xml:space="preserve">乙方服务</w:t>
      </w:r>
      <w:r>
        <w:rPr>
          <w:rFonts w:hint="eastAsia" w:ascii="宋体" w:hAnsi="宋体" w:cs="宋体"/>
          <w:bCs/>
          <w:sz w:val="21"/>
          <w:szCs w:val="21"/>
        </w:rPr>
        <w:t xml:space="preserve">内容进行</w:t>
      </w:r>
      <w:r>
        <w:rPr>
          <w:rFonts w:hint="eastAsia" w:ascii="宋体" w:hAnsi="宋体" w:cs="宋体"/>
          <w:bCs/>
          <w:sz w:val="21"/>
          <w:szCs w:val="21"/>
          <w:lang w:val="zh-CN"/>
        </w:rPr>
        <w:t xml:space="preserve">验收</w:t>
      </w:r>
      <w:r>
        <w:rPr>
          <w:rFonts w:hint="eastAsia" w:ascii="宋体" w:hAnsi="宋体" w:cs="宋体"/>
          <w:bCs/>
          <w:sz w:val="21"/>
          <w:szCs w:val="21"/>
        </w:rPr>
        <w:t xml:space="preserve">评价</w:t>
      </w:r>
      <w:r>
        <w:rPr>
          <w:rFonts w:hint="eastAsia" w:ascii="宋体" w:hAnsi="宋体" w:cs="宋体"/>
          <w:bCs/>
          <w:sz w:val="21"/>
          <w:szCs w:val="21"/>
          <w:lang w:val="zh-CN"/>
        </w:rPr>
        <w:t xml:space="preserve">，并</w:t>
      </w:r>
      <w:r>
        <w:rPr>
          <w:rFonts w:hint="eastAsia" w:ascii="宋体" w:hAnsi="宋体" w:cs="宋体"/>
          <w:bCs/>
          <w:sz w:val="21"/>
          <w:szCs w:val="21"/>
        </w:rPr>
        <w:t xml:space="preserve">填写《</w:t>
      </w:r>
      <w:r>
        <w:rPr>
          <w:rFonts w:hint="eastAsia" w:ascii="宋体" w:hAnsi="宋体" w:cs="宋体"/>
          <w:bCs/>
          <w:sz w:val="21"/>
          <w:szCs w:val="21"/>
          <w:lang w:val="zh-CN"/>
        </w:rPr>
        <w:t xml:space="preserve">政府采购履约验收书</w:t>
      </w:r>
      <w:r>
        <w:rPr>
          <w:rFonts w:hint="eastAsia" w:ascii="宋体" w:hAnsi="宋体" w:cs="宋体"/>
          <w:bCs/>
          <w:sz w:val="21"/>
          <w:szCs w:val="21"/>
        </w:rPr>
        <w:t xml:space="preserve">》</w:t>
      </w:r>
      <w:r>
        <w:rPr>
          <w:rFonts w:hint="eastAsia" w:ascii="宋体" w:hAnsi="宋体" w:cs="宋体"/>
          <w:bCs/>
          <w:sz w:val="21"/>
          <w:szCs w:val="21"/>
          <w:lang w:val="zh-CN"/>
        </w:rPr>
        <w:t xml:space="preserve">。</w:t>
      </w:r>
      <w:r/>
    </w:p>
    <w:p>
      <w:pPr>
        <w:pStyle w:val="957"/>
        <w:ind w:firstLine="0"/>
        <w:rPr>
          <w:rFonts w:ascii="宋体" w:hAnsi="宋体" w:cs="宋体"/>
          <w:bCs/>
          <w:sz w:val="21"/>
          <w:szCs w:val="21"/>
          <w:lang w:val="zh-CN"/>
        </w:rPr>
      </w:pPr>
      <w:r>
        <w:rPr>
          <w:rFonts w:hint="eastAsia" w:ascii="宋体" w:hAnsi="宋体" w:cs="宋体"/>
          <w:bCs/>
          <w:sz w:val="21"/>
          <w:szCs w:val="21"/>
        </w:rPr>
        <w:t xml:space="preserve">5.</w:t>
      </w:r>
      <w:r>
        <w:rPr>
          <w:rFonts w:hint="eastAsia" w:ascii="宋体" w:hAnsi="宋体" w:cs="宋体"/>
          <w:bCs/>
          <w:sz w:val="21"/>
          <w:szCs w:val="21"/>
          <w:lang w:val="zh-CN"/>
        </w:rPr>
        <w:t xml:space="preserve">项目履约验收合格的，甲方根据政府采购合同约定及时向乙方支付</w:t>
      </w:r>
      <w:r>
        <w:rPr>
          <w:rFonts w:hint="eastAsia" w:ascii="宋体" w:hAnsi="宋体" w:cs="宋体"/>
          <w:bCs/>
          <w:sz w:val="21"/>
          <w:szCs w:val="21"/>
        </w:rPr>
        <w:t xml:space="preserve">款项</w:t>
      </w:r>
      <w:r>
        <w:rPr>
          <w:rFonts w:hint="eastAsia" w:ascii="宋体" w:hAnsi="宋体" w:cs="宋体"/>
          <w:bCs/>
          <w:sz w:val="21"/>
          <w:szCs w:val="21"/>
          <w:lang w:val="zh-CN"/>
        </w:rPr>
        <w:t xml:space="preserve">。经甲方验收，乙方服务内容不合格的，将按规定扣除相应合同金额的</w:t>
      </w:r>
      <w:r>
        <w:rPr>
          <w:rFonts w:hint="eastAsia" w:ascii="宋体" w:hAnsi="宋体" w:cs="宋体"/>
          <w:bCs/>
          <w:sz w:val="21"/>
          <w:szCs w:val="21"/>
        </w:rPr>
        <w:t xml:space="preserve">5</w:t>
      </w:r>
      <w:r>
        <w:rPr>
          <w:rFonts w:hint="eastAsia" w:ascii="宋体" w:hAnsi="宋体" w:cs="宋体"/>
          <w:bCs/>
          <w:sz w:val="21"/>
          <w:szCs w:val="21"/>
          <w:lang w:val="zh-CN"/>
        </w:rPr>
        <w:t xml:space="preserve">%。</w:t>
      </w:r>
      <w:r/>
    </w:p>
    <w:p>
      <w:pPr>
        <w:pStyle w:val="957"/>
        <w:ind w:firstLine="0"/>
        <w:rPr>
          <w:rFonts w:ascii="宋体" w:hAnsi="宋体" w:cs="宋体"/>
          <w:bCs/>
          <w:sz w:val="21"/>
          <w:szCs w:val="21"/>
          <w:lang w:val="zh-CN"/>
        </w:rPr>
      </w:pPr>
      <w:r>
        <w:rPr>
          <w:rFonts w:hint="eastAsia" w:ascii="宋体" w:hAnsi="宋体" w:cs="宋体"/>
          <w:bCs/>
          <w:sz w:val="21"/>
          <w:szCs w:val="21"/>
        </w:rPr>
        <w:t xml:space="preserve">6.</w:t>
      </w:r>
      <w:r>
        <w:rPr>
          <w:rFonts w:hint="eastAsia" w:ascii="宋体" w:hAnsi="宋体" w:cs="宋体"/>
          <w:bCs/>
          <w:sz w:val="21"/>
          <w:szCs w:val="21"/>
          <w:lang w:val="zh-CN"/>
        </w:rPr>
        <w:t xml:space="preserve">其他验收要求按照江苏省财政厅《关于印发&lt;江苏省政府采购履约验收管理办法&gt;的通知》（苏财规〔2024〕7号）规定执行。</w:t>
      </w:r>
      <w:r/>
    </w:p>
    <w:p>
      <w:pPr>
        <w:spacing w:line="360" w:lineRule="auto"/>
        <w:rPr>
          <w:rFonts w:ascii="宋体" w:hAnsi="宋体" w:cs="宋体"/>
          <w:b/>
          <w:bCs/>
          <w:szCs w:val="21"/>
        </w:rPr>
      </w:pPr>
      <w:r>
        <w:rPr>
          <w:rFonts w:hint="eastAsia" w:ascii="宋体" w:hAnsi="宋体" w:cs="宋体"/>
          <w:b/>
          <w:bCs/>
          <w:szCs w:val="21"/>
        </w:rPr>
        <w:t xml:space="preserve">五、双方权利与义务</w:t>
      </w:r>
      <w:r/>
    </w:p>
    <w:p>
      <w:pPr>
        <w:spacing w:line="360" w:lineRule="auto"/>
        <w:rPr>
          <w:rFonts w:ascii="宋体" w:hAnsi="宋体" w:cs="宋体"/>
          <w:szCs w:val="21"/>
        </w:rPr>
      </w:pPr>
      <w:r>
        <w:rPr>
          <w:rFonts w:hint="eastAsia" w:ascii="宋体" w:hAnsi="宋体" w:cs="宋体"/>
          <w:szCs w:val="21"/>
        </w:rPr>
        <w:t xml:space="preserve">（一）甲方权利义务：</w:t>
      </w:r>
      <w:r/>
    </w:p>
    <w:p>
      <w:pPr>
        <w:spacing w:line="360" w:lineRule="auto"/>
        <w:rPr>
          <w:rFonts w:ascii="宋体" w:hAnsi="宋体" w:cs="宋体"/>
          <w:szCs w:val="21"/>
        </w:rPr>
      </w:pPr>
      <w:r>
        <w:rPr>
          <w:rFonts w:hint="eastAsia" w:ascii="宋体" w:hAnsi="宋体" w:cs="宋体"/>
          <w:szCs w:val="21"/>
        </w:rPr>
        <w:t xml:space="preserve">1、合同签订生效后服务开始前，甲方应向乙方提供被服务企业名称、地址、联系人等开展服务必需的资料，如有特殊原因（如企业关闭），甲方有权更改服务企业。</w:t>
      </w:r>
      <w:r/>
    </w:p>
    <w:p>
      <w:pPr>
        <w:spacing w:line="360" w:lineRule="auto"/>
        <w:rPr>
          <w:rFonts w:ascii="宋体" w:hAnsi="宋体" w:cs="宋体"/>
          <w:szCs w:val="21"/>
        </w:rPr>
      </w:pPr>
      <w:r>
        <w:rPr>
          <w:rFonts w:hint="eastAsia" w:ascii="宋体" w:hAnsi="宋体" w:cs="宋体"/>
          <w:szCs w:val="21"/>
        </w:rPr>
        <w:t xml:space="preserve">2、协调相关的政府部门和单位，为乙方顺利开展工作提供便利。</w:t>
      </w:r>
      <w:r/>
    </w:p>
    <w:p>
      <w:pPr>
        <w:spacing w:line="360" w:lineRule="auto"/>
        <w:rPr>
          <w:rFonts w:ascii="宋体" w:hAnsi="宋体" w:cs="宋体"/>
          <w:szCs w:val="21"/>
        </w:rPr>
      </w:pPr>
      <w:r>
        <w:rPr>
          <w:rFonts w:hint="eastAsia" w:ascii="宋体" w:hAnsi="宋体" w:cs="宋体"/>
          <w:szCs w:val="21"/>
        </w:rPr>
        <w:t xml:space="preserve">（二）乙方权利与义务：      </w:t>
      </w:r>
      <w:r/>
    </w:p>
    <w:p>
      <w:pPr>
        <w:spacing w:line="360" w:lineRule="auto"/>
        <w:rPr>
          <w:rFonts w:ascii="宋体" w:hAnsi="宋体" w:cs="宋体"/>
          <w:szCs w:val="21"/>
        </w:rPr>
      </w:pPr>
      <w:r>
        <w:rPr>
          <w:rFonts w:hint="eastAsia" w:ascii="宋体" w:hAnsi="宋体" w:cs="宋体"/>
          <w:szCs w:val="21"/>
        </w:rPr>
        <w:t xml:space="preserve">1、乙方应严格遵循采购文件确定的采购内容开展工作。</w:t>
      </w:r>
      <w:r/>
    </w:p>
    <w:p>
      <w:pPr>
        <w:spacing w:line="360" w:lineRule="auto"/>
        <w:rPr>
          <w:rFonts w:ascii="宋体" w:hAnsi="宋体" w:cs="宋体"/>
          <w:szCs w:val="21"/>
        </w:rPr>
      </w:pPr>
      <w:r>
        <w:rPr>
          <w:rFonts w:hint="eastAsia" w:ascii="宋体" w:hAnsi="宋体" w:cs="宋体"/>
          <w:szCs w:val="21"/>
        </w:rPr>
        <w:t xml:space="preserve">2、乙方在完成合同项目后，15个工作日之内，向甲方提交相关项目完成情况报告。</w:t>
      </w:r>
      <w:r/>
    </w:p>
    <w:p>
      <w:pPr>
        <w:spacing w:line="360" w:lineRule="auto"/>
        <w:rPr>
          <w:rFonts w:ascii="宋体" w:hAnsi="宋体" w:cs="宋体"/>
          <w:szCs w:val="21"/>
        </w:rPr>
      </w:pPr>
      <w:r>
        <w:rPr>
          <w:rFonts w:hint="eastAsia" w:ascii="宋体" w:hAnsi="宋体" w:cs="宋体"/>
          <w:szCs w:val="21"/>
        </w:rPr>
        <w:t xml:space="preserve">3、乙方在履行合同过程中，不得将服务项目委托给第三方。</w:t>
      </w:r>
      <w:r/>
    </w:p>
    <w:p>
      <w:pPr>
        <w:spacing w:line="360" w:lineRule="auto"/>
        <w:rPr>
          <w:rFonts w:ascii="宋体" w:hAnsi="宋体" w:cs="宋体"/>
          <w:szCs w:val="21"/>
        </w:rPr>
      </w:pPr>
      <w:r>
        <w:rPr>
          <w:rFonts w:hint="eastAsia" w:ascii="宋体" w:hAnsi="宋体" w:cs="宋体"/>
          <w:szCs w:val="21"/>
        </w:rPr>
        <w:t xml:space="preserve">4、乙方对提供给甲方的各类报告的真实性承担相应责任。</w:t>
      </w:r>
      <w:r/>
    </w:p>
    <w:p>
      <w:pPr>
        <w:spacing w:line="360" w:lineRule="auto"/>
        <w:rPr>
          <w:rFonts w:ascii="宋体" w:hAnsi="宋体" w:cs="宋体"/>
          <w:szCs w:val="21"/>
        </w:rPr>
      </w:pPr>
      <w:r>
        <w:rPr>
          <w:rFonts w:hint="eastAsia" w:ascii="宋体" w:hAnsi="宋体" w:cs="宋体"/>
          <w:szCs w:val="21"/>
        </w:rPr>
        <w:t xml:space="preserve">5、乙方在履行合同过程中，因不可抗拒原因（如地震、疫情等），造成乙方无法履约开展服务工作的，经甲乙双方协商同意，可延期完成合同。</w:t>
      </w:r>
      <w:r/>
    </w:p>
    <w:p>
      <w:pPr>
        <w:spacing w:line="360" w:lineRule="auto"/>
        <w:rPr>
          <w:rFonts w:ascii="宋体" w:hAnsi="宋体" w:cs="宋体"/>
          <w:b/>
          <w:bCs/>
          <w:szCs w:val="21"/>
        </w:rPr>
      </w:pPr>
      <w:r>
        <w:rPr>
          <w:rFonts w:hint="eastAsia" w:ascii="宋体" w:hAnsi="宋体" w:cs="宋体"/>
          <w:b/>
          <w:bCs/>
          <w:szCs w:val="21"/>
        </w:rPr>
        <w:t xml:space="preserve">六、违约责任</w:t>
      </w:r>
      <w:r/>
    </w:p>
    <w:p>
      <w:pPr>
        <w:pStyle w:val="761"/>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1、甲方对本合同规定的义务未履行或履行不力的，乙方可依法向甲方要求经济赔偿；</w:t>
      </w:r>
      <w:r/>
    </w:p>
    <w:p>
      <w:pPr>
        <w:pStyle w:val="761"/>
        <w:ind w:firstLine="0"/>
        <w:jc w:val="both"/>
        <w:spacing w:line="360" w:lineRule="auto"/>
        <w:rPr>
          <w:rFonts w:ascii="宋体" w:hAnsi="宋体" w:eastAsia="宋体" w:cs="宋体"/>
          <w:bCs/>
          <w:sz w:val="21"/>
          <w:szCs w:val="21"/>
          <w:lang w:val="zh-CN"/>
        </w:rPr>
      </w:pPr>
      <w:r>
        <w:rPr>
          <w:rFonts w:hint="eastAsia" w:ascii="宋体" w:hAnsi="宋体" w:eastAsia="宋体" w:cs="宋体"/>
          <w:sz w:val="21"/>
          <w:szCs w:val="21"/>
        </w:rPr>
        <w:t xml:space="preserve">2、</w:t>
      </w:r>
      <w:r>
        <w:rPr>
          <w:rFonts w:hint="eastAsia" w:ascii="宋体" w:hAnsi="宋体" w:eastAsia="宋体" w:cs="宋体"/>
          <w:bCs/>
          <w:sz w:val="21"/>
          <w:szCs w:val="21"/>
          <w:lang w:val="zh-CN"/>
        </w:rPr>
        <w:t xml:space="preserve">经甲方验收</w:t>
      </w:r>
      <w:r>
        <w:rPr>
          <w:rFonts w:hint="eastAsia" w:ascii="宋体" w:hAnsi="宋体" w:cs="宋体"/>
          <w:bCs/>
          <w:sz w:val="21"/>
          <w:szCs w:val="21"/>
          <w:lang w:val="zh-CN"/>
        </w:rPr>
        <w:t xml:space="preserve">，</w:t>
      </w:r>
      <w:r>
        <w:rPr>
          <w:rFonts w:hint="eastAsia" w:ascii="宋体" w:hAnsi="宋体" w:eastAsia="宋体" w:cs="宋体"/>
          <w:bCs/>
          <w:sz w:val="21"/>
          <w:szCs w:val="21"/>
          <w:lang w:val="zh-CN"/>
        </w:rPr>
        <w:t xml:space="preserve">乙方服务内容不合格的，将按规定扣除相应合同金额的</w:t>
      </w:r>
      <w:r>
        <w:rPr>
          <w:rFonts w:hint="eastAsia" w:ascii="宋体" w:hAnsi="宋体" w:eastAsia="宋体" w:cs="宋体"/>
          <w:bCs/>
          <w:sz w:val="21"/>
          <w:szCs w:val="21"/>
        </w:rPr>
        <w:t xml:space="preserve">5</w:t>
      </w:r>
      <w:r>
        <w:rPr>
          <w:rFonts w:hint="eastAsia" w:ascii="宋体" w:hAnsi="宋体" w:eastAsia="宋体" w:cs="宋体"/>
          <w:bCs/>
          <w:sz w:val="21"/>
          <w:szCs w:val="21"/>
          <w:lang w:val="zh-CN"/>
        </w:rPr>
        <w:t xml:space="preserve">%；</w:t>
      </w:r>
      <w:r/>
    </w:p>
    <w:p>
      <w:pPr>
        <w:pStyle w:val="761"/>
        <w:ind w:firstLine="0"/>
        <w:jc w:val="both"/>
        <w:spacing w:line="360" w:lineRule="auto"/>
        <w:rPr>
          <w:rFonts w:ascii="宋体" w:hAnsi="宋体" w:eastAsia="宋体" w:cs="宋体"/>
          <w:sz w:val="21"/>
          <w:szCs w:val="21"/>
        </w:rPr>
      </w:pPr>
      <w:r>
        <w:rPr>
          <w:rFonts w:hint="eastAsia" w:ascii="宋体" w:hAnsi="宋体" w:eastAsia="宋体" w:cs="宋体"/>
          <w:bCs/>
          <w:sz w:val="21"/>
          <w:szCs w:val="21"/>
        </w:rPr>
        <w:t xml:space="preserve">3、</w:t>
      </w:r>
      <w:r>
        <w:rPr>
          <w:rFonts w:hint="eastAsia" w:ascii="宋体" w:hAnsi="宋体" w:eastAsia="宋体" w:cs="宋体"/>
          <w:sz w:val="21"/>
          <w:szCs w:val="21"/>
        </w:rPr>
        <w:t xml:space="preserve">乙方对本合同规定的义务未履行或履行不力的，甲方可按相关法律、法规的规定进行处罚，直至解除合同。</w:t>
      </w:r>
      <w:r/>
    </w:p>
    <w:p>
      <w:pPr>
        <w:spacing w:line="360" w:lineRule="auto"/>
        <w:rPr>
          <w:rFonts w:ascii="宋体" w:hAnsi="宋体" w:cs="宋体"/>
          <w:b/>
          <w:bCs/>
          <w:szCs w:val="21"/>
        </w:rPr>
      </w:pPr>
      <w:r>
        <w:rPr>
          <w:rFonts w:hint="eastAsia" w:ascii="宋体" w:hAnsi="宋体" w:cs="宋体"/>
          <w:b/>
          <w:bCs/>
          <w:szCs w:val="21"/>
        </w:rPr>
        <w:t xml:space="preserve">七、不可抗力</w:t>
      </w:r>
      <w:r/>
    </w:p>
    <w:p>
      <w:pPr>
        <w:spacing w:line="360" w:lineRule="auto"/>
        <w:rPr>
          <w:rFonts w:ascii="宋体" w:hAnsi="宋体" w:cs="宋体"/>
          <w:szCs w:val="21"/>
        </w:rPr>
      </w:pPr>
      <w:r>
        <w:rPr>
          <w:rFonts w:hint="eastAsia" w:ascii="宋体" w:hAnsi="宋体" w:cs="宋体"/>
          <w:szCs w:val="21"/>
        </w:rPr>
        <w:t xml:space="preserve">1、甲、乙双方如果因不可抗力而导致合同义务的延误或不能履行，不承担没收履约保证金（如有）、误期赔偿或终止合同的责任。</w:t>
      </w:r>
      <w:r/>
    </w:p>
    <w:p>
      <w:pPr>
        <w:spacing w:line="360" w:lineRule="auto"/>
        <w:rPr>
          <w:rFonts w:ascii="宋体" w:hAnsi="宋体" w:cs="宋体"/>
          <w:szCs w:val="21"/>
        </w:rPr>
      </w:pPr>
      <w:r>
        <w:rPr>
          <w:rFonts w:hint="eastAsia" w:ascii="宋体" w:hAnsi="宋体" w:cs="宋体"/>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spacing w:line="360" w:lineRule="auto"/>
        <w:rPr>
          <w:rFonts w:ascii="宋体" w:hAnsi="宋体" w:cs="宋体"/>
          <w:szCs w:val="21"/>
        </w:rPr>
      </w:pPr>
      <w:r>
        <w:rPr>
          <w:rFonts w:hint="eastAsia" w:ascii="宋体" w:hAnsi="宋体" w:cs="宋体"/>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供应商义务的协议。</w:t>
      </w:r>
      <w:r/>
    </w:p>
    <w:p>
      <w:pPr>
        <w:spacing w:line="360" w:lineRule="auto"/>
        <w:rPr>
          <w:rFonts w:ascii="宋体" w:hAnsi="宋体" w:cs="宋体"/>
          <w:b/>
          <w:bCs/>
          <w:szCs w:val="21"/>
        </w:rPr>
      </w:pPr>
      <w:r>
        <w:rPr>
          <w:rFonts w:hint="eastAsia" w:ascii="宋体" w:hAnsi="宋体" w:cs="宋体"/>
          <w:b/>
          <w:bCs/>
          <w:szCs w:val="21"/>
        </w:rPr>
        <w:t xml:space="preserve">八、合同的解除、变更、终止、转让</w:t>
      </w:r>
      <w:r/>
    </w:p>
    <w:p>
      <w:pPr>
        <w:pStyle w:val="800"/>
        <w:ind w:left="0" w:firstLine="0"/>
        <w:rPr>
          <w:rFonts w:hint="default" w:ascii="宋体" w:hAnsi="宋体" w:eastAsia="宋体" w:cs="宋体"/>
          <w:szCs w:val="21"/>
        </w:rPr>
      </w:pPr>
      <w:r>
        <w:rPr>
          <w:rFonts w:ascii="宋体" w:hAnsi="宋体" w:eastAsia="宋体" w:cs="宋体"/>
          <w:szCs w:val="21"/>
        </w:rPr>
        <w:t xml:space="preserve">1、政府采购</w:t>
      </w:r>
      <w:r>
        <w:rPr>
          <w:rFonts w:hint="default" w:ascii="宋体" w:hAnsi="宋体" w:eastAsia="宋体" w:cs="宋体"/>
          <w:szCs w:val="21"/>
        </w:rPr>
        <w:t xml:space="preserve">合同继续履行将损害国家利益和社会公共利益的,双方当事人应当变更、中止或者终止合同。</w:t>
      </w:r>
      <w:r/>
    </w:p>
    <w:p>
      <w:pPr>
        <w:pStyle w:val="101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2、有权解除合同的一方，应当在违约事实或不可抗力发生之后三十天内书面通知对方提出解除合同，合同在书面通知到达对方时解除。</w:t>
      </w:r>
      <w:r/>
    </w:p>
    <w:p>
      <w:pPr>
        <w:pStyle w:val="982"/>
        <w:spacing w:line="360" w:lineRule="auto"/>
        <w:rPr>
          <w:rFonts w:hAnsi="宋体" w:eastAsia="宋体" w:cs="宋体"/>
          <w:sz w:val="21"/>
          <w:szCs w:val="21"/>
        </w:rPr>
      </w:pPr>
      <w:r>
        <w:rPr>
          <w:rFonts w:hint="eastAsia" w:hAnsi="宋体" w:eastAsia="宋体" w:cs="宋体"/>
          <w:sz w:val="21"/>
          <w:szCs w:val="21"/>
        </w:rPr>
        <w:t xml:space="preserve">3、合同的部分和全部都不得擅自转让。</w:t>
      </w:r>
      <w:r/>
    </w:p>
    <w:p>
      <w:pPr>
        <w:pStyle w:val="982"/>
        <w:spacing w:line="360" w:lineRule="auto"/>
        <w:rPr>
          <w:rFonts w:hAnsi="宋体" w:eastAsia="宋体" w:cs="宋体"/>
          <w:sz w:val="21"/>
          <w:szCs w:val="21"/>
        </w:rPr>
      </w:pPr>
      <w:r>
        <w:rPr>
          <w:rFonts w:hint="eastAsia" w:hAnsi="宋体" w:eastAsia="宋体" w:cs="宋体"/>
          <w:sz w:val="21"/>
          <w:szCs w:val="21"/>
        </w:rPr>
        <w:t xml:space="preserve">4、出现下列情况之一，甲方可以解除合同：</w:t>
      </w:r>
      <w:r/>
    </w:p>
    <w:p>
      <w:pPr>
        <w:jc w:val="left"/>
        <w:spacing w:line="360" w:lineRule="auto"/>
        <w:rPr>
          <w:rFonts w:ascii="宋体" w:hAnsi="宋体" w:cs="宋体"/>
          <w:szCs w:val="21"/>
        </w:rPr>
      </w:pPr>
      <w:r>
        <w:rPr>
          <w:rFonts w:hint="eastAsia" w:ascii="宋体" w:hAnsi="宋体" w:cs="宋体"/>
          <w:szCs w:val="21"/>
        </w:rPr>
        <w:t xml:space="preserve">（1）对乙方有效投诉记录累计达3次；</w:t>
      </w:r>
      <w:r/>
    </w:p>
    <w:p>
      <w:pPr>
        <w:jc w:val="left"/>
        <w:spacing w:line="360" w:lineRule="auto"/>
        <w:rPr>
          <w:rFonts w:ascii="宋体" w:hAnsi="宋体" w:cs="宋体"/>
          <w:szCs w:val="21"/>
        </w:rPr>
      </w:pPr>
      <w:r>
        <w:rPr>
          <w:rFonts w:hint="eastAsia" w:ascii="宋体" w:hAnsi="宋体" w:cs="宋体"/>
          <w:szCs w:val="21"/>
        </w:rPr>
        <w:t xml:space="preserve">（2）在合同有效期内，乙方被行业主管部门取消经营资格的；</w:t>
      </w:r>
      <w:r/>
    </w:p>
    <w:p>
      <w:pPr>
        <w:jc w:val="left"/>
        <w:spacing w:line="360" w:lineRule="auto"/>
        <w:rPr>
          <w:rFonts w:ascii="宋体" w:hAnsi="宋体" w:cs="宋体"/>
          <w:szCs w:val="21"/>
        </w:rPr>
      </w:pPr>
      <w:r>
        <w:rPr>
          <w:rFonts w:hint="eastAsia" w:ascii="宋体" w:hAnsi="宋体" w:cs="宋体"/>
          <w:szCs w:val="21"/>
        </w:rPr>
        <w:t xml:space="preserve">（3）在合同有效期内，乙方擅自变更、转让、租借服务资格的；</w:t>
      </w:r>
      <w:r/>
    </w:p>
    <w:p>
      <w:pPr>
        <w:jc w:val="left"/>
        <w:spacing w:line="360" w:lineRule="auto"/>
        <w:rPr>
          <w:rFonts w:ascii="宋体" w:hAnsi="宋体" w:cs="宋体"/>
          <w:szCs w:val="21"/>
        </w:rPr>
      </w:pPr>
      <w:r>
        <w:rPr>
          <w:rFonts w:hint="eastAsia" w:ascii="宋体" w:hAnsi="宋体" w:cs="宋体"/>
          <w:szCs w:val="21"/>
        </w:rPr>
        <w:t xml:space="preserve">（4）乙方不如实反映情况，提供虚假材料的；</w:t>
      </w:r>
      <w:r/>
    </w:p>
    <w:p>
      <w:pPr>
        <w:jc w:val="left"/>
        <w:spacing w:line="360" w:lineRule="auto"/>
        <w:rPr>
          <w:rFonts w:ascii="宋体" w:hAnsi="宋体" w:cs="宋体"/>
          <w:szCs w:val="21"/>
        </w:rPr>
      </w:pPr>
      <w:r>
        <w:rPr>
          <w:rFonts w:hint="eastAsia" w:ascii="宋体" w:hAnsi="宋体" w:cs="宋体"/>
          <w:szCs w:val="21"/>
        </w:rPr>
        <w:t xml:space="preserve">（5）乙方未按承诺的价格提供服务的。</w:t>
      </w:r>
      <w:r/>
    </w:p>
    <w:p>
      <w:pPr>
        <w:jc w:val="left"/>
        <w:spacing w:line="360" w:lineRule="auto"/>
        <w:rPr>
          <w:rFonts w:ascii="宋体" w:hAnsi="宋体" w:cs="宋体"/>
          <w:szCs w:val="21"/>
        </w:rPr>
      </w:pPr>
      <w:r>
        <w:rPr>
          <w:rFonts w:hint="eastAsia" w:ascii="宋体" w:hAnsi="宋体" w:cs="宋体"/>
          <w:szCs w:val="21"/>
        </w:rPr>
        <w:t xml:space="preserve">5、如果乙方破产、解散、清算、停业以及其他原因无法提供服务的，甲方可在任何时间以书面形式通知取消其供应商资格。</w:t>
      </w:r>
      <w:r/>
    </w:p>
    <w:p>
      <w:pPr>
        <w:spacing w:line="360" w:lineRule="auto"/>
        <w:rPr>
          <w:rFonts w:ascii="宋体" w:hAnsi="宋体" w:cs="宋体"/>
          <w:szCs w:val="21"/>
        </w:rPr>
      </w:pPr>
      <w:r>
        <w:rPr>
          <w:rFonts w:hint="eastAsia" w:ascii="宋体" w:hAnsi="宋体" w:cs="宋体"/>
          <w:b/>
          <w:bCs/>
          <w:szCs w:val="21"/>
        </w:rPr>
        <w:t xml:space="preserve">九、争议处置</w:t>
      </w:r>
      <w:r/>
    </w:p>
    <w:p>
      <w:pPr>
        <w:ind w:firstLine="420"/>
        <w:spacing w:line="360" w:lineRule="auto"/>
        <w:rPr>
          <w:rFonts w:ascii="宋体" w:hAnsi="宋体" w:cs="宋体"/>
          <w:szCs w:val="21"/>
        </w:rPr>
      </w:pPr>
      <w:r>
        <w:rPr>
          <w:rFonts w:hint="eastAsia" w:ascii="宋体" w:hAnsi="宋体" w:cs="宋体"/>
          <w:szCs w:val="21"/>
        </w:rPr>
        <w:t xml:space="preserve">甲乙双方因本合同或与本合同有关的一切事项发生争议，由双方友好协商解决。协商不成的，任何一方均有权向甲方所在地人民法院提起诉讼。因乙方违反本合同约定或乙方追究甲方违约但不成立而产生纠纷的，甲方为处理此纠纷产生的费用由乙方承担，该费用包括但不限于保全费、诉讼费、执行费、鉴定费、律师费、差旅费等。</w:t>
      </w:r>
      <w:r/>
    </w:p>
    <w:p>
      <w:pPr>
        <w:spacing w:line="360" w:lineRule="auto"/>
        <w:rPr>
          <w:rFonts w:ascii="宋体" w:hAnsi="宋体" w:cs="宋体"/>
          <w:b/>
          <w:szCs w:val="21"/>
        </w:rPr>
      </w:pPr>
      <w:r>
        <w:rPr>
          <w:rFonts w:hint="eastAsia" w:ascii="宋体" w:hAnsi="宋体" w:cs="宋体"/>
          <w:b/>
          <w:bCs/>
        </w:rPr>
        <w:t xml:space="preserve">十、</w:t>
      </w:r>
      <w:r>
        <w:rPr>
          <w:rFonts w:hint="eastAsia" w:ascii="宋体" w:hAnsi="宋体" w:cs="宋体"/>
          <w:b/>
          <w:szCs w:val="21"/>
        </w:rPr>
        <w:t xml:space="preserve">未尽事宜</w:t>
      </w:r>
      <w:r/>
    </w:p>
    <w:p>
      <w:pPr>
        <w:ind w:firstLine="420"/>
        <w:spacing w:line="360" w:lineRule="auto"/>
        <w:rPr>
          <w:rFonts w:ascii="宋体" w:hAnsi="宋体" w:cs="宋体"/>
          <w:szCs w:val="21"/>
        </w:rPr>
      </w:pPr>
      <w:r>
        <w:rPr>
          <w:rFonts w:hint="eastAsia" w:ascii="宋体" w:hAnsi="宋体" w:cs="宋体"/>
          <w:szCs w:val="21"/>
        </w:rPr>
        <w:t xml:space="preserve">合同在执行过程中出现的未尽事宜，双方在不违背本合同的原则下协商解决，协商结果以书面形式记录在案，作为本合同附件，与本合同具有同等效力。</w:t>
      </w:r>
      <w:r/>
    </w:p>
    <w:p>
      <w:pPr>
        <w:spacing w:line="360" w:lineRule="auto"/>
        <w:rPr>
          <w:rFonts w:ascii="宋体" w:hAnsi="宋体" w:cs="宋体"/>
          <w:b/>
          <w:bCs/>
        </w:rPr>
      </w:pPr>
      <w:r>
        <w:rPr>
          <w:rFonts w:hint="eastAsia" w:ascii="宋体" w:hAnsi="宋体" w:cs="宋体"/>
          <w:b/>
          <w:bCs/>
        </w:rPr>
        <w:t xml:space="preserve">十一、合同生效及其它：</w:t>
      </w:r>
      <w:r/>
    </w:p>
    <w:p>
      <w:pPr>
        <w:spacing w:line="360" w:lineRule="auto"/>
        <w:rPr>
          <w:rFonts w:ascii="宋体" w:hAnsi="宋体" w:cs="宋体"/>
        </w:rPr>
      </w:pPr>
      <w:r>
        <w:rPr>
          <w:rFonts w:hint="eastAsia" w:ascii="宋体" w:hAnsi="宋体" w:cs="宋体"/>
        </w:rPr>
        <w:t xml:space="preserve">1、合同经招标代理机构加盖骑缝章，甲乙双方代表签字（或盖章）并加盖公章（或合同章）后生效，生效合同在合同签订后2个工作日内上传系统网上公示及备案。</w:t>
      </w:r>
      <w:r/>
    </w:p>
    <w:p>
      <w:pPr>
        <w:spacing w:line="360" w:lineRule="auto"/>
        <w:rPr>
          <w:rFonts w:ascii="宋体" w:hAnsi="宋体" w:cs="宋体"/>
        </w:rPr>
      </w:pPr>
      <w:r>
        <w:rPr>
          <w:rFonts w:hint="eastAsia"/>
        </w:rPr>
        <w:t xml:space="preserve">2</w:t>
      </w:r>
      <w:r>
        <w:rPr>
          <w:rFonts w:hint="eastAsia"/>
        </w:rPr>
        <w:t xml:space="preserve">、合同份数：</w:t>
      </w:r>
      <w:r>
        <w:rPr>
          <w:rFonts w:hint="eastAsia" w:ascii="宋体" w:hAnsi="宋体" w:cs="宋体"/>
        </w:rPr>
        <w:t xml:space="preserve">本合同一式伍份，甲方贰份、乙方贰份、招标代理机构一份，具备同等法律效力。</w:t>
      </w:r>
      <w:r/>
    </w:p>
    <w:p>
      <w:pPr>
        <w:spacing w:line="360" w:lineRule="auto"/>
        <w:rPr>
          <w:rFonts w:ascii="宋体" w:hAnsi="宋体" w:cs="宋体"/>
          <w:b/>
          <w:bCs/>
          <w:szCs w:val="21"/>
        </w:rPr>
      </w:pPr>
      <w:r>
        <w:rPr>
          <w:rFonts w:hint="eastAsia" w:ascii="宋体" w:hAnsi="宋体" w:cs="宋体"/>
          <w:b/>
          <w:bCs/>
          <w:szCs w:val="21"/>
        </w:rPr>
        <w:t xml:space="preserve">（以下无正文）</w:t>
      </w:r>
      <w:r/>
    </w:p>
    <w:p>
      <w:pPr>
        <w:spacing w:line="360" w:lineRule="auto"/>
        <w:rPr>
          <w:rFonts w:hint="eastAsia" w:ascii="宋体" w:hAnsi="宋体"/>
          <w:szCs w:val="21"/>
        </w:rPr>
      </w:pPr>
      <w:r>
        <w:rPr>
          <w:rFonts w:hint="eastAsia" w:ascii="宋体" w:hAnsi="宋体"/>
          <w:szCs w:val="21"/>
        </w:rPr>
      </w:r>
      <w:r/>
    </w:p>
    <w:p>
      <w:pPr>
        <w:spacing w:line="360" w:lineRule="auto"/>
        <w:rPr>
          <w:rFonts w:ascii="宋体" w:hAnsi="宋体"/>
          <w:szCs w:val="21"/>
        </w:rPr>
      </w:pPr>
      <w:r>
        <w:rPr>
          <w:rFonts w:hint="eastAsia" w:ascii="宋体" w:hAnsi="宋体"/>
          <w:szCs w:val="21"/>
        </w:rPr>
        <w:t xml:space="preserve">甲方：（盖章）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pPr>
      <w:r>
        <w:rPr>
          <w:rFonts w:hint="eastAsia" w:ascii="宋体" w:hAnsi="宋体"/>
          <w:szCs w:val="21"/>
        </w:rPr>
        <w:t xml:space="preserve">日期：   年   月   日</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乙方：（盖章）</w:t>
      </w:r>
      <w:r/>
    </w:p>
    <w:p>
      <w:pPr>
        <w:spacing w:line="360" w:lineRule="auto"/>
        <w:rPr>
          <w:rFonts w:ascii="宋体" w:hAnsi="宋体"/>
          <w:szCs w:val="21"/>
        </w:rPr>
      </w:pPr>
      <w:r>
        <w:rPr>
          <w:rFonts w:hint="eastAsia" w:ascii="宋体" w:hAnsi="宋体"/>
          <w:szCs w:val="21"/>
        </w:rPr>
        <w:t xml:space="preserve">法定（授权）代表人：（签字或盖章）</w:t>
      </w:r>
      <w:r/>
    </w:p>
    <w:p>
      <w:pPr>
        <w:spacing w:line="360" w:lineRule="auto"/>
        <w:rPr>
          <w:rFonts w:ascii="宋体" w:hAnsi="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szCs w:val="21"/>
        </w:rPr>
        <w:t xml:space="preserve">日期：   年   月   日</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948"/>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948"/>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附件1：开标一览表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center"/>
        <w:spacing w:line="360" w:lineRule="auto"/>
        <w:rPr>
          <w:rFonts w:ascii="宋体" w:hAnsi="宋体" w:cs="宋体"/>
          <w:szCs w:val="21"/>
        </w:rPr>
      </w:pPr>
      <w:r>
        <w:rPr>
          <w:rFonts w:hint="eastAsia" w:ascii="宋体" w:hAnsi="宋体" w:cs="宋体"/>
          <w:szCs w:val="21"/>
        </w:rPr>
        <w:t xml:space="preserve">（按“苏采云”系统格式填报投标总报价并签章）</w:t>
      </w:r>
      <w:r/>
    </w:p>
    <w:p>
      <w:pPr>
        <w:pStyle w:val="778"/>
        <w:spacing w:after="0" w:line="360" w:lineRule="auto"/>
        <w:rPr>
          <w:rFonts w:ascii="宋体" w:hAnsi="宋体" w:cs="宋体"/>
          <w:szCs w:val="21"/>
        </w:rPr>
      </w:pPr>
      <w:r>
        <w:rPr>
          <w:rFonts w:ascii="宋体" w:hAnsi="宋体" w:cs="宋体"/>
          <w:szCs w:val="21"/>
        </w:rPr>
      </w:r>
      <w:r/>
    </w:p>
    <w:p>
      <w:pPr>
        <w:pStyle w:val="747"/>
        <w:pageBreakBefore/>
        <w:spacing w:before="0" w:after="0" w:line="360" w:lineRule="auto"/>
        <w:rPr>
          <w:rFonts w:ascii="宋体" w:hAnsi="宋体" w:cs="宋体"/>
          <w:sz w:val="21"/>
          <w:szCs w:val="21"/>
        </w:rPr>
      </w:pPr>
      <w:r>
        <w:rPr>
          <w:rFonts w:hint="eastAsia" w:ascii="宋体" w:hAnsi="宋体" w:cs="宋体"/>
          <w:sz w:val="21"/>
          <w:szCs w:val="21"/>
        </w:rPr>
        <w:t xml:space="preserve">附件2：磋商报价分析表（参考格式）</w:t>
      </w:r>
      <w:r/>
    </w:p>
    <w:p>
      <w:pPr>
        <w:jc w:val="center"/>
        <w:spacing w:line="360" w:lineRule="auto"/>
        <w:rPr>
          <w:rFonts w:ascii="宋体" w:hAnsi="宋体" w:cs="宋体"/>
          <w:b/>
          <w:szCs w:val="21"/>
        </w:rPr>
      </w:pPr>
      <w:r>
        <w:rPr>
          <w:rFonts w:hint="eastAsia" w:ascii="宋体" w:hAnsi="宋体" w:cs="宋体"/>
          <w:b/>
          <w:szCs w:val="21"/>
        </w:rPr>
        <w:t xml:space="preserve">磋商报价分析表</w:t>
      </w:r>
      <w:r/>
    </w:p>
    <w:p>
      <w:pPr>
        <w:spacing w:line="360" w:lineRule="auto"/>
        <w:rPr>
          <w:rFonts w:ascii="宋体" w:hAnsi="宋体" w:cs="宋体"/>
          <w:szCs w:val="21"/>
        </w:rPr>
      </w:pPr>
      <w:r>
        <w:rPr>
          <w:rFonts w:hint="eastAsia" w:ascii="宋体" w:hAnsi="宋体" w:cs="宋体"/>
          <w:szCs w:val="21"/>
        </w:rPr>
        <w:t xml:space="preserve">采购编号：</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2"/>
        <w:gridCol w:w="2298"/>
        <w:gridCol w:w="1424"/>
        <w:gridCol w:w="1800"/>
        <w:gridCol w:w="1933"/>
        <w:gridCol w:w="1505"/>
      </w:tblGrid>
      <w:tr>
        <w:trPr>
          <w:cantSplit/>
          <w:jc w:val="center"/>
          <w:trHeight w:val="50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单位/数量</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00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0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3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人民币（小写）       元</w:t>
            </w:r>
            <w:r/>
          </w:p>
        </w:tc>
      </w:tr>
    </w:tbl>
    <w:p>
      <w:pPr>
        <w:pStyle w:val="761"/>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61"/>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778"/>
        <w:spacing w:after="0" w:line="360" w:lineRule="auto"/>
        <w:rPr>
          <w:rFonts w:ascii="宋体" w:hAnsi="宋体" w:cs="宋体"/>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rPr>
      </w:r>
      <w:r/>
    </w:p>
    <w:p>
      <w:pPr>
        <w:spacing w:line="360" w:lineRule="auto"/>
        <w:rPr>
          <w:rFonts w:ascii="宋体" w:hAnsi="宋体" w:cs="宋体"/>
          <w:b/>
          <w:szCs w:val="21"/>
        </w:rPr>
        <w:outlineLvl w:val="1"/>
      </w:pPr>
      <w:r>
        <w:rPr>
          <w:rFonts w:hint="eastAsia" w:ascii="宋体" w:hAnsi="宋体" w:cs="宋体"/>
          <w:b/>
          <w:szCs w:val="21"/>
        </w:rPr>
        <w:t xml:space="preserve">附件3：磋商响应函</w:t>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我们收到你们JSZC-320500-CJZB-C2026-0026号磋商采购文件，经仔细阅读和研究，我们决定参加本项目的磋商。</w:t>
      </w:r>
      <w:r/>
    </w:p>
    <w:p>
      <w:pPr>
        <w:ind w:firstLine="420"/>
        <w:spacing w:line="360" w:lineRule="auto"/>
        <w:rPr>
          <w:rFonts w:ascii="宋体" w:hAnsi="宋体" w:cs="宋体"/>
          <w:lang w:val="zh-CN"/>
        </w:rPr>
      </w:pPr>
      <w:r>
        <w:rPr>
          <w:rFonts w:hint="eastAsia" w:ascii="宋体" w:hAnsi="宋体" w:cs="宋体"/>
          <w:szCs w:val="21"/>
        </w:rPr>
        <w:t xml:space="preserve">1、我们愿意按照磋商采购文件的一切要求，提供本次采购的全部服务，总价格见开标一览表。</w:t>
      </w:r>
      <w:r>
        <w:rPr>
          <w:rFonts w:hint="eastAsia" w:ascii="宋体" w:hAnsi="宋体" w:cs="宋体"/>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3、我们同意按磋商采购文件中的规定，本响应文件的有效期限为自开标之日起45日。</w:t>
      </w:r>
      <w:r/>
    </w:p>
    <w:p>
      <w:pPr>
        <w:ind w:firstLine="420"/>
        <w:spacing w:line="360" w:lineRule="auto"/>
        <w:rPr>
          <w:rFonts w:ascii="宋体" w:hAnsi="宋体" w:cs="宋体"/>
          <w:szCs w:val="21"/>
        </w:rPr>
      </w:pPr>
      <w:r>
        <w:rPr>
          <w:rFonts w:hint="eastAsia" w:ascii="宋体" w:hAnsi="宋体" w:cs="宋体"/>
          <w:szCs w:val="21"/>
        </w:rPr>
        <w:t xml:space="preserve">4、我们愿意提供采购单位在磋商采购文件中要求的所有资料。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7、如我方成为成交单位，我方愿意在领取成交通知书时按采购文件要求向代理机构支付代理服务费。</w:t>
      </w:r>
      <w:r/>
    </w:p>
    <w:p>
      <w:pPr>
        <w:ind w:firstLine="420"/>
        <w:spacing w:line="360" w:lineRule="auto"/>
        <w:rPr>
          <w:rFonts w:ascii="宋体" w:hAnsi="宋体" w:cs="宋体"/>
          <w:szCs w:val="21"/>
        </w:rPr>
      </w:pPr>
      <w:r>
        <w:rPr>
          <w:rFonts w:hint="eastAsia" w:ascii="宋体" w:hAnsi="宋体" w:cs="宋体"/>
          <w:szCs w:val="21"/>
        </w:rPr>
        <w:t xml:space="preserve">8、我们愿意按照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10、综合说明：</w:t>
      </w:r>
      <w:r/>
    </w:p>
    <w:p>
      <w:pPr>
        <w:ind w:firstLine="420"/>
        <w:spacing w:line="360" w:lineRule="auto"/>
        <w:rPr>
          <w:rFonts w:ascii="宋体" w:hAnsi="宋体" w:cs="宋体"/>
          <w:szCs w:val="21"/>
        </w:rPr>
      </w:pPr>
      <w:r>
        <w:rPr>
          <w:rFonts w:hint="eastAsia" w:ascii="宋体" w:hAnsi="宋体" w:cs="宋体"/>
          <w:szCs w:val="21"/>
        </w:rPr>
        <w:t xml:space="preserve">（1）伴随服务及配合措施；（2）要求采购单位提供的配合；</w:t>
      </w:r>
      <w:r/>
    </w:p>
    <w:p>
      <w:pPr>
        <w:ind w:firstLine="420"/>
        <w:spacing w:line="360" w:lineRule="auto"/>
        <w:rPr>
          <w:rFonts w:ascii="宋体" w:hAnsi="宋体" w:cs="宋体"/>
          <w:szCs w:val="21"/>
        </w:rPr>
      </w:pPr>
      <w:r>
        <w:rPr>
          <w:rFonts w:hint="eastAsia" w:ascii="宋体" w:hAnsi="宋体" w:cs="宋体"/>
          <w:szCs w:val="21"/>
        </w:rPr>
        <w:t xml:space="preserve">（3）对磋商采购文件有不同意见的偏离说明；（4）其它说明（如有）；</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              邮编：</w:t>
      </w:r>
      <w:r/>
    </w:p>
    <w:p>
      <w:pPr>
        <w:ind w:firstLine="420"/>
        <w:spacing w:line="360" w:lineRule="auto"/>
        <w:rPr>
          <w:rFonts w:ascii="宋体" w:hAnsi="宋体" w:cs="宋体"/>
          <w:szCs w:val="21"/>
        </w:rPr>
      </w:pPr>
      <w:r>
        <w:rPr>
          <w:rFonts w:hint="eastAsia" w:ascii="宋体" w:hAnsi="宋体" w:cs="宋体"/>
          <w:szCs w:val="21"/>
        </w:rPr>
        <w:t xml:space="preserve">联系人：            地址：</w:t>
      </w:r>
      <w:r/>
    </w:p>
    <w:p>
      <w:pPr>
        <w:ind w:firstLine="420"/>
        <w:spacing w:line="360" w:lineRule="auto"/>
        <w:rPr>
          <w:rFonts w:ascii="宋体" w:hAnsi="宋体" w:cs="宋体"/>
          <w:szCs w:val="21"/>
        </w:rPr>
      </w:pPr>
      <w:r>
        <w:rPr>
          <w:rFonts w:hint="eastAsia" w:ascii="宋体" w:hAnsi="宋体" w:cs="宋体"/>
          <w:szCs w:val="21"/>
        </w:rPr>
        <w:t xml:space="preserve">开户名称：          电话：</w:t>
      </w:r>
      <w:r/>
    </w:p>
    <w:p>
      <w:pPr>
        <w:ind w:firstLine="420"/>
        <w:spacing w:line="360" w:lineRule="auto"/>
        <w:rPr>
          <w:rFonts w:ascii="宋体" w:hAnsi="宋体" w:cs="宋体"/>
          <w:szCs w:val="21"/>
        </w:rPr>
      </w:pPr>
      <w:r>
        <w:rPr>
          <w:rFonts w:hint="eastAsia" w:ascii="宋体" w:hAnsi="宋体" w:cs="宋体"/>
          <w:szCs w:val="21"/>
        </w:rPr>
        <w:t xml:space="preserve">开户银行：          传真：</w:t>
      </w:r>
      <w:r/>
    </w:p>
    <w:p>
      <w:pPr>
        <w:ind w:firstLine="420"/>
        <w:spacing w:line="360" w:lineRule="auto"/>
        <w:rPr>
          <w:rFonts w:ascii="宋体" w:hAnsi="宋体" w:cs="宋体"/>
          <w:szCs w:val="21"/>
        </w:rPr>
      </w:pPr>
      <w:r>
        <w:rPr>
          <w:rFonts w:hint="eastAsia" w:ascii="宋体" w:hAnsi="宋体" w:cs="宋体"/>
          <w:szCs w:val="21"/>
        </w:rPr>
        <w:t xml:space="preserve">开户账号：          邮箱地址：</w:t>
      </w:r>
      <w:r/>
    </w:p>
    <w:p>
      <w:pPr>
        <w:ind w:firstLine="420"/>
        <w:spacing w:line="360" w:lineRule="auto"/>
        <w:rPr>
          <w:rFonts w:ascii="宋体" w:hAnsi="宋体" w:cs="宋体"/>
          <w:szCs w:val="21"/>
        </w:rPr>
      </w:pPr>
      <w:r>
        <w:rPr>
          <w:rFonts w:hint="eastAsia" w:ascii="宋体" w:hAnsi="宋体" w:cs="宋体"/>
          <w:szCs w:val="21"/>
        </w:rPr>
        <w:t xml:space="preserve">数币账户信息：</w:t>
      </w:r>
      <w:r/>
    </w:p>
    <w:p>
      <w:pPr>
        <w:pStyle w:val="761"/>
        <w:jc w:val="both"/>
        <w:spacing w:line="360" w:lineRule="auto"/>
        <w:rPr>
          <w:rFonts w:ascii="宋体" w:hAnsi="宋体" w:eastAsia="宋体" w:cs="宋体"/>
          <w:sz w:val="21"/>
          <w:szCs w:val="21"/>
        </w:rPr>
      </w:pPr>
      <w:r>
        <w:rPr>
          <w:rFonts w:ascii="宋体" w:hAnsi="宋体" w:eastAsia="宋体" w:cs="宋体"/>
          <w:sz w:val="21"/>
          <w:szCs w:val="21"/>
        </w:rPr>
      </w:r>
      <w:r/>
    </w:p>
    <w:p>
      <w:pPr>
        <w:pStyle w:val="761"/>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磋商响应单位：（签章）</w:t>
      </w:r>
      <w:r/>
    </w:p>
    <w:p>
      <w:pPr>
        <w:pStyle w:val="761"/>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pStyle w:val="761"/>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附件4：关于资格文件的声明函</w:t>
      </w:r>
      <w:r/>
    </w:p>
    <w:p>
      <w:pPr>
        <w:pStyle w:val="761"/>
        <w:jc w:val="center"/>
        <w:spacing w:line="360" w:lineRule="auto"/>
        <w:rPr>
          <w:rFonts w:ascii="宋体" w:hAnsi="宋体" w:eastAsia="宋体" w:cs="宋体"/>
          <w:sz w:val="21"/>
        </w:rPr>
      </w:pPr>
      <w:r>
        <w:rPr>
          <w:rFonts w:ascii="宋体" w:hAnsi="宋体" w:eastAsia="宋体" w:cs="宋体"/>
          <w:sz w:val="21"/>
        </w:rPr>
      </w:r>
      <w:r/>
    </w:p>
    <w:p>
      <w:pPr>
        <w:pStyle w:val="761"/>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61"/>
        <w:ind w:firstLine="0"/>
        <w:spacing w:line="360" w:lineRule="auto"/>
        <w:rPr>
          <w:rFonts w:ascii="宋体" w:hAnsi="宋体" w:eastAsia="宋体" w:cs="宋体"/>
          <w:sz w:val="21"/>
          <w:u w:val="single"/>
        </w:rPr>
      </w:pPr>
      <w:r>
        <w:rPr>
          <w:rFonts w:ascii="宋体" w:hAnsi="宋体" w:eastAsia="宋体" w:cs="宋体"/>
          <w:sz w:val="21"/>
          <w:u w:val="single"/>
        </w:rPr>
      </w:r>
      <w:r/>
    </w:p>
    <w:p>
      <w:pPr>
        <w:pStyle w:val="761"/>
        <w:ind w:firstLine="0"/>
        <w:spacing w:line="360" w:lineRule="auto"/>
        <w:rPr>
          <w:rFonts w:ascii="宋体" w:hAnsi="宋体" w:eastAsia="宋体" w:cs="宋体"/>
          <w:sz w:val="21"/>
        </w:rPr>
      </w:pPr>
      <w:r>
        <w:rPr>
          <w:rFonts w:hint="eastAsia" w:ascii="宋体" w:hAnsi="宋体" w:eastAsia="宋体" w:cs="宋体"/>
          <w:sz w:val="21"/>
        </w:rPr>
        <w:t xml:space="preserve">【采购单位、代理机构名称】：</w:t>
      </w:r>
      <w:r/>
    </w:p>
    <w:p>
      <w:pPr>
        <w:pStyle w:val="761"/>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61"/>
        <w:ind w:firstLine="0"/>
        <w:jc w:val="both"/>
        <w:spacing w:line="360" w:lineRule="auto"/>
        <w:rPr>
          <w:rFonts w:ascii="宋体" w:hAnsi="宋体" w:eastAsia="宋体" w:cs="宋体"/>
          <w:sz w:val="21"/>
        </w:rPr>
      </w:pPr>
      <w:r>
        <w:rPr>
          <w:rFonts w:ascii="宋体" w:hAnsi="宋体" w:eastAsia="宋体" w:cs="宋体"/>
          <w:sz w:val="21"/>
        </w:rPr>
      </w:r>
      <w:r/>
    </w:p>
    <w:p>
      <w:pPr>
        <w:pStyle w:val="761"/>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61"/>
        <w:ind w:firstLine="0"/>
        <w:jc w:val="both"/>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sz w:val="21"/>
          <w:szCs w:val="21"/>
        </w:rPr>
        <w:t xml:space="preserve">日期：        年    月    日</w:t>
      </w:r>
      <w:r/>
    </w:p>
    <w:p>
      <w:pPr>
        <w:pageBreakBefore/>
        <w:spacing w:line="360" w:lineRule="auto"/>
        <w:rPr>
          <w:rFonts w:ascii="宋体" w:hAnsi="宋体" w:cs="宋体"/>
          <w:b/>
          <w:szCs w:val="21"/>
        </w:rPr>
        <w:outlineLvl w:val="1"/>
      </w:pPr>
      <w:r>
        <w:rPr>
          <w:rFonts w:hint="eastAsia" w:ascii="宋体" w:hAnsi="宋体" w:cs="宋体"/>
          <w:b/>
          <w:szCs w:val="21"/>
        </w:rPr>
        <w:t xml:space="preserve">附件5：（磋商响应单位）法人授权委托书</w:t>
      </w:r>
      <w:r/>
    </w:p>
    <w:p>
      <w:pPr>
        <w:pStyle w:val="761"/>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61"/>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61"/>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61"/>
        <w:ind w:left="630" w:firstLine="0"/>
        <w:spacing w:line="360" w:lineRule="auto"/>
        <w:rPr>
          <w:rFonts w:ascii="宋体" w:hAnsi="宋体" w:eastAsia="宋体" w:cs="宋体"/>
          <w:sz w:val="21"/>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附件6：服务偏离表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136" w:type="dxa"/>
        <w:tblInd w:w="108" w:type="dxa"/>
        <w:tblLayout w:type="fixed"/>
        <w:tblCellMar>
          <w:left w:w="0" w:type="dxa"/>
          <w:right w:w="0" w:type="dxa"/>
        </w:tblCellMar>
        <w:tblLook w:val="04A0" w:firstRow="1" w:lastRow="0" w:firstColumn="1" w:lastColumn="0" w:noHBand="0" w:noVBand="1"/>
      </w:tblPr>
      <w:tblGrid>
        <w:gridCol w:w="1079"/>
        <w:gridCol w:w="2246"/>
        <w:gridCol w:w="3909"/>
        <w:gridCol w:w="190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9"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0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        年    月    日</w:t>
      </w:r>
      <w:r/>
    </w:p>
    <w:p>
      <w:pPr>
        <w:ind w:left="735" w:hanging="735"/>
        <w:spacing w:line="360" w:lineRule="auto"/>
        <w:rPr>
          <w:rFonts w:ascii="宋体" w:hAnsi="宋体" w:cs="宋体"/>
          <w:szCs w:val="21"/>
        </w:rPr>
      </w:pPr>
      <w:r>
        <w:rPr>
          <w:rFonts w:hint="eastAsia" w:ascii="宋体" w:hAnsi="宋体" w:cs="宋体"/>
          <w:szCs w:val="21"/>
        </w:rPr>
        <w:t xml:space="preserve">注：1、磋商响应单位应对照采购文件技术要求等要求，所投标的物（服务）与采购文件的规定有偏离的，应在此表中申明与技术要求条文的偏差和例外。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679" w:type="dxa"/>
        <w:tblInd w:w="108" w:type="dxa"/>
        <w:tblLayout w:type="fixed"/>
        <w:tblCellMar>
          <w:left w:w="0" w:type="dxa"/>
          <w:right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        年    月    日</w:t>
      </w:r>
      <w:r/>
    </w:p>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759"/>
        <w:spacing w:after="0" w:line="360" w:lineRule="auto"/>
        <w:sectPr>
          <w:footnotePr/>
          <w:endnotePr/>
          <w:type w:val="nextPage"/>
          <w:pgSz w:w="11906" w:h="16838" w:orient="portrait"/>
          <w:pgMar w:top="1440" w:right="1080" w:bottom="1440" w:left="1080" w:header="964" w:footer="964" w:gutter="0"/>
          <w:cols w:num="1" w:sep="0" w:space="720" w:equalWidth="1"/>
          <w:docGrid w:linePitch="360"/>
        </w:sectPr>
      </w:pPr>
      <w:r/>
      <w:r/>
    </w:p>
    <w:p>
      <w:pPr>
        <w:pageBreakBefore/>
        <w:spacing w:line="360" w:lineRule="auto"/>
        <w:rPr>
          <w:rFonts w:ascii="宋体" w:hAnsi="宋体" w:cs="宋体"/>
          <w:b/>
        </w:rPr>
        <w:outlineLvl w:val="1"/>
      </w:pPr>
      <w:r>
        <w:rPr>
          <w:rFonts w:hint="eastAsia" w:ascii="宋体" w:hAnsi="宋体" w:cs="宋体"/>
          <w:b/>
        </w:rPr>
        <w:t xml:space="preserve">附件8：投标（响应）保证承诺书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778"/>
        <w:spacing w:after="0"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pStyle w:val="761"/>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附件9：磋商响应单位基本情况表</w:t>
      </w:r>
      <w:r/>
    </w:p>
    <w:p>
      <w:pPr>
        <w:pStyle w:val="761"/>
        <w:jc w:val="center"/>
        <w:spacing w:line="360" w:lineRule="auto"/>
        <w:rPr>
          <w:rFonts w:ascii="宋体" w:hAnsi="宋体" w:eastAsia="宋体" w:cs="宋体"/>
          <w:sz w:val="21"/>
          <w:szCs w:val="21"/>
        </w:rPr>
      </w:pPr>
      <w:r>
        <w:rPr>
          <w:rFonts w:hint="eastAsia" w:ascii="宋体" w:hAnsi="宋体" w:eastAsia="宋体" w:cs="宋体"/>
          <w:b/>
          <w:bCs/>
          <w:sz w:val="21"/>
          <w:szCs w:val="21"/>
        </w:rPr>
        <w:t xml:space="preserve">磋商响应单位基本情况表</w:t>
      </w:r>
      <w:r/>
    </w:p>
    <w:p>
      <w:pPr>
        <w:pStyle w:val="76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9108"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88"/>
        <w:gridCol w:w="1800"/>
        <w:gridCol w:w="1980"/>
        <w:gridCol w:w="2340"/>
      </w:tblGrid>
      <w:tr>
        <w:trPr>
          <w:cantSplit/>
          <w:trHeight w:val="482"/>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成立日期</w:t>
            </w:r>
            <w:r/>
          </w:p>
        </w:tc>
        <w:tc>
          <w:tcPr>
            <w:tcW w:w="23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473"/>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企业地址</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注册资本</w:t>
            </w:r>
            <w:r/>
          </w:p>
        </w:tc>
        <w:tc>
          <w:tcPr>
            <w:tcW w:w="234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_________</w:t>
            </w:r>
            <w:r>
              <w:rPr>
                <w:rFonts w:hint="eastAsia" w:ascii="宋体" w:hAnsi="宋体" w:cs="宋体"/>
                <w:szCs w:val="21"/>
              </w:rPr>
              <w:t xml:space="preserve">万元</w:t>
            </w:r>
            <w:r/>
          </w:p>
        </w:tc>
      </w:tr>
      <w:tr>
        <w:trPr>
          <w:cantSplit/>
          <w:trHeight w:val="463"/>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3"/>
            <w:tcW w:w="61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职工人数</w:t>
            </w:r>
            <w:r/>
          </w:p>
        </w:tc>
        <w:tc>
          <w:tcPr>
            <w:tcW w:w="18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其中：中高级</w:t>
            </w:r>
            <w:r/>
          </w:p>
          <w:p>
            <w:pPr>
              <w:jc w:val="center"/>
              <w:spacing w:line="360" w:lineRule="auto"/>
              <w:rPr>
                <w:rFonts w:ascii="宋体" w:hAnsi="宋体" w:cs="宋体"/>
                <w:szCs w:val="21"/>
              </w:rPr>
            </w:pPr>
            <w:r>
              <w:rPr>
                <w:rFonts w:hint="eastAsia" w:ascii="宋体" w:hAnsi="宋体" w:cs="宋体"/>
                <w:szCs w:val="21"/>
              </w:rPr>
              <w:t xml:space="preserve">以上职称的人数</w:t>
            </w:r>
            <w:r/>
          </w:p>
        </w:tc>
        <w:tc>
          <w:tcPr>
            <w:tcW w:w="23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510"/>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资产总计</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万元</w:t>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净资产</w:t>
            </w:r>
            <w:r/>
          </w:p>
        </w:tc>
        <w:tc>
          <w:tcPr>
            <w:tcW w:w="234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万元</w:t>
            </w:r>
            <w:r/>
          </w:p>
        </w:tc>
      </w:tr>
      <w:tr>
        <w:trPr>
          <w:cantSplit/>
          <w:trHeight w:val="445"/>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股东权益</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万元</w:t>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销售收入</w:t>
            </w:r>
            <w:r/>
          </w:p>
        </w:tc>
        <w:tc>
          <w:tcPr>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年万元</w:t>
            </w:r>
            <w:r/>
          </w:p>
        </w:tc>
      </w:tr>
      <w:tr>
        <w:trPr>
          <w:cantSplit/>
          <w:trHeight w:val="666"/>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实现利润</w:t>
            </w:r>
            <w:r/>
          </w:p>
        </w:tc>
        <w:tc>
          <w:tcPr>
            <w:gridSpan w:val="3"/>
            <w:tcW w:w="61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年万元</w:t>
            </w:r>
            <w:r/>
          </w:p>
        </w:tc>
      </w:tr>
      <w:tr>
        <w:trPr>
          <w:cantSplit/>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营业面积（含厂房面积）</w:t>
            </w:r>
            <w:r/>
          </w:p>
        </w:tc>
        <w:tc>
          <w:tcPr>
            <w:tcW w:w="1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平方米</w:t>
            </w:r>
            <w:r/>
          </w:p>
        </w:tc>
        <w:tc>
          <w:tcPr>
            <w:tcW w:w="198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w:t>
            </w:r>
            <w:r/>
          </w:p>
        </w:tc>
        <w:tc>
          <w:tcPr>
            <w:tcW w:w="23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自有面积平方米</w:t>
            </w:r>
            <w:r/>
          </w:p>
          <w:p>
            <w:pPr>
              <w:jc w:val="center"/>
              <w:spacing w:line="360" w:lineRule="auto"/>
              <w:rPr>
                <w:rFonts w:ascii="宋体" w:hAnsi="宋体" w:cs="宋体"/>
                <w:szCs w:val="21"/>
              </w:rPr>
            </w:pPr>
            <w:r>
              <w:rPr>
                <w:rFonts w:hint="eastAsia" w:ascii="宋体" w:hAnsi="宋体" w:cs="宋体"/>
                <w:szCs w:val="21"/>
              </w:rPr>
              <w:t xml:space="preserve">承租面积平方米</w:t>
            </w:r>
            <w:r/>
          </w:p>
        </w:tc>
      </w:tr>
      <w:tr>
        <w:trPr>
          <w:cantSplit/>
          <w:trHeight w:val="1022"/>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单位简历及内设机构情况</w:t>
            </w:r>
            <w:r/>
          </w:p>
        </w:tc>
        <w:tc>
          <w:tcPr>
            <w:gridSpan w:val="3"/>
            <w:tcW w:w="61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782"/>
        </w:trPr>
        <w:tc>
          <w:tcPr>
            <w:tcW w:w="29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单位优势及特长</w:t>
            </w:r>
            <w:r/>
          </w:p>
        </w:tc>
        <w:tc>
          <w:tcPr>
            <w:gridSpan w:val="3"/>
            <w:tcW w:w="61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近三年来完成或正在履行的重大合同情况</w:t>
            </w:r>
            <w:r/>
          </w:p>
        </w:tc>
        <w:tc>
          <w:tcPr>
            <w:gridSpan w:val="3"/>
            <w:tcW w:w="6120"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最近2年内在经营过程中受到何种奖励或处分</w:t>
            </w:r>
            <w:r/>
          </w:p>
        </w:tc>
        <w:tc>
          <w:tcPr>
            <w:gridSpan w:val="3"/>
            <w:tcW w:w="61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（包括财政、工商、税务、物价、技监部门稽查情况、结果）</w:t>
            </w:r>
            <w:r/>
          </w:p>
        </w:tc>
      </w:tr>
      <w:tr>
        <w:trPr>
          <w:cantSplit/>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最近3年内有无因售假、售劣或是其他原因被消费者投诉或起诉的情况及说明</w:t>
            </w:r>
            <w:r/>
          </w:p>
        </w:tc>
        <w:tc>
          <w:tcPr>
            <w:gridSpan w:val="3"/>
            <w:tcW w:w="61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（包括解决方式和结果）</w:t>
            </w:r>
            <w:r/>
          </w:p>
        </w:tc>
      </w:tr>
      <w:tr>
        <w:trPr>
          <w:cantSplit/>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最近3年内主要负责人有无经济犯罪被司法机关追究的情况及说明</w:t>
            </w:r>
            <w:r/>
          </w:p>
        </w:tc>
        <w:tc>
          <w:tcPr>
            <w:gridSpan w:val="3"/>
            <w:tcW w:w="6120"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505"/>
        </w:trPr>
        <w:tc>
          <w:tcPr>
            <w:tcW w:w="2988" w:type="dxa"/>
            <w:textDirection w:val="lrTb"/>
            <w:noWrap w:val="false"/>
          </w:tcPr>
          <w:p>
            <w:pPr>
              <w:spacing w:line="360" w:lineRule="auto"/>
              <w:rPr>
                <w:rFonts w:ascii="宋体" w:hAnsi="宋体" w:cs="宋体"/>
                <w:szCs w:val="21"/>
              </w:rPr>
            </w:pPr>
            <w:r>
              <w:rPr>
                <w:rFonts w:hint="eastAsia" w:ascii="宋体" w:hAnsi="宋体" w:cs="宋体"/>
                <w:szCs w:val="21"/>
              </w:rPr>
              <w:t xml:space="preserve">获得技术认证的工程师及简介</w:t>
            </w:r>
            <w:r/>
          </w:p>
        </w:tc>
        <w:tc>
          <w:tcPr>
            <w:gridSpan w:val="3"/>
            <w:tcW w:w="6120" w:type="dxa"/>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737"/>
        </w:trPr>
        <w:tc>
          <w:tcPr>
            <w:tcW w:w="298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其他需要说明的情况</w:t>
            </w:r>
            <w:r/>
          </w:p>
        </w:tc>
        <w:tc>
          <w:tcPr>
            <w:gridSpan w:val="3"/>
            <w:tcW w:w="6120" w:type="dxa"/>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778"/>
        <w:spacing w:after="0" w:line="360" w:lineRule="auto"/>
        <w:rPr>
          <w:rFonts w:ascii="宋体" w:hAnsi="宋体" w:cs="宋体"/>
          <w:szCs w:val="21"/>
        </w:rPr>
      </w:pPr>
      <w:r>
        <w:rPr>
          <w:rFonts w:ascii="宋体" w:hAnsi="宋体" w:cs="宋体"/>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附件10：针对本项目的人员配置表</w:t>
      </w:r>
      <w:r/>
    </w:p>
    <w:p>
      <w:pPr>
        <w:jc w:val="center"/>
        <w:spacing w:line="360" w:lineRule="auto"/>
        <w:rPr>
          <w:rFonts w:ascii="宋体" w:hAnsi="宋体" w:cs="宋体"/>
          <w:b/>
          <w:bCs/>
          <w:szCs w:val="21"/>
        </w:rPr>
      </w:pPr>
      <w:r>
        <w:rPr>
          <w:rFonts w:hint="eastAsia" w:ascii="宋体" w:hAnsi="宋体" w:cs="宋体"/>
          <w:b/>
        </w:rPr>
        <w:t xml:space="preserve">（1）</w:t>
      </w: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977"/>
        <w:gridCol w:w="1029"/>
        <w:gridCol w:w="897"/>
        <w:gridCol w:w="827"/>
        <w:gridCol w:w="1026"/>
        <w:gridCol w:w="1575"/>
        <w:gridCol w:w="895"/>
        <w:gridCol w:w="1192"/>
        <w:gridCol w:w="716"/>
      </w:tblGrid>
      <w:tr>
        <w:trPr>
          <w:jc w:val="center"/>
          <w:trHeight w:val="256"/>
        </w:trPr>
        <w:tc>
          <w:tcPr>
            <w:tcW w:w="82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97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岗位</w:t>
            </w:r>
            <w:r/>
          </w:p>
        </w:tc>
        <w:tc>
          <w:tcPr>
            <w:tcW w:w="102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89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2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1026" w:type="dxa"/>
            <w:vAlign w:val="center"/>
            <w:vMerge w:val="restart"/>
            <w:textDirection w:val="lrTb"/>
            <w:noWrap w:val="false"/>
          </w:tcPr>
          <w:p>
            <w:pPr>
              <w:jc w:val="center"/>
              <w:spacing w:line="360" w:lineRule="auto"/>
              <w:rPr>
                <w:rFonts w:ascii="宋体" w:hAnsi="宋体" w:cs="宋体"/>
                <w:b/>
                <w:bCs/>
                <w:szCs w:val="21"/>
              </w:rPr>
            </w:pPr>
            <w:r>
              <w:rPr>
                <w:rFonts w:hint="eastAsia" w:ascii="宋体" w:hAnsi="宋体" w:cs="宋体"/>
                <w:szCs w:val="21"/>
              </w:rPr>
              <w:t xml:space="preserve">学历、所学专业</w:t>
            </w:r>
            <w:r/>
          </w:p>
        </w:tc>
        <w:tc>
          <w:tcPr>
            <w:tcW w:w="157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职称、注册</w:t>
            </w:r>
            <w:r/>
          </w:p>
          <w:p>
            <w:pPr>
              <w:jc w:val="center"/>
              <w:spacing w:line="360" w:lineRule="auto"/>
              <w:rPr>
                <w:rFonts w:ascii="宋体" w:hAnsi="宋体" w:cs="宋体"/>
                <w:szCs w:val="21"/>
              </w:rPr>
            </w:pPr>
            <w:r>
              <w:rPr>
                <w:rFonts w:hint="eastAsia" w:ascii="宋体" w:hAnsi="宋体" w:cs="宋体"/>
                <w:szCs w:val="21"/>
              </w:rPr>
              <w:t xml:space="preserve">资格</w:t>
            </w:r>
            <w:r/>
          </w:p>
        </w:tc>
        <w:tc>
          <w:tcPr>
            <w:gridSpan w:val="2"/>
            <w:tcW w:w="20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从事类似工作</w:t>
            </w:r>
            <w:r/>
          </w:p>
        </w:tc>
        <w:tc>
          <w:tcPr>
            <w:tcW w:w="716"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82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年限</w:t>
            </w:r>
            <w:r/>
          </w:p>
        </w:tc>
        <w:tc>
          <w:tcPr>
            <w:tcW w:w="11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16"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9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5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1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hint="eastAsia" w:ascii="宋体" w:hAnsi="宋体" w:cs="宋体"/>
          <w:szCs w:val="21"/>
        </w:rPr>
        <w:t xml:space="preserve">注：1、“项目组人员”指磋商响应单位针对该项目所配备的主要团队人员。</w:t>
      </w:r>
      <w:r>
        <w:rPr>
          <w:rFonts w:hint="eastAsia" w:ascii="宋体" w:hAnsi="宋体" w:cs="宋体"/>
        </w:rPr>
        <w:t xml:space="preserve">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r/>
    </w:p>
    <w:p>
      <w:pPr>
        <w:ind w:left="735" w:hanging="315"/>
        <w:spacing w:line="360" w:lineRule="auto"/>
        <w:rPr>
          <w:rFonts w:ascii="宋体" w:hAnsi="宋体" w:cs="宋体"/>
        </w:rPr>
      </w:pPr>
      <w:r>
        <w:rPr>
          <w:rFonts w:hint="eastAsia" w:ascii="宋体" w:hAnsi="宋体" w:cs="宋体"/>
        </w:rPr>
        <w:t xml:space="preserve">2、响应单位可参照上述格式自行设计表格投标。</w:t>
      </w:r>
      <w:r/>
    </w:p>
    <w:p>
      <w:pPr>
        <w:ind w:left="735" w:hanging="735"/>
        <w:spacing w:line="360" w:lineRule="auto"/>
        <w:rPr>
          <w:rFonts w:ascii="宋体" w:hAnsi="宋体" w:cs="宋体"/>
          <w:szCs w:val="21"/>
        </w:rPr>
      </w:pPr>
      <w:r>
        <w:rPr>
          <w:rFonts w:ascii="宋体" w:hAnsi="宋体" w:cs="宋体"/>
          <w:szCs w:val="21"/>
        </w:rPr>
      </w:r>
      <w:r/>
    </w:p>
    <w:p>
      <w:pPr>
        <w:spacing w:line="360" w:lineRule="auto"/>
        <w:rPr>
          <w:rFonts w:ascii="宋体" w:hAnsi="宋体" w:cs="宋体"/>
          <w:b/>
          <w:bCs/>
          <w:szCs w:val="21"/>
          <w:lang w:val="zh-CN"/>
        </w:rPr>
      </w:pPr>
      <w:r>
        <w:rPr>
          <w:rFonts w:hint="eastAsia" w:ascii="宋体" w:hAnsi="宋体" w:cs="宋体"/>
          <w:b/>
          <w:bCs/>
          <w:szCs w:val="21"/>
          <w:lang w:val="zh-CN"/>
        </w:rPr>
        <w:br w:type="page" w:clear="all"/>
      </w:r>
      <w:r/>
    </w:p>
    <w:p>
      <w:pPr>
        <w:jc w:val="center"/>
        <w:spacing w:line="360" w:lineRule="auto"/>
        <w:rPr>
          <w:rFonts w:ascii="宋体" w:hAnsi="宋体" w:cs="宋体"/>
          <w:szCs w:val="21"/>
        </w:rPr>
      </w:pPr>
      <w:r>
        <w:rPr>
          <w:rFonts w:hint="eastAsia" w:ascii="宋体" w:hAnsi="宋体" w:cs="宋体"/>
          <w:b/>
          <w:bCs/>
          <w:szCs w:val="21"/>
        </w:rPr>
        <w:t xml:space="preserve">（2）拟投入本项目的项目负责人简历表（格式）</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129" w:type="dxa"/>
        <w:tblLayout w:type="fixed"/>
        <w:tblLook w:val="04A0" w:firstRow="1" w:lastRow="0" w:firstColumn="1" w:lastColumn="0" w:noHBand="0" w:noVBand="1"/>
      </w:tblPr>
      <w:tblGrid>
        <w:gridCol w:w="945"/>
        <w:gridCol w:w="944"/>
        <w:gridCol w:w="945"/>
        <w:gridCol w:w="1420"/>
        <w:gridCol w:w="1155"/>
        <w:gridCol w:w="1490"/>
        <w:gridCol w:w="2230"/>
      </w:tblGrid>
      <w:tr>
        <w:trPr>
          <w:trHeight w:val="643"/>
        </w:trPr>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姓 名</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14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性 别</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Borders>
              <w:top w:val="single" w:color="auto" w:sz="4" w:space="0"/>
              <w:left w:val="none" w:color="000000" w:sz="4" w:space="0"/>
              <w:bottom w:val="single" w:color="auto" w:sz="4" w:space="0"/>
              <w:right w:val="single" w:color="auto" w:sz="4" w:space="0"/>
            </w:tcBorders>
            <w:tcW w:w="14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出生年月</w:t>
            </w:r>
            <w:r/>
          </w:p>
        </w:tc>
        <w:tc>
          <w:tcPr>
            <w:tcBorders>
              <w:top w:val="single" w:color="auto" w:sz="4" w:space="0"/>
              <w:left w:val="none" w:color="000000" w:sz="4" w:space="0"/>
              <w:bottom w:val="single" w:color="auto" w:sz="4" w:space="0"/>
              <w:right w:val="single" w:color="auto" w:sz="4" w:space="0"/>
            </w:tcBorders>
            <w:tcW w:w="223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　</w:t>
            </w:r>
            <w:r/>
          </w:p>
        </w:tc>
      </w:tr>
      <w:tr>
        <w:trPr>
          <w:trHeight w:val="643"/>
        </w:trPr>
        <w:tc>
          <w:tcPr>
            <w:gridSpan w:val="2"/>
            <w:tcBorders>
              <w:top w:val="single" w:color="auto" w:sz="4" w:space="0"/>
              <w:left w:val="single" w:color="auto"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职 务</w:t>
            </w:r>
            <w:r/>
          </w:p>
        </w:tc>
        <w:tc>
          <w:tcPr>
            <w:tcBorders>
              <w:top w:val="none" w:color="000000" w:sz="4" w:space="0"/>
              <w:left w:val="none" w:color="000000" w:sz="4" w:space="0"/>
              <w:bottom w:val="single" w:color="auto" w:sz="4" w:space="0"/>
              <w:right w:val="single" w:color="auto" w:sz="4" w:space="0"/>
            </w:tcBorders>
            <w:tcW w:w="94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4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岗位资格</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文化程度</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　</w:t>
            </w:r>
            <w:r/>
          </w:p>
        </w:tc>
      </w:tr>
      <w:tr>
        <w:trPr>
          <w:trHeight w:val="327"/>
        </w:trPr>
        <w:tc>
          <w:tcPr>
            <w:gridSpan w:val="3"/>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何时何校何专业毕业</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　</w:t>
            </w:r>
            <w:r/>
          </w:p>
        </w:tc>
      </w:tr>
      <w:tr>
        <w:trPr>
          <w:trHeight w:val="327"/>
        </w:trPr>
        <w:tc>
          <w:tcPr>
            <w:gridSpan w:val="3"/>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电话</w:t>
            </w:r>
            <w:r/>
          </w:p>
        </w:tc>
        <w:tc>
          <w:tcPr>
            <w:gridSpan w:val="2"/>
            <w:tcBorders>
              <w:top w:val="single" w:color="auto" w:sz="4" w:space="0"/>
              <w:left w:val="none" w:color="000000" w:sz="4" w:space="0"/>
              <w:bottom w:val="single" w:color="auto" w:sz="4" w:space="0"/>
              <w:right w:val="single" w:color="auto" w:sz="4" w:space="0"/>
            </w:tcBorders>
            <w:tcW w:w="257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手机</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gridSpan w:val="3"/>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岗位资历</w:t>
            </w:r>
            <w:r/>
          </w:p>
        </w:tc>
        <w:tc>
          <w:tcPr>
            <w:gridSpan w:val="2"/>
            <w:tcBorders>
              <w:top w:val="single" w:color="auto" w:sz="4" w:space="0"/>
              <w:left w:val="none" w:color="000000" w:sz="4" w:space="0"/>
              <w:bottom w:val="single" w:color="auto" w:sz="4" w:space="0"/>
              <w:right w:val="single" w:color="auto" w:sz="4" w:space="0"/>
            </w:tcBorders>
            <w:tcW w:w="25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年</w:t>
            </w:r>
            <w:r/>
          </w:p>
        </w:tc>
        <w:tc>
          <w:tcPr>
            <w:tcBorders>
              <w:top w:val="none" w:color="000000" w:sz="4" w:space="0"/>
              <w:left w:val="none" w:color="000000" w:sz="4" w:space="0"/>
              <w:bottom w:val="single" w:color="auto" w:sz="4" w:space="0"/>
              <w:right w:val="single" w:color="auto" w:sz="4" w:space="0"/>
            </w:tcBorders>
            <w:tcW w:w="14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传真</w:t>
            </w:r>
            <w:r/>
          </w:p>
        </w:tc>
        <w:tc>
          <w:tcPr>
            <w:tcBorders>
              <w:top w:val="none" w:color="000000" w:sz="4" w:space="0"/>
              <w:left w:val="none" w:color="000000" w:sz="4" w:space="0"/>
              <w:bottom w:val="single" w:color="auto" w:sz="4" w:space="0"/>
              <w:right w:val="single" w:color="auto" w:sz="4" w:space="0"/>
            </w:tcBorders>
            <w:tcW w:w="22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gridSpan w:val="3"/>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由何年月至何年月</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在何单位从事何工作、任何职</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工作经历</w:t>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gridSpan w:val="3"/>
            <w:tcBorders>
              <w:top w:val="single" w:color="auto" w:sz="4" w:space="0"/>
              <w:left w:val="single" w:color="auto" w:sz="4" w:space="0"/>
              <w:bottom w:val="single" w:color="auto" w:sz="4" w:space="0"/>
              <w:right w:val="single" w:color="auto" w:sz="4" w:space="0"/>
            </w:tcBorders>
            <w:tcW w:w="28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由何年月至何年月</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在何项目从事何工作、任何职、获奖或荣誉等</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岗位经历、获奖荣誉等</w:t>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27"/>
        </w:trPr>
        <w:tc>
          <w:tcPr>
            <w:tcBorders>
              <w:top w:val="none" w:color="000000" w:sz="4" w:space="0"/>
              <w:left w:val="single" w:color="auto" w:sz="4" w:space="0"/>
              <w:bottom w:val="single" w:color="auto" w:sz="4" w:space="0"/>
              <w:right w:val="single" w:color="auto" w:sz="4" w:space="0"/>
            </w:tcBorders>
            <w:tcW w:w="945" w:type="dxa"/>
            <w:vAlign w:val="center"/>
            <w:vMerge w:val="continue"/>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88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gridSpan w:val="4"/>
            <w:tcBorders>
              <w:top w:val="single" w:color="auto" w:sz="4" w:space="0"/>
              <w:left w:val="none" w:color="000000" w:sz="4" w:space="0"/>
              <w:bottom w:val="single" w:color="auto" w:sz="4" w:space="0"/>
              <w:right w:val="single" w:color="auto" w:sz="4" w:space="0"/>
            </w:tcBorders>
            <w:tcW w:w="62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trHeight w:val="337"/>
        </w:trPr>
        <w:tc>
          <w:tcPr>
            <w:gridSpan w:val="7"/>
            <w:tcBorders>
              <w:top w:val="single" w:color="auto" w:sz="4" w:space="0"/>
              <w:left w:val="single" w:color="auto" w:sz="4" w:space="0"/>
              <w:bottom w:val="single" w:color="auto" w:sz="4" w:space="0"/>
              <w:right w:val="single" w:color="auto" w:sz="4" w:space="0"/>
            </w:tcBorders>
            <w:tcW w:w="912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本人签字：                                                   年    月   日</w:t>
            </w:r>
            <w:r/>
          </w:p>
        </w:tc>
      </w:tr>
    </w:tbl>
    <w:p>
      <w:pPr>
        <w:spacing w:line="360" w:lineRule="auto"/>
        <w:tabs>
          <w:tab w:val="left" w:pos="420" w:leader="none"/>
        </w:tabs>
        <w:rPr>
          <w:rFonts w:ascii="宋体" w:hAnsi="宋体" w:cs="宋体"/>
          <w:szCs w:val="21"/>
        </w:rPr>
      </w:pPr>
      <w:r>
        <w:rPr>
          <w:rFonts w:ascii="宋体" w:hAnsi="宋体" w:cs="宋体"/>
          <w:szCs w:val="21"/>
        </w:rPr>
      </w:r>
      <w:r/>
    </w:p>
    <w:p>
      <w:pPr>
        <w:spacing w:line="360" w:lineRule="auto"/>
        <w:tabs>
          <w:tab w:val="left" w:pos="420" w:leader="none"/>
        </w:tabs>
        <w:rPr>
          <w:rFonts w:ascii="宋体" w:hAnsi="宋体" w:cs="宋体"/>
          <w:szCs w:val="21"/>
        </w:rPr>
      </w:pPr>
      <w:r>
        <w:rPr>
          <w:rFonts w:hint="eastAsia" w:ascii="宋体" w:hAnsi="宋体" w:cs="宋体"/>
          <w:szCs w:val="21"/>
        </w:rPr>
        <w:t xml:space="preserve">磋商响应单位（签章）：</w:t>
      </w:r>
      <w:r/>
    </w:p>
    <w:p>
      <w:pPr>
        <w:spacing w:line="360" w:lineRule="auto"/>
        <w:tabs>
          <w:tab w:val="left" w:pos="420" w:leader="none"/>
        </w:tabs>
        <w:rPr>
          <w:rFonts w:ascii="宋体" w:hAnsi="宋体" w:cs="宋体"/>
          <w:szCs w:val="21"/>
        </w:rPr>
      </w:pPr>
      <w:r>
        <w:rPr>
          <w:rFonts w:hint="eastAsia" w:ascii="宋体" w:hAnsi="宋体" w:cs="宋体"/>
          <w:szCs w:val="21"/>
        </w:rPr>
        <w:t xml:space="preserve">日期：</w:t>
      </w:r>
      <w:r/>
    </w:p>
    <w:p>
      <w:pPr>
        <w:pageBreakBefore/>
        <w:spacing w:line="360" w:lineRule="auto"/>
        <w:rPr>
          <w:rFonts w:ascii="宋体" w:hAnsi="宋体" w:cs="宋体"/>
          <w:b/>
        </w:rPr>
      </w:pPr>
      <w:r>
        <w:rPr>
          <w:rFonts w:hint="eastAsia" w:ascii="宋体" w:hAnsi="宋体" w:cs="宋体"/>
          <w:b/>
        </w:rPr>
        <w:t xml:space="preserve">附件11：类似项目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1"/>
        <w:gridCol w:w="1532"/>
        <w:gridCol w:w="2176"/>
        <w:gridCol w:w="1630"/>
        <w:gridCol w:w="1626"/>
        <w:gridCol w:w="2037"/>
      </w:tblGrid>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53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217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业主单位、联系人、联系电话</w:t>
            </w:r>
            <w:r/>
          </w:p>
        </w:tc>
        <w:tc>
          <w:tcPr>
            <w:tcBorders>
              <w:right w:val="single" w:color="auto" w:sz="4" w:space="0"/>
            </w:tcBorders>
            <w:tcW w:w="16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项目服务内容</w:t>
            </w:r>
            <w:r/>
          </w:p>
        </w:tc>
        <w:tc>
          <w:tcPr>
            <w:tcW w:w="203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53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80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53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1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63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998"/>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998"/>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附件12：中小企业声明函（参考格式）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 期：</w:t>
      </w:r>
      <w:r/>
    </w:p>
    <w:p>
      <w:pPr>
        <w:jc w:val="left"/>
        <w:spacing w:line="360" w:lineRule="auto"/>
        <w:rPr>
          <w:rFonts w:ascii="宋体" w:hAnsi="宋体" w:cs="宋体"/>
        </w:rPr>
      </w:pPr>
      <w:r>
        <w:rPr>
          <w:rFonts w:ascii="宋体" w:hAnsi="宋体" w:cs="宋体"/>
        </w:rPr>
      </w:r>
      <w:r/>
    </w:p>
    <w:p>
      <w:pPr>
        <w:pStyle w:val="783"/>
        <w:ind w:firstLine="0"/>
        <w:rPr>
          <w:rFonts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备注：1.从业人员、营业收入、资产总额填报上一年度数据，无上一年度数据的新成立企业可不填报。</w:t>
      </w:r>
      <w:r/>
    </w:p>
    <w:p>
      <w:pPr>
        <w:pStyle w:val="783"/>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783"/>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83"/>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971"/>
        <w:ind w:left="840" w:hanging="210"/>
        <w:spacing w:line="360" w:lineRule="auto"/>
        <w:rPr>
          <w:rFonts w:hAnsi="宋体" w:eastAsia="宋体" w:cs="宋体"/>
          <w:sz w:val="21"/>
          <w:szCs w:val="24"/>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附：中小企业划型标准规定（仅供参考，具体按照国家相关最新标准规定）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w:t>
      </w:r>
      <w:r>
        <w:rPr>
          <w:rFonts w:hint="eastAsia" w:ascii="宋体" w:hAnsi="宋体" w:cs="宋体"/>
        </w:rPr>
        <w:t xml:space="preserve">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71"/>
        <w:ind w:firstLine="422"/>
        <w:spacing w:line="360" w:lineRule="auto"/>
        <w:rPr>
          <w:rFonts w:hAnsi="宋体" w:eastAsia="宋体" w:cs="宋体"/>
          <w:szCs w:val="21"/>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ascii="宋体" w:hAnsi="宋体" w:cs="宋体"/>
          <w:b/>
          <w:szCs w:val="21"/>
        </w:rPr>
        <w:outlineLvl w:val="1"/>
      </w:pPr>
      <w:r>
        <w:rPr>
          <w:rFonts w:hint="eastAsia" w:ascii="宋体" w:hAnsi="宋体" w:cs="宋体"/>
          <w:b/>
        </w:rPr>
        <w:t xml:space="preserve">附件13：</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  期：</w:t>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备注：1、符</w:t>
      </w:r>
      <w:r>
        <w:rPr>
          <w:rFonts w:hint="eastAsia" w:ascii="宋体" w:hAnsi="宋体" w:cs="宋体"/>
          <w:szCs w:val="21"/>
        </w:rPr>
        <w:t xml:space="preserve">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受社会监督。</w:t>
      </w:r>
      <w:r/>
    </w:p>
    <w:p>
      <w:pPr>
        <w:pStyle w:val="771"/>
        <w:spacing w:line="360" w:lineRule="auto"/>
        <w:rPr>
          <w:rFonts w:hAnsi="宋体" w:eastAsia="宋体" w:cs="宋体"/>
          <w:b/>
          <w:sz w:val="21"/>
          <w:szCs w:val="21"/>
        </w:rPr>
      </w:pPr>
      <w:r>
        <w:rPr>
          <w:rFonts w:hAnsi="宋体" w:eastAsia="宋体" w:cs="宋体"/>
          <w:b/>
          <w:sz w:val="21"/>
          <w:szCs w:val="21"/>
        </w:rPr>
      </w:r>
      <w:r/>
    </w:p>
    <w:p>
      <w:pPr>
        <w:pStyle w:val="771"/>
        <w:spacing w:line="360" w:lineRule="auto"/>
        <w:rPr>
          <w:rFonts w:hAnsi="宋体" w:eastAsia="宋体" w:cs="宋体"/>
          <w:b/>
          <w:sz w:val="21"/>
          <w:szCs w:val="21"/>
        </w:rPr>
      </w:pPr>
      <w:r>
        <w:rPr>
          <w:rFonts w:hAnsi="宋体" w:eastAsia="宋体" w:cs="宋体"/>
          <w:b/>
          <w:sz w:val="21"/>
          <w:szCs w:val="21"/>
        </w:rPr>
      </w:r>
      <w:r/>
    </w:p>
    <w:p>
      <w:pPr>
        <w:spacing w:line="360" w:lineRule="auto"/>
        <w:rPr>
          <w:rFonts w:hAnsi="宋体" w:cs="宋体"/>
          <w:b/>
          <w:szCs w:val="21"/>
        </w:rPr>
      </w:pPr>
      <w:r>
        <w:rPr>
          <w:rFonts w:hint="eastAsia" w:hAnsi="宋体" w:cs="宋体"/>
          <w:b/>
          <w:szCs w:val="21"/>
        </w:rPr>
        <w:t xml:space="preserve">附件</w:t>
      </w:r>
      <w:r>
        <w:rPr>
          <w:rFonts w:hint="eastAsia" w:hAnsi="宋体" w:cs="宋体"/>
          <w:b/>
          <w:szCs w:val="21"/>
        </w:rPr>
        <w:t xml:space="preserve">14</w:t>
      </w:r>
      <w:r>
        <w:rPr>
          <w:rFonts w:hint="eastAsia" w:hAnsi="宋体" w:cs="宋体"/>
          <w:b/>
          <w:szCs w:val="21"/>
        </w:rPr>
        <w:t xml:space="preserve">：（该项为通知内容，不需要作为响应投标文件组成）</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61"/>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771"/>
        <w:spacing w:line="360" w:lineRule="auto"/>
        <w:rPr>
          <w:rFonts w:hAnsi="宋体" w:eastAsia="宋体" w:cs="宋体"/>
          <w:b/>
          <w:sz w:val="21"/>
          <w:szCs w:val="21"/>
        </w:rPr>
      </w:pPr>
      <w:r>
        <w:rPr>
          <w:rFonts w:hAnsi="宋体" w:eastAsia="宋体" w:cs="宋体"/>
          <w:b/>
          <w:sz w:val="21"/>
          <w:szCs w:val="21"/>
        </w:rPr>
      </w:r>
      <w:r/>
    </w:p>
    <w:p>
      <w:pPr>
        <w:pStyle w:val="771"/>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080" w:bottom="1440" w:left="1080"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43</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7"/>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43</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93"/>
      </w:rPr>
      <w:framePr w:wrap="around" w:vAnchor="text" w:hAnchor="margin" w:xAlign="center" w:y="1"/>
    </w:pPr>
    <w:r>
      <w:fldChar w:fldCharType="begin"/>
    </w:r>
    <w:r>
      <w:rPr>
        <w:rStyle w:val="793"/>
      </w:rPr>
      <w:instrText xml:space="preserve">PAGE  </w:instrText>
    </w:r>
    <w:r>
      <w:fldChar w:fldCharType="end"/>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采购编号：JSZC-320500-CJZB-C2026-0026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标号：JSZC-320500-CJZB-C2025-0000号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7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790"/>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6 Char"/>
    <w:basedOn w:val="756"/>
    <w:link w:val="752"/>
    <w:uiPriority w:val="9"/>
    <w:rPr>
      <w:rFonts w:ascii="Arial" w:hAnsi="Arial" w:eastAsia="Arial" w:cs="Arial"/>
      <w:b/>
      <w:bCs/>
      <w:sz w:val="22"/>
      <w:szCs w:val="22"/>
    </w:rPr>
  </w:style>
  <w:style w:type="character" w:styleId="739">
    <w:name w:val="Heading 7 Char"/>
    <w:basedOn w:val="756"/>
    <w:link w:val="753"/>
    <w:uiPriority w:val="9"/>
    <w:rPr>
      <w:rFonts w:ascii="Arial" w:hAnsi="Arial" w:eastAsia="Arial" w:cs="Arial"/>
      <w:b/>
      <w:bCs/>
      <w:i/>
      <w:iCs/>
      <w:sz w:val="22"/>
      <w:szCs w:val="22"/>
    </w:rPr>
  </w:style>
  <w:style w:type="character" w:styleId="740">
    <w:name w:val="Heading 8 Char"/>
    <w:basedOn w:val="756"/>
    <w:link w:val="754"/>
    <w:uiPriority w:val="9"/>
    <w:rPr>
      <w:rFonts w:ascii="Arial" w:hAnsi="Arial" w:eastAsia="Arial" w:cs="Arial"/>
      <w:i/>
      <w:iCs/>
      <w:sz w:val="22"/>
      <w:szCs w:val="22"/>
    </w:rPr>
  </w:style>
  <w:style w:type="character" w:styleId="741">
    <w:name w:val="Heading 9 Char"/>
    <w:basedOn w:val="756"/>
    <w:link w:val="755"/>
    <w:uiPriority w:val="9"/>
    <w:rPr>
      <w:rFonts w:ascii="Arial" w:hAnsi="Arial" w:eastAsia="Arial" w:cs="Arial"/>
      <w:i/>
      <w:iCs/>
      <w:sz w:val="21"/>
      <w:szCs w:val="21"/>
    </w:rPr>
  </w:style>
  <w:style w:type="character" w:styleId="742">
    <w:name w:val="Quote Char"/>
    <w:link w:val="812"/>
    <w:uiPriority w:val="29"/>
    <w:rPr>
      <w:i/>
    </w:rPr>
  </w:style>
  <w:style w:type="character" w:styleId="743">
    <w:name w:val="Intense Quote Char"/>
    <w:link w:val="814"/>
    <w:uiPriority w:val="30"/>
    <w:rPr>
      <w:i/>
    </w:rPr>
  </w:style>
  <w:style w:type="character" w:styleId="744">
    <w:name w:val="Endnote Text Char"/>
    <w:link w:val="775"/>
    <w:uiPriority w:val="99"/>
    <w:rPr>
      <w:sz w:val="20"/>
    </w:rPr>
  </w:style>
  <w:style w:type="paragraph" w:styleId="745">
    <w:name w:val="TOC Heading"/>
    <w:uiPriority w:val="39"/>
    <w:unhideWhenUsed/>
  </w:style>
  <w:style w:type="paragraph" w:styleId="746" w:default="1">
    <w:name w:val="Normal"/>
    <w:next w:val="759"/>
    <w:qFormat/>
    <w:pPr>
      <w:jc w:val="both"/>
      <w:widowControl w:val="off"/>
    </w:pPr>
    <w:rPr>
      <w:sz w:val="21"/>
      <w:szCs w:val="24"/>
    </w:rPr>
  </w:style>
  <w:style w:type="paragraph" w:styleId="747">
    <w:name w:val="Heading 1"/>
    <w:basedOn w:val="746"/>
    <w:next w:val="746"/>
    <w:link w:val="949"/>
    <w:qFormat/>
    <w:pPr>
      <w:keepLines/>
      <w:keepNext/>
      <w:spacing w:before="340" w:after="330" w:line="578" w:lineRule="auto"/>
      <w:outlineLvl w:val="0"/>
    </w:pPr>
    <w:rPr>
      <w:b/>
      <w:bCs/>
      <w:sz w:val="44"/>
      <w:szCs w:val="44"/>
    </w:rPr>
  </w:style>
  <w:style w:type="paragraph" w:styleId="748">
    <w:name w:val="Heading 2"/>
    <w:basedOn w:val="746"/>
    <w:next w:val="746"/>
    <w:link w:val="950"/>
    <w:qFormat/>
    <w:pPr>
      <w:keepLines/>
      <w:keepNext/>
      <w:spacing w:before="260" w:after="260" w:line="416" w:lineRule="auto"/>
      <w:outlineLvl w:val="1"/>
    </w:pPr>
    <w:rPr>
      <w:rFonts w:ascii="Cambria" w:hAnsi="Cambria"/>
      <w:b/>
      <w:bCs/>
      <w:sz w:val="32"/>
      <w:szCs w:val="32"/>
    </w:rPr>
  </w:style>
  <w:style w:type="paragraph" w:styleId="749">
    <w:name w:val="Heading 3"/>
    <w:basedOn w:val="746"/>
    <w:next w:val="761"/>
    <w:link w:val="951"/>
    <w:qFormat/>
    <w:pPr>
      <w:keepLines/>
      <w:keepNext/>
      <w:spacing w:before="260" w:after="260" w:line="416" w:lineRule="auto"/>
      <w:outlineLvl w:val="2"/>
    </w:pPr>
    <w:rPr>
      <w:b/>
      <w:bCs/>
      <w:sz w:val="32"/>
      <w:szCs w:val="32"/>
    </w:rPr>
  </w:style>
  <w:style w:type="paragraph" w:styleId="750">
    <w:name w:val="Heading 4"/>
    <w:basedOn w:val="746"/>
    <w:next w:val="746"/>
    <w:link w:val="960"/>
    <w:qFormat/>
    <w:pPr>
      <w:keepNext/>
      <w:spacing w:before="240" w:after="60"/>
      <w:outlineLvl w:val="3"/>
    </w:pPr>
    <w:rPr>
      <w:b/>
      <w:bCs/>
      <w:sz w:val="28"/>
      <w:szCs w:val="28"/>
    </w:rPr>
  </w:style>
  <w:style w:type="paragraph" w:styleId="751">
    <w:name w:val="Heading 5"/>
    <w:basedOn w:val="746"/>
    <w:next w:val="746"/>
    <w:link w:val="955"/>
    <w:qFormat/>
    <w:pPr>
      <w:spacing w:before="240" w:after="60"/>
      <w:outlineLvl w:val="4"/>
    </w:pPr>
    <w:rPr>
      <w:b/>
      <w:bCs/>
      <w:i/>
      <w:iCs/>
      <w:sz w:val="26"/>
      <w:szCs w:val="26"/>
    </w:rPr>
  </w:style>
  <w:style w:type="paragraph" w:styleId="752">
    <w:name w:val="Heading 6"/>
    <w:basedOn w:val="746"/>
    <w:next w:val="746"/>
    <w:link w:val="806"/>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08"/>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09"/>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style>
  <w:style w:type="table" w:styleId="757" w:default="1">
    <w:name w:val="Normal Table"/>
    <w:uiPriority w:val="99"/>
    <w:semiHidden/>
    <w:unhideWhenUsed/>
    <w:qFormat/>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name w:val="Body Text Indent"/>
    <w:basedOn w:val="746"/>
    <w:next w:val="760"/>
    <w:link w:val="997"/>
    <w:qFormat/>
    <w:pPr>
      <w:ind w:left="420"/>
      <w:spacing w:after="120"/>
    </w:pPr>
  </w:style>
  <w:style w:type="paragraph" w:styleId="760">
    <w:name w:val="envelope return"/>
    <w:basedOn w:val="746"/>
    <w:qFormat/>
    <w:rPr>
      <w:rFonts w:ascii="Arial" w:hAnsi="Arial" w:eastAsia="楷体_GB2312"/>
      <w:sz w:val="26"/>
      <w:szCs w:val="20"/>
    </w:rPr>
  </w:style>
  <w:style w:type="paragraph" w:styleId="761">
    <w:name w:val="Normal Indent"/>
    <w:basedOn w:val="746"/>
    <w:next w:val="746"/>
    <w:link w:val="954"/>
    <w:qFormat/>
    <w:pPr>
      <w:ind w:firstLine="420"/>
      <w:jc w:val="left"/>
      <w:widowControl/>
    </w:pPr>
    <w:rPr>
      <w:rFonts w:eastAsia="楷体_GB2312"/>
      <w:sz w:val="24"/>
      <w:szCs w:val="20"/>
    </w:rPr>
  </w:style>
  <w:style w:type="paragraph" w:styleId="762">
    <w:name w:val="annotation subject"/>
    <w:basedOn w:val="763"/>
    <w:next w:val="763"/>
    <w:semiHidden/>
    <w:qFormat/>
    <w:rPr>
      <w:b/>
      <w:bCs/>
    </w:rPr>
  </w:style>
  <w:style w:type="paragraph" w:styleId="763">
    <w:name w:val="annotation text"/>
    <w:basedOn w:val="746"/>
    <w:link w:val="968"/>
    <w:uiPriority w:val="99"/>
    <w:qFormat/>
    <w:pPr>
      <w:jc w:val="left"/>
    </w:pPr>
  </w:style>
  <w:style w:type="paragraph" w:styleId="764">
    <w:name w:val="toc 7"/>
    <w:basedOn w:val="746"/>
    <w:next w:val="746"/>
    <w:uiPriority w:val="39"/>
    <w:unhideWhenUsed/>
    <w:qFormat/>
    <w:pPr>
      <w:ind w:left="1701"/>
      <w:spacing w:after="57"/>
    </w:pPr>
  </w:style>
  <w:style w:type="paragraph" w:styleId="765">
    <w:name w:val="Caption"/>
    <w:basedOn w:val="746"/>
    <w:next w:val="746"/>
    <w:uiPriority w:val="35"/>
    <w:semiHidden/>
    <w:unhideWhenUsed/>
    <w:qFormat/>
    <w:pPr>
      <w:spacing w:line="276" w:lineRule="auto"/>
    </w:pPr>
    <w:rPr>
      <w:b/>
      <w:bCs/>
      <w:color w:val="4f81bd" w:themeColor="accent1"/>
      <w:sz w:val="18"/>
      <w:szCs w:val="18"/>
    </w:rPr>
  </w:style>
  <w:style w:type="paragraph" w:styleId="766">
    <w:name w:val="Document Map"/>
    <w:basedOn w:val="746"/>
    <w:semiHidden/>
    <w:qFormat/>
    <w:pPr>
      <w:shd w:val="clear" w:color="auto" w:fill="000080"/>
    </w:pPr>
  </w:style>
  <w:style w:type="paragraph" w:styleId="767">
    <w:name w:val="Body Text"/>
    <w:basedOn w:val="746"/>
    <w:qFormat/>
    <w:pPr>
      <w:spacing w:after="120"/>
    </w:pPr>
  </w:style>
  <w:style w:type="paragraph" w:styleId="768">
    <w:name w:val="Block Text"/>
    <w:basedOn w:val="746"/>
    <w:qFormat/>
    <w:pPr>
      <w:ind w:left="630" w:right="-609" w:firstLine="420"/>
      <w:spacing w:line="360" w:lineRule="auto"/>
    </w:pPr>
    <w:rPr>
      <w:rFonts w:hint="eastAsia" w:ascii="仿宋_GB2312" w:eastAsia="仿宋_GB2312"/>
      <w:szCs w:val="20"/>
    </w:rPr>
  </w:style>
  <w:style w:type="paragraph" w:styleId="769">
    <w:name w:val="toc 5"/>
    <w:basedOn w:val="746"/>
    <w:next w:val="746"/>
    <w:uiPriority w:val="39"/>
    <w:unhideWhenUsed/>
    <w:qFormat/>
    <w:pPr>
      <w:ind w:left="1134"/>
      <w:spacing w:after="57"/>
    </w:pPr>
  </w:style>
  <w:style w:type="paragraph" w:styleId="770">
    <w:name w:val="toc 3"/>
    <w:basedOn w:val="746"/>
    <w:next w:val="746"/>
    <w:uiPriority w:val="39"/>
    <w:unhideWhenUsed/>
    <w:qFormat/>
    <w:pPr>
      <w:ind w:left="567"/>
      <w:spacing w:after="57"/>
    </w:pPr>
  </w:style>
  <w:style w:type="paragraph" w:styleId="771">
    <w:name w:val="Plain Text"/>
    <w:basedOn w:val="746"/>
    <w:link w:val="953"/>
    <w:qFormat/>
    <w:pPr>
      <w:jc w:val="left"/>
      <w:widowControl/>
    </w:pPr>
    <w:rPr>
      <w:rFonts w:ascii="宋体" w:hAnsi="Courier New" w:eastAsia="楷体_GB2312"/>
      <w:sz w:val="26"/>
    </w:rPr>
  </w:style>
  <w:style w:type="paragraph" w:styleId="772">
    <w:name w:val="toc 8"/>
    <w:basedOn w:val="746"/>
    <w:next w:val="746"/>
    <w:uiPriority w:val="39"/>
    <w:unhideWhenUsed/>
    <w:qFormat/>
    <w:pPr>
      <w:ind w:left="1984"/>
      <w:spacing w:after="57"/>
    </w:pPr>
  </w:style>
  <w:style w:type="paragraph" w:styleId="773">
    <w:name w:val="Date"/>
    <w:basedOn w:val="746"/>
    <w:next w:val="746"/>
    <w:link w:val="969"/>
    <w:qFormat/>
    <w:pPr>
      <w:ind w:left="100"/>
    </w:pPr>
    <w:rPr>
      <w:sz w:val="36"/>
      <w:szCs w:val="20"/>
    </w:rPr>
  </w:style>
  <w:style w:type="paragraph" w:styleId="774">
    <w:name w:val="Body Text Indent 2"/>
    <w:basedOn w:val="746"/>
    <w:qFormat/>
    <w:pPr>
      <w:ind w:left="420"/>
      <w:spacing w:after="120" w:line="480" w:lineRule="auto"/>
    </w:pPr>
  </w:style>
  <w:style w:type="paragraph" w:styleId="775">
    <w:name w:val="endnote text"/>
    <w:basedOn w:val="746"/>
    <w:link w:val="945"/>
    <w:uiPriority w:val="99"/>
    <w:semiHidden/>
    <w:unhideWhenUsed/>
    <w:qFormat/>
    <w:rPr>
      <w:sz w:val="20"/>
    </w:rPr>
  </w:style>
  <w:style w:type="paragraph" w:styleId="776">
    <w:name w:val="Balloon Text"/>
    <w:basedOn w:val="746"/>
    <w:semiHidden/>
    <w:qFormat/>
    <w:rPr>
      <w:sz w:val="18"/>
      <w:szCs w:val="18"/>
    </w:rPr>
  </w:style>
  <w:style w:type="paragraph" w:styleId="777">
    <w:name w:val="Footer"/>
    <w:basedOn w:val="746"/>
    <w:link w:val="958"/>
    <w:qFormat/>
    <w:pPr>
      <w:jc w:val="left"/>
      <w:tabs>
        <w:tab w:val="center" w:pos="4153" w:leader="none"/>
        <w:tab w:val="right" w:pos="8306" w:leader="none"/>
      </w:tabs>
    </w:pPr>
    <w:rPr>
      <w:sz w:val="18"/>
      <w:szCs w:val="18"/>
    </w:rPr>
  </w:style>
  <w:style w:type="paragraph" w:styleId="778">
    <w:name w:val="Body Text First Indent 2"/>
    <w:basedOn w:val="759"/>
    <w:qFormat/>
    <w:pPr>
      <w:ind w:firstLine="420"/>
    </w:pPr>
  </w:style>
  <w:style w:type="paragraph" w:styleId="779">
    <w:name w:val="Header"/>
    <w:basedOn w:val="746"/>
    <w:link w:val="964"/>
    <w:uiPriority w:val="99"/>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46"/>
    <w:next w:val="746"/>
    <w:semiHidden/>
    <w:qFormat/>
    <w:pPr>
      <w:jc w:val="left"/>
    </w:pPr>
    <w:rPr>
      <w:rFonts w:eastAsia="楷体_GB2312"/>
      <w:sz w:val="24"/>
      <w:szCs w:val="20"/>
    </w:rPr>
  </w:style>
  <w:style w:type="paragraph" w:styleId="781">
    <w:name w:val="toc 4"/>
    <w:basedOn w:val="746"/>
    <w:next w:val="746"/>
    <w:uiPriority w:val="39"/>
    <w:unhideWhenUsed/>
    <w:qFormat/>
    <w:pPr>
      <w:ind w:left="850"/>
      <w:spacing w:after="57"/>
    </w:pPr>
  </w:style>
  <w:style w:type="paragraph" w:styleId="782">
    <w:name w:val="Subtitle"/>
    <w:basedOn w:val="746"/>
    <w:next w:val="746"/>
    <w:qFormat/>
    <w:pPr>
      <w:jc w:val="center"/>
      <w:spacing w:before="240" w:after="60" w:line="312" w:lineRule="auto"/>
      <w:outlineLvl w:val="1"/>
    </w:pPr>
    <w:rPr>
      <w:rFonts w:ascii="宋体" w:hAnsi="Courier New" w:eastAsia="楷体_GB2312"/>
      <w:sz w:val="26"/>
      <w:szCs w:val="20"/>
    </w:rPr>
  </w:style>
  <w:style w:type="paragraph" w:styleId="783">
    <w:name w:val="footnote text"/>
    <w:basedOn w:val="747"/>
    <w:next w:val="768"/>
    <w:qFormat/>
    <w:pPr>
      <w:ind w:firstLine="3584"/>
      <w:spacing w:before="0" w:after="0" w:line="360" w:lineRule="auto"/>
    </w:pPr>
  </w:style>
  <w:style w:type="paragraph" w:styleId="784">
    <w:name w:val="toc 6"/>
    <w:basedOn w:val="746"/>
    <w:next w:val="746"/>
    <w:uiPriority w:val="39"/>
    <w:unhideWhenUsed/>
    <w:qFormat/>
    <w:pPr>
      <w:ind w:left="1417"/>
      <w:spacing w:after="57"/>
    </w:pPr>
  </w:style>
  <w:style w:type="paragraph" w:styleId="785">
    <w:name w:val="Body Text Indent 3"/>
    <w:basedOn w:val="746"/>
    <w:qFormat/>
    <w:pPr>
      <w:ind w:firstLine="480"/>
      <w:jc w:val="left"/>
      <w:spacing w:line="440" w:lineRule="atLeast"/>
    </w:pPr>
    <w:rPr>
      <w:sz w:val="24"/>
    </w:rPr>
  </w:style>
  <w:style w:type="paragraph" w:styleId="786">
    <w:name w:val="table of figures"/>
    <w:basedOn w:val="746"/>
    <w:next w:val="746"/>
    <w:uiPriority w:val="99"/>
    <w:unhideWhenUsed/>
    <w:qFormat/>
  </w:style>
  <w:style w:type="paragraph" w:styleId="787">
    <w:name w:val="toc 2"/>
    <w:basedOn w:val="746"/>
    <w:next w:val="746"/>
    <w:uiPriority w:val="39"/>
    <w:unhideWhenUsed/>
    <w:qFormat/>
    <w:pPr>
      <w:ind w:left="283"/>
      <w:spacing w:after="57"/>
    </w:pPr>
  </w:style>
  <w:style w:type="paragraph" w:styleId="788">
    <w:name w:val="toc 9"/>
    <w:basedOn w:val="746"/>
    <w:next w:val="746"/>
    <w:uiPriority w:val="39"/>
    <w:unhideWhenUsed/>
    <w:qFormat/>
    <w:pPr>
      <w:ind w:left="2268"/>
      <w:spacing w:after="57"/>
    </w:pPr>
  </w:style>
  <w:style w:type="paragraph" w:styleId="789">
    <w:name w:val="Normal (Web)"/>
    <w:basedOn w:val="746"/>
    <w:qFormat/>
    <w:pPr>
      <w:jc w:val="left"/>
      <w:spacing w:before="100" w:beforeAutospacing="1" w:after="100" w:afterAutospacing="1"/>
      <w:widowControl/>
    </w:pPr>
    <w:rPr>
      <w:rFonts w:ascii="宋体" w:hAnsi="宋体" w:cs="宋体"/>
      <w:sz w:val="24"/>
    </w:rPr>
  </w:style>
  <w:style w:type="paragraph" w:styleId="790">
    <w:name w:val="Title"/>
    <w:basedOn w:val="746"/>
    <w:link w:val="961"/>
    <w:qFormat/>
    <w:pPr>
      <w:numPr>
        <w:numId w:val="1"/>
      </w:numPr>
      <w:jc w:val="center"/>
      <w:spacing w:before="240" w:after="60"/>
      <w:tabs>
        <w:tab w:val="left" w:pos="432" w:leader="none"/>
      </w:tabs>
      <w:outlineLvl w:val="0"/>
    </w:pPr>
    <w:rPr>
      <w:rFonts w:ascii="Arial" w:hAnsi="Arial"/>
      <w:b/>
      <w:bCs/>
      <w:sz w:val="32"/>
      <w:szCs w:val="32"/>
    </w:rPr>
  </w:style>
  <w:style w:type="character" w:styleId="791">
    <w:name w:val="Strong"/>
    <w:basedOn w:val="756"/>
    <w:qFormat/>
    <w:rPr>
      <w:b/>
      <w:bCs/>
    </w:rPr>
  </w:style>
  <w:style w:type="character" w:styleId="792">
    <w:name w:val="endnote reference"/>
    <w:basedOn w:val="756"/>
    <w:uiPriority w:val="99"/>
    <w:semiHidden/>
    <w:unhideWhenUsed/>
    <w:qFormat/>
    <w:rPr>
      <w:vertAlign w:val="superscript"/>
    </w:rPr>
  </w:style>
  <w:style w:type="character" w:styleId="793">
    <w:name w:val="page number"/>
    <w:basedOn w:val="756"/>
    <w:qFormat/>
  </w:style>
  <w:style w:type="character" w:styleId="794">
    <w:name w:val="FollowedHyperlink"/>
    <w:basedOn w:val="756"/>
    <w:semiHidden/>
    <w:unhideWhenUsed/>
    <w:qFormat/>
    <w:rPr>
      <w:color w:val="333333"/>
      <w:u w:val="none"/>
    </w:rPr>
  </w:style>
  <w:style w:type="character" w:styleId="795">
    <w:name w:val="Emphasis"/>
    <w:qFormat/>
    <w:rPr>
      <w:i/>
      <w:iCs/>
    </w:rPr>
  </w:style>
  <w:style w:type="character" w:styleId="796">
    <w:name w:val="Hyperlink"/>
    <w:qFormat/>
    <w:rPr>
      <w:color w:val="000000"/>
      <w:u w:val="none"/>
    </w:rPr>
  </w:style>
  <w:style w:type="character" w:styleId="797">
    <w:name w:val="annotation reference"/>
    <w:uiPriority w:val="99"/>
    <w:qFormat/>
    <w:rPr>
      <w:sz w:val="21"/>
      <w:szCs w:val="21"/>
    </w:rPr>
  </w:style>
  <w:style w:type="character" w:styleId="798">
    <w:name w:val="footnote reference"/>
    <w:basedOn w:val="756"/>
    <w:uiPriority w:val="99"/>
    <w:unhideWhenUsed/>
    <w:qFormat/>
    <w:rPr>
      <w:vertAlign w:val="superscript"/>
    </w:rPr>
  </w:style>
  <w:style w:type="table" w:styleId="799">
    <w:name w:val="Table Grid"/>
    <w:basedOn w:val="757"/>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00" w:customStyle="1">
    <w:name w:val="文本块1"/>
    <w:basedOn w:val="746"/>
    <w:qFormat/>
    <w:pPr>
      <w:ind w:left="630" w:right="-609" w:firstLine="420"/>
      <w:spacing w:line="360" w:lineRule="auto"/>
    </w:pPr>
    <w:rPr>
      <w:rFonts w:hint="eastAsia" w:ascii="仿宋_GB2312" w:eastAsia="仿宋_GB2312"/>
      <w:szCs w:val="20"/>
    </w:rPr>
  </w:style>
  <w:style w:type="character" w:styleId="801" w:customStyle="1">
    <w:name w:val="Heading 1 Char"/>
    <w:basedOn w:val="756"/>
    <w:uiPriority w:val="9"/>
    <w:qFormat/>
    <w:rPr>
      <w:rFonts w:ascii="Arial" w:hAnsi="Arial" w:eastAsia="Arial" w:cs="Arial"/>
      <w:sz w:val="40"/>
      <w:szCs w:val="40"/>
    </w:rPr>
  </w:style>
  <w:style w:type="character" w:styleId="802" w:customStyle="1">
    <w:name w:val="Heading 2 Char"/>
    <w:basedOn w:val="756"/>
    <w:uiPriority w:val="9"/>
    <w:qFormat/>
    <w:rPr>
      <w:rFonts w:ascii="Arial" w:hAnsi="Arial" w:eastAsia="Arial" w:cs="Arial"/>
      <w:sz w:val="34"/>
    </w:rPr>
  </w:style>
  <w:style w:type="character" w:styleId="803" w:customStyle="1">
    <w:name w:val="Heading 3 Char"/>
    <w:basedOn w:val="756"/>
    <w:uiPriority w:val="9"/>
    <w:qFormat/>
    <w:rPr>
      <w:rFonts w:ascii="Arial" w:hAnsi="Arial" w:eastAsia="Arial" w:cs="Arial"/>
      <w:sz w:val="30"/>
      <w:szCs w:val="30"/>
    </w:rPr>
  </w:style>
  <w:style w:type="character" w:styleId="804" w:customStyle="1">
    <w:name w:val="Heading 4 Char"/>
    <w:basedOn w:val="756"/>
    <w:uiPriority w:val="9"/>
    <w:qFormat/>
    <w:rPr>
      <w:rFonts w:ascii="Arial" w:hAnsi="Arial" w:eastAsia="Arial" w:cs="Arial"/>
      <w:b/>
      <w:bCs/>
      <w:sz w:val="26"/>
      <w:szCs w:val="26"/>
    </w:rPr>
  </w:style>
  <w:style w:type="character" w:styleId="805" w:customStyle="1">
    <w:name w:val="Heading 5 Char"/>
    <w:basedOn w:val="756"/>
    <w:uiPriority w:val="9"/>
    <w:qFormat/>
    <w:rPr>
      <w:rFonts w:ascii="Arial" w:hAnsi="Arial" w:eastAsia="Arial" w:cs="Arial"/>
      <w:b/>
      <w:bCs/>
      <w:sz w:val="24"/>
      <w:szCs w:val="24"/>
    </w:rPr>
  </w:style>
  <w:style w:type="character" w:styleId="806" w:customStyle="1">
    <w:name w:val="标题 6 Char"/>
    <w:basedOn w:val="756"/>
    <w:link w:val="752"/>
    <w:uiPriority w:val="9"/>
    <w:qFormat/>
    <w:rPr>
      <w:rFonts w:ascii="Arial" w:hAnsi="Arial" w:eastAsia="Arial" w:cs="Arial"/>
      <w:b/>
      <w:bCs/>
      <w:sz w:val="22"/>
      <w:szCs w:val="22"/>
    </w:rPr>
  </w:style>
  <w:style w:type="character" w:styleId="807" w:customStyle="1">
    <w:name w:val="标题 7 Char"/>
    <w:basedOn w:val="756"/>
    <w:link w:val="753"/>
    <w:uiPriority w:val="9"/>
    <w:qFormat/>
    <w:rPr>
      <w:rFonts w:ascii="Arial" w:hAnsi="Arial" w:eastAsia="Arial" w:cs="Arial"/>
      <w:b/>
      <w:bCs/>
      <w:i/>
      <w:iCs/>
      <w:sz w:val="22"/>
      <w:szCs w:val="22"/>
    </w:rPr>
  </w:style>
  <w:style w:type="character" w:styleId="808" w:customStyle="1">
    <w:name w:val="标题 8 Char"/>
    <w:basedOn w:val="756"/>
    <w:link w:val="754"/>
    <w:uiPriority w:val="9"/>
    <w:qFormat/>
    <w:rPr>
      <w:rFonts w:ascii="Arial" w:hAnsi="Arial" w:eastAsia="Arial" w:cs="Arial"/>
      <w:i/>
      <w:iCs/>
      <w:sz w:val="22"/>
      <w:szCs w:val="22"/>
    </w:rPr>
  </w:style>
  <w:style w:type="character" w:styleId="809" w:customStyle="1">
    <w:name w:val="标题 9 Char"/>
    <w:basedOn w:val="756"/>
    <w:link w:val="755"/>
    <w:uiPriority w:val="9"/>
    <w:qFormat/>
    <w:rPr>
      <w:rFonts w:ascii="Arial" w:hAnsi="Arial" w:eastAsia="Arial" w:cs="Arial"/>
      <w:i/>
      <w:iCs/>
      <w:sz w:val="21"/>
      <w:szCs w:val="21"/>
    </w:rPr>
  </w:style>
  <w:style w:type="character" w:styleId="810" w:customStyle="1">
    <w:name w:val="Title Char"/>
    <w:basedOn w:val="756"/>
    <w:uiPriority w:val="10"/>
    <w:qFormat/>
    <w:rPr>
      <w:sz w:val="48"/>
      <w:szCs w:val="48"/>
    </w:rPr>
  </w:style>
  <w:style w:type="character" w:styleId="811" w:customStyle="1">
    <w:name w:val="Subtitle Char"/>
    <w:basedOn w:val="756"/>
    <w:uiPriority w:val="11"/>
    <w:qFormat/>
    <w:rPr>
      <w:sz w:val="24"/>
      <w:szCs w:val="24"/>
    </w:rPr>
  </w:style>
  <w:style w:type="paragraph" w:styleId="812">
    <w:name w:val="Quote"/>
    <w:basedOn w:val="746"/>
    <w:next w:val="746"/>
    <w:link w:val="813"/>
    <w:uiPriority w:val="29"/>
    <w:qFormat/>
    <w:pPr>
      <w:ind w:left="720" w:right="720"/>
    </w:pPr>
    <w:rPr>
      <w:i/>
    </w:rPr>
  </w:style>
  <w:style w:type="character" w:styleId="813" w:customStyle="1">
    <w:name w:val="引用 Char"/>
    <w:link w:val="812"/>
    <w:uiPriority w:val="29"/>
    <w:qFormat/>
    <w:rPr>
      <w:i/>
    </w:rPr>
  </w:style>
  <w:style w:type="paragraph" w:styleId="814">
    <w:name w:val="Intense Quote"/>
    <w:basedOn w:val="746"/>
    <w:next w:val="746"/>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Char"/>
    <w:link w:val="814"/>
    <w:uiPriority w:val="30"/>
    <w:qFormat/>
    <w:rPr>
      <w:i/>
    </w:rPr>
  </w:style>
  <w:style w:type="character" w:styleId="816" w:customStyle="1">
    <w:name w:val="Header Char"/>
    <w:basedOn w:val="756"/>
    <w:uiPriority w:val="99"/>
    <w:qFormat/>
  </w:style>
  <w:style w:type="character" w:styleId="817" w:customStyle="1">
    <w:name w:val="Footer Char"/>
    <w:basedOn w:val="756"/>
    <w:uiPriority w:val="99"/>
    <w:qFormat/>
  </w:style>
  <w:style w:type="character" w:styleId="818" w:customStyle="1">
    <w:name w:val="Caption Char"/>
    <w:uiPriority w:val="99"/>
    <w:qFormat/>
  </w:style>
  <w:style w:type="table" w:styleId="819" w:customStyle="1">
    <w:name w:val="Table Grid Light"/>
    <w:basedOn w:val="75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0" w:customStyle="1">
    <w:name w:val="Plain Table 1"/>
    <w:basedOn w:val="75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basedOn w:val="75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basedOn w:val="75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basedOn w:val="75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basedOn w:val="75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basedOn w:val="75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basedOn w:val="75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5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5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5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5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5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basedOn w:val="75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basedOn w:val="75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basedOn w:val="75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basedOn w:val="75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basedOn w:val="75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basedOn w:val="75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basedOn w:val="75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basedOn w:val="75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basedOn w:val="757"/>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basedOn w:val="757"/>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basedOn w:val="757"/>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basedOn w:val="757"/>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basedOn w:val="757"/>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basedOn w:val="757"/>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basedOn w:val="75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basedOn w:val="757"/>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8" w:customStyle="1">
    <w:name w:val="Grid Table 4 - Accent 2"/>
    <w:basedOn w:val="757"/>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9" w:customStyle="1">
    <w:name w:val="Grid Table 4 - Accent 3"/>
    <w:basedOn w:val="757"/>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0" w:customStyle="1">
    <w:name w:val="Grid Table 4 - Accent 4"/>
    <w:basedOn w:val="757"/>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basedOn w:val="757"/>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basedOn w:val="757"/>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basedOn w:val="7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basedOn w:val="7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basedOn w:val="7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basedOn w:val="7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basedOn w:val="7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basedOn w:val="7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basedOn w:val="75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basedOn w:val="75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1" w:customStyle="1">
    <w:name w:val="Grid Table 6 Colorful - Accent 1"/>
    <w:basedOn w:val="757"/>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2" w:customStyle="1">
    <w:name w:val="Grid Table 6 Colorful - Accent 2"/>
    <w:basedOn w:val="75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3" w:customStyle="1">
    <w:name w:val="Grid Table 6 Colorful - Accent 3"/>
    <w:basedOn w:val="757"/>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4" w:customStyle="1">
    <w:name w:val="Grid Table 6 Colorful - Accent 4"/>
    <w:basedOn w:val="75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5" w:customStyle="1">
    <w:name w:val="Grid Table 6 Colorful - Accent 5"/>
    <w:basedOn w:val="757"/>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6" w:customStyle="1">
    <w:name w:val="Grid Table 6 Colorful - Accent 6"/>
    <w:basedOn w:val="757"/>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7" w:customStyle="1">
    <w:name w:val="Grid Table 7 Colorful"/>
    <w:basedOn w:val="75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basedOn w:val="757"/>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basedOn w:val="757"/>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basedOn w:val="757"/>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basedOn w:val="757"/>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basedOn w:val="757"/>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basedOn w:val="757"/>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basedOn w:val="75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basedOn w:val="757"/>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basedOn w:val="757"/>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basedOn w:val="757"/>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basedOn w:val="757"/>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basedOn w:val="757"/>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basedOn w:val="757"/>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basedOn w:val="75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2" w:customStyle="1">
    <w:name w:val="List Table 2 - Accent 1"/>
    <w:basedOn w:val="757"/>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basedOn w:val="757"/>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4" w:customStyle="1">
    <w:name w:val="List Table 2 - Accent 3"/>
    <w:basedOn w:val="757"/>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basedOn w:val="757"/>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basedOn w:val="757"/>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basedOn w:val="757"/>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basedOn w:val="75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basedOn w:val="757"/>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basedOn w:val="757"/>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1" w:customStyle="1">
    <w:name w:val="List Table 3 - Accent 3"/>
    <w:basedOn w:val="757"/>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2" w:customStyle="1">
    <w:name w:val="List Table 3 - Accent 4"/>
    <w:basedOn w:val="757"/>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basedOn w:val="757"/>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basedOn w:val="757"/>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basedOn w:val="75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basedOn w:val="757"/>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basedOn w:val="757"/>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basedOn w:val="757"/>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basedOn w:val="757"/>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basedOn w:val="757"/>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basedOn w:val="757"/>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basedOn w:val="75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basedOn w:val="757"/>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basedOn w:val="757"/>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basedOn w:val="757"/>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basedOn w:val="757"/>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basedOn w:val="757"/>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basedOn w:val="757"/>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List Table 6 Colorful"/>
    <w:basedOn w:val="75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0" w:customStyle="1">
    <w:name w:val="List Table 6 Colorful - Accent 1"/>
    <w:basedOn w:val="757"/>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11" w:customStyle="1">
    <w:name w:val="List Table 6 Colorful - Accent 2"/>
    <w:basedOn w:val="757"/>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12" w:customStyle="1">
    <w:name w:val="List Table 6 Colorful - Accent 3"/>
    <w:basedOn w:val="757"/>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3" w:customStyle="1">
    <w:name w:val="List Table 6 Colorful - Accent 4"/>
    <w:basedOn w:val="757"/>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4" w:customStyle="1">
    <w:name w:val="List Table 6 Colorful - Accent 5"/>
    <w:basedOn w:val="757"/>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5" w:customStyle="1">
    <w:name w:val="List Table 6 Colorful - Accent 6"/>
    <w:basedOn w:val="757"/>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6" w:customStyle="1">
    <w:name w:val="List Table 7 Colorful"/>
    <w:basedOn w:val="75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basedOn w:val="757"/>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basedOn w:val="757"/>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basedOn w:val="757"/>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basedOn w:val="757"/>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basedOn w:val="757"/>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basedOn w:val="757"/>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basedOn w:val="7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4" w:customStyle="1">
    <w:name w:val="Lined - Accent 1"/>
    <w:basedOn w:val="7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5" w:customStyle="1">
    <w:name w:val="Lined - Accent 2"/>
    <w:basedOn w:val="7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6" w:customStyle="1">
    <w:name w:val="Lined - Accent 3"/>
    <w:basedOn w:val="7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7" w:customStyle="1">
    <w:name w:val="Lined - Accent 4"/>
    <w:basedOn w:val="7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basedOn w:val="7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basedOn w:val="757"/>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basedOn w:val="757"/>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1" w:customStyle="1">
    <w:name w:val="Bordered &amp; Lined - Accent 1"/>
    <w:basedOn w:val="757"/>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2" w:customStyle="1">
    <w:name w:val="Bordered &amp; Lined - Accent 2"/>
    <w:basedOn w:val="757"/>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3" w:customStyle="1">
    <w:name w:val="Bordered &amp; Lined - Accent 3"/>
    <w:basedOn w:val="757"/>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4" w:customStyle="1">
    <w:name w:val="Bordered &amp; Lined - Accent 4"/>
    <w:basedOn w:val="757"/>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basedOn w:val="757"/>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basedOn w:val="757"/>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basedOn w:val="757"/>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8" w:customStyle="1">
    <w:name w:val="Bordered - Accent 1"/>
    <w:basedOn w:val="757"/>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basedOn w:val="757"/>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0" w:customStyle="1">
    <w:name w:val="Bordered - Accent 3"/>
    <w:basedOn w:val="757"/>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1" w:customStyle="1">
    <w:name w:val="Bordered - Accent 4"/>
    <w:basedOn w:val="757"/>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basedOn w:val="757"/>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basedOn w:val="757"/>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uiPriority w:val="99"/>
    <w:qFormat/>
    <w:rPr>
      <w:sz w:val="18"/>
    </w:rPr>
  </w:style>
  <w:style w:type="character" w:styleId="945" w:customStyle="1">
    <w:name w:val="尾注文本 Char"/>
    <w:link w:val="775"/>
    <w:uiPriority w:val="99"/>
    <w:qFormat/>
    <w:rPr>
      <w:sz w:val="20"/>
    </w:rPr>
  </w:style>
  <w:style w:type="paragraph" w:styleId="946" w:customStyle="1">
    <w:name w:val="TOC 标题1"/>
    <w:uiPriority w:val="39"/>
    <w:unhideWhenUsed/>
    <w:qFormat/>
  </w:style>
  <w:style w:type="paragraph" w:styleId="947" w:customStyle="1">
    <w:name w:val="段"/>
    <w:next w:val="746"/>
    <w:qFormat/>
    <w:pPr>
      <w:ind w:firstLine="200"/>
      <w:jc w:val="both"/>
    </w:pPr>
    <w:rPr>
      <w:rFonts w:ascii="宋体"/>
      <w:sz w:val="21"/>
    </w:rPr>
  </w:style>
  <w:style w:type="paragraph" w:styleId="948" w:customStyle="1">
    <w:name w:val="首行缩进"/>
    <w:basedOn w:val="746"/>
    <w:qFormat/>
    <w:pPr>
      <w:ind w:firstLine="480"/>
      <w:jc w:val="left"/>
      <w:spacing w:line="360" w:lineRule="auto"/>
    </w:pPr>
    <w:rPr>
      <w:rFonts w:ascii="宋体" w:hAnsi="宋体"/>
      <w:sz w:val="24"/>
    </w:rPr>
  </w:style>
  <w:style w:type="character" w:styleId="949" w:customStyle="1">
    <w:name w:val="标题 1 Char"/>
    <w:link w:val="747"/>
    <w:qFormat/>
    <w:rPr>
      <w:b/>
      <w:bCs/>
      <w:sz w:val="44"/>
      <w:szCs w:val="44"/>
    </w:rPr>
  </w:style>
  <w:style w:type="character" w:styleId="950" w:customStyle="1">
    <w:name w:val="标题 2 Char"/>
    <w:link w:val="748"/>
    <w:qFormat/>
    <w:rPr>
      <w:rFonts w:ascii="Cambria" w:hAnsi="Cambria"/>
      <w:b/>
      <w:bCs/>
      <w:sz w:val="32"/>
      <w:szCs w:val="32"/>
    </w:rPr>
  </w:style>
  <w:style w:type="character" w:styleId="951" w:customStyle="1">
    <w:name w:val="标题 3 Char"/>
    <w:link w:val="749"/>
    <w:qFormat/>
    <w:rPr>
      <w:b/>
      <w:bCs/>
      <w:sz w:val="32"/>
      <w:szCs w:val="32"/>
    </w:rPr>
  </w:style>
  <w:style w:type="paragraph" w:styleId="952" w:customStyle="1">
    <w:name w:val="正文 A"/>
    <w:next w:val="947"/>
    <w:qFormat/>
    <w:pPr>
      <w:jc w:val="both"/>
      <w:widowControl w:val="off"/>
      <w:framePr w:wrap="around" w:hAnchor="text" w:yAlign="top"/>
    </w:pPr>
    <w:rPr>
      <w:rFonts w:ascii="Calibri" w:hAnsi="Calibri" w:eastAsia="Times New Roman"/>
      <w:color w:val="000000"/>
      <w:sz w:val="21"/>
      <w:szCs w:val="21"/>
    </w:rPr>
  </w:style>
  <w:style w:type="character" w:styleId="953" w:customStyle="1">
    <w:name w:val="纯文本 Char"/>
    <w:link w:val="771"/>
    <w:qFormat/>
    <w:rPr>
      <w:rFonts w:ascii="宋体" w:hAnsi="Courier New" w:eastAsia="楷体_GB2312"/>
      <w:sz w:val="26"/>
      <w:szCs w:val="24"/>
      <w:lang w:val="en-US" w:eastAsia="zh-CN" w:bidi="ar-SA"/>
    </w:rPr>
  </w:style>
  <w:style w:type="character" w:styleId="954" w:customStyle="1">
    <w:name w:val="正文缩进 Char"/>
    <w:link w:val="761"/>
    <w:qFormat/>
    <w:rPr>
      <w:rFonts w:eastAsia="楷体_GB2312"/>
      <w:sz w:val="24"/>
      <w:lang w:val="en-US" w:eastAsia="zh-CN" w:bidi="ar-SA"/>
    </w:rPr>
  </w:style>
  <w:style w:type="character" w:styleId="955" w:customStyle="1">
    <w:name w:val="标题 5 Char"/>
    <w:link w:val="751"/>
    <w:qFormat/>
    <w:rPr>
      <w:rFonts w:eastAsia="宋体"/>
      <w:b/>
      <w:bCs/>
      <w:i/>
      <w:iCs/>
      <w:sz w:val="26"/>
      <w:szCs w:val="26"/>
      <w:lang w:val="en-US" w:eastAsia="zh-CN" w:bidi="ar-SA"/>
    </w:rPr>
  </w:style>
  <w:style w:type="character" w:styleId="956" w:customStyle="1">
    <w:name w:val="+正文 Char3"/>
    <w:link w:val="957"/>
    <w:qFormat/>
    <w:rPr>
      <w:rFonts w:eastAsia="宋体"/>
      <w:sz w:val="24"/>
      <w:lang w:val="en-US" w:eastAsia="zh-CN" w:bidi="ar-SA"/>
    </w:rPr>
  </w:style>
  <w:style w:type="paragraph" w:styleId="957" w:customStyle="1">
    <w:name w:val="+正文"/>
    <w:basedOn w:val="746"/>
    <w:link w:val="956"/>
    <w:qFormat/>
    <w:pPr>
      <w:ind w:firstLine="200"/>
      <w:spacing w:line="360" w:lineRule="auto"/>
    </w:pPr>
    <w:rPr>
      <w:sz w:val="24"/>
      <w:szCs w:val="20"/>
    </w:rPr>
  </w:style>
  <w:style w:type="character" w:styleId="958" w:customStyle="1">
    <w:name w:val="页脚 Char"/>
    <w:link w:val="777"/>
    <w:semiHidden/>
    <w:qFormat/>
    <w:rPr>
      <w:rFonts w:eastAsia="宋体"/>
      <w:sz w:val="18"/>
      <w:szCs w:val="18"/>
      <w:lang w:val="en-US" w:eastAsia="zh-CN" w:bidi="ar-SA"/>
    </w:rPr>
  </w:style>
  <w:style w:type="character" w:styleId="959" w:customStyle="1">
    <w:name w:val="Char Char8"/>
    <w:qFormat/>
    <w:rPr>
      <w:sz w:val="18"/>
    </w:rPr>
  </w:style>
  <w:style w:type="character" w:styleId="960" w:customStyle="1">
    <w:name w:val="标题 4 Char"/>
    <w:link w:val="750"/>
    <w:qFormat/>
    <w:rPr>
      <w:rFonts w:eastAsia="宋体"/>
      <w:b/>
      <w:bCs/>
      <w:sz w:val="28"/>
      <w:szCs w:val="28"/>
      <w:lang w:val="en-US" w:eastAsia="zh-CN" w:bidi="ar-SA"/>
    </w:rPr>
  </w:style>
  <w:style w:type="character" w:styleId="961" w:customStyle="1">
    <w:name w:val="标题 Char"/>
    <w:link w:val="790"/>
    <w:qFormat/>
    <w:rPr>
      <w:rFonts w:ascii="Arial" w:hAnsi="Arial"/>
      <w:b/>
      <w:bCs/>
      <w:sz w:val="32"/>
      <w:szCs w:val="32"/>
      <w:lang w:bidi="ar-SA"/>
    </w:rPr>
  </w:style>
  <w:style w:type="character" w:styleId="962" w:customStyle="1">
    <w:name w:val="文字正文主体 Char Char"/>
    <w:link w:val="963"/>
    <w:qFormat/>
    <w:rPr>
      <w:rFonts w:ascii="仿宋" w:hAnsi="仿宋" w:eastAsia="仿宋"/>
      <w:color w:val="3a3a3a"/>
      <w:sz w:val="28"/>
      <w:lang w:val="en-US" w:eastAsia="zh-CN" w:bidi="ar-SA"/>
    </w:rPr>
  </w:style>
  <w:style w:type="paragraph" w:styleId="963" w:customStyle="1">
    <w:name w:val="文字正文主体"/>
    <w:basedOn w:val="746"/>
    <w:link w:val="962"/>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64" w:customStyle="1">
    <w:name w:val="页眉 Char"/>
    <w:link w:val="779"/>
    <w:uiPriority w:val="99"/>
    <w:qFormat/>
    <w:rPr>
      <w:rFonts w:eastAsia="宋体"/>
      <w:sz w:val="18"/>
      <w:szCs w:val="18"/>
      <w:lang w:val="en-US" w:eastAsia="zh-CN" w:bidi="ar-SA"/>
    </w:rPr>
  </w:style>
  <w:style w:type="character" w:styleId="965" w:customStyle="1">
    <w:name w:val="Char Char5"/>
    <w:qFormat/>
    <w:rPr>
      <w:sz w:val="24"/>
      <w:lang w:val="en-US" w:eastAsia="zh-CN"/>
    </w:rPr>
  </w:style>
  <w:style w:type="character" w:styleId="966" w:customStyle="1">
    <w:name w:val="Char Char11"/>
    <w:qFormat/>
    <w:rPr>
      <w:sz w:val="21"/>
    </w:rPr>
  </w:style>
  <w:style w:type="character" w:styleId="967" w:customStyle="1">
    <w:name w:val="c lh15"/>
    <w:basedOn w:val="756"/>
    <w:qFormat/>
  </w:style>
  <w:style w:type="character" w:styleId="968" w:customStyle="1">
    <w:name w:val="批注文字 Char"/>
    <w:link w:val="763"/>
    <w:qFormat/>
    <w:rPr>
      <w:rFonts w:eastAsia="宋体"/>
      <w:sz w:val="21"/>
      <w:szCs w:val="24"/>
      <w:lang w:val="en-US" w:eastAsia="zh-CN" w:bidi="ar-SA"/>
    </w:rPr>
  </w:style>
  <w:style w:type="character" w:styleId="969" w:customStyle="1">
    <w:name w:val="日期 Char"/>
    <w:link w:val="773"/>
    <w:qFormat/>
    <w:rPr>
      <w:sz w:val="36"/>
      <w:lang w:bidi="ar-SA"/>
    </w:rPr>
  </w:style>
  <w:style w:type="character" w:styleId="970" w:customStyle="1">
    <w:name w:val="Plain Text Char Char"/>
    <w:link w:val="971"/>
    <w:qFormat/>
    <w:rPr>
      <w:rFonts w:ascii="宋体" w:hAnsi="Courier New" w:eastAsia="楷体_GB2312"/>
      <w:sz w:val="28"/>
    </w:rPr>
  </w:style>
  <w:style w:type="paragraph" w:styleId="971" w:customStyle="1">
    <w:name w:val="纯文本1"/>
    <w:basedOn w:val="746"/>
    <w:link w:val="970"/>
    <w:qFormat/>
    <w:rPr>
      <w:rFonts w:ascii="宋体" w:hAnsi="Courier New" w:eastAsia="楷体_GB2312"/>
      <w:sz w:val="28"/>
      <w:szCs w:val="20"/>
    </w:rPr>
  </w:style>
  <w:style w:type="paragraph" w:styleId="972" w:customStyle="1">
    <w:name w:val="Char Char Char Char Char Char Char Char Char1 Char Char Char Char"/>
    <w:basedOn w:val="766"/>
    <w:qFormat/>
    <w:pPr>
      <w:spacing w:line="360" w:lineRule="auto"/>
    </w:pPr>
    <w:rPr>
      <w:rFonts w:eastAsia="楷体_GB2312"/>
      <w:sz w:val="26"/>
      <w:szCs w:val="20"/>
    </w:rPr>
  </w:style>
  <w:style w:type="paragraph" w:styleId="973" w:customStyle="1">
    <w:name w:val="Char Char Char Char Char Char Char Char Char Char"/>
    <w:basedOn w:val="746"/>
    <w:qFormat/>
    <w:pPr>
      <w:numPr>
        <w:numId w:val="2"/>
      </w:numPr>
    </w:pPr>
    <w:rPr>
      <w:sz w:val="24"/>
    </w:rPr>
  </w:style>
  <w:style w:type="paragraph" w:styleId="974" w:customStyle="1">
    <w:name w:val="Char Char Char Char Char Char Char Char Char1 Char"/>
    <w:basedOn w:val="766"/>
    <w:qFormat/>
    <w:pPr>
      <w:spacing w:line="360" w:lineRule="auto"/>
    </w:pPr>
    <w:rPr>
      <w:rFonts w:ascii="Tahoma" w:hAnsi="Tahoma"/>
      <w:sz w:val="24"/>
    </w:rPr>
  </w:style>
  <w:style w:type="paragraph" w:styleId="975" w:customStyle="1">
    <w:name w:val="Char Char Char"/>
    <w:basedOn w:val="766"/>
    <w:qFormat/>
    <w:pPr>
      <w:spacing w:line="360" w:lineRule="auto"/>
    </w:pPr>
    <w:rPr>
      <w:rFonts w:ascii="Tahoma" w:hAnsi="Tahoma"/>
      <w:sz w:val="24"/>
    </w:rPr>
  </w:style>
  <w:style w:type="paragraph" w:styleId="976" w:customStyle="1">
    <w:name w:val="Char Char Char Char"/>
    <w:basedOn w:val="766"/>
    <w:qFormat/>
    <w:pPr>
      <w:spacing w:line="360" w:lineRule="auto"/>
    </w:pPr>
    <w:rPr>
      <w:sz w:val="24"/>
      <w:szCs w:val="20"/>
    </w:rPr>
  </w:style>
  <w:style w:type="paragraph" w:styleId="977" w:customStyle="1">
    <w:name w:val="Char1 Char Char Char"/>
    <w:basedOn w:val="746"/>
    <w:qFormat/>
    <w:rPr>
      <w:rFonts w:ascii="Tahoma" w:hAnsi="Tahoma"/>
      <w:sz w:val="24"/>
      <w:szCs w:val="20"/>
    </w:rPr>
  </w:style>
  <w:style w:type="paragraph" w:styleId="978" w:customStyle="1">
    <w:name w:val="Char"/>
    <w:basedOn w:val="746"/>
    <w:qFormat/>
    <w:pPr>
      <w:ind w:left="420" w:hanging="420"/>
      <w:tabs>
        <w:tab w:val="left" w:pos="420" w:leader="none"/>
      </w:tabs>
    </w:pPr>
    <w:rPr>
      <w:sz w:val="24"/>
    </w:rPr>
  </w:style>
  <w:style w:type="paragraph" w:styleId="979" w:customStyle="1">
    <w:name w:val="正文2"/>
    <w:basedOn w:val="746"/>
    <w:qFormat/>
    <w:pPr>
      <w:ind w:firstLine="200"/>
      <w:jc w:val="left"/>
      <w:spacing w:after="160" w:line="360" w:lineRule="auto"/>
      <w:widowControl/>
    </w:pPr>
    <w:rPr>
      <w:rFonts w:ascii="Verdana" w:hAnsi="Verdana" w:eastAsia="黑体"/>
      <w:szCs w:val="20"/>
      <w:lang w:eastAsia="en-US"/>
    </w:rPr>
  </w:style>
  <w:style w:type="paragraph" w:styleId="980" w:customStyle="1">
    <w:name w:val="Char Char Char1 Char Char Char Char"/>
    <w:basedOn w:val="746"/>
    <w:qFormat/>
    <w:pPr>
      <w:jc w:val="left"/>
      <w:spacing w:after="160" w:line="240" w:lineRule="exact"/>
      <w:widowControl/>
    </w:pPr>
    <w:rPr>
      <w:sz w:val="24"/>
    </w:rPr>
  </w:style>
  <w:style w:type="paragraph" w:styleId="981">
    <w:name w:val="No Spacing"/>
    <w:uiPriority w:val="1"/>
    <w:qFormat/>
    <w:pPr>
      <w:jc w:val="both"/>
      <w:widowControl w:val="off"/>
    </w:pPr>
    <w:rPr>
      <w:sz w:val="21"/>
      <w:szCs w:val="24"/>
    </w:rPr>
  </w:style>
  <w:style w:type="paragraph" w:styleId="982" w:customStyle="1">
    <w:name w:val="纯文本11"/>
    <w:basedOn w:val="746"/>
    <w:qFormat/>
    <w:rPr>
      <w:rFonts w:ascii="宋体" w:hAnsi="Courier New" w:eastAsia="楷体_GB2312"/>
      <w:sz w:val="28"/>
      <w:szCs w:val="20"/>
    </w:rPr>
  </w:style>
  <w:style w:type="character" w:styleId="983" w:customStyle="1">
    <w:name w:val="纯文本 Char1"/>
    <w:qFormat/>
    <w:rPr>
      <w:rFonts w:ascii="宋体" w:hAnsi="Courier New" w:eastAsia="楷体_GB2312"/>
      <w:sz w:val="24"/>
      <w:lang w:val="en-US" w:eastAsia="zh-CN" w:bidi="ar-SA"/>
    </w:rPr>
  </w:style>
  <w:style w:type="paragraph" w:styleId="984" w:customStyle="1">
    <w:name w:val="纯文本2"/>
    <w:basedOn w:val="746"/>
    <w:qFormat/>
    <w:rPr>
      <w:rFonts w:ascii="宋体" w:hAnsi="Courier New" w:eastAsia="楷体_GB2312"/>
      <w:sz w:val="26"/>
      <w:szCs w:val="20"/>
    </w:rPr>
  </w:style>
  <w:style w:type="character" w:styleId="985" w:customStyle="1">
    <w:name w:val="Plain Text Char"/>
    <w:qFormat/>
    <w:rPr>
      <w:rFonts w:ascii="宋体" w:hAnsi="Courier New" w:eastAsia="楷体_GB2312"/>
      <w:sz w:val="26"/>
      <w:lang w:val="en-US" w:eastAsia="zh-CN" w:bidi="ar-SA"/>
    </w:rPr>
  </w:style>
  <w:style w:type="paragraph" w:styleId="986" w:customStyle="1">
    <w:name w:val="修订1"/>
    <w:hidden/>
    <w:uiPriority w:val="99"/>
    <w:semiHidden/>
    <w:unhideWhenUsed/>
    <w:qFormat/>
    <w:rPr>
      <w:sz w:val="21"/>
      <w:szCs w:val="24"/>
    </w:rPr>
  </w:style>
  <w:style w:type="character" w:styleId="987" w:customStyle="1">
    <w:name w:val="apple-converted-space"/>
    <w:basedOn w:val="756"/>
    <w:qFormat/>
  </w:style>
  <w:style w:type="paragraph" w:styleId="988" w:customStyle="1">
    <w:name w:val="p1"/>
    <w:basedOn w:val="746"/>
    <w:qFormat/>
    <w:pPr>
      <w:jc w:val="left"/>
      <w:spacing w:before="100" w:beforeAutospacing="1" w:after="100" w:afterAutospacing="1"/>
      <w:widowControl/>
    </w:pPr>
    <w:rPr>
      <w:rFonts w:ascii="宋体" w:hAnsi="宋体" w:cs="宋体"/>
      <w:sz w:val="24"/>
    </w:rPr>
  </w:style>
  <w:style w:type="paragraph" w:styleId="989" w:customStyle="1">
    <w:name w:val="p3"/>
    <w:basedOn w:val="746"/>
    <w:qFormat/>
    <w:pPr>
      <w:jc w:val="left"/>
      <w:spacing w:before="100" w:beforeAutospacing="1" w:after="100" w:afterAutospacing="1"/>
      <w:widowControl/>
    </w:pPr>
    <w:rPr>
      <w:rFonts w:ascii="宋体" w:hAnsi="宋体" w:cs="宋体"/>
      <w:sz w:val="24"/>
    </w:rPr>
  </w:style>
  <w:style w:type="character" w:styleId="990" w:customStyle="1">
    <w:name w:val="s6"/>
    <w:basedOn w:val="756"/>
    <w:qFormat/>
  </w:style>
  <w:style w:type="character" w:styleId="991" w:customStyle="1">
    <w:name w:val="s1"/>
    <w:basedOn w:val="756"/>
    <w:qFormat/>
  </w:style>
  <w:style w:type="paragraph" w:styleId="992" w:customStyle="1">
    <w:name w:val="列出段落1"/>
    <w:basedOn w:val="746"/>
    <w:uiPriority w:val="34"/>
    <w:qFormat/>
    <w:pPr>
      <w:ind w:firstLine="420"/>
    </w:pPr>
    <w:rPr>
      <w:lang w:val="zh-CN"/>
    </w:rPr>
  </w:style>
  <w:style w:type="character" w:styleId="993" w:customStyle="1">
    <w:name w:val="批注文字 Char3"/>
    <w:qFormat/>
    <w:rPr>
      <w:rFonts w:eastAsia="宋体"/>
      <w:sz w:val="21"/>
      <w:szCs w:val="24"/>
      <w:lang w:val="en-US" w:eastAsia="zh-CN" w:bidi="ar-SA"/>
    </w:rPr>
  </w:style>
  <w:style w:type="paragraph" w:styleId="994">
    <w:name w:val="List Paragraph"/>
    <w:basedOn w:val="746"/>
    <w:uiPriority w:val="99"/>
    <w:qFormat/>
    <w:pPr>
      <w:ind w:firstLine="420"/>
    </w:pPr>
  </w:style>
  <w:style w:type="paragraph" w:styleId="995" w:customStyle="1">
    <w:name w:val="BodyText"/>
    <w:basedOn w:val="746"/>
    <w:uiPriority w:val="99"/>
    <w:qFormat/>
    <w:pPr>
      <w:spacing w:after="120"/>
    </w:pPr>
  </w:style>
  <w:style w:type="character" w:styleId="996" w:customStyle="1">
    <w:name w:val="NormalCharacter"/>
    <w:semiHidden/>
    <w:qFormat/>
  </w:style>
  <w:style w:type="character" w:styleId="997" w:customStyle="1">
    <w:name w:val="正文文本缩进 Char"/>
    <w:basedOn w:val="756"/>
    <w:link w:val="759"/>
    <w:qFormat/>
    <w:rPr>
      <w:rFonts w:ascii="Times New Roman" w:hAnsi="Times New Roman"/>
      <w:sz w:val="21"/>
      <w:szCs w:val="24"/>
    </w:rPr>
  </w:style>
  <w:style w:type="paragraph" w:styleId="998" w:customStyle="1">
    <w:name w:val="纯文本3"/>
    <w:basedOn w:val="746"/>
    <w:qFormat/>
    <w:rPr>
      <w:rFonts w:ascii="宋体" w:hAnsi="Courier New" w:eastAsia="楷体_GB2312"/>
      <w:sz w:val="28"/>
      <w:szCs w:val="20"/>
    </w:rPr>
  </w:style>
  <w:style w:type="paragraph" w:styleId="999" w:customStyle="1">
    <w:name w:val="修订2"/>
    <w:hidden/>
    <w:uiPriority w:val="99"/>
    <w:semiHidden/>
    <w:qFormat/>
    <w:rPr>
      <w:sz w:val="21"/>
      <w:szCs w:val="24"/>
    </w:rPr>
  </w:style>
  <w:style w:type="paragraph" w:styleId="1000" w:customStyle="1">
    <w:name w:val="修订3"/>
    <w:hidden/>
    <w:uiPriority w:val="99"/>
    <w:semiHidden/>
    <w:qFormat/>
    <w:rPr>
      <w:sz w:val="21"/>
      <w:szCs w:val="24"/>
    </w:rPr>
  </w:style>
  <w:style w:type="paragraph" w:styleId="1001" w:customStyle="1">
    <w:name w:val="修订4"/>
    <w:hidden/>
    <w:uiPriority w:val="99"/>
    <w:semiHidden/>
    <w:qFormat/>
    <w:rPr>
      <w:sz w:val="21"/>
      <w:szCs w:val="24"/>
    </w:rPr>
  </w:style>
  <w:style w:type="paragraph" w:styleId="1002" w:customStyle="1">
    <w:name w:val="列出段落2"/>
    <w:basedOn w:val="746"/>
    <w:uiPriority w:val="34"/>
    <w:qFormat/>
    <w:pPr>
      <w:ind w:firstLine="420"/>
    </w:pPr>
  </w:style>
  <w:style w:type="paragraph" w:styleId="1003" w:customStyle="1">
    <w:name w:val="_正文段落"/>
    <w:basedOn w:val="746"/>
    <w:qFormat/>
    <w:pPr>
      <w:ind w:firstLine="200"/>
      <w:spacing w:line="360" w:lineRule="auto"/>
    </w:pPr>
    <w:rPr>
      <w:sz w:val="24"/>
    </w:rPr>
  </w:style>
  <w:style w:type="paragraph" w:styleId="1004" w:customStyle="1">
    <w:name w:val="_Style 30"/>
    <w:basedOn w:val="746"/>
    <w:next w:val="771"/>
    <w:qFormat/>
    <w:rPr>
      <w:rFonts w:ascii="宋体" w:hAnsi="Courier New"/>
    </w:rPr>
  </w:style>
  <w:style w:type="paragraph" w:styleId="1005" w:customStyle="1">
    <w:name w:val="纯文本4"/>
    <w:basedOn w:val="746"/>
    <w:qFormat/>
    <w:rPr>
      <w:rFonts w:ascii="宋体" w:hAnsi="Courier New" w:eastAsia="楷体_GB2312"/>
      <w:sz w:val="28"/>
      <w:szCs w:val="20"/>
    </w:rPr>
  </w:style>
  <w:style w:type="table" w:styleId="1006" w:customStyle="1">
    <w:name w:val="网格型1"/>
    <w:basedOn w:val="1007"/>
    <w:uiPriority w:val="39"/>
    <w:qFormat/>
    <w:tblPr>
      <w:tblCellMar>
        <w:left w:w="0" w:type="dxa"/>
        <w:top w:w="0" w:type="dxa"/>
        <w:right w:w="0" w:type="dxa"/>
        <w:bottom w:w="0" w:type="dxa"/>
      </w:tblCellMar>
    </w:tblPr>
  </w:style>
  <w:style w:type="table" w:styleId="1007" w:customStyle="1">
    <w:name w:val="普通表格1"/>
    <w:uiPriority w:val="99"/>
    <w:unhideWhenUsed/>
    <w:qFormat/>
    <w:tblPr>
      <w:tblCellMar>
        <w:left w:w="0" w:type="dxa"/>
        <w:top w:w="0" w:type="dxa"/>
        <w:right w:w="0" w:type="dxa"/>
        <w:bottom w:w="0" w:type="dxa"/>
      </w:tblCellMar>
    </w:tblPr>
  </w:style>
  <w:style w:type="paragraph" w:styleId="1008" w:customStyle="1">
    <w:name w:val="普通(网站)1"/>
    <w:basedOn w:val="746"/>
    <w:uiPriority w:val="99"/>
    <w:qFormat/>
    <w:pPr>
      <w:jc w:val="left"/>
      <w:spacing w:beforeAutospacing="1" w:afterAutospacing="1"/>
    </w:pPr>
    <w:rPr>
      <w:sz w:val="24"/>
    </w:rPr>
  </w:style>
  <w:style w:type="paragraph" w:styleId="1009" w:customStyle="1">
    <w:name w:val="正文文本缩进12"/>
    <w:basedOn w:val="746"/>
    <w:next w:val="1010"/>
    <w:qFormat/>
    <w:pPr>
      <w:ind w:firstLine="560"/>
      <w:jc w:val="left"/>
      <w:spacing w:line="300" w:lineRule="auto"/>
    </w:pPr>
    <w:rPr>
      <w:rFonts w:eastAsia="Times New Roman"/>
      <w:sz w:val="28"/>
    </w:rPr>
  </w:style>
  <w:style w:type="paragraph" w:styleId="1010" w:customStyle="1">
    <w:name w:val="寄信人地址11"/>
    <w:basedOn w:val="746"/>
    <w:qFormat/>
    <w:rPr>
      <w:rFonts w:ascii="Arial" w:hAnsi="Arial"/>
    </w:rPr>
  </w:style>
  <w:style w:type="paragraph" w:styleId="1011" w:customStyle="1">
    <w:name w:val="正文缩进1"/>
    <w:basedOn w:val="746"/>
    <w:qFormat/>
    <w:pPr>
      <w:ind w:firstLine="420"/>
      <w:jc w:val="left"/>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image" Target="media/image2.jpg"/><Relationship Id="rId1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EC65B44-31B3-4D4C-95DA-9A3231759A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3.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CDEAF49-F725-4D10-B94E-6D1099863452}">
  <ds:schemaRefs>
    <ds:schemaRef ds:uri="http://schemas.openxmlformats.org/officeDocument/2006/bibliography"/>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朱晓芹</cp:lastModifiedBy>
  <cp:revision>13</cp:revision>
  <dcterms:created xsi:type="dcterms:W3CDTF">2024-01-02T10:17:00Z</dcterms:created>
  <dcterms:modified xsi:type="dcterms:W3CDTF">2026-03-04T06:04:38Z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2052-10.1.0.7565</vt:lpwstr>
  </property>
  <property fmtid="{D5CDD505-2E9C-101B-9397-08002B2CF9AE}" pid="3" name="ICV">
    <vt:lpwstr>16F253B0AD754D04A459F30F6C01B1EF_13</vt:lpwstr>
  </property>
  <property fmtid="{D5CDD505-2E9C-101B-9397-08002B2CF9AE}" pid="4" name="ContentTypeId">
    <vt:lpwstr>0x01010081C51C0CE0027140830352BF468F90BF</vt:lpwstr>
  </property>
  <property fmtid="{D5CDD505-2E9C-101B-9397-08002B2CF9AE}" pid="5" name="KSOTemplateDocerSaveRecord">
    <vt:lpwstr>eyJoZGlkIjoiM2FlNGI4MDJjNmM2ZDUyYjk1MzUxZmNhMjIwYjJhYjciLCJ1c2VySWQiOiI3ODkxNjI0OTIifQ==</vt:lpwstr>
  </property>
</Properties>
</file>