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jc w:val="center"/>
        <w:widowControl w:val="off"/>
        <w:rPr>
          <w:rFonts w:hint="eastAsia" w:ascii="宋体" w:hAnsi="宋体"/>
          <w:b/>
          <w:spacing w:val="20"/>
          <w:sz w:val="44"/>
          <w:szCs w:val="24"/>
          <w:lang w:val="en-US" w:eastAsia="zh-CN" w:bidi="ar-SA"/>
        </w:rPr>
        <w:outlineLvl w:val="9"/>
      </w:pPr>
      <w:r>
        <w:rPr>
          <w:rFonts w:hint="eastAsia" w:ascii="宋体" w:hAnsi="宋体"/>
          <w:b/>
          <w:spacing w:val="20"/>
          <w:sz w:val="44"/>
          <w:szCs w:val="24"/>
          <w:lang w:val="en-US" w:eastAsia="zh-CN" w:bidi="ar-SA"/>
        </w:rPr>
      </w:r>
      <w:r/>
    </w:p>
    <w:p>
      <w:pPr>
        <w:pStyle w:val="1005"/>
        <w:jc w:val="center"/>
        <w:widowControl w:val="off"/>
        <w:rPr>
          <w:rFonts w:hint="eastAsia" w:ascii="宋体" w:hAnsi="宋体"/>
          <w:b/>
          <w:spacing w:val="20"/>
          <w:sz w:val="44"/>
          <w:szCs w:val="24"/>
          <w:lang w:val="en-US" w:eastAsia="zh-CN" w:bidi="ar-SA"/>
        </w:rPr>
        <w:outlineLvl w:val="9"/>
      </w:pPr>
      <w:r>
        <w:rPr>
          <w:rFonts w:hint="eastAsia" w:ascii="宋体" w:hAnsi="宋体"/>
          <w:b/>
          <w:spacing w:val="20"/>
          <w:sz w:val="44"/>
          <w:szCs w:val="24"/>
          <w:lang w:val="en-US" w:eastAsia="zh-CN" w:bidi="ar-SA"/>
        </w:rPr>
        <w:t xml:space="preserve">南通市通州区十总镇2026年一事一议财政奖补项目—道路防渗渠工程</w:t>
      </w:r>
      <w:r>
        <w:rPr>
          <w:rFonts w:hint="eastAsia" w:ascii="宋体" w:hAnsi="宋体"/>
          <w:b/>
          <w:spacing w:val="20"/>
          <w:sz w:val="44"/>
          <w:szCs w:val="24"/>
          <w:lang w:val="en-US" w:eastAsia="zh-CN" w:bidi="ar-SA"/>
        </w:rPr>
      </w:r>
      <w:r/>
    </w:p>
    <w:p>
      <w:pPr>
        <w:pStyle w:val="1005"/>
        <w:jc w:val="center"/>
        <w:widowControl w:val="off"/>
        <w:rPr>
          <w:rFonts w:hint="eastAsia" w:ascii="宋体" w:hAnsi="宋体"/>
          <w:b/>
          <w:spacing w:val="20"/>
          <w:sz w:val="44"/>
          <w:szCs w:val="24"/>
          <w:lang w:val="en-US" w:eastAsia="zh-CN" w:bidi="ar-SA"/>
        </w:rPr>
        <w:outlineLvl w:val="9"/>
      </w:pPr>
      <w:r>
        <w:rPr>
          <w:rFonts w:hint="eastAsia" w:ascii="宋体" w:hAnsi="宋体"/>
          <w:b/>
          <w:spacing w:val="20"/>
          <w:sz w:val="44"/>
          <w:szCs w:val="24"/>
          <w:lang w:val="en-US" w:eastAsia="zh-CN" w:bidi="ar-SA"/>
        </w:rPr>
      </w:r>
      <w:r/>
    </w:p>
    <w:p>
      <w:pPr>
        <w:pStyle w:val="1005"/>
        <w:jc w:val="center"/>
        <w:widowControl w:val="off"/>
        <w:rPr>
          <w:rFonts w:hint="eastAsia" w:ascii="宋体" w:hAnsi="宋体" w:eastAsia="宋体" w:cs="宋体"/>
          <w:b/>
          <w:sz w:val="100"/>
          <w:szCs w:val="100"/>
          <w:lang w:val="en-US" w:eastAsia="zh-CN" w:bidi="ar-SA"/>
        </w:rPr>
        <w:outlineLvl w:val="9"/>
      </w:pPr>
      <w:r>
        <w:rPr>
          <w:rFonts w:hint="eastAsia" w:ascii="宋体" w:hAnsi="宋体" w:eastAsia="宋体" w:cs="宋体"/>
          <w:b/>
          <w:sz w:val="100"/>
          <w:szCs w:val="100"/>
          <w:lang w:val="en-US" w:eastAsia="zh-CN" w:bidi="ar-SA"/>
        </w:rPr>
        <w:t xml:space="preserve">政府采购磋商文件</w:t>
      </w:r>
      <w:r>
        <w:rPr>
          <w:rFonts w:hint="eastAsia" w:ascii="宋体" w:hAnsi="宋体" w:eastAsia="宋体" w:cs="宋体"/>
          <w:b/>
          <w:sz w:val="100"/>
          <w:szCs w:val="100"/>
          <w:lang w:val="en-US" w:eastAsia="zh-CN" w:bidi="ar-SA"/>
        </w:rPr>
      </w:r>
      <w:r/>
    </w:p>
    <w:p>
      <w:pPr>
        <w:pStyle w:val="1005"/>
        <w:jc w:val="center"/>
        <w:keepNext/>
        <w:spacing w:line="500" w:lineRule="exact"/>
        <w:widowControl w:val="off"/>
        <w:rPr>
          <w:rFonts w:hint="eastAsia" w:ascii="宋体" w:hAnsi="宋体"/>
          <w:b/>
          <w:sz w:val="36"/>
          <w:szCs w:val="36"/>
          <w:lang w:val="en-US" w:eastAsia="zh-CN" w:bidi="ar-SA"/>
        </w:rPr>
        <w:outlineLvl w:val="9"/>
      </w:pPr>
      <w:r>
        <w:rPr>
          <w:rFonts w:hint="eastAsia" w:ascii="宋体" w:hAnsi="宋体"/>
          <w:b/>
          <w:sz w:val="36"/>
          <w:szCs w:val="36"/>
          <w:lang w:val="en-US" w:eastAsia="zh-CN" w:bidi="ar-SA"/>
        </w:rPr>
        <w:t xml:space="preserve">（工程类）</w:t>
      </w:r>
      <w:r>
        <w:rPr>
          <w:rFonts w:hint="eastAsia" w:ascii="宋体" w:hAnsi="宋体"/>
          <w:b/>
          <w:sz w:val="36"/>
          <w:szCs w:val="36"/>
          <w:lang w:val="en-US" w:eastAsia="zh-CN" w:bidi="ar-SA"/>
        </w:rPr>
      </w:r>
      <w:r/>
    </w:p>
    <w:p>
      <w:pPr>
        <w:pStyle w:val="1005"/>
        <w:jc w:val="center"/>
        <w:keepNext/>
        <w:spacing w:line="500" w:lineRule="exact"/>
        <w:widowControl w:val="off"/>
        <w:rPr>
          <w:rFonts w:hint="eastAsia" w:ascii="宋体" w:hAnsi="宋体"/>
          <w:b/>
          <w:sz w:val="36"/>
          <w:szCs w:val="36"/>
          <w:lang w:val="en-US" w:eastAsia="zh-CN" w:bidi="ar-SA"/>
        </w:rPr>
        <w:outlineLvl w:val="9"/>
      </w:pPr>
      <w:r>
        <w:rPr>
          <w:rFonts w:hint="eastAsia" w:ascii="宋体" w:hAnsi="宋体"/>
          <w:b/>
          <w:sz w:val="36"/>
          <w:szCs w:val="36"/>
          <w:lang w:val="en-US" w:eastAsia="zh-CN" w:bidi="ar-SA"/>
        </w:rPr>
      </w:r>
      <w:r/>
    </w:p>
    <w:p>
      <w:pPr>
        <w:pStyle w:val="1005"/>
        <w:ind w:firstLine="723"/>
        <w:jc w:val="both"/>
        <w:keepNext/>
        <w:spacing w:line="500" w:lineRule="exact"/>
        <w:widowControl w:val="off"/>
        <w:rPr>
          <w:rFonts w:hint="eastAsia" w:ascii="宋体" w:hAnsi="宋体"/>
          <w:b/>
          <w:sz w:val="36"/>
          <w:szCs w:val="36"/>
          <w:lang w:val="en-US" w:eastAsia="zh-CN" w:bidi="ar-SA"/>
        </w:rPr>
        <w:outlineLvl w:val="9"/>
      </w:pPr>
      <w:r>
        <w:rPr>
          <w:rFonts w:hint="eastAsia" w:ascii="宋体" w:hAnsi="宋体"/>
          <w:b/>
          <w:sz w:val="36"/>
          <w:szCs w:val="36"/>
          <w:lang w:val="en-US" w:eastAsia="zh-CN" w:bidi="ar-SA"/>
        </w:rPr>
        <w:t xml:space="preserve">采购文件编号：JSZC-320612-JSGH-C2026-0008</w:t>
      </w:r>
      <w:r>
        <w:rPr>
          <w:rFonts w:hint="eastAsia" w:ascii="宋体" w:hAnsi="宋体"/>
          <w:b/>
          <w:sz w:val="36"/>
          <w:szCs w:val="36"/>
          <w:lang w:val="en-US" w:eastAsia="zh-CN" w:bidi="ar-SA"/>
        </w:rPr>
      </w:r>
      <w:r/>
    </w:p>
    <w:p>
      <w:pPr>
        <w:pStyle w:val="1005"/>
        <w:jc w:val="center"/>
        <w:spacing w:line="500" w:lineRule="exact"/>
        <w:widowControl w:val="off"/>
        <w:rPr>
          <w:rFonts w:hint="eastAsia" w:ascii="仿宋_GB2312" w:eastAsia="仿宋_GB2312"/>
          <w:b/>
          <w:sz w:val="36"/>
          <w:szCs w:val="24"/>
          <w:lang w:val="en-US" w:eastAsia="zh-CN" w:bidi="ar-SA"/>
        </w:rPr>
        <w:outlineLvl w:val="9"/>
      </w:pPr>
      <w:r>
        <w:rPr>
          <w:rFonts w:hint="eastAsia" w:ascii="仿宋_GB2312" w:eastAsia="仿宋_GB2312"/>
          <w:b/>
          <w:sz w:val="36"/>
          <w:szCs w:val="24"/>
          <w:lang w:val="en-US" w:eastAsia="zh-CN" w:bidi="ar-SA"/>
        </w:rPr>
      </w:r>
      <w:r/>
    </w:p>
    <w:p>
      <w:pPr>
        <w:pStyle w:val="1005"/>
        <w:jc w:val="both"/>
        <w:spacing w:line="500" w:lineRule="exact"/>
        <w:widowControl w:val="off"/>
        <w:rPr>
          <w:rFonts w:hint="eastAsia" w:ascii="仿宋_GB2312" w:eastAsia="仿宋_GB2312"/>
          <w:b/>
          <w:sz w:val="36"/>
          <w:szCs w:val="24"/>
          <w:lang w:val="en-US" w:eastAsia="zh-CN" w:bidi="ar-SA"/>
        </w:rPr>
        <w:outlineLvl w:val="9"/>
      </w:pPr>
      <w:r>
        <w:rPr>
          <w:rFonts w:hint="eastAsia" w:ascii="仿宋_GB2312" w:eastAsia="仿宋_GB2312"/>
          <w:b/>
          <w:sz w:val="36"/>
          <w:szCs w:val="24"/>
          <w:lang w:val="en-US" w:eastAsia="zh-CN" w:bidi="ar-SA"/>
        </w:rPr>
      </w:r>
      <w:r/>
    </w:p>
    <w:p>
      <w:pPr>
        <w:pStyle w:val="1005"/>
        <w:jc w:val="both"/>
        <w:spacing w:line="500" w:lineRule="exact"/>
        <w:widowControl w:val="off"/>
        <w:rPr>
          <w:rFonts w:hint="eastAsia" w:ascii="仿宋_GB2312" w:eastAsia="仿宋_GB2312"/>
          <w:sz w:val="21"/>
          <w:szCs w:val="24"/>
          <w:lang w:val="en-US" w:eastAsia="zh-CN" w:bidi="ar-SA"/>
        </w:rPr>
        <w:outlineLvl w:val="9"/>
      </w:pPr>
      <w:r>
        <w:rPr>
          <w:rFonts w:hint="eastAsia" w:ascii="仿宋_GB2312" w:eastAsia="仿宋_GB2312"/>
          <w:sz w:val="21"/>
          <w:szCs w:val="24"/>
          <w:lang w:val="en-US" w:eastAsia="zh-CN" w:bidi="ar-SA"/>
        </w:rPr>
      </w:r>
      <w:r/>
    </w:p>
    <w:p>
      <w:pPr>
        <w:pStyle w:val="1005"/>
        <w:jc w:val="center"/>
        <w:spacing w:line="500" w:lineRule="exact"/>
        <w:widowControl w:val="off"/>
        <w:rPr>
          <w:rFonts w:hint="eastAsia" w:ascii="仿宋_GB2312" w:eastAsia="仿宋_GB2312"/>
          <w:sz w:val="32"/>
          <w:szCs w:val="24"/>
          <w:lang w:val="en-US" w:eastAsia="zh-CN" w:bidi="ar-SA"/>
        </w:rPr>
        <w:outlineLvl w:val="9"/>
      </w:pPr>
      <w:r>
        <w:rPr>
          <w:rFonts w:hint="eastAsia" w:ascii="仿宋_GB2312" w:eastAsia="仿宋_GB2312"/>
          <w:sz w:val="32"/>
          <w:szCs w:val="24"/>
          <w:lang w:val="en-US" w:eastAsia="zh-CN" w:bidi="ar-SA"/>
        </w:rPr>
      </w:r>
      <w:r/>
    </w:p>
    <w:p>
      <w:pPr>
        <w:pStyle w:val="1005"/>
        <w:jc w:val="center"/>
        <w:spacing w:line="500" w:lineRule="exact"/>
        <w:widowControl w:val="off"/>
        <w:rPr>
          <w:rFonts w:hint="eastAsia" w:ascii="仿宋_GB2312" w:eastAsia="仿宋_GB2312"/>
          <w:sz w:val="32"/>
          <w:szCs w:val="24"/>
          <w:lang w:val="en-US" w:eastAsia="zh-CN" w:bidi="ar-SA"/>
        </w:rPr>
        <w:outlineLvl w:val="9"/>
      </w:pPr>
      <w:r>
        <w:rPr>
          <w:rFonts w:hint="eastAsia" w:ascii="仿宋_GB2312" w:eastAsia="仿宋_GB2312"/>
          <w:sz w:val="32"/>
          <w:szCs w:val="24"/>
          <w:lang w:val="en-US" w:eastAsia="zh-CN" w:bidi="ar-SA"/>
        </w:rPr>
      </w:r>
      <w:r/>
    </w:p>
    <w:p>
      <w:pPr>
        <w:pStyle w:val="1005"/>
        <w:jc w:val="center"/>
        <w:spacing w:line="500" w:lineRule="exact"/>
        <w:widowControl w:val="off"/>
        <w:rPr>
          <w:rFonts w:hint="eastAsia" w:ascii="仿宋_GB2312" w:eastAsia="仿宋_GB2312"/>
          <w:sz w:val="32"/>
          <w:szCs w:val="24"/>
          <w:lang w:val="en-US" w:eastAsia="zh-CN" w:bidi="ar-SA"/>
        </w:rPr>
        <w:outlineLvl w:val="9"/>
      </w:pPr>
      <w:r>
        <w:rPr>
          <w:rFonts w:hint="eastAsia" w:ascii="仿宋_GB2312" w:eastAsia="仿宋_GB2312"/>
          <w:sz w:val="32"/>
          <w:szCs w:val="24"/>
          <w:lang w:val="en-US" w:eastAsia="zh-CN" w:bidi="ar-SA"/>
        </w:rPr>
      </w:r>
      <w:r/>
    </w:p>
    <w:p>
      <w:pPr>
        <w:pStyle w:val="1005"/>
        <w:jc w:val="center"/>
        <w:spacing w:line="500" w:lineRule="exact"/>
        <w:widowControl w:val="off"/>
        <w:rPr>
          <w:rFonts w:hint="eastAsia" w:ascii="宋体" w:hAnsi="宋体"/>
          <w:b/>
          <w:spacing w:val="20"/>
          <w:sz w:val="44"/>
          <w:szCs w:val="24"/>
          <w:lang w:val="en-US" w:eastAsia="zh-CN" w:bidi="ar-SA"/>
        </w:rPr>
        <w:outlineLvl w:val="9"/>
      </w:pPr>
      <w:r>
        <w:rPr>
          <w:rFonts w:hint="eastAsia" w:ascii="宋体" w:hAnsi="宋体"/>
          <w:b/>
          <w:spacing w:val="20"/>
          <w:sz w:val="44"/>
          <w:szCs w:val="24"/>
          <w:lang w:val="en-US" w:eastAsia="zh-CN" w:bidi="ar-SA"/>
        </w:rPr>
      </w:r>
      <w:r/>
    </w:p>
    <w:p>
      <w:pPr>
        <w:pStyle w:val="1005"/>
        <w:jc w:val="center"/>
        <w:spacing w:line="500" w:lineRule="exact"/>
        <w:widowControl w:val="off"/>
        <w:rPr>
          <w:rFonts w:hint="eastAsia" w:ascii="宋体" w:hAnsi="宋体"/>
          <w:b/>
          <w:spacing w:val="20"/>
          <w:sz w:val="44"/>
          <w:szCs w:val="24"/>
          <w:lang w:val="en-US" w:eastAsia="zh-CN" w:bidi="ar-SA"/>
        </w:rPr>
        <w:outlineLvl w:val="9"/>
      </w:pPr>
      <w:r>
        <w:rPr>
          <w:rFonts w:hint="eastAsia" w:ascii="宋体" w:hAnsi="宋体"/>
          <w:b/>
          <w:spacing w:val="20"/>
          <w:sz w:val="44"/>
          <w:szCs w:val="24"/>
          <w:lang w:val="en-US" w:eastAsia="zh-CN" w:bidi="ar-SA"/>
        </w:rPr>
      </w:r>
      <w:r/>
    </w:p>
    <w:p>
      <w:pPr>
        <w:pStyle w:val="1005"/>
        <w:jc w:val="center"/>
        <w:spacing w:line="500" w:lineRule="exact"/>
        <w:widowControl w:val="off"/>
        <w:rPr>
          <w:rFonts w:hint="eastAsia" w:ascii="宋体" w:hAnsi="宋体"/>
          <w:b/>
          <w:spacing w:val="20"/>
          <w:sz w:val="44"/>
          <w:szCs w:val="24"/>
          <w:lang w:val="en-US" w:eastAsia="zh-CN" w:bidi="ar-SA"/>
        </w:rPr>
        <w:outlineLvl w:val="9"/>
      </w:pPr>
      <w:r>
        <w:rPr>
          <w:rFonts w:hint="eastAsia" w:ascii="宋体" w:hAnsi="宋体"/>
          <w:b/>
          <w:spacing w:val="20"/>
          <w:sz w:val="44"/>
          <w:szCs w:val="24"/>
          <w:lang w:val="en-US" w:eastAsia="zh-CN" w:bidi="ar-SA"/>
        </w:rPr>
      </w:r>
      <w:r/>
    </w:p>
    <w:p>
      <w:pPr>
        <w:pStyle w:val="1005"/>
        <w:jc w:val="center"/>
        <w:spacing w:line="500" w:lineRule="exact"/>
        <w:widowControl w:val="off"/>
        <w:rPr>
          <w:rFonts w:hint="eastAsia" w:ascii="宋体" w:hAnsi="宋体"/>
          <w:b/>
          <w:spacing w:val="20"/>
          <w:sz w:val="44"/>
          <w:szCs w:val="24"/>
          <w:lang w:val="en-US" w:eastAsia="zh-CN" w:bidi="ar-SA"/>
        </w:rPr>
        <w:outlineLvl w:val="9"/>
      </w:pPr>
      <w:r>
        <w:rPr>
          <w:rFonts w:hint="eastAsia" w:ascii="宋体" w:hAnsi="宋体"/>
          <w:b/>
          <w:spacing w:val="20"/>
          <w:sz w:val="44"/>
          <w:szCs w:val="24"/>
          <w:lang w:val="en-US" w:eastAsia="zh-CN" w:bidi="ar-SA"/>
        </w:rPr>
      </w:r>
      <w:r/>
    </w:p>
    <w:p>
      <w:pPr>
        <w:pStyle w:val="1005"/>
        <w:ind w:firstLine="803"/>
        <w:jc w:val="left"/>
        <w:spacing w:line="500" w:lineRule="exact"/>
        <w:widowControl w:val="off"/>
        <w:rPr>
          <w:rFonts w:ascii="宋体" w:hAnsi="宋体"/>
          <w:b/>
          <w:spacing w:val="20"/>
          <w:sz w:val="36"/>
          <w:szCs w:val="36"/>
          <w:u w:val="single"/>
          <w:lang w:val="en-US" w:eastAsia="zh-CN" w:bidi="ar-SA"/>
        </w:rPr>
        <w:outlineLvl w:val="9"/>
      </w:pPr>
      <w:r>
        <w:rPr>
          <w:rFonts w:hint="eastAsia" w:ascii="宋体" w:hAnsi="宋体"/>
          <w:b/>
          <w:spacing w:val="20"/>
          <w:sz w:val="36"/>
          <w:szCs w:val="36"/>
          <w:lang w:val="en-US" w:eastAsia="zh-CN" w:bidi="ar-SA"/>
        </w:rPr>
        <w:t xml:space="preserve">采购人：</w:t>
      </w:r>
      <w:r>
        <w:rPr>
          <w:rFonts w:hint="eastAsia" w:ascii="宋体" w:hAnsi="宋体"/>
          <w:b/>
          <w:spacing w:val="20"/>
          <w:sz w:val="36"/>
          <w:szCs w:val="36"/>
          <w:u w:val="single"/>
          <w:lang w:val="en-US" w:eastAsia="zh-CN" w:bidi="ar-SA"/>
        </w:rPr>
        <w:t xml:space="preserve">南通市通州区十总镇人民政府</w:t>
      </w:r>
      <w:r>
        <w:rPr>
          <w:rFonts w:ascii="宋体" w:hAnsi="宋体"/>
          <w:b/>
          <w:spacing w:val="20"/>
          <w:sz w:val="36"/>
          <w:szCs w:val="36"/>
          <w:u w:val="single"/>
          <w:lang w:val="en-US" w:eastAsia="zh-CN" w:bidi="ar-SA"/>
        </w:rPr>
      </w:r>
      <w:r/>
    </w:p>
    <w:p>
      <w:pPr>
        <w:pStyle w:val="1005"/>
        <w:ind w:firstLine="803"/>
        <w:jc w:val="left"/>
        <w:spacing w:line="500" w:lineRule="exact"/>
        <w:widowControl w:val="off"/>
        <w:rPr>
          <w:rFonts w:ascii="宋体" w:hAnsi="宋体"/>
          <w:b/>
          <w:spacing w:val="20"/>
          <w:sz w:val="36"/>
          <w:szCs w:val="36"/>
          <w:u w:val="single"/>
          <w:lang w:val="en-US" w:eastAsia="zh-CN" w:bidi="ar-SA"/>
        </w:rPr>
        <w:outlineLvl w:val="9"/>
      </w:pPr>
      <w:r>
        <w:rPr>
          <w:rFonts w:hint="eastAsia" w:ascii="宋体" w:hAnsi="宋体"/>
          <w:b/>
          <w:spacing w:val="20"/>
          <w:sz w:val="36"/>
          <w:szCs w:val="36"/>
          <w:lang w:val="en-US" w:eastAsia="zh-CN" w:bidi="ar-SA"/>
        </w:rPr>
        <w:t xml:space="preserve">采购代理机构：</w:t>
      </w:r>
      <w:r>
        <w:rPr>
          <w:rFonts w:hint="eastAsia" w:ascii="宋体" w:hAnsi="宋体"/>
          <w:b/>
          <w:spacing w:val="20"/>
          <w:sz w:val="36"/>
          <w:szCs w:val="36"/>
          <w:u w:val="single"/>
          <w:lang w:val="en-US" w:eastAsia="zh-CN" w:bidi="ar-SA"/>
        </w:rPr>
        <w:t xml:space="preserve">江苏广和工程咨询有限公司</w:t>
      </w:r>
      <w:r>
        <w:rPr>
          <w:rFonts w:ascii="宋体" w:hAnsi="宋体"/>
          <w:b/>
          <w:spacing w:val="20"/>
          <w:sz w:val="36"/>
          <w:szCs w:val="36"/>
          <w:u w:val="single"/>
          <w:lang w:val="en-US" w:eastAsia="zh-CN" w:bidi="ar-SA"/>
        </w:rPr>
      </w:r>
      <w:r/>
    </w:p>
    <w:p>
      <w:pPr>
        <w:pStyle w:val="1005"/>
        <w:jc w:val="both"/>
        <w:spacing w:line="500" w:lineRule="exact"/>
        <w:widowControl w:val="off"/>
        <w:rPr>
          <w:rFonts w:hint="eastAsia" w:ascii="宋体" w:hAnsi="宋体"/>
          <w:b/>
          <w:spacing w:val="20"/>
          <w:sz w:val="44"/>
          <w:szCs w:val="24"/>
          <w:lang w:val="en-US" w:eastAsia="zh-CN" w:bidi="ar-SA"/>
        </w:rPr>
        <w:outlineLvl w:val="9"/>
      </w:pPr>
      <w:r>
        <w:rPr>
          <w:rFonts w:hint="eastAsia" w:ascii="宋体" w:hAnsi="宋体"/>
          <w:b/>
          <w:spacing w:val="20"/>
          <w:sz w:val="44"/>
          <w:szCs w:val="24"/>
          <w:lang w:val="en-US" w:eastAsia="zh-CN" w:bidi="ar-SA"/>
        </w:rPr>
      </w:r>
      <w:r/>
    </w:p>
    <w:p>
      <w:pPr>
        <w:pStyle w:val="1005"/>
        <w:ind w:left="-2" w:right="120"/>
        <w:jc w:val="center"/>
        <w:spacing w:before="120" w:after="120" w:line="500" w:lineRule="exact"/>
        <w:widowControl w:val="off"/>
        <w:rPr>
          <w:rFonts w:hint="eastAsia" w:ascii="Arial" w:hAnsi="Arial"/>
          <w:b/>
          <w:bCs/>
          <w:sz w:val="32"/>
          <w:szCs w:val="24"/>
          <w:lang w:val="en-US" w:eastAsia="zh-CN" w:bidi="ar-SA"/>
        </w:rPr>
        <w:outlineLvl w:val="9"/>
      </w:pPr>
      <w:r>
        <w:rPr>
          <w:rFonts w:hint="eastAsia" w:ascii="Arial" w:hAnsi="Arial"/>
          <w:b/>
          <w:bCs/>
          <w:sz w:val="32"/>
          <w:szCs w:val="24"/>
          <w:lang w:val="en-US" w:eastAsia="zh-CN" w:bidi="ar-SA"/>
        </w:rPr>
        <w:t xml:space="preserve">2026年2月28日</w:t>
      </w:r>
      <w:r>
        <w:rPr>
          <w:rFonts w:hint="eastAsia" w:ascii="Arial" w:hAnsi="Arial"/>
          <w:b/>
          <w:bCs/>
          <w:sz w:val="32"/>
          <w:szCs w:val="24"/>
          <w:lang w:val="en-US" w:eastAsia="zh-CN" w:bidi="ar-SA"/>
        </w:rPr>
      </w:r>
      <w:r/>
    </w:p>
    <w:p>
      <w:pPr>
        <w:pStyle w:val="1005"/>
        <w:ind w:left="-158"/>
        <w:jc w:val="both"/>
        <w:spacing w:line="500" w:lineRule="exact"/>
        <w:widowControl w:val="off"/>
        <w:rPr>
          <w:rFonts w:hint="eastAsia" w:ascii="宋体" w:hAnsi="宋体"/>
          <w:b/>
          <w:sz w:val="26"/>
          <w:szCs w:val="28"/>
          <w:u w:val="single"/>
          <w:lang w:val="en-US" w:eastAsia="zh-CN" w:bidi="ar-SA"/>
        </w:rPr>
        <w:outlineLvl w:val="9"/>
      </w:pPr>
      <w:r>
        <w:rPr>
          <w:rFonts w:hint="eastAsia" w:ascii="宋体" w:hAnsi="宋体"/>
          <w:b/>
          <w:sz w:val="26"/>
          <w:szCs w:val="28"/>
          <w:u w:val="single"/>
          <w:lang w:val="en-US" w:eastAsia="zh-CN" w:bidi="ar-SA"/>
        </w:rPr>
        <w:t xml:space="preserve">                                                                    </w:t>
      </w:r>
      <w:r>
        <w:rPr>
          <w:rFonts w:hint="eastAsia" w:ascii="宋体" w:hAnsi="宋体"/>
          <w:b/>
          <w:sz w:val="26"/>
          <w:szCs w:val="28"/>
          <w:u w:val="single"/>
          <w:lang w:val="en-US" w:eastAsia="zh-CN" w:bidi="ar-SA"/>
        </w:rPr>
      </w:r>
      <w:r/>
    </w:p>
    <w:p>
      <w:pPr>
        <w:pStyle w:val="1005"/>
        <w:ind w:left="-158"/>
        <w:jc w:val="both"/>
        <w:spacing w:line="500" w:lineRule="exact"/>
        <w:widowControl w:val="off"/>
        <w:rPr>
          <w:rFonts w:eastAsia="方正仿宋_GBK"/>
          <w:sz w:val="32"/>
          <w:szCs w:val="32"/>
          <w:lang w:val="en-US" w:eastAsia="zh-CN" w:bidi="ar-SA"/>
        </w:rPr>
        <w:outlineLvl w:val="9"/>
      </w:pPr>
      <w:r>
        <w:rPr>
          <w:rFonts w:eastAsia="方正仿宋_GBK"/>
          <w:b/>
          <w:sz w:val="32"/>
          <w:szCs w:val="32"/>
          <w:lang w:val="en-US" w:eastAsia="zh-CN" w:bidi="ar-SA"/>
        </w:rPr>
        <w:t xml:space="preserve">地址</w:t>
      </w:r>
      <w:r>
        <w:rPr>
          <w:rFonts w:hint="eastAsia" w:eastAsia="方正仿宋_GBK"/>
          <w:b/>
          <w:sz w:val="32"/>
          <w:szCs w:val="32"/>
          <w:lang w:val="en-US" w:eastAsia="zh-CN" w:bidi="ar-SA"/>
        </w:rPr>
        <w:t xml:space="preserve">：</w:t>
      </w:r>
      <w:r>
        <w:rPr>
          <w:rFonts w:eastAsia="方正仿宋_GBK"/>
          <w:sz w:val="32"/>
          <w:szCs w:val="32"/>
          <w:lang w:val="en-US" w:eastAsia="zh-CN" w:bidi="ar-SA"/>
        </w:rPr>
        <w:t xml:space="preserve"> </w:t>
      </w:r>
      <w:r>
        <w:rPr>
          <w:rFonts w:hint="eastAsia" w:eastAsia="方正仿宋_GBK"/>
          <w:sz w:val="32"/>
          <w:szCs w:val="32"/>
          <w:lang w:val="en-US" w:eastAsia="zh-CN" w:bidi="ar-SA"/>
        </w:rPr>
        <w:t xml:space="preserve">                  </w:t>
      </w:r>
      <w:r>
        <w:rPr>
          <w:rFonts w:eastAsia="方正仿宋_GBK"/>
          <w:sz w:val="32"/>
          <w:szCs w:val="32"/>
          <w:lang w:val="en-US" w:eastAsia="zh-CN" w:bidi="ar-SA"/>
        </w:rPr>
        <w:t xml:space="preserve">           </w:t>
      </w:r>
      <w:r>
        <w:rPr>
          <w:rFonts w:eastAsia="方正仿宋_GBK"/>
          <w:b/>
          <w:sz w:val="32"/>
          <w:szCs w:val="32"/>
          <w:lang w:val="en-US" w:eastAsia="zh-CN" w:bidi="ar-SA"/>
        </w:rPr>
        <w:t xml:space="preserve">邮政编码：</w:t>
      </w:r>
      <w:r>
        <w:rPr>
          <w:rFonts w:hint="eastAsia" w:eastAsia="方正仿宋_GBK"/>
          <w:b/>
          <w:sz w:val="32"/>
          <w:szCs w:val="32"/>
          <w:lang w:val="en-US" w:eastAsia="zh-CN" w:bidi="ar-SA"/>
        </w:rPr>
        <w:t xml:space="preserve"> 226300</w:t>
      </w:r>
      <w:r>
        <w:rPr>
          <w:rFonts w:eastAsia="方正仿宋_GBK"/>
          <w:sz w:val="32"/>
          <w:szCs w:val="32"/>
          <w:lang w:val="en-US" w:eastAsia="zh-CN" w:bidi="ar-SA"/>
        </w:rPr>
        <w:t xml:space="preserve">        </w:t>
      </w:r>
      <w:r>
        <w:rPr>
          <w:rFonts w:eastAsia="方正仿宋_GBK"/>
          <w:sz w:val="32"/>
          <w:szCs w:val="32"/>
          <w:lang w:val="en-US" w:eastAsia="zh-CN" w:bidi="ar-SA"/>
        </w:rPr>
      </w:r>
      <w:r/>
    </w:p>
    <w:p>
      <w:pPr>
        <w:pStyle w:val="1005"/>
        <w:ind w:left="-158" w:right="-601"/>
        <w:jc w:val="both"/>
        <w:spacing w:line="500" w:lineRule="exact"/>
        <w:widowControl w:val="off"/>
        <w:rPr>
          <w:rFonts w:hint="eastAsia" w:ascii="方正仿宋_GBK" w:hAnsi="方正仿宋_GBK" w:eastAsia="方正仿宋_GBK" w:cs="方正仿宋_GBK"/>
          <w:b/>
          <w:bCs/>
          <w:color w:val="000000"/>
          <w:sz w:val="32"/>
          <w:szCs w:val="32"/>
          <w:lang w:val="en-US" w:eastAsia="zh-CN" w:bidi="ar-SA"/>
        </w:rPr>
        <w:outlineLvl w:val="9"/>
      </w:pPr>
      <w:r>
        <w:rPr>
          <w:rFonts w:hint="eastAsia" w:ascii="方正仿宋_GBK" w:hAnsi="方正仿宋_GBK" w:eastAsia="方正仿宋_GBK" w:cs="方正仿宋_GBK"/>
          <w:b/>
          <w:bCs/>
          <w:color w:val="000000"/>
          <w:sz w:val="32"/>
          <w:szCs w:val="32"/>
          <w:lang w:val="en-US" w:eastAsia="zh-CN" w:bidi="ar-SA"/>
        </w:rPr>
        <w:fldChar w:fldCharType="begin"/>
      </w:r>
      <w:r>
        <w:rPr>
          <w:rFonts w:hint="eastAsia" w:ascii="方正仿宋_GBK" w:hAnsi="方正仿宋_GBK" w:eastAsia="方正仿宋_GBK" w:cs="方正仿宋_GBK"/>
          <w:b/>
          <w:bCs/>
          <w:color w:val="000000"/>
          <w:sz w:val="32"/>
          <w:szCs w:val="32"/>
          <w:lang w:val="en-US" w:eastAsia="zh-CN" w:bidi="ar-SA"/>
        </w:rPr>
        <w:instrText xml:space="preserve"> HYPERLINK "http://www.ccgp-jiangsu.gov.cn/" </w:instrText>
      </w:r>
      <w:r>
        <w:rPr>
          <w:rFonts w:hint="eastAsia" w:ascii="方正仿宋_GBK" w:hAnsi="方正仿宋_GBK" w:eastAsia="方正仿宋_GBK" w:cs="方正仿宋_GBK"/>
          <w:b/>
          <w:bCs/>
          <w:color w:val="000000"/>
          <w:sz w:val="32"/>
          <w:szCs w:val="32"/>
          <w:lang w:val="en-US" w:eastAsia="zh-CN" w:bidi="ar-SA"/>
        </w:rPr>
        <w:fldChar w:fldCharType="separate"/>
      </w:r>
      <w:r>
        <w:rPr>
          <w:rFonts w:hint="eastAsia" w:ascii="方正仿宋_GBK" w:hAnsi="方正仿宋_GBK" w:eastAsia="方正仿宋_GBK" w:cs="方正仿宋_GBK"/>
          <w:b/>
          <w:bCs/>
          <w:color w:val="000000"/>
          <w:sz w:val="32"/>
          <w:szCs w:val="32"/>
          <w:u w:val="none"/>
          <w:lang w:val="en-US" w:eastAsia="zh-CN" w:bidi="ar-SA"/>
        </w:rPr>
        <w:t xml:space="preserve">江苏政府采购网 (ccgp-jiangsu.gov.cn)</w:t>
      </w:r>
      <w:r>
        <w:rPr>
          <w:rFonts w:hint="eastAsia" w:ascii="方正仿宋_GBK" w:hAnsi="方正仿宋_GBK" w:eastAsia="方正仿宋_GBK" w:cs="方正仿宋_GBK"/>
          <w:b/>
          <w:bCs/>
          <w:color w:val="000000"/>
          <w:sz w:val="32"/>
          <w:szCs w:val="32"/>
          <w:lang w:val="en-US" w:eastAsia="zh-CN" w:bidi="ar-SA"/>
        </w:rPr>
        <w:fldChar w:fldCharType="end"/>
      </w:r>
      <w:r>
        <w:rPr>
          <w:rFonts w:hint="eastAsia" w:ascii="方正仿宋_GBK" w:hAnsi="方正仿宋_GBK" w:eastAsia="方正仿宋_GBK" w:cs="方正仿宋_GBK"/>
          <w:b/>
          <w:bCs/>
          <w:color w:val="000000"/>
          <w:sz w:val="32"/>
          <w:szCs w:val="32"/>
          <w:lang w:val="en-US" w:eastAsia="zh-CN" w:bidi="ar-SA"/>
        </w:rPr>
      </w:r>
      <w:r/>
    </w:p>
    <w:p>
      <w:pPr>
        <w:pStyle w:val="1092"/>
      </w:pPr>
      <w:r>
        <w:t xml:space="preserve">总  目  录</w:t>
      </w:r>
      <w:r/>
    </w:p>
    <w:p>
      <w:pPr>
        <w:pStyle w:val="1005"/>
        <w:numPr>
          <w:ilvl w:val="0"/>
          <w:numId w:val="1"/>
        </w:numPr>
        <w:spacing w:line="480" w:lineRule="auto"/>
        <w:tabs>
          <w:tab w:val="left" w:pos="1440" w:leader="none"/>
        </w:tabs>
        <w:rPr>
          <w:rFonts w:hint="eastAsia" w:ascii="黑体" w:hAnsi="Showcard Gothic" w:eastAsia="黑体"/>
          <w:sz w:val="32"/>
          <w:szCs w:val="21"/>
        </w:rPr>
        <w:outlineLvl w:val="9"/>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1005"/>
        <w:numPr>
          <w:ilvl w:val="0"/>
          <w:numId w:val="1"/>
        </w:numPr>
        <w:spacing w:line="480" w:lineRule="auto"/>
        <w:tabs>
          <w:tab w:val="left" w:pos="1440" w:leader="none"/>
        </w:tabs>
        <w:rPr>
          <w:rFonts w:hint="eastAsia" w:ascii="黑体" w:hAnsi="Showcard Gothic" w:eastAsia="黑体"/>
          <w:sz w:val="36"/>
          <w:szCs w:val="21"/>
        </w:rPr>
        <w:outlineLvl w:val="9"/>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1005"/>
        <w:numPr>
          <w:ilvl w:val="0"/>
          <w:numId w:val="1"/>
        </w:numPr>
        <w:spacing w:line="480" w:lineRule="auto"/>
        <w:tabs>
          <w:tab w:val="left" w:pos="1440" w:leader="none"/>
        </w:tabs>
        <w:rPr>
          <w:rFonts w:hint="eastAsia" w:ascii="黑体" w:hAnsi="Showcard Gothic" w:eastAsia="黑体"/>
          <w:sz w:val="36"/>
          <w:szCs w:val="21"/>
        </w:rPr>
        <w:outlineLvl w:val="9"/>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1005"/>
        <w:numPr>
          <w:ilvl w:val="0"/>
          <w:numId w:val="1"/>
        </w:numPr>
        <w:spacing w:line="480" w:lineRule="auto"/>
        <w:tabs>
          <w:tab w:val="left" w:pos="1440" w:leader="none"/>
        </w:tabs>
        <w:rPr>
          <w:rFonts w:hint="eastAsia" w:ascii="黑体" w:hAnsi="Showcard Gothic" w:eastAsia="黑体"/>
          <w:sz w:val="36"/>
          <w:szCs w:val="21"/>
        </w:rPr>
        <w:outlineLvl w:val="9"/>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1005"/>
        <w:numPr>
          <w:ilvl w:val="0"/>
          <w:numId w:val="1"/>
        </w:numPr>
        <w:spacing w:line="480" w:lineRule="auto"/>
        <w:tabs>
          <w:tab w:val="left" w:pos="1440" w:leader="none"/>
        </w:tabs>
        <w:rPr>
          <w:rFonts w:hint="eastAsia" w:ascii="黑体" w:hAnsi="Showcard Gothic" w:eastAsia="黑体"/>
          <w:sz w:val="36"/>
          <w:szCs w:val="21"/>
        </w:rPr>
        <w:outlineLvl w:val="9"/>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1005"/>
        <w:numPr>
          <w:ilvl w:val="0"/>
          <w:numId w:val="1"/>
        </w:numPr>
        <w:spacing w:line="480" w:lineRule="auto"/>
        <w:tabs>
          <w:tab w:val="left" w:pos="1440" w:leader="none"/>
        </w:tabs>
        <w:rPr>
          <w:rFonts w:hint="eastAsia" w:ascii="黑体" w:hAnsi="Showcard Gothic" w:eastAsia="黑体"/>
          <w:sz w:val="36"/>
          <w:szCs w:val="21"/>
        </w:rPr>
        <w:outlineLvl w:val="9"/>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1005"/>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1005"/>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1005"/>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1005"/>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1005"/>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1005"/>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1005"/>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1005"/>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1005"/>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1005"/>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1005"/>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1093"/>
        <w:numPr>
          <w:ilvl w:val="0"/>
          <w:numId w:val="2"/>
        </w:numPr>
        <w:ind w:left="0" w:firstLine="640"/>
        <w:tabs>
          <w:tab w:val="left" w:pos="880" w:leader="none"/>
        </w:tabs>
        <w:rPr>
          <w:b w:val="0"/>
        </w:rPr>
        <w:outlineLvl w:val="0"/>
      </w:pPr>
      <w:r>
        <w:br w:type="page" w:clear="all"/>
      </w:r>
      <w:r>
        <w:t xml:space="preserve">磋商邀请</w:t>
      </w:r>
      <w:r>
        <w:rPr>
          <w:b w:val="0"/>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受[南通市通州区十总镇人民政府]的委托，</w:t>
      </w:r>
      <w:r>
        <w:rPr>
          <w:rFonts w:ascii="Times New Roman" w:hAnsi="Times New Roman" w:eastAsia="宋体" w:cs="Times New Roman"/>
          <w:sz w:val="24"/>
          <w:u w:val="single"/>
        </w:rPr>
        <w:t xml:space="preserve">江苏广和工程咨询有限公司</w:t>
      </w:r>
      <w:r>
        <w:rPr>
          <w:rFonts w:ascii="Times New Roman" w:hAnsi="Times New Roman" w:eastAsia="宋体" w:cs="Times New Roman"/>
          <w:sz w:val="24"/>
        </w:rPr>
        <w:t xml:space="preserve">就[</w:t>
      </w:r>
      <w:r>
        <w:rPr>
          <w:rFonts w:ascii="Times New Roman" w:hAnsi="Times New Roman" w:eastAsia="宋体" w:cs="Times New Roman"/>
          <w:sz w:val="24"/>
          <w:u w:val="single"/>
        </w:rPr>
        <w:t xml:space="preserve">南通市通州区十总镇2026年一事一议财政奖补项目—道路防渗渠工程 </w:t>
      </w:r>
      <w:r>
        <w:rPr>
          <w:rFonts w:ascii="Times New Roman" w:hAnsi="Times New Roman" w:eastAsia="宋体" w:cs="Times New Roman"/>
          <w:sz w:val="24"/>
        </w:rPr>
        <w:t xml:space="preserve">]（项目编号</w:t>
      </w:r>
      <w:r>
        <w:rPr>
          <w:rFonts w:hint="eastAsia" w:cs="Times New Roman"/>
          <w:sz w:val="24"/>
          <w:lang w:eastAsia="zh-CN"/>
        </w:rPr>
        <w:t xml:space="preserve">：</w:t>
      </w:r>
      <w:r>
        <w:rPr>
          <w:rFonts w:ascii="Times New Roman" w:hAnsi="Times New Roman" w:eastAsia="宋体" w:cs="Times New Roman"/>
          <w:sz w:val="24"/>
          <w:u w:val="single"/>
        </w:rPr>
        <w:t xml:space="preserve">JSZC-320612-JSGH-C2026-0008</w:t>
      </w:r>
      <w:r>
        <w:rPr>
          <w:rFonts w:ascii="Times New Roman" w:hAnsi="Times New Roman" w:eastAsia="宋体" w:cs="Times New Roman"/>
          <w:sz w:val="24"/>
          <w:u w:val="single"/>
        </w:rPr>
        <w:t xml:space="preserve">）</w:t>
      </w:r>
      <w:r>
        <w:rPr>
          <w:rFonts w:ascii="Times New Roman" w:hAnsi="Times New Roman" w:eastAsia="宋体" w:cs="Times New Roman"/>
          <w:sz w:val="24"/>
        </w:rPr>
        <w:t xml:space="preserve">进行竞争性磋商采购，欢迎符合条件的供应商参加磋商。</w:t>
      </w:r>
      <w:r>
        <w:rPr>
          <w:rFonts w:ascii="Times New Roman" w:hAnsi="Times New Roman" w:eastAsia="宋体" w:cs="Times New Roman"/>
          <w:sz w:val="24"/>
        </w:rPr>
      </w:r>
      <w:r/>
    </w:p>
    <w:p>
      <w:pPr>
        <w:pStyle w:val="1096"/>
        <w:ind w:left="0" w:firstLine="482"/>
        <w:jc w:val="both"/>
        <w:shd w:val="clear" w:color="auto" w:fill="ffffff"/>
        <w:widowControl/>
        <w:outlineLvl w:val="0"/>
      </w:pPr>
      <w:r>
        <w:t xml:space="preserve">项目概况</w:t>
      </w:r>
      <w:r/>
    </w:p>
    <w:p>
      <w:pPr>
        <w:pStyle w:val="1026"/>
        <w:ind w:left="0" w:firstLine="480"/>
        <w:rPr>
          <w:rFonts w:ascii="Times New Roman" w:hAnsi="Times New Roman" w:eastAsia="宋体" w:cs="Times New Roman"/>
          <w:sz w:val="24"/>
        </w:rPr>
        <w:pBdr>
          <w:top w:val="single" w:color="000000" w:sz="4" w:space="1"/>
          <w:left w:val="single" w:color="000000" w:sz="4" w:space="1"/>
          <w:bottom w:val="single" w:color="000000" w:sz="4" w:space="1"/>
          <w:right w:val="single" w:color="000000" w:sz="4" w:space="4"/>
        </w:pBdr>
      </w:pPr>
      <w:r>
        <w:rPr>
          <w:rFonts w:ascii="Times New Roman" w:hAnsi="Times New Roman" w:eastAsia="宋体" w:cs="Times New Roman"/>
          <w:sz w:val="24"/>
        </w:rPr>
        <w:t xml:space="preserve">采购项目的潜在供应商应在</w:t>
      </w:r>
      <w:r>
        <w:rPr>
          <w:rFonts w:ascii="Times New Roman" w:hAnsi="Times New Roman" w:eastAsia="宋体" w:cs="Times New Roman"/>
          <w:sz w:val="24"/>
          <w:u w:val="single"/>
        </w:rPr>
        <w:t xml:space="preserve">“江苏政府采购网” </w:t>
      </w:r>
      <w:r>
        <w:rPr>
          <w:rFonts w:ascii="Times New Roman" w:hAnsi="Times New Roman" w:eastAsia="宋体" w:cs="Times New Roman"/>
          <w:sz w:val="24"/>
        </w:rPr>
        <w:t xml:space="preserve">获取采购文件，并于 2026 年</w:t>
      </w:r>
      <w:r>
        <w:rPr>
          <w:rFonts w:hint="eastAsia" w:cs="Times New Roman"/>
          <w:sz w:val="24"/>
          <w:lang w:val="en-US" w:eastAsia="zh-CN"/>
        </w:rPr>
        <w:t xml:space="preserve">3</w:t>
      </w:r>
      <w:r>
        <w:rPr>
          <w:rFonts w:ascii="Times New Roman" w:hAnsi="Times New Roman" w:eastAsia="宋体" w:cs="Times New Roman"/>
          <w:sz w:val="24"/>
        </w:rPr>
        <w:t xml:space="preserve">月</w:t>
      </w:r>
      <w:r>
        <w:rPr>
          <w:rFonts w:hint="eastAsia" w:cs="Times New Roman"/>
          <w:sz w:val="24"/>
          <w:lang w:val="en-US" w:eastAsia="zh-CN"/>
        </w:rPr>
        <w:t xml:space="preserve">19</w:t>
      </w:r>
      <w:r>
        <w:rPr>
          <w:rFonts w:ascii="Times New Roman" w:hAnsi="Times New Roman" w:eastAsia="宋体" w:cs="Times New Roman"/>
          <w:sz w:val="24"/>
        </w:rPr>
        <w:t xml:space="preserve">日</w:t>
      </w:r>
      <w:r>
        <w:rPr>
          <w:rFonts w:hint="eastAsia" w:cs="Times New Roman"/>
          <w:sz w:val="24"/>
          <w:lang w:val="en-US" w:eastAsia="zh-CN"/>
        </w:rPr>
        <w:t xml:space="preserve">9</w:t>
      </w:r>
      <w:r>
        <w:rPr>
          <w:rFonts w:ascii="Times New Roman" w:hAnsi="Times New Roman" w:eastAsia="宋体" w:cs="Times New Roman"/>
          <w:sz w:val="24"/>
        </w:rPr>
        <w:t xml:space="preserve">点</w:t>
      </w:r>
      <w:r>
        <w:rPr>
          <w:rFonts w:hint="eastAsia" w:cs="Times New Roman"/>
          <w:sz w:val="24"/>
          <w:lang w:val="en-US" w:eastAsia="zh-CN"/>
        </w:rPr>
        <w:t xml:space="preserve">00</w:t>
      </w:r>
      <w:r>
        <w:rPr>
          <w:rFonts w:ascii="Times New Roman" w:hAnsi="Times New Roman" w:eastAsia="宋体" w:cs="Times New Roman"/>
          <w:sz w:val="24"/>
        </w:rPr>
        <w:t xml:space="preserve">分（北京时间）前提交响应文件。</w:t>
      </w:r>
      <w:r>
        <w:rPr>
          <w:rFonts w:ascii="Times New Roman" w:hAnsi="Times New Roman" w:eastAsia="宋体" w:cs="Times New Roman"/>
          <w:sz w:val="24"/>
        </w:rPr>
      </w:r>
      <w:r/>
    </w:p>
    <w:p>
      <w:pPr>
        <w:pStyle w:val="1006"/>
        <w:numPr>
          <w:ilvl w:val="0"/>
          <w:numId w:val="3"/>
        </w:numPr>
        <w:ind w:left="0" w:firstLine="482"/>
        <w:shd w:val="clear" w:color="auto" w:fill="ffffff"/>
        <w:widowControl/>
        <w:tabs>
          <w:tab w:val="left" w:pos="963" w:leader="none"/>
        </w:tabs>
        <w:rPr>
          <w:b/>
        </w:rPr>
      </w:pPr>
      <w:r>
        <w:t xml:space="preserve">项目基本情况</w:t>
      </w:r>
      <w:r>
        <w:rPr>
          <w:b/>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项目编号：JSZC-320612-JSGH-C2026-0008</w:t>
      </w:r>
      <w:r>
        <w:rPr>
          <w:rFonts w:ascii="Times New Roman" w:hAnsi="Times New Roman" w:eastAsia="宋体" w:cs="Times New Roman"/>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项目名称：南通市通州区十总镇2026年一事一议财政奖补项目—道路防渗渠工程</w:t>
      </w:r>
      <w:r>
        <w:rPr>
          <w:rFonts w:ascii="Times New Roman" w:hAnsi="Times New Roman" w:eastAsia="宋体" w:cs="Times New Roman"/>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项目类型：工程</w:t>
      </w:r>
      <w:r>
        <w:rPr>
          <w:rFonts w:ascii="Times New Roman" w:hAnsi="Times New Roman" w:eastAsia="宋体" w:cs="Times New Roman"/>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所属行业：建筑业 </w:t>
      </w:r>
      <w:r>
        <w:rPr>
          <w:rFonts w:ascii="Times New Roman" w:hAnsi="Times New Roman" w:eastAsia="宋体" w:cs="Times New Roman"/>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预算金额：180.5</w:t>
      </w:r>
      <w:r>
        <w:rPr>
          <w:rFonts w:hint="eastAsia" w:cs="Times New Roman"/>
          <w:sz w:val="24"/>
          <w:lang w:val="en-US" w:eastAsia="zh-CN"/>
        </w:rPr>
        <w:t xml:space="preserve">4</w:t>
      </w:r>
      <w:r>
        <w:rPr>
          <w:rFonts w:ascii="Times New Roman" w:hAnsi="Times New Roman" w:eastAsia="宋体" w:cs="Times New Roman"/>
          <w:sz w:val="24"/>
        </w:rPr>
        <w:t xml:space="preserve">万元</w:t>
      </w:r>
      <w:r>
        <w:rPr>
          <w:rFonts w:ascii="Times New Roman" w:hAnsi="Times New Roman" w:eastAsia="宋体" w:cs="Times New Roman"/>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最高限价：166万元</w:t>
      </w:r>
      <w:r>
        <w:rPr>
          <w:rFonts w:ascii="Times New Roman" w:hAnsi="Times New Roman" w:eastAsia="宋体" w:cs="Times New Roman"/>
          <w:sz w:val="24"/>
        </w:rPr>
      </w:r>
      <w:r/>
    </w:p>
    <w:p>
      <w:pPr>
        <w:pStyle w:val="1026"/>
        <w:ind w:left="0" w:firstLine="480"/>
        <w:rPr>
          <w:rFonts w:ascii="Times New Roman" w:hAnsi="Times New Roman" w:eastAsia="宋体" w:cs="Times New Roman"/>
          <w:sz w:val="24"/>
          <w:u w:val="single"/>
        </w:rPr>
      </w:pPr>
      <w:r>
        <w:rPr>
          <w:rFonts w:ascii="Times New Roman" w:hAnsi="Times New Roman" w:eastAsia="宋体" w:cs="Times New Roman"/>
          <w:sz w:val="24"/>
        </w:rPr>
        <w:t xml:space="preserve">采购需求：</w:t>
      </w:r>
      <w:r>
        <w:rPr>
          <w:rFonts w:hint="eastAsia" w:ascii="Times New Roman" w:hAnsi="Times New Roman" w:eastAsia="宋体" w:cs="Times New Roman"/>
          <w:sz w:val="24"/>
          <w:u w:val="single"/>
        </w:rPr>
        <w:t xml:space="preserve">新道路835米、防渗渠6277米，项目涉及志新村、二爻居、双墩村、十总居、沧南居、五总居、骑北村、新雁村、东场村</w:t>
      </w:r>
      <w:r>
        <w:rPr>
          <w:rFonts w:hint="eastAsia" w:cs="Times New Roman"/>
          <w:sz w:val="24"/>
          <w:u w:val="single"/>
          <w:lang w:eastAsia="zh-CN"/>
        </w:rPr>
        <w:t xml:space="preserve">。</w:t>
      </w:r>
      <w:r>
        <w:rPr>
          <w:rFonts w:ascii="Times New Roman" w:hAnsi="Times New Roman" w:eastAsia="宋体" w:cs="Times New Roman"/>
          <w:sz w:val="24"/>
          <w:u w:val="single"/>
        </w:rPr>
        <w:t xml:space="preserve">详见磋商文件第四章采购需求，请仔细研究。</w:t>
      </w:r>
      <w:r>
        <w:rPr>
          <w:rFonts w:ascii="Times New Roman" w:hAnsi="Times New Roman" w:eastAsia="宋体" w:cs="Times New Roman"/>
          <w:sz w:val="24"/>
          <w:u w:val="single"/>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合同履行期限：75日历天。</w:t>
      </w:r>
      <w:r>
        <w:rPr>
          <w:rFonts w:ascii="Times New Roman" w:hAnsi="Times New Roman" w:eastAsia="宋体" w:cs="Times New Roman"/>
          <w:sz w:val="24"/>
        </w:rPr>
      </w:r>
      <w:r/>
    </w:p>
    <w:p>
      <w:pPr>
        <w:pStyle w:val="1026"/>
        <w:ind w:left="0" w:firstLine="482"/>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本项目（是/否）接受分包：否。</w:t>
      </w:r>
      <w:r>
        <w:rPr>
          <w:rFonts w:ascii="Times New Roman" w:hAnsi="Times New Roman" w:eastAsia="宋体" w:cs="Times New Roman"/>
          <w:b/>
          <w:color w:val="000000"/>
          <w:sz w:val="24"/>
        </w:rPr>
      </w:r>
      <w:r/>
    </w:p>
    <w:p>
      <w:pPr>
        <w:pStyle w:val="1006"/>
        <w:numPr>
          <w:ilvl w:val="0"/>
          <w:numId w:val="3"/>
        </w:numPr>
        <w:ind w:left="0" w:firstLine="482"/>
        <w:tabs>
          <w:tab w:val="left" w:pos="963" w:leader="none"/>
        </w:tabs>
        <w:rPr>
          <w:b/>
        </w:rPr>
      </w:pPr>
      <w:r/>
      <w:bookmarkStart w:id="0" w:name="_Toc35393622"/>
      <w:r/>
      <w:bookmarkStart w:id="1" w:name="_Toc35393791"/>
      <w:r/>
      <w:bookmarkStart w:id="2" w:name="_Toc28359080"/>
      <w:r/>
      <w:bookmarkStart w:id="3" w:name="_Toc38985264"/>
      <w:r/>
      <w:bookmarkStart w:id="4" w:name="_Toc28359003"/>
      <w:r/>
      <w:bookmarkStart w:id="5" w:name="_Toc20823309"/>
      <w:r/>
      <w:bookmarkStart w:id="6" w:name="_Toc16938553"/>
      <w:r/>
      <w:bookmarkStart w:id="7" w:name="_Toc513029237"/>
      <w:r>
        <w:t xml:space="preserve">申请人的资格要求：</w:t>
      </w:r>
      <w:bookmarkEnd w:id="0"/>
      <w:r/>
      <w:bookmarkEnd w:id="1"/>
      <w:r/>
      <w:bookmarkEnd w:id="2"/>
      <w:r/>
      <w:bookmarkEnd w:id="3"/>
      <w:r/>
      <w:bookmarkEnd w:id="4"/>
      <w:r>
        <w:rPr>
          <w:b/>
        </w:rPr>
      </w:r>
      <w:r/>
    </w:p>
    <w:p>
      <w:pPr>
        <w:pStyle w:val="1007"/>
        <w:numPr>
          <w:ilvl w:val="0"/>
          <w:numId w:val="4"/>
        </w:numPr>
        <w:ind w:left="0" w:firstLine="482"/>
        <w:tabs>
          <w:tab w:val="left" w:pos="1202" w:leader="none"/>
        </w:tabs>
        <w:rPr>
          <w:rFonts w:hint="eastAsia" w:ascii="宋体" w:hAnsi="宋体" w:eastAsia="宋体" w:cs="宋体"/>
          <w:b/>
        </w:rPr>
      </w:pPr>
      <w:r>
        <w:t xml:space="preserve">通用资格要求</w:t>
      </w:r>
      <w:r>
        <w:rPr>
          <w:rFonts w:hint="eastAsia" w:ascii="宋体" w:hAnsi="宋体" w:eastAsia="宋体" w:cs="宋体"/>
          <w:b/>
        </w:rPr>
      </w:r>
      <w:r/>
    </w:p>
    <w:p>
      <w:pPr>
        <w:pStyle w:val="1026"/>
        <w:numPr>
          <w:ilvl w:val="0"/>
          <w:numId w:val="5"/>
        </w:numPr>
        <w:ind w:left="0" w:firstLine="480"/>
        <w:tabs>
          <w:tab w:val="left" w:pos="780" w:leader="none"/>
        </w:tabs>
        <w:rPr>
          <w:rFonts w:ascii="Times New Roman" w:hAnsi="Times New Roman" w:eastAsia="宋体" w:cs="Times New Roman"/>
          <w:b w:val="0"/>
          <w:sz w:val="24"/>
        </w:rPr>
      </w:pPr>
      <w:r>
        <w:rPr>
          <w:rFonts w:ascii="Times New Roman" w:hAnsi="Times New Roman" w:eastAsia="宋体" w:cs="Times New Roman"/>
          <w:sz w:val="24"/>
        </w:rPr>
        <w:t xml:space="preserve">满足《中华人民共和国政府采购法》第二十二条规定，并提供下列材料：</w:t>
      </w:r>
      <w:r>
        <w:rPr>
          <w:rFonts w:ascii="Times New Roman" w:hAnsi="Times New Roman" w:eastAsia="宋体" w:cs="Times New Roman"/>
          <w:b w:val="0"/>
          <w:sz w:val="24"/>
        </w:rPr>
      </w:r>
      <w:r/>
    </w:p>
    <w:p>
      <w:pPr>
        <w:pStyle w:val="1026"/>
        <w:numPr>
          <w:ilvl w:val="0"/>
          <w:numId w:val="6"/>
        </w:numPr>
        <w:ind w:left="0" w:firstLine="480"/>
        <w:tabs>
          <w:tab w:val="left" w:pos="960" w:leader="none"/>
        </w:tabs>
        <w:rPr>
          <w:rFonts w:ascii="Times New Roman" w:hAnsi="Times New Roman" w:eastAsia="宋体" w:cs="Times New Roman"/>
          <w:b w:val="0"/>
          <w:sz w:val="24"/>
        </w:rPr>
      </w:pPr>
      <w:r>
        <w:rPr>
          <w:rFonts w:ascii="Times New Roman" w:hAnsi="Times New Roman" w:eastAsia="宋体" w:cs="Times New Roman"/>
          <w:sz w:val="24"/>
        </w:rPr>
        <w:t xml:space="preserve">法人或者其他组织的营业执照等证明文件；</w:t>
      </w:r>
      <w:r>
        <w:rPr>
          <w:rFonts w:ascii="Times New Roman" w:hAnsi="Times New Roman" w:eastAsia="宋体" w:cs="Times New Roman"/>
          <w:b w:val="0"/>
          <w:sz w:val="24"/>
        </w:rPr>
      </w:r>
      <w:r/>
    </w:p>
    <w:p>
      <w:pPr>
        <w:pStyle w:val="1026"/>
        <w:numPr>
          <w:ilvl w:val="0"/>
          <w:numId w:val="6"/>
        </w:numPr>
        <w:ind w:left="0" w:firstLine="480"/>
        <w:tabs>
          <w:tab w:val="left" w:pos="960" w:leader="none"/>
        </w:tabs>
        <w:rPr>
          <w:rFonts w:ascii="Times New Roman" w:hAnsi="Times New Roman" w:eastAsia="宋体" w:cs="Times New Roman"/>
          <w:b w:val="0"/>
          <w:sz w:val="24"/>
        </w:rPr>
      </w:pPr>
      <w:r>
        <w:rPr>
          <w:rFonts w:ascii="Times New Roman" w:hAnsi="Times New Roman" w:eastAsia="宋体" w:cs="Times New Roman"/>
          <w:sz w:val="24"/>
        </w:rPr>
        <w:t xml:space="preserve">2024年度的财务状况报告</w:t>
      </w:r>
      <w:r>
        <w:rPr>
          <w:rFonts w:ascii="Times New Roman" w:hAnsi="Times New Roman" w:eastAsia="宋体" w:cs="Times New Roman"/>
          <w:color w:val="000000"/>
          <w:sz w:val="24"/>
          <w:highlight w:val="none"/>
        </w:rPr>
        <w:t xml:space="preserve">或投标截止时间前三个月（不含投标截止时间当月）中至少一个月的银行资信证明</w:t>
      </w:r>
      <w:r>
        <w:rPr>
          <w:rFonts w:ascii="Times New Roman" w:hAnsi="Times New Roman" w:eastAsia="宋体" w:cs="Times New Roman"/>
          <w:sz w:val="24"/>
        </w:rPr>
        <w:t xml:space="preserve">（成立不满一年无需提供）；</w:t>
      </w:r>
      <w:r>
        <w:rPr>
          <w:rFonts w:ascii="Times New Roman" w:hAnsi="Times New Roman" w:eastAsia="宋体" w:cs="Times New Roman"/>
          <w:b w:val="0"/>
          <w:sz w:val="24"/>
        </w:rPr>
      </w:r>
      <w:r/>
    </w:p>
    <w:p>
      <w:pPr>
        <w:pStyle w:val="1026"/>
        <w:numPr>
          <w:ilvl w:val="0"/>
          <w:numId w:val="6"/>
        </w:numPr>
        <w:ind w:left="0" w:firstLine="480"/>
        <w:tabs>
          <w:tab w:val="left" w:pos="960" w:leader="none"/>
        </w:tabs>
        <w:rPr>
          <w:rFonts w:hint="eastAsia" w:ascii="宋体" w:hAnsi="宋体" w:eastAsia="宋体" w:cs="宋体"/>
          <w:b w:val="0"/>
          <w:sz w:val="24"/>
        </w:rPr>
      </w:pPr>
      <w:r>
        <w:rPr>
          <w:rFonts w:ascii="Times New Roman" w:hAnsi="Times New Roman" w:eastAsia="宋体" w:cs="Times New Roman"/>
          <w:sz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b w:val="0"/>
          <w:sz w:val="24"/>
        </w:rPr>
      </w:r>
      <w:r/>
    </w:p>
    <w:p>
      <w:pPr>
        <w:pStyle w:val="1026"/>
        <w:numPr>
          <w:ilvl w:val="0"/>
          <w:numId w:val="6"/>
        </w:numPr>
        <w:ind w:left="0" w:firstLine="480"/>
        <w:tabs>
          <w:tab w:val="left" w:pos="960" w:leader="none"/>
        </w:tabs>
        <w:rPr>
          <w:rFonts w:hint="eastAsia" w:ascii="宋体" w:hAnsi="宋体" w:eastAsia="宋体" w:cs="宋体"/>
          <w:b w:val="0"/>
          <w:sz w:val="24"/>
        </w:rPr>
      </w:pPr>
      <w:r>
        <w:rPr>
          <w:rFonts w:ascii="Times New Roman" w:hAnsi="Times New Roman" w:eastAsia="宋体" w:cs="Times New Roman"/>
          <w:sz w:val="24"/>
        </w:rPr>
        <w:t xml:space="preserve">具备履行合同所必需的设备和专业技术能力的书面声明；</w:t>
      </w:r>
      <w:r>
        <w:rPr>
          <w:rFonts w:hint="eastAsia" w:ascii="宋体" w:hAnsi="宋体" w:eastAsia="宋体" w:cs="宋体"/>
          <w:b w:val="0"/>
          <w:sz w:val="24"/>
        </w:rPr>
      </w:r>
      <w:r/>
    </w:p>
    <w:p>
      <w:pPr>
        <w:pStyle w:val="1026"/>
        <w:numPr>
          <w:ilvl w:val="0"/>
          <w:numId w:val="6"/>
        </w:numPr>
        <w:ind w:left="0" w:firstLine="480"/>
        <w:tabs>
          <w:tab w:val="left" w:pos="960" w:leader="none"/>
        </w:tabs>
        <w:rPr>
          <w:rFonts w:hint="eastAsia" w:ascii="宋体" w:hAnsi="宋体" w:eastAsia="宋体" w:cs="宋体"/>
          <w:b w:val="0"/>
          <w:sz w:val="24"/>
        </w:rPr>
      </w:pPr>
      <w:r>
        <w:rPr>
          <w:rFonts w:ascii="Times New Roman" w:hAnsi="Times New Roman" w:eastAsia="宋体" w:cs="Times New Roman"/>
          <w:sz w:val="24"/>
        </w:rPr>
        <w:t xml:space="preserve">参加政府采购活动前3年内在经营活动中没有重大违法记录的书面声明。</w:t>
      </w:r>
      <w:r>
        <w:rPr>
          <w:rFonts w:hint="eastAsia" w:ascii="宋体" w:hAnsi="宋体" w:eastAsia="宋体" w:cs="宋体"/>
          <w:b w:val="0"/>
          <w:sz w:val="24"/>
        </w:rPr>
      </w:r>
      <w:r/>
    </w:p>
    <w:p>
      <w:pPr>
        <w:pStyle w:val="1026"/>
        <w:numPr>
          <w:ilvl w:val="0"/>
          <w:numId w:val="5"/>
        </w:numPr>
        <w:ind w:left="0" w:firstLine="480"/>
        <w:tabs>
          <w:tab w:val="left" w:pos="780" w:leader="none"/>
        </w:tabs>
        <w:rPr>
          <w:rFonts w:ascii="Times New Roman" w:hAnsi="Times New Roman" w:eastAsia="宋体" w:cs="Times New Roman"/>
          <w:b w:val="0"/>
          <w:sz w:val="24"/>
        </w:rPr>
      </w:pPr>
      <w:r>
        <w:rPr>
          <w:rFonts w:ascii="Times New Roman" w:hAnsi="Times New Roman" w:eastAsia="宋体" w:cs="Times New Roman"/>
          <w:sz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Times New Roman" w:hAnsi="Times New Roman" w:eastAsia="宋体" w:cs="Times New Roman"/>
          <w:b w:val="0"/>
          <w:sz w:val="24"/>
        </w:rPr>
      </w:r>
      <w:r/>
    </w:p>
    <w:p>
      <w:pPr>
        <w:pStyle w:val="1026"/>
        <w:numPr>
          <w:ilvl w:val="0"/>
          <w:numId w:val="5"/>
        </w:numPr>
        <w:ind w:left="0" w:firstLine="480"/>
        <w:tabs>
          <w:tab w:val="left" w:pos="780" w:leader="none"/>
        </w:tabs>
        <w:rPr>
          <w:rFonts w:ascii="Times New Roman" w:hAnsi="Times New Roman" w:eastAsia="宋体" w:cs="Times New Roman"/>
          <w:b w:val="0"/>
          <w:sz w:val="24"/>
        </w:rPr>
      </w:pPr>
      <w:r>
        <w:rPr>
          <w:rFonts w:ascii="Times New Roman" w:hAnsi="Times New Roman" w:eastAsia="宋体" w:cs="Times New Roman"/>
          <w:sz w:val="24"/>
        </w:rPr>
        <w:t xml:space="preserve">落实政府采购政策需满足的资格要求：本项目专门面向中小企业采购。</w:t>
      </w:r>
      <w:r>
        <w:rPr>
          <w:rFonts w:ascii="Times New Roman" w:hAnsi="Times New Roman" w:eastAsia="宋体" w:cs="Times New Roman"/>
          <w:b w:val="0"/>
          <w:sz w:val="24"/>
        </w:rPr>
      </w:r>
      <w:r/>
    </w:p>
    <w:p>
      <w:pPr>
        <w:pStyle w:val="1026"/>
        <w:numPr>
          <w:ilvl w:val="0"/>
          <w:numId w:val="5"/>
        </w:numPr>
        <w:ind w:left="0" w:firstLine="480"/>
        <w:tabs>
          <w:tab w:val="left" w:pos="780" w:leader="none"/>
        </w:tabs>
        <w:rPr>
          <w:rFonts w:ascii="Times New Roman" w:hAnsi="Times New Roman" w:eastAsia="宋体" w:cs="Times New Roman"/>
          <w:b w:val="0"/>
          <w:sz w:val="24"/>
        </w:rPr>
      </w:pPr>
      <w:r>
        <w:rPr>
          <w:rFonts w:ascii="Times New Roman" w:hAnsi="Times New Roman" w:eastAsia="宋体" w:cs="Times New Roman"/>
          <w:sz w:val="24"/>
        </w:rPr>
        <w:t xml:space="preserve">本项目</w:t>
      </w:r>
      <w:r>
        <w:rPr>
          <w:rFonts w:ascii="Times New Roman" w:hAnsi="Times New Roman" w:eastAsia="宋体" w:cs="Times New Roman"/>
          <w:sz w:val="24"/>
          <w:u w:val="single"/>
        </w:rPr>
        <w:t xml:space="preserve">不接受</w:t>
      </w:r>
      <w:r>
        <w:rPr>
          <w:rFonts w:ascii="Times New Roman" w:hAnsi="Times New Roman" w:eastAsia="宋体" w:cs="Times New Roman"/>
          <w:sz w:val="24"/>
        </w:rPr>
        <w:t xml:space="preserve">联合体参与磋商。</w:t>
      </w:r>
      <w:r>
        <w:rPr>
          <w:rFonts w:ascii="Times New Roman" w:hAnsi="Times New Roman" w:eastAsia="宋体" w:cs="Times New Roman"/>
          <w:b w:val="0"/>
          <w:sz w:val="24"/>
        </w:rPr>
      </w:r>
      <w:r/>
    </w:p>
    <w:p>
      <w:pPr>
        <w:pStyle w:val="1007"/>
        <w:numPr>
          <w:ilvl w:val="0"/>
          <w:numId w:val="4"/>
        </w:numPr>
        <w:ind w:left="0" w:firstLine="482"/>
        <w:tabs>
          <w:tab w:val="left" w:pos="1202" w:leader="none"/>
        </w:tabs>
        <w:rPr>
          <w:rFonts w:hint="eastAsia" w:ascii="宋体" w:hAnsi="宋体" w:eastAsia="宋体" w:cs="宋体"/>
          <w:b/>
        </w:rPr>
      </w:pPr>
      <w:r>
        <w:t xml:space="preserve">本项目的特定资格要求</w:t>
      </w:r>
      <w:r>
        <w:rPr>
          <w:rFonts w:hint="eastAsia" w:ascii="宋体" w:hAnsi="宋体" w:eastAsia="宋体" w:cs="宋体"/>
          <w:b/>
        </w:rPr>
      </w:r>
      <w:r/>
    </w:p>
    <w:p>
      <w:pPr>
        <w:pStyle w:val="1026"/>
        <w:numPr>
          <w:ilvl w:val="0"/>
          <w:numId w:val="7"/>
        </w:numPr>
        <w:ind w:left="0" w:firstLine="480"/>
        <w:widowControl/>
        <w:tabs>
          <w:tab w:val="left" w:pos="7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企业资质证书（专业：</w:t>
      </w:r>
      <w:r>
        <w:rPr>
          <w:rFonts w:ascii="Times New Roman" w:hAnsi="Times New Roman" w:eastAsia="宋体" w:cs="Times New Roman"/>
          <w:color w:val="000000"/>
          <w:sz w:val="24"/>
          <w:highlight w:val="none"/>
          <w:u w:val="single"/>
        </w:rPr>
        <w:t xml:space="preserve">水利水电工程施工总承包</w:t>
      </w:r>
      <w:r>
        <w:rPr>
          <w:rFonts w:ascii="Times New Roman" w:hAnsi="Times New Roman" w:eastAsia="宋体" w:cs="Times New Roman"/>
          <w:color w:val="000000"/>
          <w:sz w:val="24"/>
          <w:highlight w:val="none"/>
          <w:u w:val="none"/>
        </w:rPr>
        <w:t xml:space="preserve">；等级：</w:t>
      </w:r>
      <w:r>
        <w:rPr>
          <w:rFonts w:ascii="Times New Roman" w:hAnsi="Times New Roman" w:eastAsia="宋体" w:cs="Times New Roman"/>
          <w:color w:val="000000"/>
          <w:sz w:val="24"/>
          <w:highlight w:val="none"/>
          <w:u w:val="single"/>
        </w:rPr>
        <w:t xml:space="preserve">三级及以上施工资质</w:t>
      </w:r>
      <w:r>
        <w:rPr>
          <w:rFonts w:ascii="Times New Roman" w:hAnsi="Times New Roman" w:eastAsia="宋体" w:cs="Times New Roman"/>
          <w:color w:val="000000"/>
          <w:sz w:val="24"/>
          <w:highlight w:val="none"/>
        </w:rPr>
        <w:t xml:space="preserve">）及安全生产许可证</w:t>
      </w:r>
      <w:r>
        <w:rPr>
          <w:rFonts w:ascii="Times New Roman" w:hAnsi="Times New Roman" w:eastAsia="宋体" w:cs="Times New Roman"/>
          <w:b w:val="0"/>
          <w:color w:val="000000"/>
          <w:sz w:val="24"/>
          <w:highlight w:val="none"/>
        </w:rPr>
        <w:t xml:space="preserve">；</w:t>
      </w:r>
      <w:r>
        <w:rPr>
          <w:rFonts w:ascii="Times New Roman" w:hAnsi="Times New Roman" w:eastAsia="宋体" w:cs="Times New Roman"/>
          <w:b w:val="0"/>
          <w:color w:val="000000"/>
          <w:sz w:val="24"/>
          <w:highlight w:val="none"/>
        </w:rPr>
      </w:r>
      <w:r/>
    </w:p>
    <w:p>
      <w:pPr>
        <w:pStyle w:val="1026"/>
        <w:numPr>
          <w:ilvl w:val="0"/>
          <w:numId w:val="7"/>
        </w:numPr>
        <w:ind w:left="0" w:firstLine="480"/>
        <w:tabs>
          <w:tab w:val="left" w:pos="7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拟派项目负责人资格证书（专业：</w:t>
      </w:r>
      <w:r>
        <w:rPr>
          <w:rFonts w:ascii="Times New Roman" w:hAnsi="Times New Roman" w:eastAsia="宋体" w:cs="Times New Roman"/>
          <w:color w:val="000000"/>
          <w:sz w:val="24"/>
          <w:highlight w:val="none"/>
          <w:u w:val="single"/>
        </w:rPr>
        <w:t xml:space="preserve">注册建造师证书（专业类别：水利水电工程）</w:t>
      </w:r>
      <w:r>
        <w:rPr>
          <w:rFonts w:ascii="Times New Roman" w:hAnsi="Times New Roman" w:eastAsia="宋体" w:cs="Times New Roman"/>
          <w:color w:val="000000"/>
          <w:sz w:val="24"/>
          <w:highlight w:val="none"/>
          <w:u w:val="none"/>
        </w:rPr>
        <w:t xml:space="preserve">；等级：</w:t>
      </w:r>
      <w:r>
        <w:rPr>
          <w:rFonts w:ascii="Times New Roman" w:hAnsi="Times New Roman" w:eastAsia="宋体" w:cs="Times New Roman"/>
          <w:color w:val="000000"/>
          <w:sz w:val="24"/>
          <w:highlight w:val="none"/>
          <w:u w:val="single"/>
        </w:rPr>
        <w:t xml:space="preserve">二级及以上</w:t>
      </w:r>
      <w:r>
        <w:rPr>
          <w:rFonts w:ascii="Times New Roman" w:hAnsi="Times New Roman" w:eastAsia="宋体" w:cs="Times New Roman"/>
          <w:color w:val="000000"/>
          <w:sz w:val="24"/>
          <w:highlight w:val="none"/>
        </w:rPr>
        <w:t xml:space="preserve">）及安全B证</w:t>
      </w:r>
      <w:r>
        <w:rPr>
          <w:rFonts w:ascii="Times New Roman" w:hAnsi="Times New Roman" w:eastAsia="宋体" w:cs="Times New Roman"/>
          <w:b w:val="0"/>
          <w:color w:val="000000"/>
          <w:sz w:val="24"/>
          <w:highlight w:val="none"/>
        </w:rPr>
        <w:t xml:space="preserve">；</w:t>
      </w:r>
      <w:r>
        <w:rPr>
          <w:rFonts w:ascii="Times New Roman" w:hAnsi="Times New Roman" w:eastAsia="宋体" w:cs="Times New Roman"/>
          <w:color w:val="000000"/>
          <w:sz w:val="24"/>
          <w:highlight w:val="none"/>
        </w:rPr>
        <w:t xml:space="preserve">拟派项目负责人无在建工程承诺书；</w:t>
      </w:r>
      <w:r>
        <w:rPr>
          <w:rFonts w:ascii="Times New Roman" w:hAnsi="Times New Roman" w:eastAsia="宋体" w:cs="Times New Roman"/>
          <w:b w:val="0"/>
          <w:color w:val="000000"/>
          <w:sz w:val="24"/>
          <w:highlight w:val="none"/>
        </w:rPr>
      </w:r>
      <w:r/>
    </w:p>
    <w:p>
      <w:pPr>
        <w:pStyle w:val="1026"/>
        <w:numPr>
          <w:ilvl w:val="0"/>
          <w:numId w:val="7"/>
        </w:numPr>
        <w:ind w:left="0" w:firstLine="480"/>
        <w:widowControl/>
        <w:tabs>
          <w:tab w:val="left" w:pos="7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拟派授权委托人、拟派项目负责人和企业签订的有效劳动合同，投标企业所在地社保机构出具的由企业为授权委托人、拟派项目负责人缴纳的投标截止时间前</w:t>
      </w:r>
      <w:r>
        <w:rPr>
          <w:rFonts w:hint="eastAsia" w:cs="Times New Roman"/>
          <w:color w:val="000000"/>
          <w:sz w:val="24"/>
          <w:highlight w:val="none"/>
          <w:lang w:val="en-US" w:eastAsia="zh-CN"/>
        </w:rPr>
        <w:t xml:space="preserve">3个</w:t>
      </w:r>
      <w:r>
        <w:rPr>
          <w:rFonts w:ascii="Times New Roman" w:hAnsi="Times New Roman" w:eastAsia="宋体" w:cs="Times New Roman"/>
          <w:color w:val="000000"/>
          <w:sz w:val="24"/>
          <w:highlight w:val="none"/>
        </w:rPr>
        <w:t xml:space="preserve">月（不含投标截止时间当月）中至少一个月的养老保险缴纳证明材料（注：委托代理人为法定代表人的，无需提供养老保险缴费证明）；</w:t>
      </w:r>
      <w:r>
        <w:rPr>
          <w:rFonts w:ascii="Times New Roman" w:hAnsi="Times New Roman" w:eastAsia="宋体" w:cs="Times New Roman"/>
          <w:b w:val="0"/>
          <w:color w:val="000000"/>
          <w:sz w:val="24"/>
          <w:highlight w:val="none"/>
        </w:rPr>
      </w:r>
      <w:r/>
    </w:p>
    <w:p>
      <w:pPr>
        <w:pStyle w:val="1006"/>
        <w:numPr>
          <w:ilvl w:val="0"/>
          <w:numId w:val="3"/>
        </w:numPr>
        <w:ind w:left="0" w:firstLine="482"/>
        <w:tabs>
          <w:tab w:val="left" w:pos="963" w:leader="none"/>
        </w:tabs>
        <w:rPr>
          <w:b/>
        </w:rPr>
      </w:pPr>
      <w:r>
        <w:t xml:space="preserve">获取磋商文件</w:t>
      </w:r>
      <w:r>
        <w:rPr>
          <w:b/>
        </w:rPr>
      </w:r>
      <w:r/>
    </w:p>
    <w:p>
      <w:pPr>
        <w:pStyle w:val="1026"/>
        <w:numPr>
          <w:ilvl w:val="0"/>
          <w:numId w:val="8"/>
        </w:numPr>
        <w:ind w:left="0" w:firstLine="480"/>
        <w:tabs>
          <w:tab w:val="left" w:pos="780" w:leader="none"/>
        </w:tabs>
        <w:rPr>
          <w:rFonts w:ascii="Times New Roman" w:hAnsi="Times New Roman" w:eastAsia="宋体" w:cs="Times New Roman"/>
          <w:b w:val="0"/>
          <w:sz w:val="24"/>
        </w:rPr>
      </w:pPr>
      <w:r/>
      <w:bookmarkStart w:id="8" w:name="_Toc28359005"/>
      <w:r/>
      <w:bookmarkStart w:id="9" w:name="_Toc28359082"/>
      <w:r/>
      <w:bookmarkStart w:id="10" w:name="_Toc38985266"/>
      <w:r/>
      <w:bookmarkStart w:id="11" w:name="_Toc35393793"/>
      <w:r/>
      <w:bookmarkStart w:id="12" w:name="_Toc35393624"/>
      <w:r>
        <w:rPr>
          <w:rFonts w:ascii="Times New Roman" w:hAnsi="Times New Roman" w:eastAsia="宋体" w:cs="Times New Roman"/>
          <w:sz w:val="24"/>
        </w:rPr>
        <w:t xml:space="preserve">时间：</w:t>
      </w:r>
      <w:r>
        <w:rPr>
          <w:rFonts w:ascii="Times New Roman" w:hAnsi="Times New Roman" w:eastAsia="宋体" w:cs="Times New Roman"/>
          <w:sz w:val="24"/>
          <w:u w:val="single"/>
        </w:rPr>
        <w:t xml:space="preserve">2026年</w:t>
      </w:r>
      <w:r>
        <w:rPr>
          <w:rFonts w:hint="eastAsia" w:cs="Times New Roman"/>
          <w:sz w:val="24"/>
          <w:u w:val="single"/>
          <w:lang w:val="en-US" w:eastAsia="zh-CN"/>
        </w:rPr>
        <w:t xml:space="preserve">3</w:t>
      </w:r>
      <w:r>
        <w:rPr>
          <w:rFonts w:ascii="Times New Roman" w:hAnsi="Times New Roman" w:eastAsia="宋体" w:cs="Times New Roman"/>
          <w:sz w:val="24"/>
          <w:u w:val="single"/>
        </w:rPr>
        <w:t xml:space="preserve">月</w:t>
      </w:r>
      <w:r>
        <w:rPr>
          <w:rFonts w:hint="eastAsia" w:cs="Times New Roman"/>
          <w:sz w:val="24"/>
          <w:u w:val="single"/>
          <w:lang w:val="en-US" w:eastAsia="zh-CN"/>
        </w:rPr>
        <w:t xml:space="preserve">6</w:t>
      </w:r>
      <w:r>
        <w:rPr>
          <w:rFonts w:ascii="Times New Roman" w:hAnsi="Times New Roman" w:eastAsia="宋体" w:cs="Times New Roman"/>
          <w:sz w:val="24"/>
          <w:u w:val="single"/>
        </w:rPr>
        <w:t xml:space="preserve">日</w:t>
      </w:r>
      <w:r>
        <w:rPr>
          <w:rFonts w:hint="eastAsia" w:cs="Times New Roman"/>
          <w:sz w:val="24"/>
          <w:u w:val="single"/>
          <w:lang w:val="en-US" w:eastAsia="zh-CN"/>
        </w:rPr>
        <w:t xml:space="preserve">15</w:t>
      </w:r>
      <w:r>
        <w:rPr>
          <w:rFonts w:ascii="Times New Roman" w:hAnsi="Times New Roman" w:eastAsia="宋体" w:cs="Times New Roman"/>
          <w:sz w:val="24"/>
          <w:u w:val="single"/>
        </w:rPr>
        <w:t xml:space="preserve">点</w:t>
      </w:r>
      <w:r>
        <w:rPr>
          <w:rFonts w:hint="eastAsia" w:cs="Times New Roman"/>
          <w:sz w:val="24"/>
          <w:u w:val="single"/>
          <w:lang w:val="en-US" w:eastAsia="zh-CN"/>
        </w:rPr>
        <w:t xml:space="preserve">00</w:t>
      </w:r>
      <w:r>
        <w:rPr>
          <w:rFonts w:ascii="Times New Roman" w:hAnsi="Times New Roman" w:eastAsia="宋体" w:cs="Times New Roman"/>
          <w:sz w:val="24"/>
          <w:u w:val="single"/>
        </w:rPr>
        <w:t xml:space="preserve">分（北京时间）。</w:t>
      </w:r>
      <w:r>
        <w:rPr>
          <w:rFonts w:ascii="Times New Roman" w:hAnsi="Times New Roman" w:eastAsia="宋体" w:cs="Times New Roman"/>
          <w:b w:val="0"/>
          <w:sz w:val="24"/>
        </w:rPr>
      </w:r>
      <w:r/>
    </w:p>
    <w:p>
      <w:pPr>
        <w:pStyle w:val="1026"/>
        <w:numPr>
          <w:ilvl w:val="0"/>
          <w:numId w:val="8"/>
        </w:numPr>
        <w:ind w:left="0" w:firstLine="480"/>
        <w:tabs>
          <w:tab w:val="left" w:pos="780" w:leader="none"/>
        </w:tabs>
        <w:rPr>
          <w:rFonts w:ascii="Times New Roman" w:hAnsi="Times New Roman" w:eastAsia="宋体" w:cs="Times New Roman"/>
          <w:b w:val="0"/>
          <w:sz w:val="24"/>
          <w:u w:val="single"/>
        </w:rPr>
      </w:pPr>
      <w:r>
        <w:rPr>
          <w:rFonts w:ascii="Times New Roman" w:hAnsi="Times New Roman" w:eastAsia="宋体" w:cs="Times New Roman"/>
          <w:sz w:val="24"/>
        </w:rPr>
        <w:t xml:space="preserve">方式：在“江苏政府采购网”自行免费下载磋商文件。</w:t>
      </w:r>
      <w:r>
        <w:rPr>
          <w:rFonts w:ascii="Times New Roman" w:hAnsi="Times New Roman" w:eastAsia="宋体" w:cs="Times New Roman"/>
          <w:b w:val="0"/>
          <w:sz w:val="24"/>
          <w:u w:val="single"/>
        </w:rPr>
      </w:r>
      <w:r/>
    </w:p>
    <w:p>
      <w:pPr>
        <w:pStyle w:val="1006"/>
        <w:numPr>
          <w:ilvl w:val="0"/>
          <w:numId w:val="3"/>
        </w:numPr>
        <w:ind w:left="0" w:firstLine="482"/>
        <w:tabs>
          <w:tab w:val="left" w:pos="963" w:leader="none"/>
        </w:tabs>
        <w:rPr>
          <w:b/>
        </w:rPr>
      </w:pPr>
      <w:r/>
      <w:bookmarkStart w:id="13" w:name="_Toc155343490"/>
      <w:r>
        <w:t xml:space="preserve">提交</w:t>
      </w:r>
      <w:bookmarkEnd w:id="8"/>
      <w:r/>
      <w:bookmarkEnd w:id="9"/>
      <w:r>
        <w:t xml:space="preserve">响应文件截止时间</w:t>
      </w:r>
      <w:bookmarkEnd w:id="10"/>
      <w:r/>
      <w:bookmarkEnd w:id="11"/>
      <w:r/>
      <w:bookmarkEnd w:id="12"/>
      <w:r/>
      <w:bookmarkEnd w:id="13"/>
      <w:r>
        <w:rPr>
          <w:b/>
        </w:rPr>
      </w:r>
      <w:r/>
    </w:p>
    <w:p>
      <w:pPr>
        <w:pStyle w:val="1026"/>
        <w:numPr>
          <w:ilvl w:val="0"/>
          <w:numId w:val="9"/>
        </w:numPr>
        <w:ind w:left="0" w:firstLine="480"/>
        <w:tabs>
          <w:tab w:val="left" w:pos="780" w:leader="none"/>
        </w:tabs>
        <w:rPr>
          <w:rFonts w:ascii="Times New Roman" w:hAnsi="Times New Roman" w:eastAsia="宋体" w:cs="Times New Roman"/>
          <w:b w:val="0"/>
          <w:i/>
          <w:sz w:val="24"/>
          <w:u w:val="single"/>
        </w:rPr>
      </w:pPr>
      <w:r>
        <w:rPr>
          <w:rFonts w:ascii="Times New Roman" w:hAnsi="Times New Roman" w:eastAsia="宋体" w:cs="Times New Roman"/>
          <w:sz w:val="24"/>
          <w:u w:val="single"/>
        </w:rPr>
        <w:t xml:space="preserve">2026年</w:t>
      </w:r>
      <w:r>
        <w:rPr>
          <w:rFonts w:hint="eastAsia" w:cs="Times New Roman"/>
          <w:sz w:val="24"/>
          <w:u w:val="single"/>
          <w:lang w:val="en-US" w:eastAsia="zh-CN"/>
        </w:rPr>
        <w:t xml:space="preserve">3</w:t>
      </w:r>
      <w:r>
        <w:rPr>
          <w:rFonts w:ascii="Times New Roman" w:hAnsi="Times New Roman" w:eastAsia="宋体" w:cs="Times New Roman"/>
          <w:sz w:val="24"/>
          <w:u w:val="single"/>
        </w:rPr>
        <w:t xml:space="preserve">月</w:t>
      </w:r>
      <w:r>
        <w:rPr>
          <w:rFonts w:hint="eastAsia" w:cs="Times New Roman"/>
          <w:sz w:val="24"/>
          <w:u w:val="single"/>
          <w:lang w:val="en-US" w:eastAsia="zh-CN"/>
        </w:rPr>
        <w:t xml:space="preserve">19</w:t>
      </w:r>
      <w:r>
        <w:rPr>
          <w:rFonts w:ascii="Times New Roman" w:hAnsi="Times New Roman" w:eastAsia="宋体" w:cs="Times New Roman"/>
          <w:sz w:val="24"/>
          <w:u w:val="single"/>
        </w:rPr>
        <w:t xml:space="preserve">日</w:t>
      </w:r>
      <w:r>
        <w:rPr>
          <w:rFonts w:hint="eastAsia" w:cs="Times New Roman"/>
          <w:sz w:val="24"/>
          <w:u w:val="single"/>
          <w:lang w:val="en-US" w:eastAsia="zh-CN"/>
        </w:rPr>
        <w:t xml:space="preserve">9</w:t>
      </w:r>
      <w:r>
        <w:rPr>
          <w:rFonts w:ascii="Times New Roman" w:hAnsi="Times New Roman" w:eastAsia="宋体" w:cs="Times New Roman"/>
          <w:sz w:val="24"/>
          <w:u w:val="single"/>
        </w:rPr>
        <w:t xml:space="preserve">点</w:t>
      </w:r>
      <w:r>
        <w:rPr>
          <w:rFonts w:hint="eastAsia" w:cs="Times New Roman"/>
          <w:sz w:val="24"/>
          <w:u w:val="single"/>
          <w:lang w:val="en-US" w:eastAsia="zh-CN"/>
        </w:rPr>
        <w:t xml:space="preserve">00</w:t>
      </w:r>
      <w:r>
        <w:rPr>
          <w:rFonts w:ascii="Times New Roman" w:hAnsi="Times New Roman" w:eastAsia="宋体" w:cs="Times New Roman"/>
          <w:sz w:val="24"/>
          <w:u w:val="single"/>
        </w:rPr>
        <w:t xml:space="preserve">分（北京时间）。</w:t>
      </w:r>
      <w:r>
        <w:rPr>
          <w:rFonts w:ascii="Times New Roman" w:hAnsi="Times New Roman" w:eastAsia="宋体" w:cs="Times New Roman"/>
          <w:b w:val="0"/>
          <w:i/>
          <w:sz w:val="24"/>
          <w:u w:val="single"/>
        </w:rPr>
      </w:r>
      <w:r/>
    </w:p>
    <w:p>
      <w:pPr>
        <w:pStyle w:val="1026"/>
        <w:numPr>
          <w:ilvl w:val="0"/>
          <w:numId w:val="9"/>
        </w:numPr>
        <w:ind w:left="0" w:firstLine="480"/>
        <w:tabs>
          <w:tab w:val="left" w:pos="780" w:leader="none"/>
        </w:tabs>
        <w:rPr>
          <w:rFonts w:ascii="Times New Roman" w:hAnsi="Times New Roman" w:eastAsia="宋体" w:cs="Times New Roman"/>
          <w:b w:val="0"/>
          <w:sz w:val="24"/>
          <w:u w:val="single"/>
        </w:rPr>
      </w:pPr>
      <w:r>
        <w:rPr>
          <w:rFonts w:ascii="Times New Roman" w:hAnsi="Times New Roman" w:eastAsia="宋体" w:cs="Times New Roman"/>
          <w:sz w:val="24"/>
          <w:u w:val="single"/>
        </w:rPr>
        <w:t xml:space="preserve">地点：“苏采云”政府采购交易系统网上开标大厅。</w:t>
      </w:r>
      <w:r>
        <w:rPr>
          <w:rFonts w:ascii="Times New Roman" w:hAnsi="Times New Roman" w:eastAsia="宋体" w:cs="Times New Roman"/>
          <w:b w:val="0"/>
          <w:sz w:val="24"/>
          <w:u w:val="single"/>
        </w:rPr>
      </w:r>
      <w:r/>
    </w:p>
    <w:p>
      <w:pPr>
        <w:pStyle w:val="1006"/>
        <w:numPr>
          <w:ilvl w:val="0"/>
          <w:numId w:val="3"/>
        </w:numPr>
        <w:ind w:left="0" w:firstLine="482"/>
        <w:tabs>
          <w:tab w:val="left" w:pos="963" w:leader="none"/>
        </w:tabs>
        <w:rPr>
          <w:b/>
        </w:rPr>
      </w:pPr>
      <w:r/>
      <w:bookmarkStart w:id="14" w:name="_Toc35393794"/>
      <w:r/>
      <w:bookmarkStart w:id="15" w:name="_Toc155343491"/>
      <w:r/>
      <w:bookmarkStart w:id="16" w:name="_Toc28359084"/>
      <w:r/>
      <w:bookmarkStart w:id="17" w:name="_Toc35393625"/>
      <w:r/>
      <w:bookmarkStart w:id="18" w:name="_Toc38985267"/>
      <w:r/>
      <w:bookmarkStart w:id="19" w:name="_Toc28359007"/>
      <w:r>
        <w:t xml:space="preserve">公告期限</w:t>
      </w:r>
      <w:bookmarkEnd w:id="14"/>
      <w:r/>
      <w:bookmarkEnd w:id="15"/>
      <w:r/>
      <w:bookmarkEnd w:id="16"/>
      <w:r/>
      <w:bookmarkEnd w:id="17"/>
      <w:r/>
      <w:bookmarkEnd w:id="18"/>
      <w:r/>
      <w:bookmarkEnd w:id="19"/>
      <w:r>
        <w:rPr>
          <w:b/>
        </w:rPr>
      </w:r>
      <w:r/>
    </w:p>
    <w:p>
      <w:pPr>
        <w:pStyle w:val="1026"/>
        <w:ind w:left="0" w:firstLine="480"/>
        <w:rPr>
          <w:rFonts w:ascii="Times New Roman" w:hAnsi="Times New Roman" w:eastAsia="宋体" w:cs="Times New Roman"/>
          <w:sz w:val="24"/>
        </w:rPr>
      </w:pPr>
      <w:r/>
      <w:bookmarkStart w:id="20" w:name="_Toc35393795"/>
      <w:r/>
      <w:bookmarkStart w:id="21" w:name="_Toc38985268"/>
      <w:r/>
      <w:bookmarkStart w:id="22" w:name="_Toc35393626"/>
      <w:r>
        <w:rPr>
          <w:rFonts w:ascii="Times New Roman" w:hAnsi="Times New Roman" w:eastAsia="宋体" w:cs="Times New Roman"/>
          <w:sz w:val="24"/>
        </w:rPr>
        <w:t xml:space="preserve">磋商公告及磋商文件公告期限为自本公告发布之日起3个工作日。</w:t>
      </w:r>
      <w:r>
        <w:rPr>
          <w:rFonts w:ascii="Times New Roman" w:hAnsi="Times New Roman" w:eastAsia="宋体" w:cs="Times New Roman"/>
          <w:sz w:val="24"/>
        </w:rPr>
      </w:r>
      <w:r/>
    </w:p>
    <w:p>
      <w:pPr>
        <w:pStyle w:val="1006"/>
        <w:numPr>
          <w:ilvl w:val="0"/>
          <w:numId w:val="3"/>
        </w:numPr>
        <w:ind w:left="0" w:firstLine="482"/>
        <w:tabs>
          <w:tab w:val="left" w:pos="963" w:leader="none"/>
        </w:tabs>
        <w:rPr>
          <w:b/>
        </w:rPr>
      </w:pPr>
      <w:r/>
      <w:bookmarkStart w:id="23" w:name="_Toc155343492"/>
      <w:r>
        <w:t xml:space="preserve">其他补充事宜</w:t>
      </w:r>
      <w:bookmarkEnd w:id="20"/>
      <w:r/>
      <w:bookmarkEnd w:id="21"/>
      <w:r/>
      <w:bookmarkEnd w:id="22"/>
      <w:r/>
      <w:bookmarkEnd w:id="23"/>
      <w:r>
        <w:rPr>
          <w:b/>
        </w:rPr>
      </w:r>
      <w:r/>
    </w:p>
    <w:p>
      <w:pPr>
        <w:pStyle w:val="1026"/>
        <w:numPr>
          <w:ilvl w:val="0"/>
          <w:numId w:val="10"/>
        </w:numPr>
        <w:ind w:left="0" w:firstLine="480"/>
        <w:tabs>
          <w:tab w:val="left" w:pos="780" w:leader="none"/>
        </w:tabs>
        <w:rPr>
          <w:rFonts w:ascii="Times New Roman" w:hAnsi="Times New Roman" w:eastAsia="宋体" w:cs="Times New Roman"/>
          <w:b w:val="0"/>
          <w:sz w:val="24"/>
        </w:rPr>
      </w:pPr>
      <w:r>
        <w:rPr>
          <w:rFonts w:ascii="Times New Roman" w:hAnsi="Times New Roman" w:eastAsia="宋体" w:cs="Times New Roman"/>
          <w:sz w:val="24"/>
        </w:rPr>
        <w:t xml:space="preserve">本次磋商不收取磋商保证金。</w:t>
      </w:r>
      <w:r>
        <w:rPr>
          <w:rFonts w:ascii="Times New Roman" w:hAnsi="Times New Roman" w:eastAsia="宋体" w:cs="Times New Roman"/>
          <w:b w:val="0"/>
          <w:sz w:val="24"/>
        </w:rPr>
      </w:r>
      <w:r/>
    </w:p>
    <w:p>
      <w:pPr>
        <w:pStyle w:val="1026"/>
        <w:numPr>
          <w:ilvl w:val="0"/>
          <w:numId w:val="10"/>
        </w:numPr>
        <w:ind w:left="0" w:firstLine="480"/>
        <w:tabs>
          <w:tab w:val="left" w:pos="780" w:leader="none"/>
        </w:tabs>
        <w:rPr>
          <w:rFonts w:ascii="Times New Roman" w:hAnsi="Times New Roman" w:eastAsia="宋体" w:cs="Times New Roman"/>
          <w:b w:val="0"/>
          <w:sz w:val="24"/>
        </w:rPr>
      </w:pPr>
      <w:r>
        <w:rPr>
          <w:rFonts w:ascii="Times New Roman" w:hAnsi="Times New Roman" w:eastAsia="宋体" w:cs="Times New Roman"/>
          <w:sz w:val="24"/>
        </w:rPr>
        <w:t xml:space="preserve">有关本次磋商的事项若存在变动或修改，敬请及时关注采购代理机构在“江苏政府采购网”发布的更正公告。</w:t>
      </w:r>
      <w:r>
        <w:rPr>
          <w:rFonts w:ascii="Times New Roman" w:hAnsi="Times New Roman" w:eastAsia="宋体" w:cs="Times New Roman"/>
          <w:b w:val="0"/>
          <w:sz w:val="24"/>
        </w:rPr>
      </w:r>
      <w:r/>
    </w:p>
    <w:p>
      <w:pPr>
        <w:pStyle w:val="1026"/>
        <w:numPr>
          <w:ilvl w:val="0"/>
          <w:numId w:val="10"/>
        </w:numPr>
        <w:ind w:left="0" w:firstLine="480"/>
        <w:tabs>
          <w:tab w:val="left" w:pos="780" w:leader="none"/>
        </w:tabs>
        <w:rPr>
          <w:rFonts w:ascii="Times New Roman" w:hAnsi="Times New Roman" w:eastAsia="宋体" w:cs="Times New Roman"/>
          <w:b w:val="0"/>
          <w:sz w:val="24"/>
        </w:rPr>
      </w:pPr>
      <w:r>
        <w:rPr>
          <w:rFonts w:ascii="Times New Roman" w:hAnsi="Times New Roman" w:eastAsia="宋体" w:cs="Times New Roman"/>
          <w:sz w:val="24"/>
        </w:rPr>
        <w:t xml:space="preserve">“苏采云”系统使用相关提醒</w:t>
      </w:r>
      <w:r>
        <w:rPr>
          <w:rFonts w:ascii="Times New Roman" w:hAnsi="Times New Roman" w:eastAsia="宋体" w:cs="Times New Roman"/>
          <w:b w:val="0"/>
          <w:sz w:val="24"/>
        </w:rPr>
      </w:r>
      <w:r/>
    </w:p>
    <w:p>
      <w:pPr>
        <w:pStyle w:val="1026"/>
        <w:numPr>
          <w:ilvl w:val="0"/>
          <w:numId w:val="11"/>
        </w:numPr>
        <w:ind w:left="0" w:firstLine="480"/>
        <w:tabs>
          <w:tab w:val="left" w:pos="960" w:leader="none"/>
        </w:tabs>
        <w:rPr>
          <w:rFonts w:ascii="Times New Roman" w:hAnsi="Times New Roman" w:eastAsia="宋体" w:cs="Times New Roman"/>
          <w:b w:val="0"/>
          <w:sz w:val="24"/>
        </w:rPr>
      </w:pPr>
      <w:r>
        <w:rPr>
          <w:rFonts w:ascii="Times New Roman" w:hAnsi="Times New Roman" w:eastAsia="宋体" w:cs="Times New Roman"/>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ascii="Times New Roman" w:hAnsi="Times New Roman" w:eastAsia="宋体" w:cs="Times New Roman"/>
          <w:b/>
          <w:sz w:val="24"/>
        </w:rPr>
        <w:t xml:space="preserve">具体办理指南和操作手册见链接：http://www.ccgp-jiangsu.gov.cn/jiangsu/zlxz/ee/ee3a4bc5a3454aa2b0d9312230633ce9.html。</w:t>
      </w:r>
      <w:r>
        <w:rPr>
          <w:rFonts w:ascii="Times New Roman" w:hAnsi="Times New Roman" w:eastAsia="宋体" w:cs="Times New Roman"/>
          <w:b w:val="0"/>
          <w:sz w:val="24"/>
        </w:rPr>
      </w:r>
      <w:r/>
    </w:p>
    <w:p>
      <w:pPr>
        <w:pStyle w:val="1026"/>
        <w:numPr>
          <w:ilvl w:val="0"/>
          <w:numId w:val="11"/>
        </w:numPr>
        <w:ind w:left="0" w:firstLine="480"/>
        <w:tabs>
          <w:tab w:val="left" w:pos="96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领取CA和办理电子签章详见《苏采云系统供应商操作手册》（以下简称《操作手册》），并进行注册，按《操作手册》要求制作、上传电子响应文件。</w:t>
      </w:r>
      <w:r>
        <w:rPr>
          <w:rFonts w:hint="eastAsia" w:ascii="宋体" w:hAnsi="宋体" w:eastAsia="宋体" w:cs="宋体"/>
          <w:b w:val="0"/>
          <w:color w:val="000000"/>
          <w:sz w:val="24"/>
        </w:rPr>
      </w:r>
      <w:r/>
    </w:p>
    <w:p>
      <w:pPr>
        <w:pStyle w:val="1026"/>
        <w:numPr>
          <w:ilvl w:val="0"/>
          <w:numId w:val="11"/>
        </w:numPr>
        <w:ind w:left="0" w:firstLine="480"/>
        <w:tabs>
          <w:tab w:val="left" w:pos="960" w:leader="none"/>
        </w:tabs>
        <w:rPr>
          <w:rFonts w:hint="eastAsia" w:ascii="宋体" w:hAnsi="宋体" w:eastAsia="宋体" w:cs="宋体"/>
          <w:b w:val="0"/>
          <w:sz w:val="24"/>
        </w:rPr>
      </w:pPr>
      <w:r>
        <w:rPr>
          <w:rFonts w:ascii="Times New Roman" w:hAnsi="Times New Roman" w:eastAsia="宋体" w:cs="Times New Roman"/>
          <w:sz w:val="24"/>
        </w:rPr>
        <w:t xml:space="preserve">磋商当天，响应供应商应及时登录“苏采云”，并在规定时间内自行实施远程解密。</w:t>
      </w:r>
      <w:r>
        <w:rPr>
          <w:rFonts w:ascii="Times New Roman" w:hAnsi="Times New Roman" w:eastAsia="宋体" w:cs="Times New Roman"/>
          <w:b/>
          <w:sz w:val="24"/>
        </w:rPr>
        <w:t xml:space="preserve">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Times New Roman" w:hAnsi="Times New Roman" w:eastAsia="宋体" w:cs="Times New Roman"/>
          <w:sz w:val="24"/>
        </w:rPr>
        <w:t xml:space="preserve">因采购人原因或苏采云平台发生故障，导致磋商无法进行的，采购人可根据实际情况延长相应时间。</w:t>
      </w:r>
      <w:r>
        <w:rPr>
          <w:rFonts w:hint="eastAsia" w:ascii="宋体" w:hAnsi="宋体" w:eastAsia="宋体" w:cs="宋体"/>
          <w:b w:val="0"/>
          <w:sz w:val="24"/>
        </w:rPr>
      </w:r>
      <w:r/>
    </w:p>
    <w:p>
      <w:pPr>
        <w:pStyle w:val="1006"/>
        <w:numPr>
          <w:ilvl w:val="0"/>
          <w:numId w:val="3"/>
        </w:numPr>
        <w:ind w:left="0" w:firstLine="482"/>
        <w:tabs>
          <w:tab w:val="left" w:pos="963" w:leader="none"/>
        </w:tabs>
        <w:rPr>
          <w:b/>
        </w:rPr>
      </w:pPr>
      <w:r/>
      <w:bookmarkStart w:id="24" w:name="_Toc28359085"/>
      <w:r/>
      <w:bookmarkStart w:id="25" w:name="_Toc38985269"/>
      <w:r/>
      <w:bookmarkStart w:id="26" w:name="_Toc155343493"/>
      <w:r/>
      <w:bookmarkStart w:id="27" w:name="_Toc35393627"/>
      <w:r/>
      <w:bookmarkStart w:id="28" w:name="_Toc28359008"/>
      <w:r/>
      <w:bookmarkStart w:id="29" w:name="_Toc35393796"/>
      <w:r>
        <w:t xml:space="preserve">本次磋商联系方式</w:t>
      </w:r>
      <w:bookmarkEnd w:id="24"/>
      <w:r/>
      <w:bookmarkEnd w:id="25"/>
      <w:r/>
      <w:bookmarkEnd w:id="26"/>
      <w:r/>
      <w:bookmarkEnd w:id="27"/>
      <w:r/>
      <w:bookmarkEnd w:id="28"/>
      <w:r/>
      <w:bookmarkEnd w:id="29"/>
      <w:r>
        <w:rPr>
          <w:b/>
        </w:rPr>
      </w:r>
      <w:r/>
    </w:p>
    <w:p>
      <w:pPr>
        <w:pStyle w:val="1007"/>
        <w:numPr>
          <w:ilvl w:val="0"/>
          <w:numId w:val="12"/>
        </w:numPr>
        <w:ind w:left="0" w:firstLine="482"/>
        <w:widowControl/>
        <w:tabs>
          <w:tab w:val="left" w:pos="781" w:leader="none"/>
        </w:tabs>
        <w:rPr>
          <w:b/>
          <w:highlight w:val="none"/>
          <w:u w:val="none"/>
        </w:rPr>
      </w:pPr>
      <w:r>
        <w:rPr>
          <w:highlight w:val="none"/>
          <w:u w:val="none"/>
        </w:rPr>
        <w:t xml:space="preserve">采购人信息</w:t>
      </w:r>
      <w:r>
        <w:rPr>
          <w:b/>
          <w:highlight w:val="none"/>
          <w:u w:val="none"/>
        </w:rPr>
      </w:r>
      <w:r/>
    </w:p>
    <w:p>
      <w:pPr>
        <w:pStyle w:val="1026"/>
        <w:ind w:left="0" w:firstLine="480"/>
        <w:rPr>
          <w:rFonts w:ascii="Times New Roman" w:hAnsi="Times New Roman" w:eastAsia="宋体" w:cs="Times New Roman"/>
          <w:color w:val="000000"/>
          <w:sz w:val="24"/>
          <w:highlight w:val="none"/>
          <w:u w:val="none"/>
        </w:rPr>
      </w:pPr>
      <w:r>
        <w:rPr>
          <w:rFonts w:ascii="Times New Roman" w:hAnsi="Times New Roman" w:eastAsia="宋体" w:cs="Times New Roman"/>
          <w:color w:val="000000"/>
          <w:sz w:val="24"/>
          <w:highlight w:val="none"/>
          <w:u w:val="none"/>
        </w:rPr>
        <w:t xml:space="preserve">名 称：南通市通州区十总镇人民政府</w:t>
      </w:r>
      <w:r>
        <w:rPr>
          <w:rFonts w:ascii="Times New Roman" w:hAnsi="Times New Roman" w:eastAsia="宋体" w:cs="Times New Roman"/>
          <w:color w:val="000000"/>
          <w:sz w:val="24"/>
          <w:highlight w:val="none"/>
          <w:u w:val="none"/>
        </w:rPr>
      </w:r>
      <w:r/>
    </w:p>
    <w:p>
      <w:pPr>
        <w:pStyle w:val="1026"/>
        <w:ind w:left="0" w:firstLine="480"/>
        <w:rPr>
          <w:rFonts w:ascii="Times New Roman" w:hAnsi="Times New Roman" w:eastAsia="宋体" w:cs="Times New Roman"/>
          <w:color w:val="000000"/>
          <w:sz w:val="24"/>
          <w:highlight w:val="none"/>
          <w:u w:val="none"/>
        </w:rPr>
      </w:pPr>
      <w:r>
        <w:rPr>
          <w:rFonts w:ascii="Times New Roman" w:hAnsi="Times New Roman" w:eastAsia="宋体" w:cs="Times New Roman"/>
          <w:color w:val="000000"/>
          <w:sz w:val="24"/>
          <w:highlight w:val="none"/>
          <w:u w:val="none"/>
        </w:rPr>
        <w:t xml:space="preserve">地 址：南通市通州区</w:t>
      </w:r>
      <w:r>
        <w:rPr>
          <w:rFonts w:ascii="Times New Roman" w:hAnsi="Times New Roman" w:eastAsia="宋体" w:cs="Times New Roman"/>
          <w:color w:val="000000"/>
          <w:sz w:val="24"/>
          <w:highlight w:val="none"/>
          <w:u w:val="none"/>
        </w:rPr>
      </w:r>
      <w:r/>
    </w:p>
    <w:p>
      <w:pPr>
        <w:pStyle w:val="1026"/>
        <w:ind w:left="0" w:firstLine="480"/>
        <w:rPr>
          <w:rFonts w:ascii="Times New Roman" w:hAnsi="Times New Roman" w:eastAsia="宋体" w:cs="Times New Roman"/>
          <w:color w:val="000000"/>
          <w:sz w:val="24"/>
          <w:highlight w:val="none"/>
          <w:u w:val="none"/>
        </w:rPr>
      </w:pPr>
      <w:r>
        <w:rPr>
          <w:rFonts w:ascii="Times New Roman" w:hAnsi="Times New Roman" w:eastAsia="宋体" w:cs="Times New Roman"/>
          <w:color w:val="000000"/>
          <w:sz w:val="24"/>
          <w:highlight w:val="none"/>
          <w:u w:val="none"/>
        </w:rPr>
        <w:t xml:space="preserve">联系人：俞志兵      </w:t>
      </w:r>
      <w:r>
        <w:rPr>
          <w:rFonts w:ascii="Times New Roman" w:hAnsi="Times New Roman" w:eastAsia="宋体" w:cs="Times New Roman"/>
          <w:color w:val="000000"/>
          <w:sz w:val="24"/>
          <w:highlight w:val="none"/>
          <w:u w:val="none"/>
        </w:rPr>
      </w:r>
      <w:r/>
    </w:p>
    <w:p>
      <w:pPr>
        <w:pStyle w:val="1026"/>
        <w:ind w:left="0" w:firstLine="480"/>
        <w:rPr>
          <w:rFonts w:ascii="Times New Roman" w:hAnsi="Times New Roman" w:eastAsia="宋体" w:cs="Times New Roman"/>
          <w:color w:val="000000"/>
          <w:sz w:val="24"/>
          <w:highlight w:val="none"/>
          <w:u w:val="none"/>
        </w:rPr>
      </w:pPr>
      <w:r>
        <w:rPr>
          <w:rFonts w:ascii="Times New Roman" w:hAnsi="Times New Roman" w:eastAsia="宋体" w:cs="Times New Roman"/>
          <w:color w:val="000000"/>
          <w:sz w:val="24"/>
          <w:highlight w:val="none"/>
          <w:u w:val="none"/>
        </w:rPr>
        <w:t xml:space="preserve">联系方式：</w:t>
      </w:r>
      <w:bookmarkStart w:id="30" w:name="_Toc28359009"/>
      <w:r/>
      <w:bookmarkEnd w:id="30"/>
      <w:r/>
      <w:bookmarkStart w:id="31" w:name="_Toc28359086"/>
      <w:r/>
      <w:bookmarkEnd w:id="31"/>
      <w:r>
        <w:rPr>
          <w:rFonts w:ascii="Times New Roman" w:hAnsi="Times New Roman" w:eastAsia="宋体" w:cs="Times New Roman"/>
          <w:color w:val="000000"/>
          <w:sz w:val="24"/>
          <w:highlight w:val="none"/>
          <w:u w:val="none"/>
        </w:rPr>
        <w:t xml:space="preserve">13773733615      </w:t>
      </w:r>
      <w:r>
        <w:rPr>
          <w:rFonts w:ascii="Times New Roman" w:hAnsi="Times New Roman" w:eastAsia="宋体" w:cs="Times New Roman"/>
          <w:color w:val="000000"/>
          <w:sz w:val="24"/>
          <w:highlight w:val="none"/>
          <w:u w:val="none"/>
        </w:rPr>
      </w:r>
      <w:r/>
    </w:p>
    <w:p>
      <w:pPr>
        <w:pStyle w:val="1007"/>
        <w:numPr>
          <w:ilvl w:val="0"/>
          <w:numId w:val="12"/>
        </w:numPr>
        <w:ind w:left="0" w:firstLine="482"/>
        <w:widowControl/>
        <w:tabs>
          <w:tab w:val="left" w:pos="781" w:leader="none"/>
        </w:tabs>
        <w:rPr>
          <w:b/>
          <w:highlight w:val="none"/>
        </w:rPr>
      </w:pPr>
      <w:r/>
      <w:bookmarkStart w:id="32" w:name="_Toc28359087"/>
      <w:r/>
      <w:bookmarkStart w:id="33" w:name="_Toc28359010"/>
      <w:r>
        <w:rPr>
          <w:highlight w:val="none"/>
        </w:rPr>
        <w:t xml:space="preserve">采购代理机构信息</w:t>
      </w:r>
      <w:bookmarkEnd w:id="32"/>
      <w:r/>
      <w:bookmarkEnd w:id="33"/>
      <w:r>
        <w:rPr>
          <w:b/>
          <w:highlight w:val="none"/>
        </w:rPr>
      </w:r>
      <w:r/>
    </w:p>
    <w:p>
      <w:pPr>
        <w:pStyle w:val="1026"/>
        <w:ind w:left="0" w:firstLine="480"/>
        <w:rPr>
          <w:rFonts w:ascii="Times New Roman" w:hAnsi="Times New Roman" w:eastAsia="宋体" w:cs="Times New Roman"/>
          <w:color w:val="000000"/>
          <w:sz w:val="24"/>
          <w:highlight w:val="none"/>
          <w:u w:val="none"/>
        </w:rPr>
      </w:pPr>
      <w:r>
        <w:rPr>
          <w:rFonts w:ascii="Times New Roman" w:hAnsi="Times New Roman" w:eastAsia="宋体" w:cs="Times New Roman"/>
          <w:color w:val="000000"/>
          <w:sz w:val="24"/>
          <w:highlight w:val="none"/>
          <w:u w:val="none"/>
        </w:rPr>
        <w:t xml:space="preserve">名  称：江苏广和工程咨询有限公司</w:t>
      </w:r>
      <w:r>
        <w:rPr>
          <w:rFonts w:ascii="Times New Roman" w:hAnsi="Times New Roman" w:eastAsia="宋体" w:cs="Times New Roman"/>
          <w:color w:val="000000"/>
          <w:sz w:val="24"/>
          <w:highlight w:val="none"/>
          <w:u w:val="none"/>
        </w:rPr>
      </w:r>
      <w:r/>
    </w:p>
    <w:p>
      <w:pPr>
        <w:pStyle w:val="1026"/>
        <w:ind w:left="0" w:firstLine="480"/>
        <w:rPr>
          <w:rFonts w:ascii="Times New Roman" w:hAnsi="Times New Roman" w:eastAsia="宋体" w:cs="Times New Roman"/>
          <w:color w:val="000000"/>
          <w:sz w:val="24"/>
          <w:highlight w:val="none"/>
          <w:u w:val="none"/>
        </w:rPr>
      </w:pPr>
      <w:r>
        <w:rPr>
          <w:rFonts w:ascii="Times New Roman" w:hAnsi="Times New Roman" w:eastAsia="宋体" w:cs="Times New Roman"/>
          <w:color w:val="000000"/>
          <w:sz w:val="24"/>
          <w:highlight w:val="none"/>
          <w:u w:val="none"/>
        </w:rPr>
        <w:t xml:space="preserve">地　址：南通高新区金通路7号</w:t>
      </w:r>
      <w:r>
        <w:rPr>
          <w:rFonts w:ascii="Times New Roman" w:hAnsi="Times New Roman" w:eastAsia="宋体" w:cs="Times New Roman"/>
          <w:color w:val="000000"/>
          <w:sz w:val="24"/>
          <w:highlight w:val="none"/>
          <w:u w:val="none"/>
        </w:rPr>
      </w:r>
      <w:r/>
    </w:p>
    <w:p>
      <w:pPr>
        <w:pStyle w:val="1026"/>
        <w:ind w:left="0" w:firstLine="480"/>
        <w:rPr>
          <w:rFonts w:ascii="Times New Roman" w:hAnsi="Times New Roman" w:eastAsia="宋体" w:cs="Times New Roman"/>
          <w:color w:val="000000"/>
          <w:sz w:val="24"/>
          <w:highlight w:val="none"/>
          <w:u w:val="none"/>
        </w:rPr>
      </w:pPr>
      <w:r>
        <w:rPr>
          <w:rFonts w:ascii="Times New Roman" w:hAnsi="Times New Roman" w:eastAsia="宋体" w:cs="Times New Roman"/>
          <w:color w:val="000000"/>
          <w:sz w:val="24"/>
          <w:highlight w:val="none"/>
          <w:u w:val="none"/>
        </w:rPr>
        <w:t xml:space="preserve">联系人：吴先生、张女士</w:t>
      </w:r>
      <w:r>
        <w:rPr>
          <w:rFonts w:ascii="Times New Roman" w:hAnsi="Times New Roman" w:eastAsia="宋体" w:cs="Times New Roman"/>
          <w:color w:val="000000"/>
          <w:sz w:val="24"/>
          <w:highlight w:val="none"/>
          <w:u w:val="none"/>
        </w:rPr>
      </w:r>
      <w:r/>
    </w:p>
    <w:p>
      <w:pPr>
        <w:pStyle w:val="1026"/>
        <w:ind w:left="0"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u w:val="none"/>
        </w:rPr>
        <w:t xml:space="preserve">联系方式：13862811224、13862488527</w:t>
      </w:r>
      <w:r>
        <w:rPr>
          <w:rFonts w:ascii="Times New Roman" w:hAnsi="Times New Roman" w:eastAsia="宋体" w:cs="Times New Roman"/>
          <w:color w:val="000000"/>
          <w:sz w:val="24"/>
          <w:highlight w:val="none"/>
        </w:rPr>
      </w:r>
      <w:r/>
    </w:p>
    <w:p>
      <w:pPr>
        <w:pStyle w:val="1026"/>
        <w:ind w:left="0" w:firstLine="480"/>
        <w:rPr>
          <w:rFonts w:ascii="Times New Roman" w:hAnsi="Times New Roman" w:eastAsia="宋体" w:cs="Times New Roman"/>
          <w:sz w:val="24"/>
        </w:rPr>
      </w:pPr>
      <w:r>
        <w:rPr>
          <w:rFonts w:ascii="Times New Roman" w:hAnsi="Times New Roman" w:eastAsia="宋体" w:cs="Times New Roman"/>
          <w:color w:val="000000"/>
          <w:sz w:val="24"/>
          <w:highlight w:val="none"/>
        </w:rPr>
        <w:t xml:space="preserve">交易系统软件维护人员：0513-59001950 0519-86722801</w:t>
      </w:r>
      <w:r>
        <w:rPr>
          <w:rFonts w:ascii="Times New Roman" w:hAnsi="Times New Roman" w:eastAsia="宋体" w:cs="Times New Roman"/>
          <w:sz w:val="24"/>
        </w:rPr>
      </w:r>
      <w:r/>
    </w:p>
    <w:p>
      <w:pPr>
        <w:pStyle w:val="1093"/>
        <w:numPr>
          <w:ilvl w:val="0"/>
          <w:numId w:val="2"/>
        </w:numPr>
        <w:ind w:left="0" w:firstLine="640"/>
        <w:tabs>
          <w:tab w:val="left" w:pos="880" w:leader="none"/>
        </w:tabs>
        <w:rPr>
          <w:b w:val="0"/>
        </w:rPr>
        <w:outlineLvl w:val="0"/>
      </w:pPr>
      <w:r/>
      <w:bookmarkStart w:id="34" w:name="_Toc120614211"/>
      <w:r>
        <w:br w:type="page" w:clear="all"/>
      </w:r>
      <w:bookmarkEnd w:id="34"/>
      <w:r>
        <w:t xml:space="preserve">供应商须知</w:t>
      </w:r>
      <w:r>
        <w:rPr>
          <w:b w:val="0"/>
        </w:rPr>
      </w:r>
      <w:r/>
    </w:p>
    <w:p>
      <w:pPr>
        <w:pStyle w:val="1006"/>
        <w:numPr>
          <w:ilvl w:val="0"/>
          <w:numId w:val="13"/>
        </w:numPr>
        <w:ind w:left="0" w:firstLine="482"/>
        <w:tabs>
          <w:tab w:val="left" w:pos="963" w:leader="none"/>
        </w:tabs>
        <w:rPr>
          <w:b/>
        </w:rPr>
      </w:pPr>
      <w:r/>
      <w:bookmarkStart w:id="35" w:name="_Toc20823275"/>
      <w:r/>
      <w:bookmarkStart w:id="36" w:name="_Toc513029203"/>
      <w:r/>
      <w:bookmarkStart w:id="37" w:name="_Toc155343496"/>
      <w:r/>
      <w:bookmarkStart w:id="38" w:name="_Toc120614214"/>
      <w:r/>
      <w:bookmarkStart w:id="39" w:name="_Toc16938519"/>
      <w:r>
        <w:t xml:space="preserve">总则</w:t>
      </w:r>
      <w:bookmarkEnd w:id="35"/>
      <w:r/>
      <w:bookmarkEnd w:id="36"/>
      <w:r/>
      <w:bookmarkEnd w:id="37"/>
      <w:r/>
      <w:bookmarkEnd w:id="38"/>
      <w:r/>
      <w:bookmarkEnd w:id="39"/>
      <w:r>
        <w:rPr>
          <w:b/>
        </w:rPr>
      </w:r>
      <w:r/>
    </w:p>
    <w:p>
      <w:pPr>
        <w:pStyle w:val="1007"/>
        <w:numPr>
          <w:ilvl w:val="0"/>
          <w:numId w:val="14"/>
        </w:numPr>
        <w:ind w:left="0" w:firstLine="482"/>
        <w:tabs>
          <w:tab w:val="left" w:pos="781" w:leader="none"/>
        </w:tabs>
        <w:rPr>
          <w:b/>
        </w:rPr>
      </w:pPr>
      <w:r/>
      <w:bookmarkStart w:id="40" w:name="_Hlt16619475"/>
      <w:r/>
      <w:bookmarkEnd w:id="40"/>
      <w:r/>
      <w:bookmarkStart w:id="41" w:name="_Toc20823276"/>
      <w:r/>
      <w:bookmarkStart w:id="42" w:name="_Toc513029204"/>
      <w:r/>
      <w:bookmarkStart w:id="43" w:name="_Toc16938520"/>
      <w:r>
        <w:t xml:space="preserve">采购方式</w:t>
      </w:r>
      <w:bookmarkEnd w:id="41"/>
      <w:r/>
      <w:bookmarkEnd w:id="42"/>
      <w:r/>
      <w:bookmarkEnd w:id="43"/>
      <w:r>
        <w:rPr>
          <w:b/>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1.1 本次政府采购活动采取竞争性磋商（以下简称磋商）方式，本磋商文件仅适用于磋商公告中所述项目。</w:t>
      </w:r>
      <w:r>
        <w:rPr>
          <w:rFonts w:ascii="Times New Roman" w:hAnsi="Times New Roman" w:eastAsia="宋体" w:cs="Times New Roman"/>
          <w:sz w:val="24"/>
        </w:rPr>
      </w:r>
      <w:r/>
    </w:p>
    <w:p>
      <w:pPr>
        <w:pStyle w:val="1007"/>
        <w:numPr>
          <w:ilvl w:val="0"/>
          <w:numId w:val="14"/>
        </w:numPr>
        <w:ind w:left="0" w:firstLine="482"/>
        <w:tabs>
          <w:tab w:val="left" w:pos="781" w:leader="none"/>
        </w:tabs>
        <w:rPr>
          <w:b/>
        </w:rPr>
      </w:pPr>
      <w:r/>
      <w:bookmarkStart w:id="44" w:name="_Toc20823277"/>
      <w:r/>
      <w:bookmarkStart w:id="45" w:name="_Toc513029205"/>
      <w:r/>
      <w:bookmarkStart w:id="46" w:name="_Toc16938521"/>
      <w:r>
        <w:t xml:space="preserve">合格的</w:t>
      </w:r>
      <w:bookmarkEnd w:id="44"/>
      <w:r/>
      <w:bookmarkEnd w:id="45"/>
      <w:r/>
      <w:bookmarkEnd w:id="46"/>
      <w:r>
        <w:t xml:space="preserve">供应商</w:t>
      </w:r>
      <w:r>
        <w:rPr>
          <w:b/>
        </w:rPr>
      </w:r>
      <w:r/>
    </w:p>
    <w:p>
      <w:pPr>
        <w:pStyle w:val="1026"/>
        <w:numPr>
          <w:ilvl w:val="0"/>
          <w:numId w:val="15"/>
        </w:numPr>
        <w:ind w:left="0" w:firstLine="480"/>
        <w:tabs>
          <w:tab w:val="left" w:pos="960" w:leader="none"/>
        </w:tabs>
        <w:rPr>
          <w:rFonts w:hint="eastAsia" w:ascii="宋体" w:hAnsi="宋体" w:eastAsia="宋体" w:cs="宋体"/>
          <w:b w:val="0"/>
          <w:sz w:val="24"/>
        </w:rPr>
      </w:pPr>
      <w:r>
        <w:rPr>
          <w:rFonts w:ascii="Times New Roman" w:hAnsi="Times New Roman" w:eastAsia="宋体" w:cs="Times New Roman"/>
          <w:sz w:val="24"/>
        </w:rPr>
        <w:t xml:space="preserve">满足磋商公告中供应商资格要求的规定。</w:t>
      </w:r>
      <w:r>
        <w:rPr>
          <w:rFonts w:hint="eastAsia" w:ascii="宋体" w:hAnsi="宋体" w:eastAsia="宋体" w:cs="宋体"/>
          <w:b w:val="0"/>
          <w:sz w:val="24"/>
        </w:rPr>
      </w:r>
      <w:r/>
    </w:p>
    <w:p>
      <w:pPr>
        <w:pStyle w:val="1026"/>
        <w:numPr>
          <w:ilvl w:val="0"/>
          <w:numId w:val="15"/>
        </w:numPr>
        <w:ind w:left="0" w:firstLine="480"/>
        <w:tabs>
          <w:tab w:val="left" w:pos="960" w:leader="none"/>
        </w:tabs>
        <w:rPr>
          <w:rFonts w:ascii="Times New Roman" w:hAnsi="Times New Roman" w:eastAsia="宋体" w:cs="Times New Roman"/>
          <w:b w:val="0"/>
          <w:sz w:val="24"/>
        </w:rPr>
      </w:pPr>
      <w:r>
        <w:rPr>
          <w:rFonts w:ascii="Times New Roman" w:hAnsi="Times New Roman" w:eastAsia="宋体" w:cs="Times New Roman"/>
          <w:sz w:val="24"/>
        </w:rPr>
        <w:t xml:space="preserve">满足本磋商文件实质性要求的规定。</w:t>
      </w:r>
      <w:r>
        <w:rPr>
          <w:rFonts w:ascii="Times New Roman" w:hAnsi="Times New Roman" w:eastAsia="宋体" w:cs="Times New Roman"/>
          <w:b w:val="0"/>
          <w:sz w:val="24"/>
        </w:rPr>
      </w:r>
      <w:r/>
    </w:p>
    <w:p>
      <w:pPr>
        <w:pStyle w:val="1007"/>
        <w:numPr>
          <w:ilvl w:val="0"/>
          <w:numId w:val="14"/>
        </w:numPr>
        <w:ind w:left="0" w:firstLine="482"/>
        <w:tabs>
          <w:tab w:val="left" w:pos="781" w:leader="none"/>
        </w:tabs>
        <w:rPr>
          <w:b/>
        </w:rPr>
      </w:pPr>
      <w:r/>
      <w:bookmarkStart w:id="47" w:name="_Toc513029206"/>
      <w:r/>
      <w:bookmarkStart w:id="48" w:name="_Toc16938522"/>
      <w:r/>
      <w:bookmarkStart w:id="49" w:name="_Toc20823278"/>
      <w:r>
        <w:t xml:space="preserve">适用法律</w:t>
      </w:r>
      <w:bookmarkEnd w:id="47"/>
      <w:r/>
      <w:bookmarkEnd w:id="48"/>
      <w:r/>
      <w:bookmarkEnd w:id="49"/>
      <w:r>
        <w:rPr>
          <w:b/>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3.1 本次磋商及由此产生的合同受中华人民共和国有关的法律法规制约和保护。</w:t>
      </w:r>
      <w:r>
        <w:rPr>
          <w:rFonts w:ascii="Times New Roman" w:hAnsi="Times New Roman" w:eastAsia="宋体" w:cs="Times New Roman"/>
          <w:sz w:val="24"/>
        </w:rPr>
      </w:r>
      <w:r/>
    </w:p>
    <w:p>
      <w:pPr>
        <w:pStyle w:val="1007"/>
        <w:numPr>
          <w:ilvl w:val="0"/>
          <w:numId w:val="14"/>
        </w:numPr>
        <w:ind w:left="0" w:firstLine="482"/>
        <w:tabs>
          <w:tab w:val="left" w:pos="781" w:leader="none"/>
        </w:tabs>
        <w:rPr>
          <w:b/>
        </w:rPr>
      </w:pPr>
      <w:r/>
      <w:bookmarkStart w:id="50" w:name="_Toc20823279"/>
      <w:r/>
      <w:bookmarkStart w:id="51" w:name="_Toc513029207"/>
      <w:r/>
      <w:bookmarkStart w:id="52" w:name="_Toc462564067"/>
      <w:r/>
      <w:bookmarkStart w:id="53" w:name="_Toc16938523"/>
      <w:r>
        <w:t xml:space="preserve">磋商费用</w:t>
      </w:r>
      <w:bookmarkEnd w:id="50"/>
      <w:r/>
      <w:bookmarkEnd w:id="51"/>
      <w:r/>
      <w:bookmarkEnd w:id="52"/>
      <w:r/>
      <w:bookmarkEnd w:id="53"/>
      <w:r>
        <w:rPr>
          <w:b/>
        </w:rPr>
      </w:r>
      <w:r/>
    </w:p>
    <w:p>
      <w:pPr>
        <w:pStyle w:val="1026"/>
        <w:numPr>
          <w:ilvl w:val="0"/>
          <w:numId w:val="16"/>
        </w:numPr>
        <w:ind w:left="0" w:firstLine="480"/>
        <w:tabs>
          <w:tab w:val="left" w:pos="960" w:leader="none"/>
        </w:tabs>
        <w:rPr>
          <w:rFonts w:hint="eastAsia" w:ascii="宋体" w:hAnsi="宋体" w:eastAsia="宋体" w:cs="宋体"/>
          <w:b w:val="0"/>
          <w:sz w:val="24"/>
        </w:rPr>
      </w:pPr>
      <w:r>
        <w:rPr>
          <w:rFonts w:ascii="Times New Roman" w:hAnsi="Times New Roman" w:eastAsia="宋体" w:cs="Times New Roman"/>
          <w:sz w:val="24"/>
        </w:rPr>
        <w:t xml:space="preserve">供应商应自行承担所有与参加本次磋商有关的费用，无论磋商过程中的做法和结果如何，采购人或采购代理机构在任何情况下均无义务和责任承担这些费用。</w:t>
      </w:r>
      <w:r>
        <w:rPr>
          <w:rFonts w:hint="eastAsia" w:ascii="宋体" w:hAnsi="宋体" w:eastAsia="宋体" w:cs="宋体"/>
          <w:b w:val="0"/>
          <w:sz w:val="24"/>
        </w:rPr>
      </w:r>
      <w:r/>
    </w:p>
    <w:p>
      <w:pPr>
        <w:pStyle w:val="1026"/>
        <w:numPr>
          <w:ilvl w:val="0"/>
          <w:numId w:val="16"/>
        </w:numPr>
        <w:ind w:left="0" w:firstLine="480"/>
        <w:tabs>
          <w:tab w:val="left" w:pos="960" w:leader="none"/>
        </w:tabs>
        <w:rPr>
          <w:rFonts w:hint="eastAsia" w:ascii="宋体" w:hAnsi="宋体" w:eastAsia="宋体" w:cs="宋体"/>
          <w:b w:val="0"/>
          <w:sz w:val="24"/>
        </w:rPr>
      </w:pPr>
      <w:r>
        <w:rPr>
          <w:rFonts w:ascii="Times New Roman" w:hAnsi="Times New Roman" w:eastAsia="宋体" w:cs="Times New Roman"/>
          <w:sz w:val="24"/>
        </w:rPr>
        <w:t xml:space="preserve">本次磋商采购人不收取标书工本费；通州区公共资源交易中心不收取成交服务费。</w:t>
      </w:r>
      <w:r>
        <w:rPr>
          <w:rFonts w:hint="eastAsia" w:ascii="宋体" w:hAnsi="宋体" w:eastAsia="宋体" w:cs="宋体"/>
          <w:b w:val="0"/>
          <w:sz w:val="24"/>
        </w:rPr>
      </w:r>
      <w:r/>
    </w:p>
    <w:p>
      <w:pPr>
        <w:pStyle w:val="1026"/>
        <w:numPr>
          <w:ilvl w:val="0"/>
          <w:numId w:val="16"/>
        </w:numPr>
        <w:ind w:left="0" w:firstLine="480"/>
        <w:tabs>
          <w:tab w:val="left" w:pos="960" w:leader="none"/>
        </w:tabs>
        <w:rPr>
          <w:rFonts w:ascii="Times New Roman" w:hAnsi="Times New Roman" w:eastAsia="宋体" w:cs="Times New Roman"/>
          <w:i w:val="0"/>
          <w:color w:val="000000"/>
          <w:sz w:val="24"/>
          <w:highlight w:val="none"/>
        </w:rPr>
      </w:pPr>
      <w:r>
        <w:rPr>
          <w:rFonts w:ascii="Times New Roman" w:hAnsi="Times New Roman" w:eastAsia="宋体" w:cs="Times New Roman"/>
          <w:i w:val="0"/>
          <w:color w:val="000000"/>
          <w:sz w:val="24"/>
          <w:highlight w:val="none"/>
        </w:rPr>
        <w:t xml:space="preserve">本项目招标代理费按照《江苏省招标代理服务收费的指导意见》（苏招协[2022]002号）的40%收取，由中标单位支付，请投标报价综合考虑。综合费率计算方法</w:t>
      </w:r>
      <w:r>
        <w:rPr>
          <w:rFonts w:ascii="Times New Roman" w:hAnsi="Times New Roman" w:eastAsia="宋体" w:cs="Times New Roman"/>
          <w:i w:val="0"/>
          <w:color w:val="000000"/>
          <w:sz w:val="24"/>
          <w:highlight w:val="none"/>
        </w:rPr>
      </w:r>
      <w:r/>
    </w:p>
    <w:tbl>
      <w:tblPr>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3806"/>
        <w:gridCol w:w="1660"/>
        <w:gridCol w:w="1472"/>
        <w:gridCol w:w="1866"/>
      </w:tblGrid>
      <w:tr>
        <w:trPr>
          <w:trHeight w:val="440"/>
        </w:trPr>
        <w:tc>
          <w:tcPr>
            <w:tcMar>
              <w:left w:w="10" w:type="dxa"/>
              <w:top w:w="0" w:type="dxa"/>
              <w:right w:w="10" w:type="dxa"/>
              <w:bottom w:w="0" w:type="dxa"/>
            </w:tcMar>
            <w:tcW w:w="3806" w:type="dxa"/>
            <w:vAlign w:val="center"/>
            <w:textDirection w:val="lrTb"/>
            <w:noWrap w:val="false"/>
          </w:tcPr>
          <w:p>
            <w:pPr>
              <w:pStyle w:val="100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中标金额</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660" w:type="dxa"/>
            <w:vAlign w:val="center"/>
            <w:textDirection w:val="lrTb"/>
            <w:noWrap w:val="false"/>
          </w:tcPr>
          <w:p>
            <w:pPr>
              <w:pStyle w:val="100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货物招标</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72" w:type="dxa"/>
            <w:vAlign w:val="center"/>
            <w:textDirection w:val="lrTb"/>
            <w:noWrap w:val="false"/>
          </w:tcPr>
          <w:p>
            <w:pPr>
              <w:pStyle w:val="100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服务招标</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866" w:type="dxa"/>
            <w:vAlign w:val="center"/>
            <w:textDirection w:val="lrTb"/>
            <w:noWrap w:val="false"/>
          </w:tcPr>
          <w:p>
            <w:pPr>
              <w:pStyle w:val="100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工程招标</w:t>
            </w:r>
            <w:r>
              <w:rPr>
                <w:rFonts w:hint="eastAsia" w:ascii="宋体" w:hAnsi="宋体" w:eastAsia="宋体" w:cs="宋体"/>
                <w:color w:val="000000"/>
                <w:sz w:val="24"/>
                <w:szCs w:val="24"/>
                <w:highlight w:val="none"/>
              </w:rPr>
            </w:r>
            <w:r/>
          </w:p>
        </w:tc>
      </w:tr>
      <w:tr>
        <w:trPr>
          <w:trHeight w:val="499"/>
        </w:trPr>
        <w:tc>
          <w:tcPr>
            <w:tcMar>
              <w:left w:w="10" w:type="dxa"/>
              <w:top w:w="0" w:type="dxa"/>
              <w:right w:w="10" w:type="dxa"/>
              <w:bottom w:w="0" w:type="dxa"/>
            </w:tcMar>
            <w:tcW w:w="3806" w:type="dxa"/>
            <w:vAlign w:val="center"/>
            <w:textDirection w:val="lrTb"/>
            <w:noWrap w:val="false"/>
          </w:tcPr>
          <w:p>
            <w:pPr>
              <w:pStyle w:val="100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50万元以下（含50万元）</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660" w:type="dxa"/>
            <w:vAlign w:val="center"/>
            <w:textDirection w:val="lrTb"/>
            <w:noWrap w:val="false"/>
          </w:tcPr>
          <w:p>
            <w:pPr>
              <w:pStyle w:val="100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1万元</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72" w:type="dxa"/>
            <w:vAlign w:val="center"/>
            <w:textDirection w:val="lrTb"/>
            <w:noWrap w:val="false"/>
          </w:tcPr>
          <w:p>
            <w:pPr>
              <w:pStyle w:val="100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1万元</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866" w:type="dxa"/>
            <w:vAlign w:val="center"/>
            <w:textDirection w:val="lrTb"/>
            <w:noWrap w:val="false"/>
          </w:tcPr>
          <w:p>
            <w:pPr>
              <w:pStyle w:val="100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1万元</w:t>
            </w:r>
            <w:r>
              <w:rPr>
                <w:rFonts w:hint="eastAsia" w:ascii="宋体" w:hAnsi="宋体" w:eastAsia="宋体" w:cs="宋体"/>
                <w:color w:val="000000"/>
                <w:sz w:val="24"/>
                <w:szCs w:val="24"/>
                <w:highlight w:val="none"/>
              </w:rPr>
            </w:r>
            <w:r/>
          </w:p>
        </w:tc>
      </w:tr>
      <w:tr>
        <w:trPr>
          <w:trHeight w:val="499"/>
        </w:trPr>
        <w:tc>
          <w:tcPr>
            <w:tcMar>
              <w:left w:w="10" w:type="dxa"/>
              <w:top w:w="0" w:type="dxa"/>
              <w:right w:w="10" w:type="dxa"/>
              <w:bottom w:w="0" w:type="dxa"/>
            </w:tcMar>
            <w:tcW w:w="3806" w:type="dxa"/>
            <w:vAlign w:val="center"/>
            <w:textDirection w:val="lrTb"/>
            <w:noWrap w:val="false"/>
          </w:tcPr>
          <w:p>
            <w:pPr>
              <w:pStyle w:val="100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50万元-400万元（含400万元）</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660" w:type="dxa"/>
            <w:vAlign w:val="center"/>
            <w:textDirection w:val="lrTb"/>
            <w:noWrap w:val="false"/>
          </w:tcPr>
          <w:p>
            <w:pPr>
              <w:pStyle w:val="100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72" w:type="dxa"/>
            <w:vAlign w:val="center"/>
            <w:textDirection w:val="lrTb"/>
            <w:noWrap w:val="false"/>
          </w:tcPr>
          <w:p>
            <w:pPr>
              <w:pStyle w:val="100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866" w:type="dxa"/>
            <w:vAlign w:val="center"/>
            <w:textDirection w:val="lrTb"/>
            <w:noWrap w:val="false"/>
          </w:tcPr>
          <w:p>
            <w:pPr>
              <w:pStyle w:val="100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r>
    </w:tbl>
    <w:p>
      <w:pPr>
        <w:pStyle w:val="1026"/>
        <w:ind w:left="0" w:firstLine="480"/>
        <w:rPr>
          <w:rFonts w:ascii="Times New Roman" w:hAnsi="Times New Roman" w:eastAsia="宋体" w:cs="Times New Roman"/>
          <w:i w:val="0"/>
          <w:color w:val="000000"/>
          <w:sz w:val="24"/>
          <w:highlight w:val="none"/>
        </w:rPr>
      </w:pPr>
      <w:r>
        <w:rPr>
          <w:rFonts w:ascii="Times New Roman" w:hAnsi="Times New Roman" w:eastAsia="宋体" w:cs="Times New Roman"/>
          <w:i w:val="0"/>
          <w:color w:val="000000"/>
          <w:sz w:val="24"/>
          <w:highlight w:val="none"/>
        </w:rPr>
        <w:t xml:space="preserve">计算公式：（1万元+（中标价-50万元）*1.5%）*40% 。</w:t>
      </w:r>
      <w:r>
        <w:rPr>
          <w:rFonts w:ascii="Times New Roman" w:hAnsi="Times New Roman" w:eastAsia="宋体" w:cs="Times New Roman"/>
          <w:i w:val="0"/>
          <w:color w:val="000000"/>
          <w:sz w:val="24"/>
          <w:highlight w:val="none"/>
        </w:rPr>
      </w:r>
      <w:r/>
    </w:p>
    <w:p>
      <w:pPr>
        <w:pStyle w:val="1007"/>
        <w:numPr>
          <w:ilvl w:val="0"/>
          <w:numId w:val="14"/>
        </w:numPr>
        <w:ind w:left="0" w:firstLine="482"/>
        <w:tabs>
          <w:tab w:val="left" w:pos="781" w:leader="none"/>
        </w:tabs>
        <w:rPr>
          <w:b/>
        </w:rPr>
      </w:pPr>
      <w:r>
        <w:t xml:space="preserve">磋商文件的约束力</w:t>
      </w:r>
      <w:r>
        <w:rPr>
          <w:b/>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5.1供应商一旦参加本项目采购活动，即被认为接受了本磋商文件的规定和约束。</w:t>
      </w:r>
      <w:r>
        <w:rPr>
          <w:rFonts w:ascii="Times New Roman" w:hAnsi="Times New Roman" w:eastAsia="宋体" w:cs="Times New Roman"/>
          <w:sz w:val="24"/>
        </w:rPr>
      </w:r>
      <w:r/>
    </w:p>
    <w:p>
      <w:pPr>
        <w:pStyle w:val="1006"/>
        <w:numPr>
          <w:ilvl w:val="0"/>
          <w:numId w:val="13"/>
        </w:numPr>
        <w:ind w:left="0" w:firstLine="482"/>
        <w:tabs>
          <w:tab w:val="left" w:pos="963" w:leader="none"/>
        </w:tabs>
        <w:rPr>
          <w:b/>
        </w:rPr>
      </w:pPr>
      <w:r/>
      <w:bookmarkStart w:id="54" w:name="_Toc155343497"/>
      <w:r>
        <w:t xml:space="preserve">磋商文件</w:t>
      </w:r>
      <w:bookmarkEnd w:id="54"/>
      <w:r>
        <w:rPr>
          <w:b/>
        </w:rPr>
      </w:r>
      <w:r/>
    </w:p>
    <w:p>
      <w:pPr>
        <w:pStyle w:val="1007"/>
        <w:numPr>
          <w:ilvl w:val="0"/>
          <w:numId w:val="17"/>
        </w:numPr>
        <w:ind w:left="0" w:firstLine="482"/>
        <w:tabs>
          <w:tab w:val="left" w:pos="781" w:leader="none"/>
        </w:tabs>
        <w:rPr>
          <w:b/>
        </w:rPr>
      </w:pPr>
      <w:r/>
      <w:bookmarkStart w:id="55" w:name="_Toc16938526"/>
      <w:r/>
      <w:bookmarkStart w:id="56" w:name="_Toc513029210"/>
      <w:r/>
      <w:bookmarkStart w:id="57" w:name="_Toc20823282"/>
      <w:r>
        <w:t xml:space="preserve">磋商文件构成</w:t>
      </w:r>
      <w:bookmarkEnd w:id="55"/>
      <w:r/>
      <w:bookmarkEnd w:id="56"/>
      <w:r/>
      <w:bookmarkEnd w:id="57"/>
      <w:r>
        <w:rPr>
          <w:b/>
        </w:rPr>
      </w:r>
      <w:r/>
    </w:p>
    <w:p>
      <w:pPr>
        <w:pStyle w:val="1026"/>
        <w:numPr>
          <w:ilvl w:val="0"/>
          <w:numId w:val="18"/>
        </w:numPr>
        <w:ind w:left="0" w:firstLine="480"/>
        <w:tabs>
          <w:tab w:val="left" w:pos="960" w:leader="none"/>
        </w:tabs>
        <w:rPr>
          <w:rFonts w:hint="eastAsia" w:ascii="宋体" w:hAnsi="宋体" w:eastAsia="宋体" w:cs="宋体"/>
          <w:b w:val="0"/>
          <w:sz w:val="24"/>
        </w:rPr>
      </w:pPr>
      <w:r>
        <w:rPr>
          <w:rFonts w:ascii="Times New Roman" w:hAnsi="Times New Roman" w:eastAsia="宋体" w:cs="Times New Roman"/>
          <w:sz w:val="24"/>
        </w:rPr>
        <w:t xml:space="preserve">磋商文件由以下部分组成：</w:t>
      </w:r>
      <w:r>
        <w:rPr>
          <w:rFonts w:hint="eastAsia" w:ascii="宋体" w:hAnsi="宋体" w:eastAsia="宋体" w:cs="宋体"/>
          <w:b w:val="0"/>
          <w:sz w:val="24"/>
        </w:rPr>
      </w:r>
      <w:r/>
    </w:p>
    <w:p>
      <w:pPr>
        <w:pStyle w:val="1026"/>
        <w:numPr>
          <w:ilvl w:val="0"/>
          <w:numId w:val="19"/>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磋商邀请</w:t>
      </w:r>
      <w:r>
        <w:rPr>
          <w:rFonts w:hint="eastAsia" w:ascii="宋体" w:hAnsi="宋体" w:eastAsia="宋体" w:cs="宋体"/>
          <w:b w:val="0"/>
          <w:sz w:val="24"/>
        </w:rPr>
      </w:r>
      <w:r/>
    </w:p>
    <w:p>
      <w:pPr>
        <w:pStyle w:val="1026"/>
        <w:numPr>
          <w:ilvl w:val="0"/>
          <w:numId w:val="19"/>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供应商须知</w:t>
      </w:r>
      <w:r>
        <w:rPr>
          <w:rFonts w:hint="eastAsia" w:ascii="宋体" w:hAnsi="宋体" w:eastAsia="宋体" w:cs="宋体"/>
          <w:b w:val="0"/>
          <w:sz w:val="24"/>
        </w:rPr>
      </w:r>
      <w:r/>
    </w:p>
    <w:p>
      <w:pPr>
        <w:pStyle w:val="1026"/>
        <w:numPr>
          <w:ilvl w:val="0"/>
          <w:numId w:val="19"/>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合同文本</w:t>
      </w:r>
      <w:r>
        <w:rPr>
          <w:rFonts w:hint="eastAsia" w:ascii="宋体" w:hAnsi="宋体" w:eastAsia="宋体" w:cs="宋体"/>
          <w:b w:val="0"/>
          <w:sz w:val="24"/>
        </w:rPr>
      </w:r>
      <w:r/>
    </w:p>
    <w:p>
      <w:pPr>
        <w:pStyle w:val="1026"/>
        <w:numPr>
          <w:ilvl w:val="0"/>
          <w:numId w:val="19"/>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采购需求</w:t>
      </w:r>
      <w:r>
        <w:rPr>
          <w:rFonts w:hint="eastAsia" w:ascii="宋体" w:hAnsi="宋体" w:eastAsia="宋体" w:cs="宋体"/>
          <w:b w:val="0"/>
          <w:sz w:val="24"/>
        </w:rPr>
      </w:r>
      <w:r/>
    </w:p>
    <w:p>
      <w:pPr>
        <w:pStyle w:val="1026"/>
        <w:numPr>
          <w:ilvl w:val="0"/>
          <w:numId w:val="19"/>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评审方法与评审标准</w:t>
      </w:r>
      <w:r>
        <w:rPr>
          <w:rFonts w:hint="eastAsia" w:ascii="宋体" w:hAnsi="宋体" w:eastAsia="宋体" w:cs="宋体"/>
          <w:b w:val="0"/>
          <w:sz w:val="24"/>
        </w:rPr>
      </w:r>
      <w:r/>
    </w:p>
    <w:p>
      <w:pPr>
        <w:pStyle w:val="1026"/>
        <w:numPr>
          <w:ilvl w:val="0"/>
          <w:numId w:val="19"/>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响应文件格式</w:t>
      </w:r>
      <w:r>
        <w:rPr>
          <w:rFonts w:hint="eastAsia" w:ascii="宋体" w:hAnsi="宋体" w:eastAsia="宋体" w:cs="宋体"/>
          <w:b w:val="0"/>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请仔细检查磋商文件是否齐全，如有缺漏请立即与采购代理机构联系解决。</w:t>
      </w:r>
      <w:r>
        <w:rPr>
          <w:rFonts w:ascii="Times New Roman" w:hAnsi="Times New Roman" w:eastAsia="宋体" w:cs="Times New Roman"/>
          <w:sz w:val="24"/>
        </w:rPr>
      </w:r>
      <w:r/>
    </w:p>
    <w:p>
      <w:pPr>
        <w:pStyle w:val="1026"/>
        <w:numPr>
          <w:ilvl w:val="0"/>
          <w:numId w:val="18"/>
        </w:numPr>
        <w:ind w:left="0" w:firstLine="480"/>
        <w:tabs>
          <w:tab w:val="left" w:pos="960" w:leader="none"/>
        </w:tabs>
        <w:rPr>
          <w:rFonts w:hint="eastAsia" w:ascii="宋体" w:hAnsi="宋体" w:eastAsia="宋体" w:cs="宋体"/>
          <w:b w:val="0"/>
          <w:sz w:val="24"/>
        </w:rPr>
      </w:pPr>
      <w:r>
        <w:rPr>
          <w:rFonts w:ascii="Times New Roman" w:hAnsi="Times New Roman" w:eastAsia="宋体" w:cs="Times New Roman"/>
          <w:sz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b w:val="0"/>
          <w:sz w:val="24"/>
        </w:rPr>
      </w:r>
      <w:r/>
    </w:p>
    <w:p>
      <w:pPr>
        <w:pStyle w:val="1007"/>
        <w:numPr>
          <w:ilvl w:val="0"/>
          <w:numId w:val="17"/>
        </w:numPr>
        <w:ind w:left="0" w:firstLine="482"/>
        <w:tabs>
          <w:tab w:val="left" w:pos="781" w:leader="none"/>
        </w:tabs>
        <w:rPr>
          <w:b/>
        </w:rPr>
      </w:pPr>
      <w:r/>
      <w:bookmarkStart w:id="58" w:name="_Toc462564070"/>
      <w:r/>
      <w:bookmarkStart w:id="59" w:name="_Toc20823283"/>
      <w:r/>
      <w:bookmarkStart w:id="60" w:name="_Toc16938527"/>
      <w:r/>
      <w:bookmarkStart w:id="61" w:name="_Toc513029211"/>
      <w:r>
        <w:t xml:space="preserve">磋商文件的澄清</w:t>
      </w:r>
      <w:bookmarkEnd w:id="58"/>
      <w:r/>
      <w:bookmarkEnd w:id="59"/>
      <w:r/>
      <w:bookmarkEnd w:id="60"/>
      <w:r/>
      <w:bookmarkEnd w:id="61"/>
      <w:r>
        <w:rPr>
          <w:b/>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7.1 任何要求对磋商文件进行澄清的供应商，应在磋商截止期5日前按磋商公告中的通讯地址，以书面形式通知采购人。</w:t>
      </w:r>
      <w:r>
        <w:rPr>
          <w:rFonts w:ascii="Times New Roman" w:hAnsi="Times New Roman" w:eastAsia="宋体" w:cs="Times New Roman"/>
          <w:sz w:val="24"/>
        </w:rPr>
      </w:r>
      <w:r/>
    </w:p>
    <w:p>
      <w:pPr>
        <w:pStyle w:val="1007"/>
        <w:numPr>
          <w:ilvl w:val="0"/>
          <w:numId w:val="17"/>
        </w:numPr>
        <w:ind w:left="0" w:firstLine="482"/>
        <w:tabs>
          <w:tab w:val="left" w:pos="781" w:leader="none"/>
        </w:tabs>
        <w:rPr>
          <w:b/>
        </w:rPr>
      </w:pPr>
      <w:r/>
      <w:bookmarkStart w:id="62" w:name="_Toc513029212"/>
      <w:r/>
      <w:bookmarkStart w:id="63" w:name="_Toc16938528"/>
      <w:r/>
      <w:bookmarkStart w:id="64" w:name="_Toc20823284"/>
      <w:r/>
      <w:bookmarkStart w:id="65" w:name="_Toc462564071"/>
      <w:r>
        <w:t xml:space="preserve">磋商文件的澄清和修改</w:t>
      </w:r>
      <w:bookmarkEnd w:id="62"/>
      <w:r/>
      <w:bookmarkEnd w:id="63"/>
      <w:r/>
      <w:bookmarkEnd w:id="64"/>
      <w:r/>
      <w:bookmarkEnd w:id="65"/>
      <w:r>
        <w:rPr>
          <w:b/>
        </w:rPr>
      </w:r>
      <w:r/>
    </w:p>
    <w:p>
      <w:pPr>
        <w:pStyle w:val="1026"/>
        <w:numPr>
          <w:ilvl w:val="0"/>
          <w:numId w:val="20"/>
        </w:numPr>
        <w:ind w:left="0" w:firstLine="480"/>
        <w:tabs>
          <w:tab w:val="left" w:pos="900" w:leader="none"/>
        </w:tabs>
        <w:rPr>
          <w:rFonts w:ascii="Times New Roman" w:hAnsi="Times New Roman" w:eastAsia="宋体" w:cs="Times New Roman"/>
          <w:b w:val="0"/>
          <w:sz w:val="24"/>
        </w:rPr>
      </w:pPr>
      <w:r>
        <w:rPr>
          <w:rFonts w:ascii="Times New Roman" w:hAnsi="Times New Roman" w:eastAsia="宋体" w:cs="Times New Roman"/>
          <w:sz w:val="24"/>
        </w:rPr>
        <w:t xml:space="preserve">在响应文件提交截止时间前，采购人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rPr>
          <w:rFonts w:ascii="Times New Roman" w:hAnsi="Times New Roman" w:eastAsia="宋体" w:cs="Times New Roman"/>
          <w:b w:val="0"/>
          <w:sz w:val="24"/>
        </w:rPr>
      </w:r>
      <w:r/>
    </w:p>
    <w:p>
      <w:pPr>
        <w:pStyle w:val="1026"/>
        <w:numPr>
          <w:ilvl w:val="0"/>
          <w:numId w:val="20"/>
        </w:numPr>
        <w:ind w:left="0" w:firstLine="480"/>
        <w:tabs>
          <w:tab w:val="left" w:pos="900" w:leader="none"/>
        </w:tabs>
        <w:rPr>
          <w:rFonts w:hint="eastAsia" w:ascii="宋体" w:hAnsi="宋体" w:eastAsia="宋体" w:cs="宋体"/>
          <w:b w:val="0"/>
          <w:sz w:val="24"/>
        </w:rPr>
      </w:pPr>
      <w:r>
        <w:rPr>
          <w:rFonts w:ascii="Times New Roman" w:hAnsi="Times New Roman" w:eastAsia="宋体" w:cs="Times New Roman"/>
          <w:sz w:val="24"/>
        </w:rPr>
        <w:t xml:space="preserve">采购人可以视采购项目的具体情况，组织供应商进行现场考察或召开磋商前答疑会，但不单独或分别组织只有一个供应商参加的现场考察和答疑会。</w:t>
      </w:r>
      <w:r>
        <w:rPr>
          <w:rFonts w:hint="eastAsia" w:ascii="宋体" w:hAnsi="宋体" w:eastAsia="宋体" w:cs="宋体"/>
          <w:b w:val="0"/>
          <w:sz w:val="24"/>
        </w:rPr>
      </w:r>
      <w:r/>
    </w:p>
    <w:p>
      <w:pPr>
        <w:pStyle w:val="1006"/>
        <w:numPr>
          <w:ilvl w:val="0"/>
          <w:numId w:val="13"/>
        </w:numPr>
        <w:ind w:left="0" w:firstLine="482"/>
        <w:tabs>
          <w:tab w:val="left" w:pos="963" w:leader="none"/>
        </w:tabs>
        <w:rPr>
          <w:b/>
        </w:rPr>
      </w:pPr>
      <w:r/>
      <w:bookmarkStart w:id="66" w:name="_Toc20823285"/>
      <w:r/>
      <w:bookmarkStart w:id="67" w:name="_Toc462564072"/>
      <w:r/>
      <w:bookmarkStart w:id="68" w:name="_Toc120614216"/>
      <w:r/>
      <w:bookmarkStart w:id="69" w:name="_Toc16938529"/>
      <w:r/>
      <w:bookmarkStart w:id="70" w:name="_Toc513029213"/>
      <w:r/>
      <w:bookmarkStart w:id="71" w:name="_Toc155343498"/>
      <w:r>
        <w:t xml:space="preserve">响应文件的编制</w:t>
      </w:r>
      <w:bookmarkEnd w:id="66"/>
      <w:r/>
      <w:bookmarkEnd w:id="67"/>
      <w:r/>
      <w:bookmarkEnd w:id="68"/>
      <w:r/>
      <w:bookmarkEnd w:id="69"/>
      <w:r/>
      <w:bookmarkEnd w:id="70"/>
      <w:r/>
      <w:bookmarkEnd w:id="71"/>
      <w:r>
        <w:rPr>
          <w:b/>
        </w:rPr>
      </w:r>
      <w:r/>
    </w:p>
    <w:p>
      <w:pPr>
        <w:pStyle w:val="1007"/>
        <w:numPr>
          <w:ilvl w:val="0"/>
          <w:numId w:val="21"/>
        </w:numPr>
        <w:ind w:left="0" w:firstLine="482"/>
        <w:tabs>
          <w:tab w:val="left" w:pos="781" w:leader="none"/>
        </w:tabs>
        <w:rPr>
          <w:b/>
        </w:rPr>
      </w:pPr>
      <w:r/>
      <w:bookmarkStart w:id="72" w:name="_Toc462564073"/>
      <w:r/>
      <w:bookmarkStart w:id="73" w:name="_Toc16938530"/>
      <w:r/>
      <w:bookmarkStart w:id="74" w:name="_Toc513029214"/>
      <w:r/>
      <w:bookmarkStart w:id="75" w:name="_Toc20823286"/>
      <w:r>
        <w:t xml:space="preserve">响应文件的语言及度量衡单位</w:t>
      </w:r>
      <w:bookmarkEnd w:id="72"/>
      <w:r/>
      <w:bookmarkEnd w:id="73"/>
      <w:r/>
      <w:bookmarkEnd w:id="74"/>
      <w:r/>
      <w:bookmarkEnd w:id="75"/>
      <w:r>
        <w:rPr>
          <w:b/>
        </w:rPr>
      </w:r>
      <w:r/>
    </w:p>
    <w:p>
      <w:pPr>
        <w:pStyle w:val="1026"/>
        <w:numPr>
          <w:ilvl w:val="0"/>
          <w:numId w:val="22"/>
        </w:numPr>
        <w:ind w:left="0" w:firstLine="480"/>
        <w:tabs>
          <w:tab w:val="left" w:pos="960" w:leader="none"/>
        </w:tabs>
        <w:rPr>
          <w:rFonts w:hint="eastAsia" w:ascii="宋体" w:hAnsi="宋体" w:eastAsia="宋体" w:cs="宋体"/>
          <w:b w:val="0"/>
          <w:sz w:val="24"/>
        </w:rPr>
      </w:pPr>
      <w:r>
        <w:rPr>
          <w:rFonts w:ascii="Times New Roman" w:hAnsi="Times New Roman" w:eastAsia="宋体" w:cs="Times New Roman"/>
          <w:sz w:val="24"/>
        </w:rPr>
        <w:t xml:space="preserve">供应商提交的响应文件以及供应商与采购人就有关磋商的所有来往通知、函件和文件均应使用</w:t>
      </w:r>
      <w:r>
        <w:rPr>
          <w:rFonts w:ascii="Times New Roman" w:hAnsi="Times New Roman" w:eastAsia="宋体" w:cs="Times New Roman"/>
          <w:b/>
          <w:sz w:val="24"/>
        </w:rPr>
        <w:t xml:space="preserve">简体中文</w:t>
      </w:r>
      <w:r>
        <w:rPr>
          <w:rFonts w:ascii="Times New Roman" w:hAnsi="Times New Roman" w:eastAsia="宋体" w:cs="Times New Roman"/>
          <w:sz w:val="24"/>
        </w:rPr>
        <w:t xml:space="preserve">。</w:t>
      </w:r>
      <w:r>
        <w:rPr>
          <w:rFonts w:hint="eastAsia" w:ascii="宋体" w:hAnsi="宋体" w:eastAsia="宋体" w:cs="宋体"/>
          <w:b w:val="0"/>
          <w:sz w:val="24"/>
        </w:rPr>
      </w:r>
      <w:r/>
    </w:p>
    <w:p>
      <w:pPr>
        <w:pStyle w:val="1026"/>
        <w:numPr>
          <w:ilvl w:val="0"/>
          <w:numId w:val="22"/>
        </w:numPr>
        <w:ind w:left="0" w:firstLine="480"/>
        <w:tabs>
          <w:tab w:val="left" w:pos="960" w:leader="none"/>
        </w:tabs>
        <w:rPr>
          <w:rFonts w:ascii="Times New Roman" w:hAnsi="Times New Roman" w:eastAsia="宋体" w:cs="Times New Roman"/>
          <w:b w:val="0"/>
          <w:sz w:val="24"/>
        </w:rPr>
      </w:pPr>
      <w:r>
        <w:rPr>
          <w:rFonts w:ascii="Times New Roman" w:hAnsi="Times New Roman" w:eastAsia="宋体" w:cs="Times New Roman"/>
          <w:sz w:val="24"/>
        </w:rPr>
        <w:t xml:space="preserve">除技术性能另有规定外，响应文件所使用的度量衡单位，均须采用国家法定计量单位。</w:t>
      </w:r>
      <w:r>
        <w:rPr>
          <w:rFonts w:ascii="Times New Roman" w:hAnsi="Times New Roman" w:eastAsia="宋体" w:cs="Times New Roman"/>
          <w:b w:val="0"/>
          <w:sz w:val="24"/>
        </w:rPr>
      </w:r>
      <w:r/>
    </w:p>
    <w:p>
      <w:pPr>
        <w:pStyle w:val="1026"/>
        <w:numPr>
          <w:ilvl w:val="0"/>
          <w:numId w:val="22"/>
        </w:numPr>
        <w:ind w:left="0" w:firstLine="480"/>
        <w:tabs>
          <w:tab w:val="left" w:pos="960" w:leader="none"/>
        </w:tabs>
        <w:rPr>
          <w:rFonts w:hint="eastAsia" w:ascii="宋体" w:hAnsi="宋体" w:eastAsia="宋体" w:cs="宋体"/>
          <w:b w:val="0"/>
          <w:sz w:val="24"/>
        </w:rPr>
      </w:pPr>
      <w:r>
        <w:rPr>
          <w:rFonts w:ascii="Times New Roman" w:hAnsi="Times New Roman" w:eastAsia="宋体" w:cs="Times New Roman"/>
          <w:i w:val="0"/>
          <w:color w:val="000000"/>
          <w:sz w:val="24"/>
        </w:rPr>
        <w:t xml:space="preserve">磋商货币。响应文件中的单价和总价无特殊规定的采用人民币报价，以元为单位标注。磋商文件中另有规定的按规定执行。</w:t>
      </w:r>
      <w:r>
        <w:rPr>
          <w:rFonts w:hint="eastAsia" w:ascii="宋体" w:hAnsi="宋体" w:eastAsia="宋体" w:cs="宋体"/>
          <w:b w:val="0"/>
          <w:sz w:val="24"/>
        </w:rPr>
      </w:r>
      <w:r/>
    </w:p>
    <w:p>
      <w:pPr>
        <w:pStyle w:val="1007"/>
        <w:numPr>
          <w:ilvl w:val="0"/>
          <w:numId w:val="21"/>
        </w:numPr>
        <w:ind w:left="0" w:firstLine="482"/>
        <w:tabs>
          <w:tab w:val="left" w:pos="781" w:leader="none"/>
        </w:tabs>
        <w:rPr>
          <w:b/>
        </w:rPr>
      </w:pPr>
      <w:r/>
      <w:bookmarkStart w:id="76" w:name="_Toc20823287"/>
      <w:r/>
      <w:bookmarkStart w:id="77" w:name="_Toc462564074"/>
      <w:r/>
      <w:bookmarkStart w:id="78" w:name="_Toc16938531"/>
      <w:r/>
      <w:bookmarkStart w:id="79" w:name="_Toc513029215"/>
      <w:r>
        <w:t xml:space="preserve">响应文件构成</w:t>
      </w:r>
      <w:bookmarkEnd w:id="76"/>
      <w:r/>
      <w:bookmarkEnd w:id="77"/>
      <w:r/>
      <w:bookmarkEnd w:id="78"/>
      <w:r/>
      <w:bookmarkEnd w:id="79"/>
      <w:r>
        <w:rPr>
          <w:b/>
        </w:rPr>
      </w:r>
      <w:r/>
    </w:p>
    <w:p>
      <w:pPr>
        <w:pStyle w:val="1026"/>
        <w:numPr>
          <w:ilvl w:val="0"/>
          <w:numId w:val="23"/>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供应商编写的响应文件应包括资格证明文件、符合性证明文件、商务技术要求响应文件、价格文件。</w:t>
      </w:r>
      <w:r>
        <w:rPr>
          <w:rFonts w:ascii="Times New Roman" w:hAnsi="Times New Roman" w:eastAsia="宋体" w:cs="Times New Roman"/>
          <w:i w:val="0"/>
          <w:color w:val="000000"/>
          <w:sz w:val="24"/>
        </w:rPr>
        <w:t xml:space="preserve">供应商按“第六章 响应文件格式”要求编写响应文件。</w:t>
      </w:r>
      <w:r>
        <w:rPr>
          <w:rFonts w:hint="eastAsia" w:ascii="宋体" w:hAnsi="宋体" w:eastAsia="宋体" w:cs="宋体"/>
          <w:b w:val="0"/>
          <w:sz w:val="24"/>
        </w:rPr>
      </w:r>
      <w:r/>
    </w:p>
    <w:p>
      <w:pPr>
        <w:pStyle w:val="1026"/>
        <w:numPr>
          <w:ilvl w:val="0"/>
          <w:numId w:val="23"/>
        </w:numPr>
        <w:ind w:left="0" w:firstLine="480"/>
        <w:tabs>
          <w:tab w:val="left" w:pos="1080" w:leader="none"/>
        </w:tabs>
        <w:rPr>
          <w:rFonts w:ascii="Times New Roman" w:hAnsi="Times New Roman" w:eastAsia="宋体" w:cs="Times New Roman"/>
          <w:b w:val="0"/>
          <w:sz w:val="24"/>
        </w:rPr>
      </w:pPr>
      <w:r>
        <w:rPr>
          <w:rFonts w:ascii="Times New Roman" w:hAnsi="Times New Roman" w:eastAsia="宋体" w:cs="Times New Roman"/>
          <w:sz w:val="24"/>
        </w:rPr>
        <w:t xml:space="preserve">如响应文件制作工具中格式和内容与“江苏政府采购网”发布的磋商文件不一致，请以“江苏政府采购网”发布的磋商文件为准。</w:t>
      </w:r>
      <w:r>
        <w:rPr>
          <w:rFonts w:ascii="Times New Roman" w:hAnsi="Times New Roman" w:eastAsia="宋体" w:cs="Times New Roman"/>
          <w:b w:val="0"/>
          <w:sz w:val="24"/>
        </w:rPr>
      </w:r>
      <w:r/>
    </w:p>
    <w:p>
      <w:pPr>
        <w:pStyle w:val="1007"/>
        <w:numPr>
          <w:ilvl w:val="0"/>
          <w:numId w:val="21"/>
        </w:numPr>
        <w:ind w:left="0" w:firstLine="482"/>
        <w:tabs>
          <w:tab w:val="left" w:pos="781" w:leader="none"/>
        </w:tabs>
        <w:rPr>
          <w:b/>
        </w:rPr>
      </w:pPr>
      <w:r/>
      <w:bookmarkStart w:id="80" w:name="_Hlt26670360"/>
      <w:r/>
      <w:bookmarkEnd w:id="80"/>
      <w:r/>
      <w:bookmarkStart w:id="81" w:name="_Hlt26668975"/>
      <w:r/>
      <w:bookmarkEnd w:id="81"/>
      <w:r/>
      <w:bookmarkStart w:id="82" w:name="_Hlt26954838"/>
      <w:r/>
      <w:bookmarkEnd w:id="82"/>
      <w:r/>
      <w:bookmarkStart w:id="83" w:name="_Toc14577360"/>
      <w:r/>
      <w:bookmarkStart w:id="84" w:name="_Toc49090511"/>
      <w:r>
        <w:t xml:space="preserve">磋商有效期</w:t>
      </w:r>
      <w:bookmarkEnd w:id="83"/>
      <w:r/>
      <w:bookmarkEnd w:id="84"/>
      <w:r>
        <w:rPr>
          <w:b/>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11.1磋商有效期为采购代理机构规定的提交响应文件截止之日后</w:t>
      </w:r>
      <w:r>
        <w:rPr>
          <w:rFonts w:ascii="Times New Roman" w:hAnsi="Times New Roman" w:eastAsia="宋体" w:cs="Times New Roman"/>
          <w:b/>
          <w:sz w:val="24"/>
          <w:u w:val="single"/>
        </w:rPr>
        <w:t xml:space="preserve">六十（60）天</w:t>
      </w:r>
      <w:r>
        <w:rPr>
          <w:rFonts w:ascii="Times New Roman" w:hAnsi="Times New Roman" w:eastAsia="宋体" w:cs="Times New Roman"/>
          <w:sz w:val="24"/>
        </w:rPr>
        <w:t xml:space="preserve">。磋商有效期比规定短的将被视为非实质性响应磋商文件而予以拒绝。</w:t>
      </w:r>
      <w:r>
        <w:rPr>
          <w:rFonts w:ascii="Times New Roman" w:hAnsi="Times New Roman" w:eastAsia="宋体" w:cs="Times New Roman"/>
          <w:sz w:val="24"/>
        </w:rPr>
      </w:r>
      <w:r/>
    </w:p>
    <w:p>
      <w:pPr>
        <w:pStyle w:val="1007"/>
        <w:numPr>
          <w:ilvl w:val="0"/>
          <w:numId w:val="21"/>
        </w:numPr>
        <w:ind w:left="0" w:firstLine="482"/>
        <w:tabs>
          <w:tab w:val="left" w:pos="781" w:leader="none"/>
        </w:tabs>
        <w:rPr>
          <w:b/>
        </w:rPr>
      </w:pPr>
      <w:r>
        <w:t xml:space="preserve">磋商有效期的延长</w:t>
      </w:r>
      <w:r>
        <w:rPr>
          <w:b/>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12.1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ascii="Times New Roman" w:hAnsi="Times New Roman" w:eastAsia="宋体" w:cs="Times New Roman"/>
          <w:sz w:val="24"/>
        </w:rPr>
      </w:r>
      <w:r/>
    </w:p>
    <w:p>
      <w:pPr>
        <w:pStyle w:val="1006"/>
        <w:numPr>
          <w:ilvl w:val="0"/>
          <w:numId w:val="13"/>
        </w:numPr>
        <w:ind w:left="0" w:firstLine="482"/>
        <w:tabs>
          <w:tab w:val="left" w:pos="963" w:leader="none"/>
        </w:tabs>
        <w:rPr>
          <w:b/>
        </w:rPr>
      </w:pPr>
      <w:r/>
      <w:bookmarkStart w:id="85" w:name="_Hlt26954852"/>
      <w:r/>
      <w:bookmarkEnd w:id="85"/>
      <w:r/>
      <w:bookmarkStart w:id="86" w:name="_Hlt26954739"/>
      <w:r/>
      <w:bookmarkEnd w:id="86"/>
      <w:r/>
      <w:bookmarkStart w:id="87" w:name="_Toc20823296"/>
      <w:r/>
      <w:bookmarkStart w:id="88" w:name="_Toc16938540"/>
      <w:r/>
      <w:bookmarkStart w:id="89" w:name="_Toc155343499"/>
      <w:r/>
      <w:bookmarkStart w:id="90" w:name="_Toc513029224"/>
      <w:r/>
      <w:bookmarkStart w:id="91" w:name="_Toc120614217"/>
      <w:r>
        <w:t xml:space="preserve">响应文件的递交</w:t>
      </w:r>
      <w:bookmarkEnd w:id="87"/>
      <w:r/>
      <w:bookmarkEnd w:id="88"/>
      <w:r/>
      <w:bookmarkEnd w:id="89"/>
      <w:r/>
      <w:bookmarkEnd w:id="90"/>
      <w:r/>
      <w:bookmarkEnd w:id="91"/>
      <w:r>
        <w:rPr>
          <w:b/>
        </w:rPr>
      </w:r>
      <w:r/>
    </w:p>
    <w:p>
      <w:pPr>
        <w:pStyle w:val="1007"/>
        <w:numPr>
          <w:ilvl w:val="0"/>
          <w:numId w:val="24"/>
        </w:numPr>
        <w:ind w:left="0" w:firstLine="482"/>
        <w:tabs>
          <w:tab w:val="left" w:pos="901" w:leader="none"/>
        </w:tabs>
        <w:rPr>
          <w:b/>
        </w:rPr>
      </w:pPr>
      <w:r/>
      <w:bookmarkStart w:id="92" w:name="_Toc16938541"/>
      <w:r/>
      <w:bookmarkStart w:id="93" w:name="_Toc462564084"/>
      <w:r/>
      <w:bookmarkStart w:id="94" w:name="_Toc20823297"/>
      <w:r/>
      <w:bookmarkStart w:id="95" w:name="_Toc513029225"/>
      <w:r>
        <w:t xml:space="preserve">电子磋商</w:t>
      </w:r>
      <w:bookmarkEnd w:id="92"/>
      <w:r/>
      <w:bookmarkEnd w:id="93"/>
      <w:r/>
      <w:bookmarkEnd w:id="94"/>
      <w:r/>
      <w:bookmarkEnd w:id="95"/>
      <w:r>
        <w:t xml:space="preserve">响应文件的递交</w:t>
      </w:r>
      <w:r>
        <w:rPr>
          <w:b/>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13.1供应商应当按照《操作手册》规定，在提交响应文件截止时间前制作并上传电子响应文件。</w:t>
      </w:r>
      <w:bookmarkStart w:id="96" w:name="_Toc20823298"/>
      <w:r/>
      <w:bookmarkStart w:id="97" w:name="_Toc513029226"/>
      <w:r/>
      <w:bookmarkStart w:id="98" w:name="_Toc16938542"/>
      <w:r>
        <w:rPr>
          <w:rFonts w:ascii="Times New Roman" w:hAnsi="Times New Roman" w:eastAsia="宋体" w:cs="Times New Roman"/>
          <w:sz w:val="24"/>
        </w:rPr>
      </w:r>
      <w:r/>
    </w:p>
    <w:p>
      <w:pPr>
        <w:pStyle w:val="1007"/>
        <w:numPr>
          <w:ilvl w:val="0"/>
          <w:numId w:val="24"/>
        </w:numPr>
        <w:ind w:left="0" w:firstLine="482"/>
        <w:tabs>
          <w:tab w:val="left" w:pos="901" w:leader="none"/>
        </w:tabs>
        <w:rPr>
          <w:b/>
        </w:rPr>
      </w:pPr>
      <w:r>
        <w:t xml:space="preserve">提交响应文件截止时间</w:t>
      </w:r>
      <w:bookmarkEnd w:id="96"/>
      <w:r/>
      <w:bookmarkEnd w:id="97"/>
      <w:r/>
      <w:bookmarkEnd w:id="98"/>
      <w:r>
        <w:rPr>
          <w:b/>
        </w:rPr>
      </w:r>
      <w:r/>
    </w:p>
    <w:p>
      <w:pPr>
        <w:pStyle w:val="1026"/>
        <w:numPr>
          <w:ilvl w:val="0"/>
          <w:numId w:val="25"/>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供应商上传电子响应文件的时间不得迟于磋商公告中规定的提交响应文件截止时间。</w:t>
      </w:r>
      <w:r>
        <w:rPr>
          <w:rFonts w:hint="eastAsia" w:ascii="宋体" w:hAnsi="宋体" w:eastAsia="宋体" w:cs="宋体"/>
          <w:b w:val="0"/>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供应商应充分考虑到网络环境、网络带宽等风险因素，如因供应商自身原因造成的电子响应文件上传不成功的按照本磋商文件第二章第21.3.2条规定做无效响应处理。</w:t>
      </w:r>
      <w:r>
        <w:rPr>
          <w:rFonts w:ascii="Times New Roman" w:hAnsi="Times New Roman" w:eastAsia="宋体" w:cs="Times New Roman"/>
          <w:sz w:val="24"/>
        </w:rPr>
      </w:r>
      <w:r/>
    </w:p>
    <w:p>
      <w:pPr>
        <w:pStyle w:val="1026"/>
        <w:numPr>
          <w:ilvl w:val="0"/>
          <w:numId w:val="25"/>
        </w:numPr>
        <w:ind w:left="0" w:firstLine="480"/>
        <w:tabs>
          <w:tab w:val="left" w:pos="1080" w:leader="none"/>
        </w:tabs>
        <w:rPr>
          <w:rFonts w:ascii="Times New Roman" w:hAnsi="Times New Roman" w:eastAsia="宋体" w:cs="Times New Roman"/>
          <w:b w:val="0"/>
          <w:sz w:val="24"/>
        </w:rPr>
      </w:pPr>
      <w:r>
        <w:rPr>
          <w:rFonts w:ascii="Times New Roman" w:hAnsi="Times New Roman" w:eastAsia="宋体" w:cs="Times New Roman"/>
          <w:sz w:val="24"/>
        </w:rPr>
        <w:t xml:space="preserve">采购人可以按照规定，通过修改磋商文件酌情延长提交响应文件截止日期，在此情况下，供应商的所有权利和义务以及供应商受制的截止日期均应以延长后新的截止日期为准。</w:t>
      </w:r>
      <w:r>
        <w:rPr>
          <w:rFonts w:ascii="Times New Roman" w:hAnsi="Times New Roman" w:eastAsia="宋体" w:cs="Times New Roman"/>
          <w:b w:val="0"/>
          <w:sz w:val="24"/>
        </w:rPr>
      </w:r>
      <w:r/>
    </w:p>
    <w:p>
      <w:pPr>
        <w:pStyle w:val="1007"/>
        <w:numPr>
          <w:ilvl w:val="0"/>
          <w:numId w:val="24"/>
        </w:numPr>
        <w:ind w:left="0" w:firstLine="482"/>
        <w:tabs>
          <w:tab w:val="left" w:pos="901" w:leader="none"/>
        </w:tabs>
        <w:rPr>
          <w:b/>
        </w:rPr>
      </w:pPr>
      <w:r/>
      <w:bookmarkStart w:id="99" w:name="_Toc16938543"/>
      <w:r/>
      <w:bookmarkStart w:id="100" w:name="_Toc20823299"/>
      <w:r/>
      <w:bookmarkStart w:id="101" w:name="_Toc513029227"/>
      <w:r>
        <w:t xml:space="preserve">响应文件</w:t>
      </w:r>
      <w:bookmarkEnd w:id="99"/>
      <w:r/>
      <w:bookmarkEnd w:id="100"/>
      <w:r/>
      <w:bookmarkEnd w:id="101"/>
      <w:r>
        <w:t xml:space="preserve">的拒收</w:t>
      </w:r>
      <w:r>
        <w:rPr>
          <w:b/>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15.1 采购人拒绝接收在其规定的提交响应文件截止时间后上传的任何电子响应文件。</w:t>
      </w:r>
      <w:r>
        <w:rPr>
          <w:rFonts w:ascii="Times New Roman" w:hAnsi="Times New Roman" w:eastAsia="宋体" w:cs="Times New Roman"/>
          <w:sz w:val="24"/>
        </w:rPr>
      </w:r>
      <w:r/>
    </w:p>
    <w:p>
      <w:pPr>
        <w:pStyle w:val="1007"/>
        <w:numPr>
          <w:ilvl w:val="0"/>
          <w:numId w:val="24"/>
        </w:numPr>
        <w:ind w:left="0" w:firstLine="482"/>
        <w:tabs>
          <w:tab w:val="left" w:pos="901" w:leader="none"/>
        </w:tabs>
        <w:rPr>
          <w:b/>
        </w:rPr>
      </w:pPr>
      <w:r/>
      <w:bookmarkStart w:id="102" w:name="_Toc513029228"/>
      <w:r/>
      <w:bookmarkStart w:id="103" w:name="_Toc16938544"/>
      <w:r/>
      <w:bookmarkStart w:id="104" w:name="_Toc20823300"/>
      <w:r>
        <w:t xml:space="preserve">响应文件的撤回和修改</w:t>
      </w:r>
      <w:bookmarkEnd w:id="102"/>
      <w:r/>
      <w:bookmarkEnd w:id="103"/>
      <w:r/>
      <w:bookmarkEnd w:id="104"/>
      <w:r>
        <w:rPr>
          <w:b/>
        </w:rPr>
      </w:r>
      <w:r/>
    </w:p>
    <w:p>
      <w:pPr>
        <w:pStyle w:val="1026"/>
        <w:numPr>
          <w:ilvl w:val="0"/>
          <w:numId w:val="26"/>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响应文件的撤回</w:t>
      </w:r>
      <w:r>
        <w:rPr>
          <w:rFonts w:hint="eastAsia" w:ascii="宋体" w:hAnsi="宋体" w:eastAsia="宋体" w:cs="宋体"/>
          <w:b w:val="0"/>
          <w:sz w:val="24"/>
        </w:rPr>
      </w:r>
      <w:r/>
    </w:p>
    <w:p>
      <w:pPr>
        <w:pStyle w:val="1026"/>
        <w:numPr>
          <w:ilvl w:val="0"/>
          <w:numId w:val="27"/>
        </w:numPr>
        <w:ind w:left="0" w:firstLine="480"/>
        <w:tabs>
          <w:tab w:val="left" w:pos="1200" w:leader="none"/>
        </w:tabs>
        <w:rPr>
          <w:rFonts w:ascii="Times New Roman" w:hAnsi="Times New Roman" w:eastAsia="宋体" w:cs="Times New Roman"/>
          <w:b w:val="0"/>
          <w:sz w:val="24"/>
        </w:rPr>
      </w:pPr>
      <w:r>
        <w:rPr>
          <w:rFonts w:ascii="Times New Roman" w:hAnsi="Times New Roman" w:eastAsia="宋体" w:cs="Times New Roman"/>
          <w:sz w:val="24"/>
        </w:rPr>
        <w:t xml:space="preserve">电子响应文件的撤回</w:t>
      </w:r>
      <w:r>
        <w:rPr>
          <w:rFonts w:ascii="Times New Roman" w:hAnsi="Times New Roman" w:eastAsia="宋体" w:cs="Times New Roman"/>
          <w:b w:val="0"/>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供应商可在提交响应文件截止时间前，撤回其电子响应文件，具体操作方法见《操作手册》。</w:t>
      </w:r>
      <w:r>
        <w:rPr>
          <w:rFonts w:ascii="Times New Roman" w:hAnsi="Times New Roman" w:eastAsia="宋体" w:cs="Times New Roman"/>
          <w:sz w:val="24"/>
        </w:rPr>
      </w:r>
      <w:r/>
    </w:p>
    <w:p>
      <w:pPr>
        <w:pStyle w:val="1026"/>
        <w:numPr>
          <w:ilvl w:val="0"/>
          <w:numId w:val="27"/>
        </w:numPr>
        <w:ind w:left="0" w:firstLine="480"/>
        <w:tabs>
          <w:tab w:val="left" w:pos="1200" w:leader="none"/>
        </w:tabs>
        <w:rPr>
          <w:rFonts w:hint="eastAsia" w:ascii="宋体" w:hAnsi="宋体" w:eastAsia="宋体" w:cs="宋体"/>
          <w:b w:val="0"/>
          <w:sz w:val="24"/>
        </w:rPr>
      </w:pPr>
      <w:r>
        <w:rPr>
          <w:rFonts w:ascii="Times New Roman" w:hAnsi="Times New Roman" w:eastAsia="宋体" w:cs="Times New Roman"/>
          <w:sz w:val="24"/>
        </w:rPr>
        <w:t xml:space="preserve">供应商撤回电子响应文件，则认为其不再参与本项目磋商活动。</w:t>
      </w:r>
      <w:r>
        <w:rPr>
          <w:rFonts w:hint="eastAsia" w:ascii="宋体" w:hAnsi="宋体" w:eastAsia="宋体" w:cs="宋体"/>
          <w:b w:val="0"/>
          <w:sz w:val="24"/>
        </w:rPr>
      </w:r>
      <w:r/>
    </w:p>
    <w:p>
      <w:pPr>
        <w:pStyle w:val="1026"/>
        <w:numPr>
          <w:ilvl w:val="0"/>
          <w:numId w:val="26"/>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响应文件的修改</w:t>
      </w:r>
      <w:r>
        <w:rPr>
          <w:rFonts w:hint="eastAsia" w:ascii="宋体" w:hAnsi="宋体" w:eastAsia="宋体" w:cs="宋体"/>
          <w:b w:val="0"/>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供应商可在提交响应文件截止时间前，对其电子响应文件进行修改，具体操作方法见《操作手册》。</w:t>
      </w:r>
      <w:r>
        <w:rPr>
          <w:rFonts w:ascii="Times New Roman" w:hAnsi="Times New Roman" w:eastAsia="宋体" w:cs="Times New Roman"/>
          <w:sz w:val="24"/>
        </w:rPr>
      </w:r>
      <w:r/>
    </w:p>
    <w:p>
      <w:pPr>
        <w:pStyle w:val="1026"/>
        <w:numPr>
          <w:ilvl w:val="0"/>
          <w:numId w:val="26"/>
        </w:numPr>
        <w:ind w:left="0" w:firstLine="480"/>
        <w:tabs>
          <w:tab w:val="left" w:pos="1080" w:leader="none"/>
        </w:tabs>
        <w:rPr>
          <w:rFonts w:ascii="Times New Roman" w:hAnsi="Times New Roman" w:eastAsia="宋体" w:cs="Times New Roman"/>
          <w:b w:val="0"/>
          <w:sz w:val="24"/>
        </w:rPr>
      </w:pPr>
      <w:r>
        <w:rPr>
          <w:rFonts w:ascii="Times New Roman" w:hAnsi="Times New Roman" w:eastAsia="宋体" w:cs="Times New Roman"/>
          <w:sz w:val="24"/>
        </w:rPr>
        <w:t xml:space="preserve">在提交响应文件截止时间之后，供应商不得对其电子响应文件作任何修改。</w:t>
      </w:r>
      <w:r>
        <w:rPr>
          <w:rFonts w:ascii="Times New Roman" w:hAnsi="Times New Roman" w:eastAsia="宋体" w:cs="Times New Roman"/>
          <w:b w:val="0"/>
          <w:sz w:val="24"/>
        </w:rPr>
      </w:r>
      <w:r/>
    </w:p>
    <w:p>
      <w:pPr>
        <w:pStyle w:val="1026"/>
        <w:numPr>
          <w:ilvl w:val="0"/>
          <w:numId w:val="26"/>
        </w:numPr>
        <w:ind w:left="0" w:firstLine="480"/>
        <w:tabs>
          <w:tab w:val="left" w:pos="1080" w:leader="none"/>
        </w:tabs>
        <w:rPr>
          <w:rFonts w:ascii="Times New Roman" w:hAnsi="Times New Roman" w:eastAsia="宋体" w:cs="Times New Roman"/>
          <w:b w:val="0"/>
          <w:sz w:val="24"/>
        </w:rPr>
      </w:pPr>
      <w:r>
        <w:rPr>
          <w:rFonts w:ascii="Times New Roman" w:hAnsi="Times New Roman" w:eastAsia="宋体" w:cs="Times New Roman"/>
          <w:sz w:val="24"/>
        </w:rPr>
        <w:t xml:space="preserve">在提交响应文件截止时间至磋商文件中规定的磋商有效期满之间的这段时间内，供应商不得撤回其响应文件。</w:t>
      </w:r>
      <w:r>
        <w:rPr>
          <w:rFonts w:ascii="Times New Roman" w:hAnsi="Times New Roman" w:eastAsia="宋体" w:cs="Times New Roman"/>
          <w:b w:val="0"/>
          <w:sz w:val="24"/>
        </w:rPr>
      </w:r>
      <w:r/>
    </w:p>
    <w:p>
      <w:pPr>
        <w:pStyle w:val="1006"/>
        <w:numPr>
          <w:ilvl w:val="0"/>
          <w:numId w:val="13"/>
        </w:numPr>
        <w:ind w:left="0" w:firstLine="482"/>
        <w:tabs>
          <w:tab w:val="left" w:pos="963" w:leader="none"/>
        </w:tabs>
        <w:rPr>
          <w:b/>
        </w:rPr>
      </w:pPr>
      <w:r/>
      <w:bookmarkStart w:id="105" w:name="_Toc20823301"/>
      <w:r/>
      <w:bookmarkStart w:id="106" w:name="_Toc120614218"/>
      <w:r/>
      <w:bookmarkStart w:id="107" w:name="_Toc155343500"/>
      <w:r/>
      <w:bookmarkStart w:id="108" w:name="_Toc513029229"/>
      <w:r/>
      <w:bookmarkStart w:id="109" w:name="_Toc16938545"/>
      <w:r>
        <w:t xml:space="preserve">响应文件的解密与评审</w:t>
      </w:r>
      <w:bookmarkEnd w:id="105"/>
      <w:r/>
      <w:bookmarkEnd w:id="106"/>
      <w:r/>
      <w:bookmarkEnd w:id="107"/>
      <w:r/>
      <w:bookmarkEnd w:id="108"/>
      <w:r/>
      <w:bookmarkEnd w:id="109"/>
      <w:r>
        <w:rPr>
          <w:b/>
        </w:rPr>
      </w:r>
      <w:r/>
    </w:p>
    <w:p>
      <w:pPr>
        <w:pStyle w:val="1007"/>
        <w:numPr>
          <w:ilvl w:val="0"/>
          <w:numId w:val="28"/>
        </w:numPr>
        <w:ind w:left="0" w:firstLine="482"/>
        <w:tabs>
          <w:tab w:val="left" w:pos="901" w:leader="none"/>
        </w:tabs>
        <w:rPr>
          <w:b/>
        </w:rPr>
      </w:pPr>
      <w:r>
        <w:t xml:space="preserve">响应文件解密</w:t>
      </w:r>
      <w:r>
        <w:rPr>
          <w:b/>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17.1供应商应当按照《操作手册》规定，在苏采云系统规定的时间内对磋商响应文件进行解密。</w:t>
      </w:r>
      <w:r>
        <w:rPr>
          <w:rFonts w:ascii="Times New Roman" w:hAnsi="Times New Roman" w:eastAsia="宋体" w:cs="Times New Roman"/>
          <w:sz w:val="24"/>
        </w:rPr>
      </w:r>
      <w:r/>
    </w:p>
    <w:p>
      <w:pPr>
        <w:pStyle w:val="1007"/>
        <w:numPr>
          <w:ilvl w:val="0"/>
          <w:numId w:val="28"/>
        </w:numPr>
        <w:ind w:left="0" w:firstLine="482"/>
        <w:tabs>
          <w:tab w:val="left" w:pos="901" w:leader="none"/>
        </w:tabs>
        <w:rPr>
          <w:b/>
        </w:rPr>
      </w:pPr>
      <w:r/>
      <w:bookmarkStart w:id="110" w:name="_Toc20823303"/>
      <w:r/>
      <w:bookmarkStart w:id="111" w:name="_Toc513029231"/>
      <w:r/>
      <w:bookmarkStart w:id="112" w:name="_Toc16938547"/>
      <w:r>
        <w:t xml:space="preserve">磋商小组</w:t>
      </w:r>
      <w:r>
        <w:rPr>
          <w:b/>
        </w:rPr>
      </w:r>
      <w:r/>
    </w:p>
    <w:p>
      <w:pPr>
        <w:pStyle w:val="1026"/>
        <w:numPr>
          <w:ilvl w:val="0"/>
          <w:numId w:val="29"/>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采购人将组织磋商小组对响应文件进行评审。磋商小组由采购人代表和有关技术、经济等方面的专家组成，且人员构成符合政府采购有关规定。</w:t>
      </w:r>
      <w:r>
        <w:rPr>
          <w:rFonts w:hint="eastAsia" w:ascii="宋体" w:hAnsi="宋体" w:eastAsia="宋体" w:cs="宋体"/>
          <w:b w:val="0"/>
          <w:sz w:val="24"/>
        </w:rPr>
      </w:r>
      <w:r/>
    </w:p>
    <w:p>
      <w:pPr>
        <w:pStyle w:val="1026"/>
        <w:numPr>
          <w:ilvl w:val="0"/>
          <w:numId w:val="29"/>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磋商小组独立工作，负责评审所有响应文件并确定成交侯选人。</w:t>
      </w:r>
      <w:r>
        <w:rPr>
          <w:rFonts w:hint="eastAsia" w:ascii="宋体" w:hAnsi="宋体" w:eastAsia="宋体" w:cs="宋体"/>
          <w:b w:val="0"/>
          <w:sz w:val="24"/>
        </w:rPr>
      </w:r>
      <w:r/>
    </w:p>
    <w:p>
      <w:pPr>
        <w:pStyle w:val="1007"/>
        <w:numPr>
          <w:ilvl w:val="0"/>
          <w:numId w:val="28"/>
        </w:numPr>
        <w:ind w:left="0" w:firstLine="482"/>
        <w:tabs>
          <w:tab w:val="left" w:pos="901" w:leader="none"/>
        </w:tabs>
        <w:rPr>
          <w:b/>
        </w:rPr>
      </w:pPr>
      <w:r>
        <w:t xml:space="preserve">评审过程的保密与公正</w:t>
      </w:r>
      <w:bookmarkEnd w:id="110"/>
      <w:r/>
      <w:bookmarkEnd w:id="111"/>
      <w:r/>
      <w:bookmarkEnd w:id="112"/>
      <w:r>
        <w:rPr>
          <w:b/>
        </w:rPr>
      </w:r>
      <w:r/>
    </w:p>
    <w:p>
      <w:pPr>
        <w:pStyle w:val="1026"/>
        <w:numPr>
          <w:ilvl w:val="0"/>
          <w:numId w:val="30"/>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b w:val="0"/>
          <w:sz w:val="24"/>
        </w:rPr>
      </w:r>
      <w:r/>
    </w:p>
    <w:p>
      <w:pPr>
        <w:pStyle w:val="1026"/>
        <w:numPr>
          <w:ilvl w:val="0"/>
          <w:numId w:val="30"/>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在评审过程中，供应商不得以任何行为影响磋商评审过程，否则其响应文件将被作为无效响应文件。</w:t>
      </w:r>
      <w:r>
        <w:rPr>
          <w:rFonts w:hint="eastAsia" w:ascii="宋体" w:hAnsi="宋体" w:eastAsia="宋体" w:cs="宋体"/>
          <w:b w:val="0"/>
          <w:sz w:val="24"/>
        </w:rPr>
      </w:r>
      <w:r/>
    </w:p>
    <w:p>
      <w:pPr>
        <w:pStyle w:val="1026"/>
        <w:numPr>
          <w:ilvl w:val="0"/>
          <w:numId w:val="30"/>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在项目评审期间，采购代理机构将设专门人员与供应商联系。</w:t>
      </w:r>
      <w:r>
        <w:rPr>
          <w:rFonts w:hint="eastAsia" w:ascii="宋体" w:hAnsi="宋体" w:eastAsia="宋体" w:cs="宋体"/>
          <w:b w:val="0"/>
          <w:sz w:val="24"/>
        </w:rPr>
      </w:r>
      <w:r/>
    </w:p>
    <w:p>
      <w:pPr>
        <w:pStyle w:val="1026"/>
        <w:numPr>
          <w:ilvl w:val="0"/>
          <w:numId w:val="30"/>
        </w:numPr>
        <w:ind w:left="0" w:firstLine="480"/>
        <w:tabs>
          <w:tab w:val="left" w:pos="1080" w:leader="none"/>
        </w:tabs>
        <w:rPr>
          <w:rFonts w:ascii="Times New Roman" w:hAnsi="Times New Roman" w:eastAsia="宋体" w:cs="Times New Roman"/>
          <w:b w:val="0"/>
          <w:sz w:val="24"/>
        </w:rPr>
      </w:pPr>
      <w:r>
        <w:rPr>
          <w:rFonts w:ascii="Times New Roman" w:hAnsi="Times New Roman" w:eastAsia="宋体" w:cs="Times New Roman"/>
          <w:sz w:val="24"/>
        </w:rPr>
        <w:t xml:space="preserve">采购人、采购代理机构和磋商小组不向未成交的供应商解释未成交原因，也不公布评审过程中的相关细节。</w:t>
      </w:r>
      <w:r>
        <w:rPr>
          <w:rFonts w:ascii="Times New Roman" w:hAnsi="Times New Roman" w:eastAsia="宋体" w:cs="Times New Roman"/>
          <w:b w:val="0"/>
          <w:sz w:val="24"/>
        </w:rPr>
      </w:r>
      <w:r/>
    </w:p>
    <w:p>
      <w:pPr>
        <w:pStyle w:val="1007"/>
        <w:numPr>
          <w:ilvl w:val="0"/>
          <w:numId w:val="28"/>
        </w:numPr>
        <w:ind w:left="0" w:firstLine="482"/>
        <w:tabs>
          <w:tab w:val="left" w:pos="901" w:leader="none"/>
        </w:tabs>
        <w:rPr>
          <w:b/>
        </w:rPr>
      </w:pPr>
      <w:r/>
      <w:bookmarkStart w:id="113" w:name="_Toc513029232"/>
      <w:r/>
      <w:bookmarkStart w:id="114" w:name="_Toc20823304"/>
      <w:r/>
      <w:bookmarkStart w:id="115" w:name="_Toc16938548"/>
      <w:r>
        <w:t xml:space="preserve">评审过程中的澄清</w:t>
      </w:r>
      <w:bookmarkEnd w:id="113"/>
      <w:r/>
      <w:bookmarkEnd w:id="114"/>
      <w:r/>
      <w:bookmarkEnd w:id="115"/>
      <w:r>
        <w:rPr>
          <w:b/>
        </w:rPr>
      </w:r>
      <w:r/>
    </w:p>
    <w:p>
      <w:pPr>
        <w:pStyle w:val="1026"/>
        <w:numPr>
          <w:ilvl w:val="0"/>
          <w:numId w:val="31"/>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b w:val="0"/>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磋商小组并非对每个供应商都作澄清要求。</w:t>
      </w:r>
      <w:r>
        <w:rPr>
          <w:rFonts w:ascii="Times New Roman" w:hAnsi="Times New Roman" w:eastAsia="宋体" w:cs="Times New Roman"/>
          <w:sz w:val="24"/>
        </w:rPr>
      </w:r>
      <w:r/>
    </w:p>
    <w:p>
      <w:pPr>
        <w:pStyle w:val="1026"/>
        <w:numPr>
          <w:ilvl w:val="0"/>
          <w:numId w:val="31"/>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b w:val="0"/>
          <w:sz w:val="24"/>
        </w:rPr>
      </w:r>
      <w:r/>
    </w:p>
    <w:p>
      <w:pPr>
        <w:pStyle w:val="1026"/>
        <w:numPr>
          <w:ilvl w:val="0"/>
          <w:numId w:val="31"/>
        </w:numPr>
        <w:ind w:left="0" w:firstLine="480"/>
        <w:tabs>
          <w:tab w:val="left" w:pos="1080" w:leader="none"/>
        </w:tabs>
        <w:rPr>
          <w:rFonts w:ascii="Times New Roman" w:hAnsi="Times New Roman" w:eastAsia="宋体" w:cs="Times New Roman"/>
          <w:b w:val="0"/>
          <w:sz w:val="24"/>
        </w:rPr>
      </w:pPr>
      <w:r>
        <w:rPr>
          <w:rFonts w:ascii="Times New Roman" w:hAnsi="Times New Roman" w:eastAsia="宋体" w:cs="Times New Roman"/>
          <w:sz w:val="24"/>
        </w:rPr>
        <w:t xml:space="preserve">接到磋商小组澄清、说明和更正要求的供应商如未按规定作出澄清、说明和 更正，其风险由供应商自行承担。</w:t>
      </w:r>
      <w:r>
        <w:rPr>
          <w:rFonts w:ascii="Times New Roman" w:hAnsi="Times New Roman" w:eastAsia="宋体" w:cs="Times New Roman"/>
          <w:b w:val="0"/>
          <w:sz w:val="24"/>
        </w:rPr>
      </w:r>
      <w:r/>
    </w:p>
    <w:p>
      <w:pPr>
        <w:pStyle w:val="1007"/>
        <w:numPr>
          <w:ilvl w:val="0"/>
          <w:numId w:val="28"/>
        </w:numPr>
        <w:ind w:left="0" w:firstLine="482"/>
        <w:tabs>
          <w:tab w:val="left" w:pos="901" w:leader="none"/>
        </w:tabs>
        <w:rPr>
          <w:b/>
        </w:rPr>
      </w:pPr>
      <w:r/>
      <w:bookmarkStart w:id="116" w:name="_Toc513029233"/>
      <w:r/>
      <w:bookmarkStart w:id="117" w:name="_Toc16938549"/>
      <w:r/>
      <w:bookmarkStart w:id="118" w:name="_Toc20823305"/>
      <w:r>
        <w:t xml:space="preserve">对响应文件的审</w:t>
      </w:r>
      <w:bookmarkEnd w:id="116"/>
      <w:r/>
      <w:bookmarkEnd w:id="117"/>
      <w:r/>
      <w:bookmarkEnd w:id="118"/>
      <w:r>
        <w:t xml:space="preserve">查</w:t>
      </w:r>
      <w:r>
        <w:rPr>
          <w:b/>
        </w:rPr>
      </w:r>
      <w:r/>
    </w:p>
    <w:p>
      <w:pPr>
        <w:pStyle w:val="1026"/>
        <w:numPr>
          <w:ilvl w:val="0"/>
          <w:numId w:val="32"/>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响应文件审查分为资格审查和符合性审查。</w:t>
      </w:r>
      <w:r>
        <w:rPr>
          <w:rFonts w:hint="eastAsia" w:ascii="宋体" w:hAnsi="宋体" w:eastAsia="宋体" w:cs="宋体"/>
          <w:b w:val="0"/>
          <w:sz w:val="24"/>
        </w:rPr>
      </w:r>
      <w:r/>
    </w:p>
    <w:p>
      <w:pPr>
        <w:pStyle w:val="1026"/>
        <w:numPr>
          <w:ilvl w:val="0"/>
          <w:numId w:val="33"/>
        </w:numPr>
        <w:ind w:left="0" w:firstLine="480"/>
        <w:tabs>
          <w:tab w:val="left" w:pos="1200" w:leader="none"/>
        </w:tabs>
        <w:rPr>
          <w:rFonts w:ascii="Times New Roman" w:hAnsi="Times New Roman" w:eastAsia="宋体" w:cs="Times New Roman"/>
          <w:b w:val="0"/>
          <w:sz w:val="24"/>
        </w:rPr>
      </w:pPr>
      <w:r>
        <w:rPr>
          <w:rFonts w:ascii="Times New Roman" w:hAnsi="Times New Roman" w:eastAsia="宋体" w:cs="Times New Roman"/>
          <w:sz w:val="24"/>
        </w:rPr>
        <w:t xml:space="preserve">资格审查：由磋商小组依据法律法规和磋商文件的规定，对响应文件中的资格证明文件进行审查，以确定供应商是否具备参加磋商的资格。</w:t>
      </w:r>
      <w:r>
        <w:rPr>
          <w:rFonts w:ascii="Times New Roman" w:hAnsi="Times New Roman" w:eastAsia="宋体" w:cs="Times New Roman"/>
          <w:b w:val="0"/>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磋商小组在进行资格审查的同时，将在“信用中国”网站（www.creditchina.gov.cn）查询供应商的信用记录，以确定供应商是否具备磋商资格,将查询结果留存并归档。</w:t>
      </w:r>
      <w:r>
        <w:rPr>
          <w:rFonts w:ascii="Times New Roman" w:hAnsi="Times New Roman" w:eastAsia="宋体" w:cs="Times New Roman"/>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Times New Roman" w:hAnsi="Times New Roman" w:eastAsia="宋体" w:cs="Times New Roman"/>
          <w:sz w:val="24"/>
        </w:rPr>
      </w:r>
      <w:r/>
    </w:p>
    <w:p>
      <w:pPr>
        <w:pStyle w:val="1026"/>
        <w:numPr>
          <w:ilvl w:val="0"/>
          <w:numId w:val="33"/>
        </w:numPr>
        <w:ind w:left="0" w:firstLine="480"/>
        <w:tabs>
          <w:tab w:val="left" w:pos="1200" w:leader="none"/>
        </w:tabs>
        <w:rPr>
          <w:rFonts w:ascii="Times New Roman" w:hAnsi="Times New Roman" w:eastAsia="宋体" w:cs="Times New Roman"/>
          <w:b w:val="0"/>
          <w:sz w:val="24"/>
        </w:rPr>
      </w:pPr>
      <w:r>
        <w:rPr>
          <w:rFonts w:ascii="Times New Roman" w:hAnsi="Times New Roman" w:eastAsia="宋体" w:cs="Times New Roman"/>
          <w:sz w:val="24"/>
        </w:rPr>
        <w:t xml:space="preserve">符合性审查：依据磋商文件的规定，由磋商小组从响应文件的有效性、完整性和对磋商文件的响应程度进行审查，以确定是否对磋商文件的实质性要求作出响应。</w:t>
      </w:r>
      <w:r>
        <w:rPr>
          <w:rFonts w:ascii="Times New Roman" w:hAnsi="Times New Roman" w:eastAsia="宋体" w:cs="Times New Roman"/>
          <w:b w:val="0"/>
          <w:sz w:val="24"/>
        </w:rPr>
      </w:r>
      <w:r/>
    </w:p>
    <w:p>
      <w:pPr>
        <w:pStyle w:val="1026"/>
        <w:numPr>
          <w:ilvl w:val="0"/>
          <w:numId w:val="33"/>
        </w:numPr>
        <w:ind w:left="0" w:firstLine="480"/>
        <w:tabs>
          <w:tab w:val="left" w:pos="1200" w:leader="none"/>
        </w:tabs>
        <w:rPr>
          <w:rFonts w:ascii="Times New Roman" w:hAnsi="Times New Roman" w:eastAsia="宋体" w:cs="Times New Roman"/>
          <w:b w:val="0"/>
          <w:sz w:val="24"/>
        </w:rPr>
      </w:pPr>
      <w:r>
        <w:rPr>
          <w:rFonts w:ascii="Times New Roman" w:hAnsi="Times New Roman" w:eastAsia="宋体" w:cs="Times New Roman"/>
          <w:sz w:val="24"/>
        </w:rPr>
        <w:t xml:space="preserve">未通过资格审查或符合性审查的供应商，磋商小组将在苏采云系统中告知未通过资格审查或符合性审查的原因，评审结束后，磋商小组将不再告知未通过资格审查或符合性审查的原因。</w:t>
      </w:r>
      <w:r>
        <w:rPr>
          <w:rFonts w:ascii="Times New Roman" w:hAnsi="Times New Roman" w:eastAsia="宋体" w:cs="Times New Roman"/>
          <w:b w:val="0"/>
          <w:sz w:val="24"/>
        </w:rPr>
      </w:r>
      <w:r/>
    </w:p>
    <w:p>
      <w:pPr>
        <w:pStyle w:val="1026"/>
        <w:numPr>
          <w:ilvl w:val="0"/>
          <w:numId w:val="32"/>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b w:val="0"/>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Times New Roman" w:hAnsi="Times New Roman" w:eastAsia="宋体" w:cs="Times New Roman"/>
          <w:sz w:val="24"/>
        </w:rPr>
      </w:r>
      <w:r/>
    </w:p>
    <w:p>
      <w:pPr>
        <w:pStyle w:val="1026"/>
        <w:numPr>
          <w:ilvl w:val="0"/>
          <w:numId w:val="32"/>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未实质性响应磋商文件的情形</w:t>
      </w:r>
      <w:r>
        <w:rPr>
          <w:rFonts w:hint="eastAsia" w:ascii="宋体" w:hAnsi="宋体" w:eastAsia="宋体" w:cs="宋体"/>
          <w:b w:val="0"/>
          <w:sz w:val="24"/>
        </w:rPr>
      </w:r>
      <w:r/>
    </w:p>
    <w:p>
      <w:pPr>
        <w:pStyle w:val="1026"/>
        <w:numPr>
          <w:ilvl w:val="0"/>
          <w:numId w:val="34"/>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供应商在苏采云系统规定的时间内未成功解密电子响应文件的。</w:t>
      </w:r>
      <w:r>
        <w:rPr>
          <w:rFonts w:hint="eastAsia" w:ascii="宋体" w:hAnsi="宋体" w:eastAsia="宋体" w:cs="宋体"/>
          <w:b w:val="0"/>
          <w:sz w:val="24"/>
        </w:rPr>
      </w:r>
      <w:r/>
    </w:p>
    <w:p>
      <w:pPr>
        <w:pStyle w:val="1026"/>
        <w:numPr>
          <w:ilvl w:val="0"/>
          <w:numId w:val="34"/>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供应商未按照磋商文件要求上传电子响应文件的。</w:t>
      </w:r>
      <w:r>
        <w:rPr>
          <w:rFonts w:hint="eastAsia" w:ascii="宋体" w:hAnsi="宋体" w:eastAsia="宋体" w:cs="宋体"/>
          <w:b w:val="0"/>
          <w:sz w:val="24"/>
        </w:rPr>
      </w:r>
      <w:r/>
    </w:p>
    <w:p>
      <w:pPr>
        <w:pStyle w:val="1026"/>
        <w:numPr>
          <w:ilvl w:val="0"/>
          <w:numId w:val="34"/>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供应商同一分包提交两个（含两个）以上不同的响应文件或者最后报价的。</w:t>
      </w:r>
      <w:r>
        <w:rPr>
          <w:rFonts w:hint="eastAsia" w:ascii="宋体" w:hAnsi="宋体" w:eastAsia="宋体" w:cs="宋体"/>
          <w:b w:val="0"/>
          <w:sz w:val="24"/>
        </w:rPr>
      </w:r>
      <w:r/>
    </w:p>
    <w:p>
      <w:pPr>
        <w:pStyle w:val="1026"/>
        <w:numPr>
          <w:ilvl w:val="0"/>
          <w:numId w:val="34"/>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供应商不具备磋商文件中规定资格要求的。</w:t>
      </w:r>
      <w:r>
        <w:rPr>
          <w:rFonts w:hint="eastAsia" w:ascii="宋体" w:hAnsi="宋体" w:eastAsia="宋体" w:cs="宋体"/>
          <w:b w:val="0"/>
          <w:sz w:val="24"/>
        </w:rPr>
      </w:r>
      <w:r/>
    </w:p>
    <w:p>
      <w:pPr>
        <w:pStyle w:val="1026"/>
        <w:numPr>
          <w:ilvl w:val="0"/>
          <w:numId w:val="34"/>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供应商的最后报价超过了采购预算。</w:t>
      </w:r>
      <w:r>
        <w:rPr>
          <w:rFonts w:hint="eastAsia" w:ascii="宋体" w:hAnsi="宋体" w:eastAsia="宋体" w:cs="宋体"/>
          <w:b w:val="0"/>
          <w:sz w:val="24"/>
        </w:rPr>
      </w:r>
      <w:r/>
    </w:p>
    <w:p>
      <w:pPr>
        <w:pStyle w:val="1026"/>
        <w:numPr>
          <w:ilvl w:val="0"/>
          <w:numId w:val="34"/>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不符合磋商文件中规定的实质性要求的。</w:t>
      </w:r>
      <w:r>
        <w:rPr>
          <w:rFonts w:hint="eastAsia" w:ascii="宋体" w:hAnsi="宋体" w:eastAsia="宋体" w:cs="宋体"/>
          <w:b w:val="0"/>
          <w:sz w:val="24"/>
        </w:rPr>
      </w:r>
      <w:r/>
    </w:p>
    <w:p>
      <w:pPr>
        <w:pStyle w:val="1026"/>
        <w:numPr>
          <w:ilvl w:val="0"/>
          <w:numId w:val="34"/>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val="0"/>
          <w:sz w:val="24"/>
        </w:rPr>
      </w:r>
      <w:r/>
    </w:p>
    <w:p>
      <w:pPr>
        <w:pStyle w:val="1026"/>
        <w:numPr>
          <w:ilvl w:val="0"/>
          <w:numId w:val="34"/>
        </w:numPr>
        <w:ind w:left="0" w:firstLine="480"/>
        <w:tabs>
          <w:tab w:val="left" w:pos="1320" w:leader="none"/>
        </w:tabs>
        <w:rPr>
          <w:rFonts w:ascii="Times New Roman" w:hAnsi="Times New Roman" w:eastAsia="宋体" w:cs="Times New Roman"/>
          <w:b w:val="0"/>
          <w:sz w:val="24"/>
        </w:rPr>
      </w:pPr>
      <w:r>
        <w:rPr>
          <w:rFonts w:ascii="Times New Roman" w:hAnsi="Times New Roman" w:eastAsia="宋体" w:cs="Times New Roman"/>
          <w:sz w:val="24"/>
        </w:rPr>
        <w:t xml:space="preserve">响应文件含有采购人不能接受的附加条件的。</w:t>
      </w:r>
      <w:r>
        <w:rPr>
          <w:rFonts w:ascii="Times New Roman" w:hAnsi="Times New Roman" w:eastAsia="宋体" w:cs="Times New Roman"/>
          <w:b w:val="0"/>
          <w:sz w:val="24"/>
        </w:rPr>
      </w:r>
      <w:r/>
    </w:p>
    <w:p>
      <w:pPr>
        <w:pStyle w:val="1026"/>
        <w:numPr>
          <w:ilvl w:val="0"/>
          <w:numId w:val="34"/>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响应文件未按照磋商文件要求加盖CA电子公章的。</w:t>
      </w:r>
      <w:r>
        <w:rPr>
          <w:rFonts w:hint="eastAsia" w:ascii="宋体" w:hAnsi="宋体" w:eastAsia="宋体" w:cs="宋体"/>
          <w:b w:val="0"/>
          <w:sz w:val="24"/>
        </w:rPr>
      </w:r>
      <w:r/>
    </w:p>
    <w:p>
      <w:pPr>
        <w:pStyle w:val="1026"/>
        <w:numPr>
          <w:ilvl w:val="0"/>
          <w:numId w:val="32"/>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未实质性响应磋商文件的响应文件按无效响应处理。</w:t>
      </w:r>
      <w:r>
        <w:rPr>
          <w:rFonts w:hint="eastAsia" w:ascii="宋体" w:hAnsi="宋体" w:eastAsia="宋体" w:cs="宋体"/>
          <w:b w:val="0"/>
          <w:sz w:val="24"/>
        </w:rPr>
      </w:r>
      <w:r/>
    </w:p>
    <w:p>
      <w:pPr>
        <w:pStyle w:val="1026"/>
        <w:numPr>
          <w:ilvl w:val="0"/>
          <w:numId w:val="32"/>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如果响应文件实质上没有响应磋商文件的要求，磋商小组将予以拒绝，供应商不得通过修改或撤销不符合要求的偏离或保留而使其成为实质性响应的文件。</w:t>
      </w:r>
      <w:r>
        <w:rPr>
          <w:rFonts w:hint="eastAsia" w:ascii="宋体" w:hAnsi="宋体" w:eastAsia="宋体" w:cs="宋体"/>
          <w:b w:val="0"/>
          <w:sz w:val="24"/>
        </w:rPr>
      </w:r>
      <w:r/>
    </w:p>
    <w:p>
      <w:pPr>
        <w:pStyle w:val="1026"/>
        <w:numPr>
          <w:ilvl w:val="0"/>
          <w:numId w:val="32"/>
        </w:numPr>
        <w:ind w:left="0" w:firstLine="480"/>
        <w:tabs>
          <w:tab w:val="left" w:pos="1080" w:leader="none"/>
        </w:tabs>
        <w:rPr>
          <w:rFonts w:hint="eastAsia" w:ascii="宋体" w:hAnsi="宋体" w:eastAsia="宋体" w:cs="宋体"/>
          <w:b w:val="0"/>
          <w:sz w:val="24"/>
        </w:rPr>
      </w:pPr>
      <w:r/>
      <w:bookmarkStart w:id="119" w:name="_Toc16938550"/>
      <w:r/>
      <w:bookmarkStart w:id="120" w:name="_Toc513029234"/>
      <w:r/>
      <w:bookmarkStart w:id="121" w:name="_Toc20823306"/>
      <w:r>
        <w:rPr>
          <w:rFonts w:ascii="Times New Roman" w:hAnsi="Times New Roman" w:eastAsia="宋体" w:cs="Times New Roman"/>
          <w:sz w:val="24"/>
        </w:rPr>
        <w:t xml:space="preserve">供应商在项目评审全过程中应保持通信畅通，并安排专人与采购代理人员及磋商小组联系。</w:t>
      </w:r>
      <w:r>
        <w:rPr>
          <w:rFonts w:hint="eastAsia" w:ascii="宋体" w:hAnsi="宋体" w:eastAsia="宋体" w:cs="宋体"/>
          <w:b w:val="0"/>
          <w:sz w:val="24"/>
        </w:rPr>
      </w:r>
      <w:r/>
    </w:p>
    <w:p>
      <w:pPr>
        <w:pStyle w:val="1007"/>
        <w:numPr>
          <w:ilvl w:val="0"/>
          <w:numId w:val="28"/>
        </w:numPr>
        <w:ind w:left="0" w:firstLine="482"/>
        <w:tabs>
          <w:tab w:val="left" w:pos="901" w:leader="none"/>
        </w:tabs>
        <w:rPr>
          <w:b/>
        </w:rPr>
      </w:pPr>
      <w:r/>
      <w:bookmarkEnd w:id="119"/>
      <w:r/>
      <w:bookmarkEnd w:id="120"/>
      <w:r/>
      <w:bookmarkEnd w:id="121"/>
      <w:r>
        <w:t xml:space="preserve">磋商程序及评审方法和评审标准</w:t>
      </w:r>
      <w:r>
        <w:rPr>
          <w:b/>
        </w:rPr>
      </w:r>
      <w:r/>
    </w:p>
    <w:p>
      <w:pPr>
        <w:pStyle w:val="1008"/>
        <w:numPr>
          <w:ilvl w:val="0"/>
          <w:numId w:val="35"/>
        </w:numPr>
        <w:ind w:left="0" w:firstLine="482"/>
        <w:tabs>
          <w:tab w:val="left" w:pos="1083" w:leader="none"/>
        </w:tabs>
        <w:rPr>
          <w:rFonts w:hint="eastAsia" w:ascii="宋体" w:hAnsi="宋体" w:eastAsia="宋体" w:cs="宋体"/>
          <w:b/>
        </w:rPr>
      </w:pPr>
      <w:r>
        <w:t xml:space="preserve">磋商程序</w:t>
      </w:r>
      <w:r>
        <w:rPr>
          <w:rFonts w:hint="eastAsia" w:ascii="宋体" w:hAnsi="宋体" w:eastAsia="宋体" w:cs="宋体"/>
          <w:b/>
        </w:rPr>
      </w:r>
      <w:r/>
    </w:p>
    <w:p>
      <w:pPr>
        <w:pStyle w:val="1026"/>
        <w:numPr>
          <w:ilvl w:val="0"/>
          <w:numId w:val="36"/>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b w:val="0"/>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eastAsia="宋体" w:cs="Times New Roman"/>
          <w:sz w:val="24"/>
        </w:rPr>
      </w:r>
      <w:r/>
    </w:p>
    <w:p>
      <w:pPr>
        <w:pStyle w:val="1026"/>
        <w:numPr>
          <w:ilvl w:val="0"/>
          <w:numId w:val="36"/>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val="0"/>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最后报价是供应商响应文件的有效组成部分。提交最后报价的供应商不得少于3家。</w:t>
      </w:r>
      <w:r>
        <w:rPr>
          <w:rFonts w:ascii="Times New Roman" w:hAnsi="Times New Roman" w:eastAsia="宋体" w:cs="Times New Roman"/>
          <w:sz w:val="24"/>
        </w:rPr>
      </w:r>
      <w:r/>
    </w:p>
    <w:p>
      <w:pPr>
        <w:pStyle w:val="1026"/>
        <w:numPr>
          <w:ilvl w:val="0"/>
          <w:numId w:val="36"/>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b w:val="0"/>
          <w:sz w:val="24"/>
        </w:rPr>
      </w:r>
      <w:r/>
    </w:p>
    <w:p>
      <w:pPr>
        <w:pStyle w:val="1008"/>
        <w:numPr>
          <w:ilvl w:val="0"/>
          <w:numId w:val="35"/>
        </w:numPr>
        <w:ind w:left="0" w:firstLine="482"/>
        <w:tabs>
          <w:tab w:val="left" w:pos="1083" w:leader="none"/>
        </w:tabs>
        <w:rPr>
          <w:b/>
        </w:rPr>
      </w:pPr>
      <w:r>
        <w:t xml:space="preserve">评审方法和评审标准</w:t>
      </w:r>
      <w:r>
        <w:rPr>
          <w:b/>
        </w:rPr>
      </w:r>
      <w:r/>
    </w:p>
    <w:p>
      <w:pPr>
        <w:pStyle w:val="1026"/>
        <w:numPr>
          <w:ilvl w:val="0"/>
          <w:numId w:val="37"/>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 w:val="0"/>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Times New Roman" w:hAnsi="Times New Roman" w:eastAsia="宋体" w:cs="Times New Roman"/>
          <w:sz w:val="24"/>
        </w:rPr>
      </w:r>
      <w:r/>
    </w:p>
    <w:p>
      <w:pPr>
        <w:pStyle w:val="1026"/>
        <w:numPr>
          <w:ilvl w:val="0"/>
          <w:numId w:val="37"/>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评审标准</w:t>
      </w:r>
      <w:r>
        <w:rPr>
          <w:rFonts w:hint="eastAsia" w:ascii="宋体" w:hAnsi="宋体" w:eastAsia="宋体" w:cs="宋体"/>
          <w:b w:val="0"/>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见本磋商文件第四部分规定。</w:t>
      </w:r>
      <w:r>
        <w:rPr>
          <w:rFonts w:ascii="Times New Roman" w:hAnsi="Times New Roman" w:eastAsia="宋体" w:cs="Times New Roman"/>
          <w:sz w:val="24"/>
        </w:rPr>
      </w:r>
      <w:r/>
    </w:p>
    <w:p>
      <w:pPr>
        <w:pStyle w:val="1008"/>
        <w:numPr>
          <w:ilvl w:val="0"/>
          <w:numId w:val="35"/>
        </w:numPr>
        <w:ind w:left="0" w:firstLine="482"/>
        <w:tabs>
          <w:tab w:val="left" w:pos="1083" w:leader="none"/>
        </w:tabs>
        <w:rPr>
          <w:rFonts w:hint="eastAsia" w:ascii="宋体" w:hAnsi="宋体" w:eastAsia="宋体" w:cs="宋体"/>
          <w:b/>
        </w:rPr>
      </w:pPr>
      <w:r>
        <w:t xml:space="preserve">采购活动终止的情况</w:t>
      </w:r>
      <w:r>
        <w:rPr>
          <w:rFonts w:hint="eastAsia" w:ascii="宋体" w:hAnsi="宋体" w:eastAsia="宋体" w:cs="宋体"/>
          <w:b/>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出现下列情形之一的，本次竞争性磋商采购活动将被终止：</w:t>
      </w:r>
      <w:r>
        <w:rPr>
          <w:rFonts w:ascii="Times New Roman" w:hAnsi="Times New Roman" w:eastAsia="宋体" w:cs="Times New Roman"/>
          <w:sz w:val="24"/>
        </w:rPr>
      </w:r>
      <w:r/>
    </w:p>
    <w:p>
      <w:pPr>
        <w:pStyle w:val="1026"/>
        <w:numPr>
          <w:ilvl w:val="0"/>
          <w:numId w:val="38"/>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因情况变化，不再符合规定的竞争性磋商采购方式适用情形的。</w:t>
      </w:r>
      <w:r>
        <w:rPr>
          <w:rFonts w:hint="eastAsia" w:ascii="宋体" w:hAnsi="宋体" w:eastAsia="宋体" w:cs="宋体"/>
          <w:b w:val="0"/>
          <w:sz w:val="24"/>
        </w:rPr>
      </w:r>
      <w:r/>
    </w:p>
    <w:p>
      <w:pPr>
        <w:pStyle w:val="1026"/>
        <w:numPr>
          <w:ilvl w:val="0"/>
          <w:numId w:val="38"/>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出现影响采购公正的违法、违规行为的。</w:t>
      </w:r>
      <w:r>
        <w:rPr>
          <w:rFonts w:hint="eastAsia" w:ascii="宋体" w:hAnsi="宋体" w:eastAsia="宋体" w:cs="宋体"/>
          <w:b w:val="0"/>
          <w:sz w:val="24"/>
        </w:rPr>
      </w:r>
      <w:r/>
    </w:p>
    <w:p>
      <w:pPr>
        <w:pStyle w:val="1026"/>
        <w:numPr>
          <w:ilvl w:val="0"/>
          <w:numId w:val="38"/>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在采购过程中符合要求的供应商或者最后报价未超过采购预算的供应商不足3家的。</w:t>
      </w:r>
      <w:r>
        <w:rPr>
          <w:rFonts w:hint="eastAsia" w:ascii="宋体" w:hAnsi="宋体" w:eastAsia="宋体" w:cs="宋体"/>
          <w:b w:val="0"/>
          <w:sz w:val="24"/>
        </w:rPr>
      </w:r>
      <w:r/>
    </w:p>
    <w:p>
      <w:pPr>
        <w:pStyle w:val="1026"/>
        <w:numPr>
          <w:ilvl w:val="0"/>
          <w:numId w:val="38"/>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在苏采云系统规定时间内成功解密电子响应文件的供应商不足3家的。</w:t>
      </w:r>
      <w:r>
        <w:rPr>
          <w:rFonts w:hint="eastAsia" w:ascii="宋体" w:hAnsi="宋体" w:eastAsia="宋体" w:cs="宋体"/>
          <w:b w:val="0"/>
          <w:sz w:val="24"/>
        </w:rPr>
      </w:r>
      <w:r/>
    </w:p>
    <w:p>
      <w:pPr>
        <w:pStyle w:val="1006"/>
        <w:numPr>
          <w:ilvl w:val="0"/>
          <w:numId w:val="13"/>
        </w:numPr>
        <w:ind w:left="0" w:firstLine="482"/>
        <w:tabs>
          <w:tab w:val="left" w:pos="963" w:leader="none"/>
        </w:tabs>
        <w:rPr>
          <w:b/>
        </w:rPr>
      </w:pPr>
      <w:r/>
      <w:bookmarkStart w:id="122" w:name="_Toc155343501"/>
      <w:r>
        <w:t xml:space="preserve">成交</w:t>
      </w:r>
      <w:bookmarkEnd w:id="122"/>
      <w:r>
        <w:rPr>
          <w:b/>
        </w:rPr>
      </w:r>
      <w:r/>
    </w:p>
    <w:p>
      <w:pPr>
        <w:pStyle w:val="1007"/>
        <w:numPr>
          <w:ilvl w:val="0"/>
          <w:numId w:val="39"/>
        </w:numPr>
        <w:ind w:left="0" w:firstLine="482"/>
        <w:tabs>
          <w:tab w:val="left" w:pos="901" w:leader="none"/>
        </w:tabs>
        <w:rPr>
          <w:b/>
        </w:rPr>
      </w:pPr>
      <w:r/>
      <w:bookmarkStart w:id="123" w:name="_Toc20823310"/>
      <w:r/>
      <w:bookmarkStart w:id="124" w:name="_Toc16938554"/>
      <w:r>
        <w:t xml:space="preserve">确定</w:t>
      </w:r>
      <w:bookmarkEnd w:id="123"/>
      <w:r/>
      <w:bookmarkEnd w:id="124"/>
      <w:r>
        <w:t xml:space="preserve">成交单位</w:t>
      </w:r>
      <w:r>
        <w:rPr>
          <w:b/>
        </w:rPr>
      </w:r>
      <w:r/>
    </w:p>
    <w:p>
      <w:pPr>
        <w:pStyle w:val="1026"/>
        <w:numPr>
          <w:ilvl w:val="0"/>
          <w:numId w:val="40"/>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sz w:val="24"/>
        </w:rPr>
      </w:r>
      <w:r/>
    </w:p>
    <w:p>
      <w:pPr>
        <w:pStyle w:val="1026"/>
        <w:numPr>
          <w:ilvl w:val="0"/>
          <w:numId w:val="40"/>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采购人从评审报告提出的成交候选供应商中，按照排序由高到低的原则确定成交供应商。采购人确定成交供应商后，采购代理机构将在“江苏政府采购网”发布成交结果公告，公告期限为1个工作日。</w:t>
      </w:r>
      <w:r>
        <w:rPr>
          <w:rFonts w:hint="eastAsia" w:ascii="宋体" w:hAnsi="宋体" w:eastAsia="宋体" w:cs="宋体"/>
          <w:b w:val="0"/>
          <w:sz w:val="24"/>
        </w:rPr>
      </w:r>
      <w:r/>
    </w:p>
    <w:p>
      <w:pPr>
        <w:pStyle w:val="1026"/>
        <w:numPr>
          <w:ilvl w:val="0"/>
          <w:numId w:val="40"/>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若有充分证据证明，成交供应商出现下列情况之一的，一经查实，将被取消成交资格：</w:t>
      </w:r>
      <w:r>
        <w:rPr>
          <w:rFonts w:hint="eastAsia" w:ascii="宋体" w:hAnsi="宋体" w:eastAsia="宋体" w:cs="宋体"/>
          <w:b w:val="0"/>
          <w:sz w:val="24"/>
        </w:rPr>
      </w:r>
      <w:r/>
    </w:p>
    <w:p>
      <w:pPr>
        <w:pStyle w:val="1026"/>
        <w:numPr>
          <w:ilvl w:val="0"/>
          <w:numId w:val="41"/>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提供虚假材料谋取成交的。</w:t>
      </w:r>
      <w:r>
        <w:rPr>
          <w:rFonts w:hint="eastAsia" w:ascii="宋体" w:hAnsi="宋体" w:eastAsia="宋体" w:cs="宋体"/>
          <w:b w:val="0"/>
          <w:sz w:val="24"/>
        </w:rPr>
      </w:r>
      <w:r/>
    </w:p>
    <w:p>
      <w:pPr>
        <w:pStyle w:val="1026"/>
        <w:numPr>
          <w:ilvl w:val="0"/>
          <w:numId w:val="41"/>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与评审专家、采购人、其他供应商或者采购代理机构工作人员恶意串通的。</w:t>
      </w:r>
      <w:r>
        <w:rPr>
          <w:rFonts w:hint="eastAsia" w:ascii="宋体" w:hAnsi="宋体" w:eastAsia="宋体" w:cs="宋体"/>
          <w:b w:val="0"/>
          <w:sz w:val="24"/>
        </w:rPr>
      </w:r>
      <w:r/>
    </w:p>
    <w:p>
      <w:pPr>
        <w:pStyle w:val="1026"/>
        <w:numPr>
          <w:ilvl w:val="0"/>
          <w:numId w:val="41"/>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向评审专家、采购人或采购代理机构工作人员行贿或者提供其他不正当利益的。</w:t>
      </w:r>
      <w:r>
        <w:rPr>
          <w:rFonts w:hint="eastAsia" w:ascii="宋体" w:hAnsi="宋体" w:eastAsia="宋体" w:cs="宋体"/>
          <w:b w:val="0"/>
          <w:sz w:val="24"/>
        </w:rPr>
      </w:r>
      <w:r/>
    </w:p>
    <w:p>
      <w:pPr>
        <w:pStyle w:val="1026"/>
        <w:numPr>
          <w:ilvl w:val="0"/>
          <w:numId w:val="41"/>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恶意竞争，最后报价明显低于其自身合理成本且又无法提供证明的。</w:t>
      </w:r>
      <w:r>
        <w:rPr>
          <w:rFonts w:hint="eastAsia" w:ascii="宋体" w:hAnsi="宋体" w:eastAsia="宋体" w:cs="宋体"/>
          <w:b w:val="0"/>
          <w:sz w:val="24"/>
        </w:rPr>
      </w:r>
      <w:r/>
    </w:p>
    <w:p>
      <w:pPr>
        <w:pStyle w:val="1026"/>
        <w:numPr>
          <w:ilvl w:val="0"/>
          <w:numId w:val="41"/>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不满足本磋商文件规定的实质性要求，但在评审过程中又未被磋商小组发现的。</w:t>
      </w:r>
      <w:r>
        <w:rPr>
          <w:rFonts w:hint="eastAsia" w:ascii="宋体" w:hAnsi="宋体" w:eastAsia="宋体" w:cs="宋体"/>
          <w:b w:val="0"/>
          <w:sz w:val="24"/>
        </w:rPr>
      </w:r>
      <w:r/>
    </w:p>
    <w:p>
      <w:pPr>
        <w:pStyle w:val="1026"/>
        <w:numPr>
          <w:ilvl w:val="0"/>
          <w:numId w:val="41"/>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成交后无正当理由拒不与采购人签订政府采购合同或者未按照磋商文件确定的事项签订政府采购合同的。</w:t>
      </w:r>
      <w:r>
        <w:rPr>
          <w:rFonts w:hint="eastAsia" w:ascii="宋体" w:hAnsi="宋体" w:eastAsia="宋体" w:cs="宋体"/>
          <w:b w:val="0"/>
          <w:sz w:val="24"/>
        </w:rPr>
      </w:r>
      <w:r/>
    </w:p>
    <w:p>
      <w:pPr>
        <w:pStyle w:val="1026"/>
        <w:numPr>
          <w:ilvl w:val="0"/>
          <w:numId w:val="41"/>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将政府采购合同转包的。</w:t>
      </w:r>
      <w:r>
        <w:rPr>
          <w:rFonts w:hint="eastAsia" w:ascii="宋体" w:hAnsi="宋体" w:eastAsia="宋体" w:cs="宋体"/>
          <w:b w:val="0"/>
          <w:sz w:val="24"/>
        </w:rPr>
      </w:r>
      <w:r/>
    </w:p>
    <w:p>
      <w:pPr>
        <w:pStyle w:val="1007"/>
        <w:numPr>
          <w:ilvl w:val="0"/>
          <w:numId w:val="39"/>
        </w:numPr>
        <w:ind w:left="0" w:firstLine="482"/>
        <w:tabs>
          <w:tab w:val="left" w:pos="901" w:leader="none"/>
        </w:tabs>
        <w:rPr>
          <w:b/>
        </w:rPr>
      </w:pPr>
      <w:r/>
      <w:bookmarkStart w:id="125" w:name="_Toc200451960"/>
      <w:r>
        <w:t xml:space="preserve">质疑处理</w:t>
      </w:r>
      <w:bookmarkEnd w:id="125"/>
      <w:r>
        <w:rPr>
          <w:b/>
        </w:rPr>
      </w:r>
      <w:r/>
    </w:p>
    <w:p>
      <w:pPr>
        <w:pStyle w:val="1026"/>
        <w:numPr>
          <w:ilvl w:val="0"/>
          <w:numId w:val="42"/>
        </w:numPr>
        <w:ind w:left="0" w:firstLine="480"/>
        <w:tabs>
          <w:tab w:val="left" w:pos="1020" w:leader="none"/>
        </w:tabs>
        <w:rPr>
          <w:rFonts w:ascii="Times New Roman" w:hAnsi="Times New Roman" w:eastAsia="宋体" w:cs="Times New Roman"/>
          <w:b w:val="0"/>
          <w:sz w:val="24"/>
        </w:rPr>
      </w:pPr>
      <w:r>
        <w:rPr>
          <w:rFonts w:ascii="Times New Roman" w:hAnsi="Times New Roman" w:eastAsia="宋体" w:cs="Times New Roman"/>
          <w:sz w:val="24"/>
        </w:rPr>
        <w:t xml:space="preserve">提出质疑的供应商应当是参与所质疑项目采购活动的供应商。潜在供应商依法获取其可质疑的采购文件的，可以对采购文件提出质疑。</w:t>
      </w:r>
      <w:r>
        <w:rPr>
          <w:rFonts w:ascii="Times New Roman" w:hAnsi="Times New Roman" w:eastAsia="宋体" w:cs="Times New Roman"/>
          <w:b w:val="0"/>
          <w:sz w:val="24"/>
        </w:rPr>
      </w:r>
      <w:r/>
    </w:p>
    <w:p>
      <w:pPr>
        <w:pStyle w:val="1026"/>
        <w:numPr>
          <w:ilvl w:val="0"/>
          <w:numId w:val="42"/>
        </w:numPr>
        <w:ind w:left="0" w:firstLine="480"/>
        <w:tabs>
          <w:tab w:val="left" w:pos="1020" w:leader="none"/>
        </w:tabs>
        <w:rPr>
          <w:rFonts w:hint="eastAsia" w:ascii="宋体" w:hAnsi="宋体" w:eastAsia="宋体" w:cs="宋体"/>
          <w:b w:val="0"/>
          <w:sz w:val="24"/>
        </w:rPr>
      </w:pPr>
      <w:r>
        <w:rPr>
          <w:rFonts w:ascii="Times New Roman" w:hAnsi="Times New Roman" w:eastAsia="宋体" w:cs="Times New Roman"/>
          <w:sz w:val="24"/>
        </w:rPr>
        <w:t xml:space="preserve">供应商认为采购文件、采购过程和采购结果使自己的权益受到损害的，可以在知道或应知其权益受到损害之日起七个工作日内，以书面形式根据下述24.3条款的规定向采购人提出质疑。上述应知其权益受到损害之日，是指：</w:t>
      </w:r>
      <w:r>
        <w:rPr>
          <w:rFonts w:hint="eastAsia" w:ascii="宋体" w:hAnsi="宋体" w:eastAsia="宋体" w:cs="宋体"/>
          <w:b w:val="0"/>
          <w:sz w:val="24"/>
        </w:rPr>
      </w:r>
      <w:r/>
    </w:p>
    <w:p>
      <w:pPr>
        <w:pStyle w:val="1026"/>
        <w:numPr>
          <w:ilvl w:val="0"/>
          <w:numId w:val="43"/>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对可以质疑的采购文件提出质疑的，为收到采购文件之日或者采购文件公告期限届满之日；</w:t>
      </w:r>
      <w:r>
        <w:rPr>
          <w:rFonts w:hint="eastAsia" w:ascii="宋体" w:hAnsi="宋体" w:eastAsia="宋体" w:cs="宋体"/>
          <w:b w:val="0"/>
          <w:sz w:val="24"/>
        </w:rPr>
      </w:r>
      <w:r/>
    </w:p>
    <w:p>
      <w:pPr>
        <w:pStyle w:val="1026"/>
        <w:numPr>
          <w:ilvl w:val="0"/>
          <w:numId w:val="43"/>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对采购过程提出质疑的，为各采购程序环节结束之日；</w:t>
      </w:r>
      <w:r>
        <w:rPr>
          <w:rFonts w:hint="eastAsia" w:ascii="宋体" w:hAnsi="宋体" w:eastAsia="宋体" w:cs="宋体"/>
          <w:b w:val="0"/>
          <w:sz w:val="24"/>
        </w:rPr>
      </w:r>
      <w:r/>
    </w:p>
    <w:p>
      <w:pPr>
        <w:pStyle w:val="1026"/>
        <w:numPr>
          <w:ilvl w:val="0"/>
          <w:numId w:val="43"/>
        </w:numPr>
        <w:ind w:left="0" w:firstLine="480"/>
        <w:tabs>
          <w:tab w:val="left" w:pos="1320" w:leader="none"/>
        </w:tabs>
        <w:rPr>
          <w:rFonts w:hint="eastAsia" w:ascii="宋体" w:hAnsi="宋体" w:eastAsia="宋体" w:cs="宋体"/>
          <w:b w:val="0"/>
          <w:sz w:val="24"/>
        </w:rPr>
      </w:pPr>
      <w:r>
        <w:rPr>
          <w:rFonts w:ascii="Times New Roman" w:hAnsi="Times New Roman" w:eastAsia="宋体" w:cs="Times New Roman"/>
          <w:sz w:val="24"/>
        </w:rPr>
        <w:t xml:space="preserve">对成交结果提出质疑的，为成交结果公告期限届满之日。</w:t>
      </w:r>
      <w:r>
        <w:rPr>
          <w:rFonts w:hint="eastAsia" w:ascii="宋体" w:hAnsi="宋体" w:eastAsia="宋体" w:cs="宋体"/>
          <w:b w:val="0"/>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供应商应当在法定质疑期内一次性提出针对同一采购程序环节的质疑。供应商如在法定期限内对同一采购程序环节提出多次质疑的，采购人将只对供应商第一次质疑作出答复。</w:t>
      </w:r>
      <w:r>
        <w:rPr>
          <w:rFonts w:ascii="Times New Roman" w:hAnsi="Times New Roman" w:eastAsia="宋体" w:cs="Times New Roman"/>
          <w:sz w:val="24"/>
        </w:rPr>
      </w:r>
      <w:r/>
    </w:p>
    <w:p>
      <w:pPr>
        <w:pStyle w:val="1026"/>
        <w:numPr>
          <w:ilvl w:val="0"/>
          <w:numId w:val="42"/>
        </w:numPr>
        <w:ind w:left="0" w:firstLine="480"/>
        <w:tabs>
          <w:tab w:val="left" w:pos="1020" w:leader="none"/>
        </w:tabs>
        <w:rPr>
          <w:rFonts w:hint="eastAsia" w:ascii="宋体" w:hAnsi="宋体" w:eastAsia="宋体" w:cs="宋体"/>
          <w:b w:val="0"/>
          <w:sz w:val="24"/>
        </w:rPr>
      </w:pPr>
      <w:r>
        <w:rPr>
          <w:rFonts w:ascii="Times New Roman" w:hAnsi="Times New Roman" w:eastAsia="宋体" w:cs="Times New Roman"/>
          <w:sz w:val="24"/>
        </w:rPr>
        <w:t xml:space="preserve">质疑函必须按照本磋商文件中《质疑函范本》要求的格式和内容进行填写。供应商如组成联合体参加投标，则《质疑函范本》中要求签字、盖章、加盖公章之处，联合体各方均须按要求签字、盖章、加盖公章。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b w:val="0"/>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采购人只接收以纸质原件形式送达的质疑，建议供应商尽量通过邮寄方式提交质疑（采购人不接受无快递运单号的快递）。</w:t>
      </w:r>
      <w:r>
        <w:rPr>
          <w:rFonts w:ascii="Times New Roman" w:hAnsi="Times New Roman" w:eastAsia="宋体" w:cs="Times New Roman"/>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采购人质疑接收人及联系方式见招标文件第一章。</w:t>
      </w:r>
      <w:r>
        <w:rPr>
          <w:rFonts w:ascii="Times New Roman" w:hAnsi="Times New Roman" w:eastAsia="宋体" w:cs="Times New Roman"/>
          <w:sz w:val="24"/>
        </w:rPr>
      </w:r>
      <w:r/>
    </w:p>
    <w:p>
      <w:pPr>
        <w:pStyle w:val="1026"/>
        <w:numPr>
          <w:ilvl w:val="0"/>
          <w:numId w:val="42"/>
        </w:numPr>
        <w:ind w:left="0" w:firstLine="480"/>
        <w:tabs>
          <w:tab w:val="left" w:pos="1020" w:leader="none"/>
        </w:tabs>
        <w:rPr>
          <w:rFonts w:ascii="Times New Roman" w:hAnsi="Times New Roman" w:eastAsia="宋体" w:cs="Times New Roman"/>
          <w:b w:val="0"/>
          <w:sz w:val="24"/>
        </w:rPr>
      </w:pPr>
      <w:r>
        <w:rPr>
          <w:rFonts w:ascii="Times New Roman" w:hAnsi="Times New Roman" w:eastAsia="宋体" w:cs="Times New Roman"/>
          <w:sz w:val="24"/>
        </w:rPr>
        <w:t xml:space="preserve">以下情形的质疑不予受理</w:t>
      </w:r>
      <w:r>
        <w:rPr>
          <w:rFonts w:ascii="Times New Roman" w:hAnsi="Times New Roman" w:eastAsia="宋体" w:cs="Times New Roman"/>
          <w:b w:val="0"/>
          <w:sz w:val="24"/>
        </w:rPr>
      </w:r>
      <w:r/>
    </w:p>
    <w:p>
      <w:pPr>
        <w:pStyle w:val="1026"/>
        <w:numPr>
          <w:ilvl w:val="0"/>
          <w:numId w:val="44"/>
        </w:numPr>
        <w:ind w:left="0" w:firstLine="480"/>
        <w:tabs>
          <w:tab w:val="left" w:pos="1200" w:leader="none"/>
        </w:tabs>
        <w:rPr>
          <w:rFonts w:ascii="Times New Roman" w:hAnsi="Times New Roman" w:eastAsia="宋体" w:cs="Times New Roman"/>
          <w:b w:val="0"/>
          <w:sz w:val="24"/>
        </w:rPr>
      </w:pPr>
      <w:r>
        <w:rPr>
          <w:rFonts w:ascii="Times New Roman" w:hAnsi="Times New Roman" w:eastAsia="宋体" w:cs="Times New Roman"/>
          <w:sz w:val="24"/>
        </w:rPr>
        <w:t xml:space="preserve">内容不符合《政府采购质疑和投诉办法》第十二条规定的质疑。</w:t>
      </w:r>
      <w:r>
        <w:rPr>
          <w:rFonts w:ascii="Times New Roman" w:hAnsi="Times New Roman" w:eastAsia="宋体" w:cs="Times New Roman"/>
          <w:b w:val="0"/>
          <w:sz w:val="24"/>
        </w:rPr>
      </w:r>
      <w:r/>
    </w:p>
    <w:p>
      <w:pPr>
        <w:pStyle w:val="1026"/>
        <w:numPr>
          <w:ilvl w:val="0"/>
          <w:numId w:val="44"/>
        </w:numPr>
        <w:ind w:left="0" w:firstLine="480"/>
        <w:tabs>
          <w:tab w:val="left" w:pos="1200" w:leader="none"/>
        </w:tabs>
        <w:rPr>
          <w:rFonts w:ascii="Times New Roman" w:hAnsi="Times New Roman" w:eastAsia="宋体" w:cs="Times New Roman"/>
          <w:b w:val="0"/>
          <w:sz w:val="24"/>
        </w:rPr>
      </w:pPr>
      <w:r>
        <w:rPr>
          <w:rFonts w:ascii="Times New Roman" w:hAnsi="Times New Roman" w:eastAsia="宋体" w:cs="Times New Roman"/>
          <w:sz w:val="24"/>
        </w:rPr>
        <w:t xml:space="preserve">超出政府采购法定期限的质疑。</w:t>
      </w:r>
      <w:r>
        <w:rPr>
          <w:rFonts w:ascii="Times New Roman" w:hAnsi="Times New Roman" w:eastAsia="宋体" w:cs="Times New Roman"/>
          <w:b w:val="0"/>
          <w:sz w:val="24"/>
        </w:rPr>
      </w:r>
      <w:r/>
    </w:p>
    <w:p>
      <w:pPr>
        <w:pStyle w:val="1026"/>
        <w:numPr>
          <w:ilvl w:val="0"/>
          <w:numId w:val="44"/>
        </w:numPr>
        <w:ind w:left="0" w:firstLine="480"/>
        <w:tabs>
          <w:tab w:val="left" w:pos="1200" w:leader="none"/>
        </w:tabs>
        <w:rPr>
          <w:rFonts w:ascii="Times New Roman" w:hAnsi="Times New Roman" w:eastAsia="宋体" w:cs="Times New Roman"/>
          <w:b w:val="0"/>
          <w:sz w:val="24"/>
        </w:rPr>
      </w:pPr>
      <w:r>
        <w:rPr>
          <w:rFonts w:ascii="Times New Roman" w:hAnsi="Times New Roman" w:eastAsia="宋体" w:cs="Times New Roman"/>
          <w:sz w:val="24"/>
        </w:rPr>
        <w:t xml:space="preserve">以传真、电子邮件等方式递交的非原件形式的质疑。</w:t>
      </w:r>
      <w:r>
        <w:rPr>
          <w:rFonts w:ascii="Times New Roman" w:hAnsi="Times New Roman" w:eastAsia="宋体" w:cs="Times New Roman"/>
          <w:b w:val="0"/>
          <w:sz w:val="24"/>
        </w:rPr>
      </w:r>
      <w:r/>
    </w:p>
    <w:p>
      <w:pPr>
        <w:pStyle w:val="1026"/>
        <w:numPr>
          <w:ilvl w:val="0"/>
          <w:numId w:val="44"/>
        </w:numPr>
        <w:ind w:left="0" w:firstLine="480"/>
        <w:tabs>
          <w:tab w:val="left" w:pos="1200" w:leader="none"/>
        </w:tabs>
        <w:rPr>
          <w:rFonts w:ascii="Times New Roman" w:hAnsi="Times New Roman" w:eastAsia="宋体" w:cs="Times New Roman"/>
          <w:b w:val="0"/>
          <w:sz w:val="24"/>
        </w:rPr>
      </w:pPr>
      <w:r>
        <w:rPr>
          <w:rFonts w:ascii="Times New Roman" w:hAnsi="Times New Roman" w:eastAsia="宋体" w:cs="Times New Roman"/>
          <w:sz w:val="24"/>
        </w:rPr>
        <w:t xml:space="preserve">未参加磋商活动的供应商或在磋商活动中自身权益未受到损害的供应商所提出的质疑。</w:t>
      </w:r>
      <w:r>
        <w:rPr>
          <w:rFonts w:ascii="Times New Roman" w:hAnsi="Times New Roman" w:eastAsia="宋体" w:cs="Times New Roman"/>
          <w:b w:val="0"/>
          <w:sz w:val="24"/>
        </w:rPr>
      </w:r>
      <w:r/>
    </w:p>
    <w:p>
      <w:pPr>
        <w:pStyle w:val="1026"/>
        <w:numPr>
          <w:ilvl w:val="0"/>
          <w:numId w:val="44"/>
        </w:numPr>
        <w:ind w:left="0" w:firstLine="480"/>
        <w:tabs>
          <w:tab w:val="left" w:pos="1200" w:leader="none"/>
        </w:tabs>
        <w:rPr>
          <w:rFonts w:hint="eastAsia" w:ascii="宋体" w:hAnsi="宋体" w:eastAsia="宋体" w:cs="宋体"/>
          <w:b w:val="0"/>
          <w:sz w:val="24"/>
        </w:rPr>
      </w:pPr>
      <w:r>
        <w:rPr>
          <w:rFonts w:ascii="Times New Roman" w:hAnsi="Times New Roman" w:eastAsia="宋体" w:cs="Times New Roman"/>
          <w:sz w:val="24"/>
        </w:rPr>
        <w:t xml:space="preserve">供应商组成联合体参加磋商，联合体中任何一方或多方未按要求签字、盖章、加盖公章的质疑。</w:t>
      </w:r>
      <w:r>
        <w:rPr>
          <w:rFonts w:hint="eastAsia" w:ascii="宋体" w:hAnsi="宋体" w:eastAsia="宋体" w:cs="宋体"/>
          <w:b w:val="0"/>
          <w:sz w:val="24"/>
        </w:rPr>
      </w:r>
      <w:r/>
    </w:p>
    <w:p>
      <w:pPr>
        <w:pStyle w:val="1026"/>
        <w:numPr>
          <w:ilvl w:val="0"/>
          <w:numId w:val="42"/>
        </w:numPr>
        <w:ind w:left="0" w:firstLine="480"/>
        <w:tabs>
          <w:tab w:val="left" w:pos="1020" w:leader="none"/>
        </w:tabs>
        <w:rPr>
          <w:rFonts w:hint="eastAsia" w:ascii="宋体" w:hAnsi="宋体" w:eastAsia="宋体" w:cs="宋体"/>
          <w:b w:val="0"/>
          <w:sz w:val="24"/>
        </w:rPr>
      </w:pPr>
      <w:r>
        <w:rPr>
          <w:rFonts w:ascii="Times New Roman" w:hAnsi="Times New Roman" w:eastAsia="宋体" w:cs="Times New Roman"/>
          <w:sz w:val="24"/>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b w:val="0"/>
          <w:sz w:val="24"/>
        </w:rPr>
      </w:r>
      <w:r/>
    </w:p>
    <w:p>
      <w:pPr>
        <w:pStyle w:val="1007"/>
        <w:numPr>
          <w:ilvl w:val="0"/>
          <w:numId w:val="39"/>
        </w:numPr>
        <w:ind w:left="0" w:firstLine="482"/>
        <w:tabs>
          <w:tab w:val="left" w:pos="901" w:leader="none"/>
        </w:tabs>
        <w:rPr>
          <w:b/>
        </w:rPr>
      </w:pPr>
      <w:r>
        <w:t xml:space="preserve">成交通知书</w:t>
      </w:r>
      <w:r>
        <w:rPr>
          <w:b/>
        </w:rPr>
      </w:r>
      <w:r/>
    </w:p>
    <w:p>
      <w:pPr>
        <w:pStyle w:val="1026"/>
        <w:numPr>
          <w:ilvl w:val="0"/>
          <w:numId w:val="45"/>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b w:val="0"/>
          <w:sz w:val="24"/>
        </w:rPr>
      </w:r>
      <w:r/>
    </w:p>
    <w:p>
      <w:pPr>
        <w:pStyle w:val="1026"/>
        <w:numPr>
          <w:ilvl w:val="0"/>
          <w:numId w:val="45"/>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b w:val="0"/>
          <w:sz w:val="24"/>
        </w:rPr>
      </w:r>
      <w:r/>
    </w:p>
    <w:p>
      <w:pPr>
        <w:pStyle w:val="1006"/>
        <w:numPr>
          <w:ilvl w:val="0"/>
          <w:numId w:val="13"/>
        </w:numPr>
        <w:ind w:left="0" w:firstLine="482"/>
        <w:tabs>
          <w:tab w:val="left" w:pos="963" w:leader="none"/>
        </w:tabs>
        <w:rPr>
          <w:b/>
        </w:rPr>
      </w:pPr>
      <w:r/>
      <w:bookmarkStart w:id="126" w:name="_Toc20823308"/>
      <w:r/>
      <w:bookmarkStart w:id="127" w:name="_Toc120614220"/>
      <w:r/>
      <w:bookmarkStart w:id="128" w:name="_Toc513029236"/>
      <w:r/>
      <w:bookmarkStart w:id="129" w:name="_Toc16938552"/>
      <w:r/>
      <w:bookmarkStart w:id="130" w:name="_Toc155343502"/>
      <w:r>
        <w:t xml:space="preserve">授予合同</w:t>
      </w:r>
      <w:bookmarkEnd w:id="126"/>
      <w:r/>
      <w:bookmarkEnd w:id="127"/>
      <w:r/>
      <w:bookmarkEnd w:id="128"/>
      <w:r/>
      <w:bookmarkEnd w:id="129"/>
      <w:r/>
      <w:bookmarkEnd w:id="130"/>
      <w:r>
        <w:rPr>
          <w:b/>
        </w:rPr>
      </w:r>
      <w:r/>
    </w:p>
    <w:p>
      <w:pPr>
        <w:pStyle w:val="1007"/>
        <w:numPr>
          <w:ilvl w:val="0"/>
          <w:numId w:val="46"/>
        </w:numPr>
        <w:ind w:left="0" w:firstLine="482"/>
        <w:tabs>
          <w:tab w:val="left" w:pos="901" w:leader="none"/>
        </w:tabs>
        <w:rPr>
          <w:b/>
        </w:rPr>
      </w:pPr>
      <w:r>
        <w:t xml:space="preserve">签订合同</w:t>
      </w:r>
      <w:r>
        <w:rPr>
          <w:b/>
        </w:rPr>
      </w:r>
      <w:r/>
    </w:p>
    <w:p>
      <w:pPr>
        <w:pStyle w:val="1026"/>
        <w:numPr>
          <w:ilvl w:val="0"/>
          <w:numId w:val="46"/>
        </w:numPr>
        <w:ind w:left="0" w:firstLine="480"/>
        <w:tabs>
          <w:tab w:val="left" w:pos="901" w:leader="none"/>
        </w:tabs>
        <w:rPr>
          <w:rFonts w:ascii="Times New Roman" w:hAnsi="Times New Roman" w:eastAsia="宋体" w:cs="Times New Roman"/>
          <w:b w:val="0"/>
          <w:sz w:val="24"/>
        </w:rPr>
      </w:pPr>
      <w:r>
        <w:rPr>
          <w:rFonts w:ascii="Times New Roman" w:hAnsi="Times New Roman" w:eastAsia="宋体" w:cs="Times New Roman"/>
          <w:sz w:val="24"/>
        </w:rPr>
        <w:t xml:space="preserve">l成交供应商应当在成交通知书发出之日起三十日内，按照磋商文件确定的事项与采购人签订政府采购合同。</w:t>
      </w:r>
      <w:r>
        <w:rPr>
          <w:rFonts w:ascii="Times New Roman" w:hAnsi="Times New Roman" w:eastAsia="宋体" w:cs="Times New Roman"/>
          <w:b w:val="0"/>
          <w:sz w:val="24"/>
        </w:rPr>
      </w:r>
      <w:r/>
    </w:p>
    <w:p>
      <w:pPr>
        <w:pStyle w:val="1026"/>
        <w:numPr>
          <w:ilvl w:val="0"/>
          <w:numId w:val="47"/>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磋商文件、成交供应商的响应文件及磋商过程中有关澄清、承诺文件均应作为合同附件。</w:t>
      </w:r>
      <w:r>
        <w:rPr>
          <w:rFonts w:hint="eastAsia" w:ascii="宋体" w:hAnsi="宋体" w:eastAsia="宋体" w:cs="宋体"/>
          <w:b w:val="0"/>
          <w:sz w:val="24"/>
        </w:rPr>
      </w:r>
      <w:r/>
    </w:p>
    <w:p>
      <w:pPr>
        <w:pStyle w:val="1026"/>
        <w:numPr>
          <w:ilvl w:val="0"/>
          <w:numId w:val="47"/>
        </w:numPr>
        <w:ind w:left="0" w:firstLine="480"/>
        <w:tabs>
          <w:tab w:val="left" w:pos="1080" w:leader="none"/>
        </w:tabs>
        <w:rPr>
          <w:rFonts w:ascii="Times New Roman" w:hAnsi="Times New Roman" w:eastAsia="宋体" w:cs="Times New Roman"/>
          <w:b w:val="0"/>
          <w:sz w:val="24"/>
        </w:rPr>
      </w:pPr>
      <w:r>
        <w:rPr>
          <w:rFonts w:ascii="Times New Roman" w:hAnsi="Times New Roman" w:eastAsia="宋体" w:cs="Times New Roman"/>
          <w:sz w:val="24"/>
        </w:rPr>
        <w:t xml:space="preserve">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Times New Roman" w:hAnsi="Times New Roman" w:eastAsia="宋体" w:cs="Times New Roman"/>
          <w:b w:val="0"/>
          <w:sz w:val="24"/>
        </w:rPr>
      </w:r>
      <w:r/>
    </w:p>
    <w:p>
      <w:pPr>
        <w:pStyle w:val="1007"/>
        <w:numPr>
          <w:ilvl w:val="0"/>
          <w:numId w:val="46"/>
        </w:numPr>
        <w:ind w:left="0" w:firstLine="482"/>
        <w:tabs>
          <w:tab w:val="left" w:pos="901" w:leader="none"/>
        </w:tabs>
        <w:rPr>
          <w:b/>
        </w:rPr>
      </w:pPr>
      <w:r>
        <w:t xml:space="preserve">履约保证金</w:t>
      </w:r>
      <w:r>
        <w:rPr>
          <w:b/>
        </w:rPr>
      </w:r>
      <w:r/>
    </w:p>
    <w:p>
      <w:pPr>
        <w:pStyle w:val="1026"/>
        <w:numPr>
          <w:ilvl w:val="0"/>
          <w:numId w:val="48"/>
        </w:numPr>
        <w:ind w:left="0" w:firstLine="480"/>
        <w:tabs>
          <w:tab w:val="left" w:pos="1080" w:leader="none"/>
        </w:tabs>
        <w:rPr>
          <w:rFonts w:hint="eastAsia" w:ascii="宋体" w:hAnsi="宋体" w:eastAsia="宋体" w:cs="宋体"/>
          <w:b w:val="0"/>
          <w:i w:val="0"/>
          <w:color w:val="000000"/>
          <w:sz w:val="24"/>
        </w:rPr>
      </w:pPr>
      <w:r>
        <w:rPr>
          <w:rFonts w:ascii="Times New Roman" w:hAnsi="Times New Roman" w:eastAsia="宋体" w:cs="Times New Roman"/>
          <w:i w:val="0"/>
          <w:color w:val="000000"/>
          <w:sz w:val="24"/>
        </w:rPr>
        <w:t xml:space="preserve">成交供应商在收到成交通知书后，在签订合同前向采购人缴纳履约保证金。本项目履约保证金为合同总额的</w:t>
      </w:r>
      <w:r>
        <w:rPr>
          <w:rFonts w:ascii="Times New Roman" w:hAnsi="Times New Roman" w:eastAsia="宋体" w:cs="Times New Roman"/>
          <w:i w:val="0"/>
          <w:color w:val="000000"/>
          <w:sz w:val="24"/>
          <w:u w:val="single"/>
        </w:rPr>
        <w:t xml:space="preserve">10</w:t>
      </w:r>
      <w:r>
        <w:rPr>
          <w:rFonts w:ascii="Times New Roman" w:hAnsi="Times New Roman" w:eastAsia="宋体" w:cs="Times New Roman"/>
          <w:i w:val="0"/>
          <w:color w:val="000000"/>
          <w:sz w:val="24"/>
        </w:rPr>
        <w:t xml:space="preserve">%，履约保证金应当以支票、汇票、本票或者金融机构、担保机构出具的保函等非现金形式提交，逾期视为乙方自动放弃成交资格，甲方有权按照相关程序另行确定成交供应商。</w:t>
      </w:r>
      <w:r>
        <w:rPr>
          <w:rFonts w:hint="eastAsia" w:ascii="宋体" w:hAnsi="宋体" w:eastAsia="宋体" w:cs="宋体"/>
          <w:b w:val="0"/>
          <w:i w:val="0"/>
          <w:color w:val="000000"/>
          <w:sz w:val="24"/>
        </w:rPr>
      </w:r>
      <w:r/>
    </w:p>
    <w:p>
      <w:pPr>
        <w:pStyle w:val="1026"/>
        <w:numPr>
          <w:ilvl w:val="0"/>
          <w:numId w:val="48"/>
        </w:numPr>
        <w:ind w:left="0" w:firstLine="480"/>
        <w:tabs>
          <w:tab w:val="left" w:pos="1080" w:leader="none"/>
        </w:tabs>
        <w:rPr>
          <w:rFonts w:hint="eastAsia" w:ascii="宋体" w:hAnsi="宋体" w:eastAsia="宋体" w:cs="宋体"/>
          <w:b w:val="0"/>
          <w:i w:val="0"/>
          <w:color w:val="000000"/>
          <w:sz w:val="24"/>
        </w:rPr>
      </w:pPr>
      <w:r>
        <w:rPr>
          <w:rFonts w:ascii="Times New Roman" w:hAnsi="Times New Roman" w:eastAsia="宋体" w:cs="Times New Roman"/>
          <w:i w:val="0"/>
          <w:color w:val="000000"/>
          <w:sz w:val="24"/>
        </w:rPr>
        <w:t xml:space="preserve">履约保证金用以约束供应商在合同履行中的行为，弥补合同执行中由于自身行为可能给采购人带来的各种损失。如果成交供应商未缴纳履约保证金，采购人有权取消本次采购成交决定。</w:t>
      </w:r>
      <w:r>
        <w:rPr>
          <w:rFonts w:hint="eastAsia" w:ascii="宋体" w:hAnsi="宋体" w:eastAsia="宋体" w:cs="宋体"/>
          <w:b w:val="0"/>
          <w:i w:val="0"/>
          <w:color w:val="000000"/>
          <w:sz w:val="24"/>
        </w:rPr>
      </w:r>
      <w:r/>
    </w:p>
    <w:p>
      <w:pPr>
        <w:pStyle w:val="1026"/>
        <w:numPr>
          <w:ilvl w:val="0"/>
          <w:numId w:val="48"/>
        </w:numPr>
        <w:ind w:left="0" w:firstLine="480"/>
        <w:tabs>
          <w:tab w:val="left" w:pos="1080" w:leader="none"/>
        </w:tabs>
        <w:rPr>
          <w:rFonts w:hint="eastAsia" w:ascii="宋体" w:hAnsi="宋体" w:eastAsia="宋体" w:cs="宋体"/>
          <w:b w:val="0"/>
          <w:color w:val="000000"/>
          <w:sz w:val="24"/>
          <w:highlight w:val="none"/>
        </w:rPr>
      </w:pPr>
      <w:r>
        <w:rPr>
          <w:rFonts w:ascii="Times New Roman" w:hAnsi="Times New Roman" w:eastAsia="宋体" w:cs="Times New Roman"/>
          <w:i w:val="0"/>
          <w:color w:val="000000"/>
          <w:sz w:val="24"/>
        </w:rPr>
        <w:t xml:space="preserve">履约保证金的退还：</w:t>
      </w:r>
      <w:r>
        <w:rPr>
          <w:rFonts w:ascii="Times New Roman" w:hAnsi="Times New Roman" w:eastAsia="宋体" w:cs="Times New Roman"/>
          <w:color w:val="000000"/>
          <w:sz w:val="24"/>
          <w:highlight w:val="none"/>
        </w:rPr>
        <w:t xml:space="preserve">合同履行结束后，成交供应商办理履约保证金退还手续。采购人逾期退还履约保证金的，按照同期银行活期存款利率承担违约责任。</w:t>
      </w:r>
      <w:r>
        <w:rPr>
          <w:rFonts w:hint="eastAsia" w:ascii="宋体" w:hAnsi="宋体" w:eastAsia="宋体" w:cs="宋体"/>
          <w:b w:val="0"/>
          <w:color w:val="000000"/>
          <w:sz w:val="24"/>
          <w:highlight w:val="none"/>
        </w:rPr>
      </w:r>
      <w:r/>
    </w:p>
    <w:p>
      <w:pPr>
        <w:pStyle w:val="1007"/>
        <w:numPr>
          <w:ilvl w:val="0"/>
          <w:numId w:val="46"/>
        </w:numPr>
        <w:ind w:left="0" w:firstLine="482"/>
        <w:tabs>
          <w:tab w:val="left" w:pos="901" w:leader="none"/>
        </w:tabs>
        <w:rPr>
          <w:b/>
          <w:highlight w:val="none"/>
        </w:rPr>
      </w:pPr>
      <w:r>
        <w:rPr>
          <w:highlight w:val="none"/>
        </w:rPr>
        <w:t xml:space="preserve">差额履约保证金</w:t>
      </w:r>
      <w:r>
        <w:rPr>
          <w:b/>
          <w:highlight w:val="none"/>
        </w:rPr>
      </w:r>
      <w:r/>
    </w:p>
    <w:p>
      <w:pPr>
        <w:pStyle w:val="1026"/>
        <w:numPr>
          <w:ilvl w:val="0"/>
          <w:numId w:val="49"/>
        </w:numPr>
        <w:ind w:left="0" w:firstLine="480"/>
        <w:tabs>
          <w:tab w:val="left" w:pos="1080" w:leader="none"/>
        </w:tabs>
        <w:rPr>
          <w:rFonts w:ascii="Times New Roman" w:hAnsi="Times New Roman" w:eastAsia="宋体" w:cs="Times New Roman"/>
          <w:b w:val="0"/>
          <w:i w:val="0"/>
          <w:color w:val="000000"/>
          <w:sz w:val="24"/>
        </w:rPr>
      </w:pPr>
      <w:r>
        <w:rPr>
          <w:rFonts w:ascii="Times New Roman" w:hAnsi="Times New Roman" w:eastAsia="宋体" w:cs="Times New Roman"/>
          <w:i w:val="0"/>
          <w:color w:val="000000"/>
          <w:sz w:val="24"/>
        </w:rPr>
        <w:t xml:space="preserve">如成交价过低，采购人除要求成交人提供履约保证金外，可要求成交人向采购人提供差额履约保证金，金额为最高限价与成交价的差值。</w:t>
      </w:r>
      <w:r>
        <w:rPr>
          <w:rFonts w:ascii="Times New Roman" w:hAnsi="Times New Roman" w:eastAsia="宋体" w:cs="Times New Roman"/>
          <w:b w:val="0"/>
          <w:i w:val="0"/>
          <w:color w:val="000000"/>
          <w:sz w:val="24"/>
        </w:rPr>
      </w:r>
      <w:r/>
    </w:p>
    <w:p>
      <w:pPr>
        <w:pStyle w:val="1026"/>
        <w:numPr>
          <w:ilvl w:val="0"/>
          <w:numId w:val="49"/>
        </w:numPr>
        <w:ind w:left="0" w:firstLine="480"/>
        <w:tabs>
          <w:tab w:val="left" w:pos="1080" w:leader="none"/>
        </w:tabs>
        <w:rPr>
          <w:rFonts w:ascii="Times New Roman" w:hAnsi="Times New Roman" w:eastAsia="宋体" w:cs="Times New Roman"/>
          <w:b w:val="0"/>
          <w:sz w:val="24"/>
        </w:rPr>
      </w:pPr>
      <w:r>
        <w:rPr>
          <w:rFonts w:ascii="Times New Roman" w:hAnsi="Times New Roman" w:eastAsia="宋体" w:cs="Times New Roman"/>
          <w:b w:val="0"/>
          <w:sz w:val="24"/>
        </w:rPr>
        <w:t xml:space="preserve">差额履约保证金的缴纳方式和退还同履约保证金。</w:t>
      </w:r>
      <w:r>
        <w:rPr>
          <w:rFonts w:ascii="Times New Roman" w:hAnsi="Times New Roman" w:eastAsia="宋体" w:cs="Times New Roman"/>
          <w:b w:val="0"/>
          <w:sz w:val="24"/>
        </w:rPr>
      </w:r>
      <w:r/>
    </w:p>
    <w:p>
      <w:pPr>
        <w:pStyle w:val="1007"/>
        <w:numPr>
          <w:ilvl w:val="0"/>
          <w:numId w:val="46"/>
        </w:numPr>
        <w:ind w:left="0" w:firstLine="482"/>
        <w:tabs>
          <w:tab w:val="left" w:pos="901" w:leader="none"/>
        </w:tabs>
        <w:rPr>
          <w:b/>
        </w:rPr>
      </w:pPr>
      <w:r>
        <w:t xml:space="preserve">政府采购履约资金扶持政策</w:t>
      </w:r>
      <w:r>
        <w:rPr>
          <w:b/>
        </w:rPr>
      </w:r>
      <w:r/>
    </w:p>
    <w:p>
      <w:pPr>
        <w:pStyle w:val="1026"/>
        <w:numPr>
          <w:ilvl w:val="0"/>
          <w:numId w:val="50"/>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 w:val="0"/>
          <w:sz w:val="24"/>
        </w:rPr>
      </w:r>
      <w:r/>
    </w:p>
    <w:p>
      <w:pPr>
        <w:pStyle w:val="1026"/>
        <w:numPr>
          <w:ilvl w:val="0"/>
          <w:numId w:val="50"/>
        </w:numPr>
        <w:ind w:left="0" w:firstLine="480"/>
        <w:tabs>
          <w:tab w:val="left" w:pos="1080" w:leader="none"/>
        </w:tabs>
        <w:rPr>
          <w:rFonts w:hint="eastAsia" w:ascii="宋体" w:hAnsi="宋体" w:eastAsia="宋体" w:cs="宋体"/>
          <w:b w:val="0"/>
          <w:sz w:val="24"/>
        </w:rPr>
      </w:pPr>
      <w:r>
        <w:rPr>
          <w:rFonts w:ascii="Times New Roman" w:hAnsi="Times New Roman" w:eastAsia="宋体" w:cs="Times New Roman"/>
          <w:sz w:val="24"/>
        </w:rPr>
        <w:t xml:space="preserve">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hint="eastAsia" w:ascii="宋体" w:hAnsi="宋体" w:eastAsia="宋体" w:cs="宋体"/>
          <w:b w:val="0"/>
          <w:sz w:val="24"/>
        </w:rPr>
      </w:r>
      <w:r/>
    </w:p>
    <w:p>
      <w:pPr>
        <w:pStyle w:val="1005"/>
        <w:ind w:firstLine="48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05"/>
        <w:ind w:firstLine="48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05"/>
        <w:ind w:firstLine="48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05"/>
        <w:ind w:firstLine="48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05"/>
        <w:ind w:firstLine="48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05"/>
        <w:ind w:firstLine="48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05"/>
        <w:ind w:firstLine="48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05"/>
        <w:ind w:firstLine="48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05"/>
        <w:ind w:firstLine="48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05"/>
        <w:ind w:firstLine="48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05"/>
        <w:ind w:firstLine="48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05"/>
        <w:ind w:firstLine="48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05"/>
        <w:ind w:firstLine="48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05"/>
        <w:ind w:firstLine="48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93"/>
        <w:numPr>
          <w:ilvl w:val="0"/>
          <w:numId w:val="2"/>
        </w:numPr>
        <w:ind w:left="0" w:firstLine="640"/>
        <w:tabs>
          <w:tab w:val="left" w:pos="880" w:leader="none"/>
        </w:tabs>
        <w:rPr>
          <w:b w:val="0"/>
        </w:rPr>
        <w:outlineLvl w:val="0"/>
      </w:pPr>
      <w:r>
        <w:t xml:space="preserve">合同文本</w:t>
      </w:r>
      <w:r>
        <w:rPr>
          <w:b w:val="0"/>
        </w:rPr>
      </w:r>
      <w:r/>
    </w:p>
    <w:p>
      <w:pPr>
        <w:pStyle w:val="1005"/>
        <w:ind w:firstLine="2560"/>
        <w:jc w:val="left"/>
        <w:rPr>
          <w:rFonts w:ascii="Times New Roman" w:hAnsi="Times New Roman" w:eastAsia="仿宋_GB2312"/>
          <w:color w:val="000000"/>
          <w:sz w:val="32"/>
          <w:szCs w:val="24"/>
        </w:rPr>
      </w:pPr>
      <w:r>
        <w:rPr>
          <w:rFonts w:hint="eastAsia" w:ascii="Times New Roman" w:hAnsi="Times New Roman" w:eastAsia="仿宋_GB2312"/>
          <w:color w:val="000000"/>
          <w:sz w:val="32"/>
          <w:szCs w:val="24"/>
        </w:rPr>
        <w:t xml:space="preserve">（GF—2017</w:t>
      </w:r>
      <w:r>
        <w:rPr>
          <w:rFonts w:ascii="Times New Roman" w:hAnsi="Times New Roman" w:eastAsia="仿宋_GB2312"/>
          <w:color w:val="000000"/>
          <w:sz w:val="32"/>
          <w:szCs w:val="24"/>
        </w:rPr>
        <w:t xml:space="preserve">—</w:t>
      </w:r>
      <w:r>
        <w:rPr>
          <w:rFonts w:hint="eastAsia" w:ascii="Times New Roman" w:hAnsi="Times New Roman" w:eastAsia="仿宋_GB2312"/>
          <w:color w:val="000000"/>
          <w:sz w:val="32"/>
          <w:szCs w:val="24"/>
        </w:rPr>
        <w:t xml:space="preserve">0201）</w:t>
      </w:r>
      <w:r>
        <w:rPr>
          <w:rFonts w:ascii="Times New Roman" w:hAnsi="Times New Roman" w:eastAsia="仿宋_GB2312"/>
          <w:color w:val="000000"/>
          <w:sz w:val="32"/>
          <w:szCs w:val="24"/>
        </w:rPr>
      </w:r>
      <w:r/>
    </w:p>
    <w:p>
      <w:pPr>
        <w:pStyle w:val="1005"/>
        <w:rPr>
          <w:rFonts w:ascii="Times New Roman" w:hAnsi="Times New Roman" w:eastAsia="华文中宋"/>
          <w:b/>
          <w:color w:val="000000"/>
          <w:sz w:val="52"/>
          <w:szCs w:val="24"/>
        </w:rPr>
      </w:pPr>
      <w:r>
        <w:rPr>
          <w:rFonts w:ascii="Times New Roman" w:hAnsi="Times New Roman" w:eastAsia="华文中宋"/>
          <w:b/>
          <w:color w:val="000000"/>
          <w:sz w:val="52"/>
          <w:szCs w:val="24"/>
        </w:rPr>
      </w:r>
      <w:r/>
    </w:p>
    <w:p>
      <w:pPr>
        <w:pStyle w:val="1005"/>
        <w:rPr>
          <w:rFonts w:ascii="Times New Roman" w:hAnsi="Times New Roman" w:eastAsia="华文中宋"/>
          <w:b/>
          <w:color w:val="000000"/>
          <w:sz w:val="52"/>
          <w:szCs w:val="24"/>
        </w:rPr>
      </w:pPr>
      <w:r>
        <w:rPr>
          <w:rFonts w:ascii="Times New Roman" w:hAnsi="Times New Roman" w:eastAsia="华文中宋"/>
          <w:b/>
          <w:color w:val="000000"/>
          <w:sz w:val="52"/>
          <w:szCs w:val="24"/>
        </w:rPr>
      </w:r>
      <w:r/>
    </w:p>
    <w:p>
      <w:pPr>
        <w:pStyle w:val="1005"/>
        <w:jc w:val="center"/>
        <w:rPr>
          <w:rFonts w:ascii="Times New Roman" w:hAnsi="Times New Roman" w:eastAsia="华文中宋"/>
          <w:b/>
          <w:color w:val="000000"/>
          <w:sz w:val="52"/>
          <w:szCs w:val="24"/>
        </w:rPr>
      </w:pPr>
      <w:r>
        <w:rPr>
          <w:rFonts w:ascii="Times New Roman" w:hAnsi="Times New Roman" w:eastAsia="华文中宋"/>
          <w:b/>
          <w:color w:val="000000"/>
          <w:sz w:val="52"/>
          <w:szCs w:val="24"/>
        </w:rPr>
      </w:r>
      <w:r/>
    </w:p>
    <w:p>
      <w:pPr>
        <w:pStyle w:val="1043"/>
      </w:pPr>
      <w:r>
        <w:t xml:space="preserve">建设工程施工合同</w:t>
      </w:r>
      <w:r/>
    </w:p>
    <w:p>
      <w:pPr>
        <w:pStyle w:val="1038"/>
      </w:pPr>
      <w:r>
        <w:t xml:space="preserve">（示范文本）</w:t>
      </w:r>
      <w:r/>
    </w:p>
    <w:p>
      <w:pPr>
        <w:pStyle w:val="1005"/>
        <w:rPr>
          <w:b/>
          <w:color w:val="000000"/>
          <w:sz w:val="28"/>
          <w:szCs w:val="24"/>
        </w:rPr>
      </w:pPr>
      <w:r>
        <w:rPr>
          <w:b/>
          <w:color w:val="000000"/>
          <w:sz w:val="28"/>
          <w:szCs w:val="24"/>
        </w:rPr>
      </w:r>
      <w:r/>
    </w:p>
    <w:p>
      <w:pPr>
        <w:pStyle w:val="1005"/>
        <w:rPr>
          <w:b/>
          <w:color w:val="000000"/>
          <w:sz w:val="28"/>
          <w:szCs w:val="24"/>
        </w:rPr>
      </w:pPr>
      <w:r>
        <w:rPr>
          <w:b/>
          <w:color w:val="000000"/>
          <w:sz w:val="28"/>
          <w:szCs w:val="24"/>
        </w:rPr>
      </w:r>
      <w:r/>
    </w:p>
    <w:p>
      <w:pPr>
        <w:pStyle w:val="1005"/>
        <w:rPr>
          <w:b/>
          <w:color w:val="000000"/>
          <w:sz w:val="28"/>
          <w:szCs w:val="24"/>
        </w:rPr>
      </w:pPr>
      <w:r>
        <w:rPr>
          <w:b/>
          <w:color w:val="000000"/>
          <w:sz w:val="28"/>
          <w:szCs w:val="24"/>
        </w:rPr>
      </w:r>
      <w:r/>
    </w:p>
    <w:p>
      <w:pPr>
        <w:pStyle w:val="1005"/>
        <w:rPr>
          <w:b/>
          <w:color w:val="000000"/>
          <w:sz w:val="28"/>
          <w:szCs w:val="24"/>
        </w:rPr>
      </w:pPr>
      <w:r>
        <w:rPr>
          <w:b/>
          <w:color w:val="000000"/>
          <w:sz w:val="28"/>
          <w:szCs w:val="24"/>
        </w:rPr>
      </w:r>
      <w:r/>
    </w:p>
    <w:p>
      <w:pPr>
        <w:pStyle w:val="1005"/>
        <w:rPr>
          <w:b/>
          <w:color w:val="000000"/>
          <w:sz w:val="28"/>
          <w:szCs w:val="24"/>
        </w:rPr>
      </w:pPr>
      <w:r>
        <w:rPr>
          <w:b/>
          <w:color w:val="000000"/>
          <w:sz w:val="28"/>
          <w:szCs w:val="24"/>
        </w:rPr>
      </w:r>
      <w:r/>
    </w:p>
    <w:p>
      <w:pPr>
        <w:pStyle w:val="1005"/>
        <w:ind w:right="2719" w:firstLine="2750"/>
        <w:jc w:val="both"/>
        <w:rPr>
          <w:rFonts w:ascii="Times New Roman" w:hAnsi="Times New Roman" w:eastAsia="宋体" w:cs="Times New Roman"/>
          <w:b/>
          <w:color w:val="000000"/>
          <w:sz w:val="32"/>
          <w:szCs w:val="24"/>
        </w:rPr>
      </w:pPr>
      <w:r>
        <w:rPr>
          <w:rFonts w:ascii="Times New Roman" w:hAnsi="Times New Roman" w:eastAsia="宋体" w:cs="Times New Roman"/>
          <w:b/>
          <w:color w:val="000000"/>
          <w:sz w:val="32"/>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3980180</wp:posOffset>
                </wp:positionH>
                <wp:positionV relativeFrom="paragraph">
                  <wp:posOffset>141605</wp:posOffset>
                </wp:positionV>
                <wp:extent cx="723900" cy="4572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05"/>
                              <w:rPr>
                                <w:b/>
                                <w:sz w:val="32"/>
                                <w:szCs w:val="24"/>
                              </w:rPr>
                            </w:pPr>
                            <w:r>
                              <w:rPr>
                                <w:rFonts w:hint="eastAsia" w:eastAsia="宋体"/>
                                <w:b/>
                                <w:sz w:val="32"/>
                                <w:szCs w:val="24"/>
                              </w:rPr>
                              <w:t xml:space="preserve">制定</w:t>
                            </w:r>
                            <w:r>
                              <w:rPr>
                                <w:b/>
                                <w:sz w:val="32"/>
                                <w:szCs w:val="24"/>
                              </w:rPr>
                            </w:r>
                            <w:r/>
                          </w:p>
                          <w:p>
                            <w:pPr>
                              <w:pStyle w:val="1005"/>
                            </w:pPr>
                            <w:r/>
                            <w:r/>
                          </w:p>
                        </w:txbxContent>
                      </wps:txbx>
                      <wps:bodyPr wrap="square" upright="1"/>
                    </wps:wsp>
                  </a:graphicData>
                </a:graphic>
              </wp:anchor>
            </w:drawing>
          </mc:Choice>
          <mc:Fallback>
            <w:pict>
              <v:shape id="shape 2" o:spid="_x0000_s2" o:spt="202" type="#_x0000_t202" style="position:absolute;z-index:251658244;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v:textbox inset="0,0,0,0">
                  <w:txbxContent>
                    <w:p>
                      <w:pPr>
                        <w:pStyle w:val="1005"/>
                        <w:rPr>
                          <w:b/>
                          <w:sz w:val="32"/>
                          <w:szCs w:val="24"/>
                        </w:rPr>
                      </w:pPr>
                      <w:r>
                        <w:rPr>
                          <w:rFonts w:hint="eastAsia" w:eastAsia="宋体"/>
                          <w:b/>
                          <w:sz w:val="32"/>
                          <w:szCs w:val="24"/>
                        </w:rPr>
                        <w:t xml:space="preserve">制定</w:t>
                      </w:r>
                      <w:r>
                        <w:rPr>
                          <w:b/>
                          <w:sz w:val="32"/>
                          <w:szCs w:val="24"/>
                        </w:rPr>
                      </w:r>
                      <w:r/>
                    </w:p>
                    <w:p>
                      <w:pPr>
                        <w:pStyle w:val="1005"/>
                      </w:pPr>
                      <w:r/>
                      <w:r/>
                    </w:p>
                  </w:txbxContent>
                </v:textbox>
              </v:shape>
            </w:pict>
          </mc:Fallback>
        </mc:AlternateContent>
      </w:r>
      <w:r>
        <w:rPr>
          <w:rFonts w:hint="eastAsia" w:ascii="Times New Roman" w:hAnsi="Times New Roman" w:eastAsia="宋体" w:cs="Times New Roman"/>
          <w:b/>
          <w:color w:val="000000"/>
          <w:sz w:val="32"/>
          <w:szCs w:val="24"/>
          <w:lang w:eastAsia="zh-CN"/>
        </w:rPr>
        <w:t xml:space="preserve">住房和城乡建设部</w:t>
      </w:r>
      <w:r>
        <w:rPr>
          <w:rFonts w:ascii="Times New Roman" w:hAnsi="Times New Roman" w:eastAsia="宋体" w:cs="Times New Roman"/>
          <w:b/>
          <w:color w:val="000000"/>
          <w:sz w:val="32"/>
          <w:szCs w:val="24"/>
        </w:rPr>
      </w:r>
      <w:r/>
    </w:p>
    <w:p>
      <w:pPr>
        <w:pStyle w:val="1005"/>
        <w:ind w:right="2719" w:firstLine="2750"/>
        <w:jc w:val="both"/>
        <w:rPr>
          <w:b/>
          <w:color w:val="000000"/>
          <w:sz w:val="32"/>
          <w:szCs w:val="24"/>
        </w:rPr>
      </w:pPr>
      <w:r>
        <w:rPr>
          <w:rFonts w:hint="eastAsia" w:eastAsia="宋体"/>
          <w:b/>
          <w:color w:val="000000"/>
          <w:sz w:val="32"/>
          <w:szCs w:val="24"/>
        </w:rPr>
        <w:t xml:space="preserve">国家工商行政管理总局</w:t>
      </w:r>
      <w:r>
        <w:rPr>
          <w:b/>
          <w:color w:val="000000"/>
          <w:sz w:val="32"/>
          <w:szCs w:val="24"/>
        </w:rPr>
      </w:r>
      <w:r/>
    </w:p>
    <w:p>
      <w:pPr>
        <w:pStyle w:val="1093"/>
        <w:numPr>
          <w:ilvl w:val="0"/>
          <w:numId w:val="51"/>
        </w:numPr>
        <w:ind w:left="0" w:firstLine="640"/>
        <w:tabs>
          <w:tab w:val="left" w:pos="640" w:leader="none"/>
        </w:tabs>
        <w:rPr>
          <w:b w:val="0"/>
        </w:rPr>
        <w:outlineLvl w:val="0"/>
      </w:pPr>
      <w:r>
        <w:br w:type="page" w:clear="all"/>
      </w:r>
      <w:bookmarkStart w:id="131" w:name="_Toc26644"/>
      <w:r>
        <w:t xml:space="preserve">合同协议书</w:t>
      </w:r>
      <w:bookmarkEnd w:id="131"/>
      <w:r>
        <w:rPr>
          <w:b w:val="0"/>
        </w:rPr>
      </w:r>
      <w:r/>
    </w:p>
    <w:p>
      <w:pPr>
        <w:pStyle w:val="1026"/>
        <w:ind w:left="0" w:firstLine="482"/>
        <w:rPr>
          <w:rFonts w:ascii="Times New Roman" w:hAnsi="Times New Roman" w:eastAsia="宋体" w:cs="Times New Roman"/>
          <w:b/>
          <w:color w:val="000000"/>
          <w:sz w:val="24"/>
          <w:u w:val="single"/>
        </w:rPr>
      </w:pPr>
      <w:r>
        <w:rPr>
          <w:rFonts w:ascii="Times New Roman" w:hAnsi="Times New Roman" w:eastAsia="宋体" w:cs="Times New Roman"/>
          <w:b/>
          <w:color w:val="000000"/>
          <w:sz w:val="24"/>
        </w:rPr>
        <w:t xml:space="preserve">发包人（全称）：</w:t>
      </w:r>
      <w:r>
        <w:rPr>
          <w:rFonts w:ascii="Times New Roman" w:hAnsi="Times New Roman" w:eastAsia="宋体" w:cs="Times New Roman"/>
          <w:b/>
          <w:color w:val="000000"/>
          <w:sz w:val="24"/>
          <w:u w:val="single"/>
        </w:rPr>
        <w:t xml:space="preserve">南通市通州区十总镇人民政府  </w:t>
      </w:r>
      <w:r>
        <w:rPr>
          <w:rFonts w:ascii="Times New Roman" w:hAnsi="Times New Roman" w:eastAsia="宋体" w:cs="Times New Roman"/>
          <w:b/>
          <w:color w:val="000000"/>
          <w:sz w:val="24"/>
          <w:u w:val="single"/>
        </w:rPr>
      </w:r>
      <w:r/>
    </w:p>
    <w:p>
      <w:pPr>
        <w:pStyle w:val="1026"/>
        <w:ind w:left="0" w:firstLine="482"/>
        <w:rPr>
          <w:rFonts w:ascii="Times New Roman" w:hAnsi="Times New Roman" w:eastAsia="宋体" w:cs="Times New Roman"/>
          <w:b/>
          <w:color w:val="000000"/>
          <w:sz w:val="24"/>
          <w:u w:val="single"/>
        </w:rPr>
      </w:pPr>
      <w:r>
        <w:rPr>
          <w:rFonts w:ascii="Times New Roman" w:hAnsi="Times New Roman" w:eastAsia="宋体" w:cs="Times New Roman"/>
          <w:b/>
          <w:color w:val="000000"/>
          <w:sz w:val="24"/>
        </w:rPr>
        <w:t xml:space="preserve">承包人（全称）：</w:t>
      </w:r>
      <w:r>
        <w:rPr>
          <w:rFonts w:ascii="Times New Roman" w:hAnsi="Times New Roman" w:eastAsia="宋体" w:cs="Times New Roman"/>
          <w:b/>
          <w:color w:val="000000"/>
          <w:sz w:val="24"/>
          <w:u w:val="single"/>
        </w:rPr>
        <w:t xml:space="preserve">                            </w:t>
      </w:r>
      <w:r>
        <w:rPr>
          <w:rFonts w:ascii="Times New Roman" w:hAnsi="Times New Roman" w:eastAsia="宋体" w:cs="Times New Roman"/>
          <w:b/>
          <w:color w:val="000000"/>
          <w:sz w:val="24"/>
          <w:u w:val="single"/>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根据《中华人民共和国民法典》《中华人民共和国建筑法》及有关法律规定，遵循平等、自愿、公平和诚实信用的原则，双方就</w:t>
      </w:r>
      <w:r>
        <w:rPr>
          <w:rFonts w:ascii="Times New Roman" w:hAnsi="Times New Roman" w:eastAsia="宋体" w:cs="Times New Roman"/>
          <w:color w:val="000000"/>
          <w:sz w:val="24"/>
          <w:u w:val="single"/>
        </w:rPr>
        <w:t xml:space="preserve"> 南通市通州区十总镇2026年一事一议财政奖补项目—道路防渗渠工程</w:t>
      </w:r>
      <w:r>
        <w:rPr>
          <w:rFonts w:ascii="Times New Roman" w:hAnsi="Times New Roman" w:eastAsia="宋体" w:cs="Times New Roman"/>
          <w:color w:val="000000"/>
          <w:sz w:val="24"/>
        </w:rPr>
        <w:t xml:space="preserve">施工及有关事项协商一致，共同达成如下协议：</w:t>
      </w:r>
      <w:r>
        <w:rPr>
          <w:rFonts w:ascii="Times New Roman" w:hAnsi="Times New Roman" w:eastAsia="宋体" w:cs="Times New Roman"/>
          <w:color w:val="000000"/>
          <w:sz w:val="24"/>
        </w:rPr>
      </w:r>
      <w:r/>
    </w:p>
    <w:p>
      <w:pPr>
        <w:pStyle w:val="1006"/>
        <w:numPr>
          <w:ilvl w:val="0"/>
          <w:numId w:val="52"/>
        </w:numPr>
        <w:ind w:left="0" w:firstLine="482"/>
        <w:tabs>
          <w:tab w:val="left" w:pos="961" w:leader="none"/>
        </w:tabs>
        <w:rPr>
          <w:b/>
        </w:rPr>
      </w:pPr>
      <w:r/>
      <w:bookmarkStart w:id="132" w:name="_Toc351203481"/>
      <w:r>
        <w:t xml:space="preserve">工程概况</w:t>
      </w:r>
      <w:bookmarkEnd w:id="132"/>
      <w:r>
        <w:rPr>
          <w:b/>
        </w:rPr>
      </w:r>
      <w:r/>
    </w:p>
    <w:p>
      <w:pPr>
        <w:pStyle w:val="1026"/>
        <w:numPr>
          <w:ilvl w:val="0"/>
          <w:numId w:val="53"/>
        </w:numPr>
        <w:ind w:left="0" w:firstLine="480"/>
        <w:tabs>
          <w:tab w:val="left" w:pos="7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rPr>
        <w:t xml:space="preserve">工程名称：</w:t>
      </w:r>
      <w:r>
        <w:rPr>
          <w:rFonts w:ascii="Times New Roman" w:hAnsi="Times New Roman" w:eastAsia="宋体" w:cs="Times New Roman"/>
          <w:color w:val="000000"/>
          <w:sz w:val="24"/>
          <w:u w:val="single"/>
        </w:rPr>
        <w:t xml:space="preserve">十总镇2025年度一事一议财政奖补项目（第一批）</w:t>
      </w:r>
      <w:r>
        <w:rPr>
          <w:rFonts w:ascii="Times New Roman" w:hAnsi="Times New Roman" w:eastAsia="宋体" w:cs="Times New Roman"/>
          <w:color w:val="000000"/>
          <w:sz w:val="24"/>
        </w:rPr>
        <w:t xml:space="preserve">。</w:t>
      </w:r>
      <w:r>
        <w:rPr>
          <w:rFonts w:ascii="Times New Roman" w:hAnsi="Times New Roman" w:eastAsia="宋体" w:cs="Times New Roman"/>
          <w:b w:val="0"/>
          <w:color w:val="000000"/>
          <w:sz w:val="24"/>
          <w:u w:val="single"/>
        </w:rPr>
      </w:r>
      <w:r/>
    </w:p>
    <w:p>
      <w:pPr>
        <w:pStyle w:val="1026"/>
        <w:numPr>
          <w:ilvl w:val="0"/>
          <w:numId w:val="53"/>
        </w:numPr>
        <w:ind w:left="0" w:firstLine="480"/>
        <w:tabs>
          <w:tab w:val="left" w:pos="78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工程地点：</w:t>
      </w:r>
      <w:r>
        <w:rPr>
          <w:rFonts w:ascii="Times New Roman" w:hAnsi="Times New Roman" w:eastAsia="宋体" w:cs="Times New Roman"/>
          <w:color w:val="000000"/>
          <w:sz w:val="24"/>
          <w:u w:val="single"/>
        </w:rPr>
        <w:t xml:space="preserve">通州区十总镇</w:t>
      </w:r>
      <w:r>
        <w:rPr>
          <w:rFonts w:hint="eastAsia" w:ascii="Times New Roman" w:hAnsi="Times New Roman" w:eastAsia="宋体" w:cs="Times New Roman"/>
          <w:color w:val="000000"/>
          <w:sz w:val="24"/>
          <w:u w:val="single"/>
        </w:rPr>
        <w:t xml:space="preserve">志新村、二爻居、双墩村、</w:t>
      </w:r>
      <w:r>
        <w:rPr>
          <w:rFonts w:hint="eastAsia" w:ascii="Times New Roman" w:hAnsi="Times New Roman" w:eastAsia="宋体" w:cs="Times New Roman"/>
          <w:color w:val="000000"/>
          <w:sz w:val="24"/>
          <w:u w:val="single"/>
          <w:lang w:eastAsia="zh-CN"/>
        </w:rPr>
        <w:t xml:space="preserve">十总居、</w:t>
      </w:r>
      <w:r>
        <w:rPr>
          <w:rFonts w:hint="eastAsia" w:ascii="Times New Roman" w:hAnsi="Times New Roman" w:eastAsia="宋体" w:cs="Times New Roman"/>
          <w:color w:val="000000"/>
          <w:sz w:val="24"/>
          <w:u w:val="single"/>
        </w:rPr>
        <w:t xml:space="preserve">沧南居、</w:t>
      </w:r>
      <w:r>
        <w:rPr>
          <w:rFonts w:hint="eastAsia" w:ascii="Times New Roman" w:hAnsi="Times New Roman" w:eastAsia="宋体" w:cs="Times New Roman"/>
          <w:color w:val="000000"/>
          <w:sz w:val="24"/>
          <w:u w:val="single"/>
          <w:lang w:eastAsia="zh-CN"/>
        </w:rPr>
        <w:t xml:space="preserve">五总居、骑北村、新雁村、</w:t>
      </w:r>
      <w:r>
        <w:rPr>
          <w:rFonts w:hint="eastAsia" w:ascii="Times New Roman" w:hAnsi="Times New Roman" w:eastAsia="宋体" w:cs="Times New Roman"/>
          <w:color w:val="000000"/>
          <w:sz w:val="24"/>
          <w:u w:val="single"/>
        </w:rPr>
        <w:t xml:space="preserve">东场村</w:t>
      </w:r>
      <w:r>
        <w:rPr>
          <w:rFonts w:ascii="Times New Roman" w:hAnsi="Times New Roman" w:eastAsia="宋体" w:cs="Times New Roman"/>
          <w:color w:val="000000"/>
          <w:sz w:val="24"/>
        </w:rPr>
        <w:t xml:space="preserve">。</w:t>
      </w:r>
      <w:r>
        <w:rPr>
          <w:rFonts w:ascii="Times New Roman" w:hAnsi="Times New Roman" w:eastAsia="宋体" w:cs="Times New Roman"/>
          <w:b w:val="0"/>
          <w:color w:val="000000"/>
          <w:sz w:val="24"/>
        </w:rPr>
      </w:r>
      <w:r/>
    </w:p>
    <w:p>
      <w:pPr>
        <w:pStyle w:val="1026"/>
        <w:numPr>
          <w:ilvl w:val="0"/>
          <w:numId w:val="53"/>
        </w:numPr>
        <w:ind w:left="0" w:firstLine="480"/>
        <w:tabs>
          <w:tab w:val="left" w:pos="78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资金来源：</w:t>
      </w:r>
      <w:r>
        <w:rPr>
          <w:rFonts w:ascii="Times New Roman" w:hAnsi="Times New Roman" w:eastAsia="宋体" w:cs="Times New Roman"/>
          <w:color w:val="000000"/>
          <w:sz w:val="24"/>
          <w:u w:val="single"/>
        </w:rPr>
        <w:t xml:space="preserve"> 上级补助资金+村自筹  </w:t>
      </w:r>
      <w:r>
        <w:rPr>
          <w:rFonts w:ascii="Times New Roman" w:hAnsi="Times New Roman" w:eastAsia="宋体" w:cs="Times New Roman"/>
          <w:color w:val="000000"/>
          <w:sz w:val="24"/>
        </w:rPr>
        <w:t xml:space="preserve">。</w:t>
      </w:r>
      <w:r>
        <w:rPr>
          <w:rFonts w:ascii="Times New Roman" w:hAnsi="Times New Roman" w:eastAsia="宋体" w:cs="Times New Roman"/>
          <w:b w:val="0"/>
          <w:color w:val="000000"/>
          <w:sz w:val="24"/>
        </w:rPr>
      </w:r>
      <w:r/>
    </w:p>
    <w:p>
      <w:pPr>
        <w:pStyle w:val="1026"/>
        <w:numPr>
          <w:ilvl w:val="0"/>
          <w:numId w:val="53"/>
        </w:numPr>
        <w:ind w:left="0" w:firstLine="480"/>
        <w:tabs>
          <w:tab w:val="left" w:pos="78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工程内容：</w:t>
      </w:r>
      <w:r>
        <w:rPr>
          <w:rFonts w:ascii="Times New Roman" w:hAnsi="Times New Roman" w:eastAsia="宋体" w:cs="Times New Roman"/>
          <w:color w:val="000000"/>
          <w:sz w:val="24"/>
          <w:u w:val="single"/>
        </w:rPr>
        <w:t xml:space="preserve">详见竞争性磋商文件、工程量清单、施工要求所含内容 </w:t>
      </w:r>
      <w:r>
        <w:rPr>
          <w:rFonts w:ascii="Times New Roman" w:hAnsi="Times New Roman" w:eastAsia="宋体" w:cs="Times New Roman"/>
          <w:color w:val="000000"/>
          <w:sz w:val="24"/>
        </w:rPr>
        <w:t xml:space="preserve">。</w:t>
      </w:r>
      <w:r>
        <w:rPr>
          <w:rFonts w:ascii="Times New Roman" w:hAnsi="Times New Roman" w:eastAsia="宋体" w:cs="Times New Roman"/>
          <w:b w:val="0"/>
          <w:color w:val="000000"/>
          <w:sz w:val="24"/>
        </w:rPr>
      </w:r>
      <w:r/>
    </w:p>
    <w:p>
      <w:pPr>
        <w:pStyle w:val="1026"/>
        <w:numPr>
          <w:ilvl w:val="0"/>
          <w:numId w:val="53"/>
        </w:numPr>
        <w:ind w:left="0" w:firstLine="480"/>
        <w:tabs>
          <w:tab w:val="left" w:pos="78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工程承包范围：</w:t>
      </w:r>
      <w:r>
        <w:rPr>
          <w:rFonts w:ascii="Times New Roman" w:hAnsi="Times New Roman" w:eastAsia="宋体" w:cs="Times New Roman"/>
          <w:b w:val="0"/>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u w:val="single"/>
        </w:rPr>
        <w:t xml:space="preserve">  竞争性磋商文件、工程量清单、施工要求所含内容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6"/>
        <w:numPr>
          <w:ilvl w:val="0"/>
          <w:numId w:val="52"/>
        </w:numPr>
        <w:ind w:left="0" w:firstLine="482"/>
        <w:tabs>
          <w:tab w:val="left" w:pos="961" w:leader="none"/>
        </w:tabs>
        <w:rPr>
          <w:b/>
        </w:rPr>
      </w:pPr>
      <w:r/>
      <w:bookmarkStart w:id="133" w:name="_Toc351203482"/>
      <w:r>
        <w:t xml:space="preserve">合同工期</w:t>
      </w:r>
      <w:bookmarkEnd w:id="133"/>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计划开工日期：</w:t>
      </w:r>
      <w:r>
        <w:rPr>
          <w:rFonts w:ascii="Times New Roman" w:hAnsi="Times New Roman" w:eastAsia="宋体" w:cs="Times New Roman"/>
          <w:color w:val="000000"/>
          <w:sz w:val="24"/>
          <w:u w:val="single"/>
        </w:rPr>
        <w:t xml:space="preserve">  202</w:t>
      </w:r>
      <w:r>
        <w:rPr>
          <w:rFonts w:hint="eastAsia" w:cs="Times New Roman"/>
          <w:color w:val="000000"/>
          <w:sz w:val="24"/>
          <w:u w:val="single"/>
          <w:lang w:val="en-US" w:eastAsia="zh-CN"/>
        </w:rPr>
        <w:t xml:space="preserve">6</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年</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月</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日。</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计划竣工日期：</w:t>
      </w:r>
      <w:r>
        <w:rPr>
          <w:rFonts w:ascii="Times New Roman" w:hAnsi="Times New Roman" w:eastAsia="宋体" w:cs="Times New Roman"/>
          <w:color w:val="000000"/>
          <w:sz w:val="24"/>
          <w:u w:val="single"/>
        </w:rPr>
        <w:t xml:space="preserve">  202</w:t>
      </w:r>
      <w:r>
        <w:rPr>
          <w:rFonts w:hint="eastAsia" w:cs="Times New Roman"/>
          <w:color w:val="000000"/>
          <w:sz w:val="24"/>
          <w:u w:val="single"/>
          <w:lang w:val="en-US" w:eastAsia="zh-CN"/>
        </w:rPr>
        <w:t xml:space="preserve">6</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年</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月</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日。</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工期总日历天数：</w:t>
      </w:r>
      <w:r>
        <w:rPr>
          <w:rFonts w:hint="eastAsia" w:cs="Times New Roman"/>
          <w:color w:val="000000"/>
          <w:sz w:val="24"/>
          <w:u w:val="single"/>
          <w:lang w:val="en-US" w:eastAsia="zh-CN"/>
        </w:rPr>
        <w:t xml:space="preserve">75</w:t>
      </w:r>
      <w:r>
        <w:rPr>
          <w:rFonts w:ascii="Times New Roman" w:hAnsi="Times New Roman" w:eastAsia="宋体" w:cs="Times New Roman"/>
          <w:color w:val="000000"/>
          <w:sz w:val="24"/>
          <w:u w:val="single"/>
        </w:rPr>
        <w:t xml:space="preserve">日历天</w:t>
      </w:r>
      <w:r>
        <w:rPr>
          <w:rFonts w:ascii="Times New Roman" w:hAnsi="Times New Roman" w:eastAsia="宋体" w:cs="Times New Roman"/>
          <w:color w:val="000000"/>
          <w:sz w:val="24"/>
        </w:rPr>
        <w:t xml:space="preserve">。工期总日历天数与根据前述计划开竣工日期计算的工期天数不一致的，以工期总日历天数为准。</w:t>
      </w:r>
      <w:r>
        <w:rPr>
          <w:rFonts w:ascii="Times New Roman" w:hAnsi="Times New Roman" w:eastAsia="宋体" w:cs="Times New Roman"/>
          <w:color w:val="000000"/>
          <w:sz w:val="24"/>
        </w:rPr>
      </w:r>
      <w:r/>
    </w:p>
    <w:p>
      <w:pPr>
        <w:pStyle w:val="1006"/>
        <w:numPr>
          <w:ilvl w:val="0"/>
          <w:numId w:val="52"/>
        </w:numPr>
        <w:ind w:left="0" w:firstLine="482"/>
        <w:tabs>
          <w:tab w:val="left" w:pos="961" w:leader="none"/>
        </w:tabs>
        <w:rPr>
          <w:b/>
        </w:rPr>
      </w:pPr>
      <w:r/>
      <w:bookmarkStart w:id="134" w:name="_Toc351203483"/>
      <w:r>
        <w:t xml:space="preserve">质量标准</w:t>
      </w:r>
      <w:bookmarkEnd w:id="134"/>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工程质量符合</w:t>
      </w:r>
      <w:r>
        <w:rPr>
          <w:rFonts w:ascii="Times New Roman" w:hAnsi="Times New Roman" w:eastAsia="宋体" w:cs="Times New Roman"/>
          <w:color w:val="000000"/>
          <w:sz w:val="24"/>
          <w:u w:val="single"/>
        </w:rPr>
        <w:t xml:space="preserve">合格</w:t>
      </w:r>
      <w:r>
        <w:rPr>
          <w:rFonts w:ascii="Times New Roman" w:hAnsi="Times New Roman" w:eastAsia="宋体" w:cs="Times New Roman"/>
          <w:color w:val="000000"/>
          <w:sz w:val="24"/>
        </w:rPr>
        <w:t xml:space="preserve">标准。质保期两年。</w:t>
      </w:r>
      <w:r>
        <w:rPr>
          <w:rFonts w:ascii="Times New Roman" w:hAnsi="Times New Roman" w:eastAsia="宋体" w:cs="Times New Roman"/>
          <w:color w:val="000000"/>
          <w:sz w:val="24"/>
        </w:rPr>
      </w:r>
      <w:r/>
    </w:p>
    <w:p>
      <w:pPr>
        <w:pStyle w:val="1006"/>
        <w:numPr>
          <w:ilvl w:val="0"/>
          <w:numId w:val="52"/>
        </w:numPr>
        <w:ind w:left="0" w:firstLine="482"/>
        <w:tabs>
          <w:tab w:val="left" w:pos="961" w:leader="none"/>
        </w:tabs>
        <w:rPr>
          <w:b/>
        </w:rPr>
      </w:pPr>
      <w:r/>
      <w:bookmarkStart w:id="135" w:name="_Toc351203484"/>
      <w:r>
        <w:t xml:space="preserve">签约合同价与合同价格形式</w:t>
      </w:r>
      <w:bookmarkEnd w:id="135"/>
      <w:r>
        <w:tab/>
      </w:r>
      <w:r>
        <w:rPr>
          <w:b/>
        </w:rPr>
      </w:r>
      <w:r/>
    </w:p>
    <w:p>
      <w:pPr>
        <w:pStyle w:val="1007"/>
        <w:ind w:left="0" w:firstLine="482"/>
        <w:tabs>
          <w:tab w:val="left" w:pos="482" w:leader="none"/>
        </w:tabs>
      </w:pPr>
      <w:r>
        <w:t xml:space="preserve">1.签约合同价为：</w:t>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人民币（大写）</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元）；</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其中：</w:t>
      </w:r>
      <w:r>
        <w:rPr>
          <w:rFonts w:ascii="Times New Roman" w:hAnsi="Times New Roman" w:eastAsia="宋体" w:cs="Times New Roman"/>
          <w:color w:val="000000"/>
          <w:sz w:val="24"/>
        </w:rPr>
      </w:r>
      <w:r/>
    </w:p>
    <w:p>
      <w:pPr>
        <w:pStyle w:val="1008"/>
        <w:numPr>
          <w:ilvl w:val="0"/>
          <w:numId w:val="54"/>
        </w:numPr>
        <w:ind w:left="0" w:firstLine="482"/>
        <w:tabs>
          <w:tab w:val="left" w:pos="1082" w:leader="none"/>
        </w:tabs>
        <w:rPr>
          <w:rFonts w:hint="eastAsia" w:ascii="宋体" w:hAnsi="宋体" w:eastAsia="宋体" w:cs="宋体"/>
          <w:b/>
        </w:rPr>
      </w:pPr>
      <w:r>
        <w:t xml:space="preserve">安全文明施工费：</w:t>
      </w:r>
      <w:r>
        <w:rPr>
          <w:rFonts w:hint="eastAsia" w:ascii="宋体" w:hAnsi="宋体" w:eastAsia="宋体" w:cs="宋体"/>
          <w:b/>
        </w:rPr>
      </w:r>
      <w:r/>
    </w:p>
    <w:p>
      <w:pPr>
        <w:pStyle w:val="1026"/>
        <w:ind w:left="482"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人民币（大写）</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元）；</w:t>
      </w:r>
      <w:r>
        <w:rPr>
          <w:rFonts w:ascii="Times New Roman" w:hAnsi="Times New Roman" w:eastAsia="宋体" w:cs="Times New Roman"/>
          <w:color w:val="000000"/>
          <w:sz w:val="24"/>
        </w:rPr>
      </w:r>
      <w:r/>
    </w:p>
    <w:p>
      <w:pPr>
        <w:pStyle w:val="1008"/>
        <w:numPr>
          <w:ilvl w:val="0"/>
          <w:numId w:val="54"/>
        </w:numPr>
        <w:ind w:left="0" w:firstLine="482"/>
        <w:tabs>
          <w:tab w:val="left" w:pos="1082" w:leader="none"/>
        </w:tabs>
        <w:rPr>
          <w:rFonts w:hint="eastAsia" w:ascii="宋体" w:hAnsi="宋体" w:eastAsia="宋体" w:cs="宋体"/>
          <w:b/>
        </w:rPr>
      </w:pPr>
      <w:r>
        <w:t xml:space="preserve">材料和工程设备暂估价金额：</w:t>
      </w:r>
      <w:r>
        <w:rPr>
          <w:rFonts w:hint="eastAsia" w:ascii="宋体" w:hAnsi="宋体" w:eastAsia="宋体" w:cs="宋体"/>
          <w:b/>
        </w:rPr>
      </w:r>
      <w:r/>
    </w:p>
    <w:p>
      <w:pPr>
        <w:pStyle w:val="1026"/>
        <w:ind w:left="482"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人民币（大写）</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元）；</w:t>
      </w:r>
      <w:r>
        <w:rPr>
          <w:rFonts w:ascii="Times New Roman" w:hAnsi="Times New Roman" w:eastAsia="宋体" w:cs="Times New Roman"/>
          <w:color w:val="000000"/>
          <w:sz w:val="24"/>
        </w:rPr>
      </w:r>
      <w:r/>
    </w:p>
    <w:p>
      <w:pPr>
        <w:pStyle w:val="1008"/>
        <w:numPr>
          <w:ilvl w:val="0"/>
          <w:numId w:val="54"/>
        </w:numPr>
        <w:ind w:left="0" w:firstLine="482"/>
        <w:tabs>
          <w:tab w:val="left" w:pos="1082" w:leader="none"/>
        </w:tabs>
        <w:rPr>
          <w:rFonts w:hint="eastAsia" w:ascii="宋体" w:hAnsi="宋体" w:eastAsia="宋体" w:cs="宋体"/>
          <w:b/>
        </w:rPr>
      </w:pPr>
      <w:r>
        <w:t xml:space="preserve">专业工程暂估价金额：</w:t>
      </w:r>
      <w:r>
        <w:rPr>
          <w:rFonts w:hint="eastAsia" w:ascii="宋体" w:hAnsi="宋体" w:eastAsia="宋体" w:cs="宋体"/>
          <w:b/>
        </w:rPr>
      </w:r>
      <w:r/>
    </w:p>
    <w:p>
      <w:pPr>
        <w:pStyle w:val="1026"/>
        <w:ind w:left="482"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人民币（大写）</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元）；</w:t>
      </w:r>
      <w:r>
        <w:rPr>
          <w:rFonts w:ascii="Times New Roman" w:hAnsi="Times New Roman" w:eastAsia="宋体" w:cs="Times New Roman"/>
          <w:color w:val="000000"/>
          <w:sz w:val="24"/>
        </w:rPr>
      </w:r>
      <w:r/>
    </w:p>
    <w:p>
      <w:pPr>
        <w:pStyle w:val="1008"/>
        <w:numPr>
          <w:ilvl w:val="0"/>
          <w:numId w:val="54"/>
        </w:numPr>
        <w:ind w:left="0" w:firstLine="482"/>
        <w:tabs>
          <w:tab w:val="left" w:pos="1082" w:leader="none"/>
        </w:tabs>
        <w:rPr>
          <w:rFonts w:hint="eastAsia" w:ascii="宋体" w:hAnsi="宋体" w:eastAsia="宋体" w:cs="宋体"/>
          <w:b/>
        </w:rPr>
      </w:pPr>
      <w:r>
        <w:t xml:space="preserve">暂列金额：</w:t>
      </w:r>
      <w:r>
        <w:rPr>
          <w:rFonts w:hint="eastAsia" w:ascii="宋体" w:hAnsi="宋体" w:eastAsia="宋体" w:cs="宋体"/>
          <w:b/>
        </w:rPr>
      </w:r>
      <w:r/>
    </w:p>
    <w:p>
      <w:pPr>
        <w:pStyle w:val="1026"/>
        <w:ind w:left="482"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人民币（大写）</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元）。</w:t>
      </w:r>
      <w:r>
        <w:rPr>
          <w:rFonts w:ascii="Times New Roman" w:hAnsi="Times New Roman" w:eastAsia="宋体" w:cs="Times New Roman"/>
          <w:color w:val="000000"/>
          <w:sz w:val="24"/>
        </w:rPr>
      </w:r>
      <w:r/>
    </w:p>
    <w:p>
      <w:pPr>
        <w:pStyle w:val="1007"/>
        <w:numPr>
          <w:ilvl w:val="0"/>
          <w:numId w:val="55"/>
        </w:numPr>
        <w:ind w:left="0" w:firstLine="482"/>
        <w:tabs>
          <w:tab w:val="left" w:pos="480" w:leader="none"/>
        </w:tabs>
      </w:pPr>
      <w:r>
        <w:t xml:space="preserve">合同价格形式：</w:t>
      </w:r>
      <w:r>
        <w:rPr>
          <w:u w:val="single"/>
        </w:rPr>
        <w:t xml:space="preserve">固定单价合同</w:t>
      </w:r>
      <w:r>
        <w:t xml:space="preserve">。</w:t>
      </w:r>
      <w:r/>
    </w:p>
    <w:p>
      <w:pPr>
        <w:pStyle w:val="1006"/>
        <w:numPr>
          <w:ilvl w:val="0"/>
          <w:numId w:val="52"/>
        </w:numPr>
        <w:ind w:left="0" w:firstLine="482"/>
        <w:tabs>
          <w:tab w:val="left" w:pos="961" w:leader="none"/>
        </w:tabs>
        <w:rPr>
          <w:b/>
        </w:rPr>
      </w:pPr>
      <w:r>
        <w:t xml:space="preserve">项目经理</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承包人项目经理：</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6"/>
        <w:numPr>
          <w:ilvl w:val="0"/>
          <w:numId w:val="52"/>
        </w:numPr>
        <w:ind w:left="0" w:firstLine="482"/>
        <w:tabs>
          <w:tab w:val="left" w:pos="961" w:leader="none"/>
        </w:tabs>
        <w:rPr>
          <w:b/>
        </w:rPr>
      </w:pPr>
      <w:r/>
      <w:bookmarkStart w:id="136" w:name="_Toc351203486"/>
      <w:r>
        <w:t xml:space="preserve">合同文件构成</w:t>
      </w:r>
      <w:bookmarkEnd w:id="136"/>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本协议书与下列文件一起构成合同文件：</w:t>
      </w:r>
      <w:r>
        <w:rPr>
          <w:rFonts w:ascii="Times New Roman" w:hAnsi="Times New Roman" w:eastAsia="宋体" w:cs="Times New Roman"/>
          <w:color w:val="000000"/>
          <w:sz w:val="24"/>
        </w:rPr>
      </w:r>
      <w:r/>
    </w:p>
    <w:p>
      <w:pPr>
        <w:pStyle w:val="1026"/>
        <w:numPr>
          <w:ilvl w:val="0"/>
          <w:numId w:val="56"/>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成交通知书（如果有）；</w:t>
      </w:r>
      <w:r>
        <w:rPr>
          <w:rFonts w:hint="eastAsia" w:ascii="宋体" w:hAnsi="宋体" w:eastAsia="宋体" w:cs="宋体"/>
          <w:b w:val="0"/>
          <w:color w:val="000000"/>
          <w:sz w:val="24"/>
        </w:rPr>
      </w:r>
      <w:r/>
    </w:p>
    <w:p>
      <w:pPr>
        <w:pStyle w:val="1026"/>
        <w:numPr>
          <w:ilvl w:val="0"/>
          <w:numId w:val="56"/>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投标函及其附录（如果有）； </w:t>
      </w:r>
      <w:r>
        <w:rPr>
          <w:rFonts w:hint="eastAsia" w:ascii="宋体" w:hAnsi="宋体" w:eastAsia="宋体" w:cs="宋体"/>
          <w:b w:val="0"/>
          <w:color w:val="000000"/>
          <w:sz w:val="24"/>
        </w:rPr>
      </w:r>
      <w:r/>
    </w:p>
    <w:p>
      <w:pPr>
        <w:pStyle w:val="1026"/>
        <w:numPr>
          <w:ilvl w:val="0"/>
          <w:numId w:val="56"/>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专用合同条款及其附件；</w:t>
      </w:r>
      <w:r>
        <w:rPr>
          <w:rFonts w:hint="eastAsia" w:ascii="宋体" w:hAnsi="宋体" w:eastAsia="宋体" w:cs="宋体"/>
          <w:b w:val="0"/>
          <w:color w:val="000000"/>
          <w:sz w:val="24"/>
        </w:rPr>
      </w:r>
      <w:r/>
    </w:p>
    <w:p>
      <w:pPr>
        <w:pStyle w:val="1026"/>
        <w:numPr>
          <w:ilvl w:val="0"/>
          <w:numId w:val="56"/>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通用合同条款；</w:t>
      </w:r>
      <w:r>
        <w:rPr>
          <w:rFonts w:hint="eastAsia" w:ascii="宋体" w:hAnsi="宋体" w:eastAsia="宋体" w:cs="宋体"/>
          <w:b w:val="0"/>
          <w:color w:val="000000"/>
          <w:sz w:val="24"/>
        </w:rPr>
      </w:r>
      <w:r/>
    </w:p>
    <w:p>
      <w:pPr>
        <w:pStyle w:val="1026"/>
        <w:numPr>
          <w:ilvl w:val="0"/>
          <w:numId w:val="56"/>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技术标准和要求；</w:t>
      </w:r>
      <w:r>
        <w:rPr>
          <w:rFonts w:hint="eastAsia" w:ascii="宋体" w:hAnsi="宋体" w:eastAsia="宋体" w:cs="宋体"/>
          <w:b w:val="0"/>
          <w:color w:val="000000"/>
          <w:sz w:val="24"/>
        </w:rPr>
      </w:r>
      <w:r/>
    </w:p>
    <w:p>
      <w:pPr>
        <w:pStyle w:val="1026"/>
        <w:numPr>
          <w:ilvl w:val="0"/>
          <w:numId w:val="56"/>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图纸；</w:t>
      </w:r>
      <w:r>
        <w:rPr>
          <w:rFonts w:hint="eastAsia" w:ascii="宋体" w:hAnsi="宋体" w:eastAsia="宋体" w:cs="宋体"/>
          <w:b w:val="0"/>
          <w:color w:val="000000"/>
          <w:sz w:val="24"/>
        </w:rPr>
      </w:r>
      <w:r/>
    </w:p>
    <w:p>
      <w:pPr>
        <w:pStyle w:val="1026"/>
        <w:numPr>
          <w:ilvl w:val="0"/>
          <w:numId w:val="56"/>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已标价工程量清单或预算书；</w:t>
      </w:r>
      <w:r>
        <w:rPr>
          <w:rFonts w:hint="eastAsia" w:ascii="宋体" w:hAnsi="宋体" w:eastAsia="宋体" w:cs="宋体"/>
          <w:b w:val="0"/>
          <w:color w:val="000000"/>
          <w:sz w:val="24"/>
        </w:rPr>
      </w:r>
      <w:r/>
    </w:p>
    <w:p>
      <w:pPr>
        <w:pStyle w:val="1026"/>
        <w:numPr>
          <w:ilvl w:val="0"/>
          <w:numId w:val="56"/>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其他合同文件。</w:t>
      </w:r>
      <w:r>
        <w:rPr>
          <w:rFonts w:hint="eastAsia" w:ascii="宋体" w:hAnsi="宋体" w:eastAsia="宋体" w:cs="宋体"/>
          <w:b w:val="0"/>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在合同订立及履行过程中形成的与合同有关的文件均构成合同文件组成部分。</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rPr>
          <w:rFonts w:ascii="Times New Roman" w:hAnsi="Times New Roman" w:eastAsia="宋体" w:cs="Times New Roman"/>
          <w:color w:val="000000"/>
          <w:sz w:val="24"/>
        </w:rPr>
      </w:r>
      <w:r/>
    </w:p>
    <w:p>
      <w:pPr>
        <w:pStyle w:val="1006"/>
        <w:numPr>
          <w:ilvl w:val="0"/>
          <w:numId w:val="52"/>
        </w:numPr>
        <w:ind w:left="0" w:firstLine="482"/>
        <w:tabs>
          <w:tab w:val="left" w:pos="961" w:leader="none"/>
        </w:tabs>
        <w:rPr>
          <w:b/>
        </w:rPr>
      </w:pPr>
      <w:r/>
      <w:bookmarkStart w:id="137" w:name="_Toc351203487"/>
      <w:r>
        <w:t xml:space="preserve">承诺</w:t>
      </w:r>
      <w:bookmarkEnd w:id="137"/>
      <w:r>
        <w:rPr>
          <w:b/>
        </w:rPr>
      </w:r>
      <w:r/>
    </w:p>
    <w:p>
      <w:pPr>
        <w:pStyle w:val="1026"/>
        <w:numPr>
          <w:ilvl w:val="0"/>
          <w:numId w:val="57"/>
        </w:numPr>
        <w:ind w:left="0" w:firstLine="480"/>
        <w:tabs>
          <w:tab w:val="left" w:pos="78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发包人承诺按照法律规定履行项目审批手续、筹集工程建设资金并按照合同约定的期限和方式支付合同价款。</w:t>
      </w:r>
      <w:r>
        <w:rPr>
          <w:rFonts w:ascii="Times New Roman" w:hAnsi="Times New Roman" w:eastAsia="宋体" w:cs="Times New Roman"/>
          <w:b w:val="0"/>
          <w:color w:val="000000"/>
          <w:sz w:val="24"/>
        </w:rPr>
      </w:r>
      <w:r/>
    </w:p>
    <w:p>
      <w:pPr>
        <w:pStyle w:val="1026"/>
        <w:numPr>
          <w:ilvl w:val="0"/>
          <w:numId w:val="57"/>
        </w:numPr>
        <w:ind w:left="0" w:firstLine="480"/>
        <w:tabs>
          <w:tab w:val="left" w:pos="78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承包人承诺按照法律规定及合同约定组织完成工程施工，确保工程质量和安全，不进行转包及违法分包，并在缺陷责任期及保修期内承担相应的工程维修责任。</w:t>
      </w:r>
      <w:r>
        <w:rPr>
          <w:rFonts w:ascii="Times New Roman" w:hAnsi="Times New Roman" w:eastAsia="宋体" w:cs="Times New Roman"/>
          <w:b w:val="0"/>
          <w:color w:val="000000"/>
          <w:sz w:val="24"/>
        </w:rPr>
      </w:r>
      <w:r/>
    </w:p>
    <w:p>
      <w:pPr>
        <w:pStyle w:val="1026"/>
        <w:numPr>
          <w:ilvl w:val="0"/>
          <w:numId w:val="57"/>
        </w:numPr>
        <w:ind w:left="0" w:firstLine="480"/>
        <w:tabs>
          <w:tab w:val="left" w:pos="78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发包人和承包人通过招投标形式签订合同的，双方理解并承诺不再就同一工程另行签订与合同实质性内容相背离的协议。</w:t>
      </w:r>
      <w:r>
        <w:rPr>
          <w:rFonts w:ascii="Times New Roman" w:hAnsi="Times New Roman" w:eastAsia="宋体" w:cs="Times New Roman"/>
          <w:b w:val="0"/>
          <w:color w:val="000000"/>
          <w:sz w:val="24"/>
        </w:rPr>
      </w:r>
      <w:r/>
    </w:p>
    <w:p>
      <w:pPr>
        <w:pStyle w:val="1006"/>
        <w:numPr>
          <w:ilvl w:val="0"/>
          <w:numId w:val="52"/>
        </w:numPr>
        <w:ind w:left="0" w:firstLine="482"/>
        <w:tabs>
          <w:tab w:val="left" w:pos="961" w:leader="none"/>
        </w:tabs>
        <w:rPr>
          <w:b/>
        </w:rPr>
      </w:pPr>
      <w:r/>
      <w:bookmarkStart w:id="138" w:name="_Toc351203488"/>
      <w:r>
        <w:t xml:space="preserve">词语含义</w:t>
      </w:r>
      <w:bookmarkEnd w:id="138"/>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本协议书中词语含义与第二部分通用合同条款中赋予的含义相同。</w:t>
      </w:r>
      <w:r>
        <w:rPr>
          <w:rFonts w:ascii="Times New Roman" w:hAnsi="Times New Roman" w:eastAsia="宋体" w:cs="Times New Roman"/>
          <w:color w:val="000000"/>
          <w:sz w:val="24"/>
        </w:rPr>
      </w:r>
      <w:r/>
    </w:p>
    <w:p>
      <w:pPr>
        <w:pStyle w:val="1006"/>
        <w:numPr>
          <w:ilvl w:val="0"/>
          <w:numId w:val="52"/>
        </w:numPr>
        <w:ind w:left="0" w:firstLine="482"/>
        <w:tabs>
          <w:tab w:val="left" w:pos="961" w:leader="none"/>
        </w:tabs>
        <w:rPr>
          <w:b/>
        </w:rPr>
      </w:pPr>
      <w:r/>
      <w:bookmarkStart w:id="139" w:name="_Toc351203489"/>
      <w:r>
        <w:t xml:space="preserve">签订时间</w:t>
      </w:r>
      <w:bookmarkEnd w:id="139"/>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本合同于</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年</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月</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日签订。</w:t>
      </w:r>
      <w:r>
        <w:rPr>
          <w:rFonts w:ascii="Times New Roman" w:hAnsi="Times New Roman" w:eastAsia="宋体" w:cs="Times New Roman"/>
          <w:color w:val="000000"/>
          <w:sz w:val="24"/>
        </w:rPr>
      </w:r>
      <w:r/>
    </w:p>
    <w:p>
      <w:pPr>
        <w:pStyle w:val="1006"/>
        <w:numPr>
          <w:ilvl w:val="0"/>
          <w:numId w:val="52"/>
        </w:numPr>
        <w:ind w:left="0" w:firstLine="482"/>
        <w:tabs>
          <w:tab w:val="left" w:pos="961" w:leader="none"/>
        </w:tabs>
        <w:rPr>
          <w:b/>
        </w:rPr>
      </w:pPr>
      <w:r/>
      <w:bookmarkStart w:id="140" w:name="_Toc351203490"/>
      <w:r>
        <w:t xml:space="preserve">签订地点</w:t>
      </w:r>
      <w:bookmarkEnd w:id="140"/>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本合同在</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签订。</w:t>
      </w:r>
      <w:r>
        <w:rPr>
          <w:rFonts w:ascii="Times New Roman" w:hAnsi="Times New Roman" w:eastAsia="宋体" w:cs="Times New Roman"/>
          <w:color w:val="000000"/>
          <w:sz w:val="24"/>
        </w:rPr>
      </w:r>
      <w:r/>
    </w:p>
    <w:p>
      <w:pPr>
        <w:pStyle w:val="1006"/>
        <w:numPr>
          <w:ilvl w:val="0"/>
          <w:numId w:val="52"/>
        </w:numPr>
        <w:ind w:left="0" w:firstLine="482"/>
        <w:tabs>
          <w:tab w:val="left" w:pos="961" w:leader="none"/>
        </w:tabs>
        <w:rPr>
          <w:b/>
        </w:rPr>
      </w:pPr>
      <w:r/>
      <w:bookmarkStart w:id="141" w:name="_Toc351203491"/>
      <w:r>
        <w:t xml:space="preserve">补充协议</w:t>
      </w:r>
      <w:bookmarkEnd w:id="141"/>
      <w:r>
        <w:rPr>
          <w:b/>
        </w:rPr>
      </w:r>
      <w:r/>
    </w:p>
    <w:p>
      <w:pPr>
        <w:pStyle w:val="1026"/>
        <w:ind w:left="0" w:firstLine="480"/>
        <w:rPr>
          <w:rFonts w:ascii="Times New Roman" w:hAnsi="Times New Roman" w:eastAsia="宋体" w:cs="Times New Roman"/>
          <w:b/>
          <w:color w:val="000000"/>
          <w:sz w:val="24"/>
        </w:rPr>
      </w:pPr>
      <w:r>
        <w:rPr>
          <w:rFonts w:ascii="Times New Roman" w:hAnsi="Times New Roman" w:eastAsia="宋体" w:cs="Times New Roman"/>
          <w:color w:val="000000"/>
          <w:sz w:val="24"/>
        </w:rPr>
        <w:t xml:space="preserve">合同未尽事宜，合同当事人另行签订补充协议，补充协议是合同的组成部分。</w:t>
      </w:r>
      <w:r>
        <w:rPr>
          <w:rFonts w:ascii="Times New Roman" w:hAnsi="Times New Roman" w:eastAsia="宋体" w:cs="Times New Roman"/>
          <w:b/>
          <w:color w:val="000000"/>
          <w:sz w:val="24"/>
        </w:rPr>
      </w:r>
      <w:r/>
    </w:p>
    <w:p>
      <w:pPr>
        <w:pStyle w:val="1006"/>
        <w:numPr>
          <w:ilvl w:val="0"/>
          <w:numId w:val="52"/>
        </w:numPr>
        <w:ind w:left="0" w:firstLine="482"/>
        <w:tabs>
          <w:tab w:val="left" w:pos="961" w:leader="none"/>
        </w:tabs>
        <w:rPr>
          <w:b/>
        </w:rPr>
      </w:pPr>
      <w:r/>
      <w:bookmarkStart w:id="142" w:name="_Toc351203492"/>
      <w:r>
        <w:t xml:space="preserve">合同生效</w:t>
      </w:r>
      <w:bookmarkEnd w:id="142"/>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本合同自</w:t>
      </w:r>
      <w:r>
        <w:rPr>
          <w:rFonts w:ascii="Times New Roman" w:hAnsi="Times New Roman" w:eastAsia="宋体" w:cs="Times New Roman"/>
          <w:color w:val="000000"/>
          <w:sz w:val="24"/>
          <w:u w:val="single"/>
        </w:rPr>
        <w:t xml:space="preserve">双方法定代表人或委托代表人签字并加盖法人公章</w:t>
      </w:r>
      <w:r>
        <w:rPr>
          <w:rFonts w:ascii="Times New Roman" w:hAnsi="Times New Roman" w:eastAsia="宋体" w:cs="Times New Roman"/>
          <w:color w:val="000000"/>
          <w:sz w:val="24"/>
        </w:rPr>
        <w:t xml:space="preserve">生效。</w:t>
      </w:r>
      <w:r>
        <w:rPr>
          <w:rFonts w:ascii="Times New Roman" w:hAnsi="Times New Roman" w:eastAsia="宋体" w:cs="Times New Roman"/>
          <w:color w:val="000000"/>
          <w:sz w:val="24"/>
        </w:rPr>
      </w:r>
      <w:r/>
    </w:p>
    <w:p>
      <w:pPr>
        <w:pStyle w:val="1006"/>
        <w:numPr>
          <w:ilvl w:val="0"/>
          <w:numId w:val="52"/>
        </w:numPr>
        <w:ind w:left="0" w:firstLine="482"/>
        <w:tabs>
          <w:tab w:val="left" w:pos="961" w:leader="none"/>
        </w:tabs>
        <w:rPr>
          <w:b/>
        </w:rPr>
      </w:pPr>
      <w:r/>
      <w:bookmarkStart w:id="143" w:name="_Toc351203493"/>
      <w:r>
        <w:t xml:space="preserve">合同份数</w:t>
      </w:r>
      <w:bookmarkEnd w:id="143"/>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本合同一式</w:t>
      </w:r>
      <w:r>
        <w:rPr>
          <w:rFonts w:ascii="Times New Roman" w:hAnsi="Times New Roman" w:eastAsia="宋体" w:cs="Times New Roman"/>
          <w:color w:val="000000"/>
          <w:sz w:val="24"/>
          <w:u w:val="single"/>
        </w:rPr>
        <w:t xml:space="preserve">捌</w:t>
      </w:r>
      <w:r>
        <w:rPr>
          <w:rFonts w:ascii="Times New Roman" w:hAnsi="Times New Roman" w:eastAsia="宋体" w:cs="Times New Roman"/>
          <w:color w:val="000000"/>
          <w:sz w:val="24"/>
        </w:rPr>
        <w:t xml:space="preserve">份，均具有同等法律效力，发包人执</w:t>
      </w:r>
      <w:r>
        <w:rPr>
          <w:rFonts w:ascii="Times New Roman" w:hAnsi="Times New Roman" w:eastAsia="宋体" w:cs="Times New Roman"/>
          <w:color w:val="000000"/>
          <w:sz w:val="24"/>
          <w:u w:val="single"/>
        </w:rPr>
        <w:t xml:space="preserve">肆</w:t>
      </w:r>
      <w:r>
        <w:rPr>
          <w:rFonts w:ascii="Times New Roman" w:hAnsi="Times New Roman" w:eastAsia="宋体" w:cs="Times New Roman"/>
          <w:color w:val="000000"/>
          <w:sz w:val="24"/>
        </w:rPr>
        <w:t xml:space="preserve">份，承包人执</w:t>
      </w:r>
      <w:r>
        <w:rPr>
          <w:rFonts w:ascii="Times New Roman" w:hAnsi="Times New Roman" w:eastAsia="宋体" w:cs="Times New Roman"/>
          <w:color w:val="000000"/>
          <w:sz w:val="24"/>
          <w:u w:val="single"/>
        </w:rPr>
        <w:t xml:space="preserve">肆</w:t>
      </w:r>
      <w:r>
        <w:rPr>
          <w:rFonts w:ascii="Times New Roman" w:hAnsi="Times New Roman" w:eastAsia="宋体" w:cs="Times New Roman"/>
          <w:color w:val="000000"/>
          <w:sz w:val="24"/>
        </w:rPr>
        <w:t xml:space="preserve">份。</w:t>
      </w:r>
      <w:r>
        <w:rPr>
          <w:rFonts w:ascii="Times New Roman" w:hAnsi="Times New Roman" w:eastAsia="宋体" w:cs="Times New Roman"/>
          <w:color w:val="000000"/>
          <w:sz w:val="24"/>
        </w:rPr>
      </w:r>
      <w:r/>
    </w:p>
    <w:p>
      <w:pPr>
        <w:pStyle w:val="1005"/>
        <w:spacing w:line="440" w:lineRule="exact"/>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r>
      <w:r/>
    </w:p>
    <w:p>
      <w:pPr>
        <w:pStyle w:val="1005"/>
        <w:ind w:left="480" w:firstLine="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发包人：  </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公章</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                      承包人：  </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公章</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r>
      <w:r/>
    </w:p>
    <w:p>
      <w:pPr>
        <w:pStyle w:val="1005"/>
        <w:spacing w:line="440" w:lineRule="exact"/>
        <w:rPr>
          <w:rFonts w:hint="eastAsia" w:ascii="宋体" w:hAnsi="宋体" w:eastAsia="宋体"/>
          <w:color w:val="000000"/>
          <w:sz w:val="24"/>
          <w:szCs w:val="24"/>
          <w:u w:val="single"/>
        </w:rPr>
      </w:pPr>
      <w:r>
        <w:rPr>
          <w:rFonts w:hint="eastAsia" w:ascii="宋体" w:hAnsi="宋体" w:eastAsia="宋体"/>
          <w:color w:val="000000"/>
          <w:sz w:val="24"/>
          <w:szCs w:val="24"/>
        </w:rPr>
        <w:t xml:space="preserve">                                 </w:t>
      </w:r>
      <w:r>
        <w:rPr>
          <w:rFonts w:hint="eastAsia" w:ascii="宋体" w:hAnsi="宋体" w:eastAsia="宋体"/>
          <w:color w:val="000000"/>
          <w:sz w:val="24"/>
          <w:szCs w:val="24"/>
          <w:u w:val="single"/>
        </w:rPr>
      </w:r>
      <w:r/>
    </w:p>
    <w:p>
      <w:pPr>
        <w:pStyle w:val="1005"/>
        <w:ind w:left="480" w:firstLine="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法定代表人或其委托代理人：            法定代表人或其委托代理人：</w:t>
      </w:r>
      <w:r>
        <w:rPr>
          <w:rFonts w:hint="eastAsia" w:ascii="Times New Roman" w:hAnsi="Times New Roman" w:eastAsia="宋体" w:cs="Times New Roman"/>
          <w:color w:val="000000"/>
          <w:sz w:val="24"/>
          <w:szCs w:val="24"/>
        </w:rPr>
      </w:r>
      <w:r/>
    </w:p>
    <w:p>
      <w:pPr>
        <w:pStyle w:val="1005"/>
        <w:ind w:left="480" w:firstLine="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（签字）                               （签字）</w:t>
      </w:r>
      <w:r>
        <w:rPr>
          <w:rFonts w:hint="eastAsia" w:ascii="Times New Roman" w:hAnsi="Times New Roman" w:eastAsia="宋体" w:cs="Times New Roman"/>
          <w:color w:val="000000"/>
          <w:sz w:val="24"/>
          <w:szCs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组织机构代码：</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          组织机构代码：</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地  址：</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          地  址：</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邮政编码：</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          邮政编码：</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法定代表人：</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          法定代表人：</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委托代理人：</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           委托代理人：</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电  话：</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           电  话：</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传  真：</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           传  真：</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电子信箱：</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           电子信箱：</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开户银行：</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           开户银行：</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账  号：</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           账  号：</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r>
      <w:r/>
    </w:p>
    <w:p>
      <w:pPr>
        <w:pStyle w:val="1093"/>
        <w:numPr>
          <w:ilvl w:val="0"/>
          <w:numId w:val="51"/>
        </w:numPr>
        <w:ind w:left="0" w:firstLine="640"/>
        <w:tabs>
          <w:tab w:val="left" w:pos="640" w:leader="none"/>
        </w:tabs>
        <w:rPr>
          <w:b w:val="0"/>
        </w:rPr>
        <w:outlineLvl w:val="0"/>
      </w:pPr>
      <w:r>
        <w:br w:type="page" w:clear="all"/>
      </w:r>
      <w:bookmarkStart w:id="144" w:name="_Toc351203494"/>
      <w:r/>
      <w:bookmarkStart w:id="145" w:name="_Toc28167"/>
      <w:r>
        <w:t xml:space="preserve">通用合同条款</w:t>
      </w:r>
      <w:bookmarkEnd w:id="144"/>
      <w:r/>
      <w:bookmarkEnd w:id="145"/>
      <w:r/>
      <w:bookmarkStart w:id="146" w:name="_Toc337558727"/>
      <w:r/>
      <w:bookmarkEnd w:id="146"/>
      <w:r>
        <w:rPr>
          <w:b w:val="0"/>
        </w:rPr>
      </w:r>
      <w:r/>
    </w:p>
    <w:p>
      <w:pPr>
        <w:pStyle w:val="1026"/>
        <w:ind w:left="0" w:firstLine="480"/>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略 详见（GF—2017—0201）</w:t>
      </w:r>
      <w:bookmarkStart w:id="147" w:name="_Toc351203632"/>
      <w:r>
        <w:rPr>
          <w:rFonts w:ascii="Times New Roman" w:hAnsi="Times New Roman" w:eastAsia="宋体" w:cs="Times New Roman"/>
          <w:color w:val="000000"/>
          <w:sz w:val="24"/>
        </w:rPr>
      </w:r>
      <w:r/>
    </w:p>
    <w:p>
      <w:pPr>
        <w:pStyle w:val="1093"/>
        <w:numPr>
          <w:ilvl w:val="0"/>
          <w:numId w:val="51"/>
        </w:numPr>
        <w:ind w:left="0" w:firstLine="640"/>
        <w:tabs>
          <w:tab w:val="left" w:pos="640" w:leader="none"/>
        </w:tabs>
        <w:rPr>
          <w:b w:val="0"/>
        </w:rPr>
        <w:outlineLvl w:val="0"/>
      </w:pPr>
      <w:r/>
      <w:bookmarkStart w:id="148" w:name="_Toc25770"/>
      <w:r>
        <w:br w:type="page" w:clear="all"/>
      </w:r>
      <w:r>
        <w:t xml:space="preserve">专用合同条款</w:t>
      </w:r>
      <w:bookmarkEnd w:id="147"/>
      <w:r/>
      <w:bookmarkEnd w:id="148"/>
      <w:r>
        <w:rPr>
          <w:b w:val="0"/>
        </w:rPr>
      </w:r>
      <w:r/>
    </w:p>
    <w:p>
      <w:pPr>
        <w:pStyle w:val="1006"/>
        <w:numPr>
          <w:ilvl w:val="0"/>
          <w:numId w:val="58"/>
        </w:numPr>
        <w:ind w:left="0" w:firstLine="482"/>
        <w:tabs>
          <w:tab w:val="left" w:pos="842" w:leader="none"/>
        </w:tabs>
        <w:rPr>
          <w:b/>
        </w:rPr>
      </w:pPr>
      <w:r/>
      <w:bookmarkStart w:id="149" w:name="_Toc296503156"/>
      <w:r/>
      <w:bookmarkStart w:id="150" w:name="_Toc296347155"/>
      <w:r/>
      <w:bookmarkStart w:id="151" w:name="_Toc296944495"/>
      <w:r/>
      <w:bookmarkStart w:id="152" w:name="_Toc296891196"/>
      <w:r/>
      <w:bookmarkStart w:id="153" w:name="_Toc296346657"/>
      <w:r/>
      <w:bookmarkStart w:id="154" w:name="_Toc292559866"/>
      <w:r/>
      <w:bookmarkStart w:id="155" w:name="_Toc296890984"/>
      <w:r/>
      <w:bookmarkStart w:id="156" w:name="_Toc297048342"/>
      <w:r/>
      <w:bookmarkStart w:id="157" w:name="_Toc292559361"/>
      <w:r/>
      <w:bookmarkStart w:id="158" w:name="_Toc297120456"/>
      <w:r/>
      <w:bookmarkStart w:id="159" w:name="_Toc351203633"/>
      <w:r>
        <w:t xml:space="preserve">一般约定</w:t>
      </w:r>
      <w:bookmarkEnd w:id="149"/>
      <w:r/>
      <w:bookmarkEnd w:id="150"/>
      <w:r/>
      <w:bookmarkEnd w:id="151"/>
      <w:r/>
      <w:bookmarkEnd w:id="152"/>
      <w:r/>
      <w:bookmarkEnd w:id="153"/>
      <w:r/>
      <w:bookmarkEnd w:id="154"/>
      <w:r/>
      <w:bookmarkEnd w:id="155"/>
      <w:r/>
      <w:bookmarkEnd w:id="156"/>
      <w:r/>
      <w:bookmarkEnd w:id="157"/>
      <w:r/>
      <w:bookmarkEnd w:id="158"/>
      <w:r/>
      <w:bookmarkEnd w:id="159"/>
      <w:r>
        <w:rPr>
          <w:b/>
        </w:rPr>
      </w:r>
      <w:r/>
    </w:p>
    <w:p>
      <w:pPr>
        <w:pStyle w:val="1007"/>
        <w:numPr>
          <w:ilvl w:val="0"/>
          <w:numId w:val="59"/>
        </w:numPr>
        <w:ind w:left="0" w:firstLine="482"/>
        <w:tabs>
          <w:tab w:val="left" w:pos="903" w:leader="none"/>
        </w:tabs>
        <w:rPr>
          <w:b/>
        </w:rPr>
      </w:pPr>
      <w:r/>
      <w:bookmarkStart w:id="160" w:name="_Toc7931"/>
      <w:r>
        <w:t xml:space="preserve">词语定义</w:t>
      </w:r>
      <w:bookmarkEnd w:id="160"/>
      <w:r>
        <w:rPr>
          <w:b/>
        </w:rPr>
      </w:r>
      <w:r/>
    </w:p>
    <w:p>
      <w:pPr>
        <w:pStyle w:val="1008"/>
        <w:numPr>
          <w:ilvl w:val="0"/>
          <w:numId w:val="60"/>
        </w:numPr>
        <w:ind w:left="0" w:firstLine="482"/>
        <w:tabs>
          <w:tab w:val="left" w:pos="1205" w:leader="none"/>
        </w:tabs>
        <w:rPr>
          <w:rFonts w:hint="eastAsia" w:ascii="宋体" w:hAnsi="宋体" w:eastAsia="宋体" w:cs="宋体"/>
          <w:b/>
        </w:rPr>
      </w:pPr>
      <w:r>
        <w:t xml:space="preserve">合同</w:t>
      </w:r>
      <w:r>
        <w:rPr>
          <w:rFonts w:hint="eastAsia" w:ascii="宋体" w:hAnsi="宋体" w:eastAsia="宋体" w:cs="宋体"/>
          <w:b/>
        </w:rPr>
      </w:r>
      <w:r/>
    </w:p>
    <w:p>
      <w:pPr>
        <w:pStyle w:val="1026"/>
        <w:ind w:left="0" w:firstLine="480"/>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1.1.1.10其他合同文件包括：</w:t>
      </w:r>
      <w:r>
        <w:rPr>
          <w:rFonts w:ascii="Times New Roman" w:hAnsi="Times New Roman" w:eastAsia="宋体" w:cs="Times New Roman"/>
          <w:color w:val="000000"/>
          <w:sz w:val="24"/>
          <w:u w:val="single"/>
        </w:rPr>
        <w:t xml:space="preserve">经监理工程师、发包人代表签字并经发包人盖章确认的涉及工期、质量、价款调整内容的签证单、联系函、技术核定单等。</w:t>
      </w:r>
      <w:r>
        <w:rPr>
          <w:rFonts w:ascii="Times New Roman" w:hAnsi="Times New Roman" w:eastAsia="宋体" w:cs="Times New Roman"/>
          <w:color w:val="000000"/>
          <w:sz w:val="24"/>
          <w:u w:val="single"/>
        </w:rPr>
      </w:r>
      <w:r/>
    </w:p>
    <w:p>
      <w:pPr>
        <w:pStyle w:val="1008"/>
        <w:numPr>
          <w:ilvl w:val="0"/>
          <w:numId w:val="60"/>
        </w:numPr>
        <w:ind w:left="0" w:firstLine="482"/>
        <w:tabs>
          <w:tab w:val="left" w:pos="1205" w:leader="none"/>
        </w:tabs>
        <w:rPr>
          <w:b/>
        </w:rPr>
      </w:pPr>
      <w:r>
        <w:t xml:space="preserve">合同当事人及其他相关方</w:t>
      </w:r>
      <w:r>
        <w:rPr>
          <w:b/>
        </w:rPr>
      </w:r>
      <w:r/>
    </w:p>
    <w:p>
      <w:pPr>
        <w:pStyle w:val="1009"/>
        <w:numPr>
          <w:ilvl w:val="0"/>
          <w:numId w:val="61"/>
        </w:numPr>
        <w:ind w:left="0" w:firstLine="480"/>
        <w:tabs>
          <w:tab w:val="left" w:pos="1440" w:leader="none"/>
        </w:tabs>
        <w:rPr>
          <w:rFonts w:hint="eastAsia" w:ascii="宋体" w:hAnsi="宋体" w:eastAsia="宋体" w:cs="宋体"/>
          <w:b w:val="0"/>
        </w:rPr>
      </w:pPr>
      <w:r>
        <w:t xml:space="preserve">监理人：</w:t>
      </w:r>
      <w:r>
        <w:rPr>
          <w:rFonts w:hint="eastAsia" w:ascii="宋体" w:hAnsi="宋体" w:eastAsia="宋体" w:cs="宋体"/>
          <w:b w:val="0"/>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名    称：</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资质类别和等级：</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联系电话：</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电子信箱：</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通信地址：</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9"/>
        <w:numPr>
          <w:ilvl w:val="0"/>
          <w:numId w:val="61"/>
        </w:numPr>
        <w:ind w:left="0" w:firstLine="480"/>
        <w:tabs>
          <w:tab w:val="left" w:pos="1440" w:leader="none"/>
        </w:tabs>
        <w:rPr>
          <w:b w:val="0"/>
        </w:rPr>
      </w:pPr>
      <w:r>
        <w:t xml:space="preserve">设计人：</w:t>
      </w:r>
      <w:r>
        <w:rPr>
          <w:b w:val="0"/>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名    称：</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资质类别和等级：</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联系电话：</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电子信箱：</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通信地址：</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8"/>
        <w:numPr>
          <w:ilvl w:val="0"/>
          <w:numId w:val="60"/>
        </w:numPr>
        <w:ind w:left="0" w:firstLine="482"/>
        <w:tabs>
          <w:tab w:val="left" w:pos="1205" w:leader="none"/>
        </w:tabs>
        <w:rPr>
          <w:b/>
        </w:rPr>
      </w:pPr>
      <w:r>
        <w:t xml:space="preserve">工程和设备</w:t>
      </w:r>
      <w:r>
        <w:rPr>
          <w:b/>
        </w:rPr>
      </w:r>
      <w:r/>
    </w:p>
    <w:p>
      <w:pPr>
        <w:pStyle w:val="1026"/>
        <w:numPr>
          <w:ilvl w:val="0"/>
          <w:numId w:val="62"/>
        </w:numPr>
        <w:ind w:left="0" w:firstLine="480"/>
        <w:tabs>
          <w:tab w:val="left" w:pos="126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作为施工现场组成部分的其他场所包括：</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b w:val="0"/>
          <w:color w:val="000000"/>
          <w:sz w:val="24"/>
        </w:rPr>
      </w:r>
      <w:r/>
    </w:p>
    <w:p>
      <w:pPr>
        <w:pStyle w:val="1026"/>
        <w:numPr>
          <w:ilvl w:val="0"/>
          <w:numId w:val="62"/>
        </w:numPr>
        <w:ind w:left="0" w:firstLine="480"/>
        <w:tabs>
          <w:tab w:val="left" w:pos="126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永久占地包括：</w:t>
      </w:r>
      <w:r>
        <w:rPr>
          <w:rFonts w:ascii="Times New Roman" w:hAnsi="Times New Roman" w:eastAsia="宋体" w:cs="Times New Roman"/>
          <w:color w:val="000000"/>
          <w:sz w:val="24"/>
          <w:u w:val="single"/>
        </w:rPr>
        <w:t xml:space="preserve">发包人项目红线范围内的用地</w:t>
      </w:r>
      <w:r>
        <w:rPr>
          <w:rFonts w:ascii="Times New Roman" w:hAnsi="Times New Roman" w:eastAsia="宋体" w:cs="Times New Roman"/>
          <w:color w:val="000000"/>
          <w:sz w:val="24"/>
        </w:rPr>
        <w:t xml:space="preserve">。</w:t>
      </w:r>
      <w:r>
        <w:rPr>
          <w:rFonts w:ascii="Times New Roman" w:hAnsi="Times New Roman" w:eastAsia="宋体" w:cs="Times New Roman"/>
          <w:b w:val="0"/>
          <w:color w:val="000000"/>
          <w:sz w:val="24"/>
        </w:rPr>
      </w:r>
      <w:r/>
    </w:p>
    <w:p>
      <w:pPr>
        <w:pStyle w:val="1026"/>
        <w:numPr>
          <w:ilvl w:val="0"/>
          <w:numId w:val="62"/>
        </w:numPr>
        <w:ind w:left="0" w:firstLine="480"/>
        <w:tabs>
          <w:tab w:val="left" w:pos="126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临时占地包括：</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b w:val="0"/>
          <w:color w:val="000000"/>
          <w:sz w:val="24"/>
        </w:rPr>
      </w:r>
      <w:r/>
    </w:p>
    <w:p>
      <w:pPr>
        <w:pStyle w:val="1007"/>
        <w:numPr>
          <w:ilvl w:val="0"/>
          <w:numId w:val="59"/>
        </w:numPr>
        <w:ind w:left="0" w:firstLine="482"/>
        <w:tabs>
          <w:tab w:val="left" w:pos="903" w:leader="none"/>
        </w:tabs>
        <w:rPr>
          <w:rFonts w:hint="eastAsia" w:ascii="宋体" w:hAnsi="宋体" w:eastAsia="宋体" w:cs="宋体"/>
          <w:b/>
        </w:rPr>
      </w:pPr>
      <w:r>
        <w:t xml:space="preserve">法律 </w:t>
      </w:r>
      <w:r>
        <w:rPr>
          <w:rFonts w:hint="eastAsia" w:ascii="宋体" w:hAnsi="宋体" w:eastAsia="宋体" w:cs="宋体"/>
          <w:b/>
        </w:rPr>
      </w:r>
      <w:r/>
    </w:p>
    <w:p>
      <w:pPr>
        <w:pStyle w:val="1026"/>
        <w:ind w:left="0" w:firstLine="480"/>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适用于合同的其他规范性文件：</w:t>
      </w:r>
      <w:r>
        <w:rPr>
          <w:rFonts w:ascii="Times New Roman" w:hAnsi="Times New Roman" w:eastAsia="宋体" w:cs="Times New Roman"/>
          <w:color w:val="000000"/>
          <w:sz w:val="24"/>
          <w:u w:val="single"/>
        </w:rPr>
        <w:t xml:space="preserve">《中华人民共和国建筑法》《中华人民共和国民法典》《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例》《江苏省建筑市场管理条例》等。</w:t>
      </w:r>
      <w:r>
        <w:rPr>
          <w:rFonts w:ascii="Times New Roman" w:hAnsi="Times New Roman" w:eastAsia="宋体" w:cs="Times New Roman"/>
          <w:color w:val="000000"/>
          <w:sz w:val="24"/>
          <w:u w:val="single"/>
        </w:rPr>
      </w:r>
      <w:r/>
    </w:p>
    <w:p>
      <w:pPr>
        <w:pStyle w:val="1007"/>
        <w:numPr>
          <w:ilvl w:val="0"/>
          <w:numId w:val="59"/>
        </w:numPr>
        <w:ind w:left="0" w:firstLine="482"/>
        <w:tabs>
          <w:tab w:val="left" w:pos="903" w:leader="none"/>
        </w:tabs>
        <w:rPr>
          <w:b/>
        </w:rPr>
      </w:pPr>
      <w:r>
        <w:t xml:space="preserve">标准和规范</w:t>
      </w:r>
      <w:r>
        <w:rPr>
          <w:b/>
        </w:rPr>
      </w:r>
      <w:r/>
    </w:p>
    <w:p>
      <w:pPr>
        <w:pStyle w:val="1026"/>
        <w:numPr>
          <w:ilvl w:val="0"/>
          <w:numId w:val="63"/>
        </w:numPr>
        <w:ind w:left="0" w:firstLine="480"/>
        <w:tabs>
          <w:tab w:val="left" w:pos="120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适用于工程的标准规范包括：现行建筑工程相关的规范、规程、标准、规定、图集等。</w:t>
      </w:r>
      <w:r>
        <w:rPr>
          <w:rFonts w:hint="eastAsia" w:ascii="宋体" w:hAnsi="宋体" w:eastAsia="宋体" w:cs="宋体"/>
          <w:b w:val="0"/>
          <w:color w:val="000000"/>
          <w:sz w:val="24"/>
          <w:u w:val="single"/>
        </w:rPr>
      </w:r>
      <w:r/>
    </w:p>
    <w:p>
      <w:pPr>
        <w:pStyle w:val="1026"/>
        <w:numPr>
          <w:ilvl w:val="0"/>
          <w:numId w:val="63"/>
        </w:numPr>
        <w:ind w:left="0" w:firstLine="480"/>
        <w:tabs>
          <w:tab w:val="left" w:pos="1200" w:leader="none"/>
        </w:tabs>
        <w:rPr>
          <w:rFonts w:ascii="Times New Roman" w:hAnsi="Times New Roman" w:eastAsia="宋体" w:cs="Times New Roman"/>
          <w:b w:val="0"/>
          <w:color w:val="000000"/>
          <w:sz w:val="24"/>
        </w:rPr>
      </w:pPr>
      <w:r/>
      <w:bookmarkStart w:id="161" w:name="_Toc21365"/>
      <w:r>
        <w:rPr>
          <w:rFonts w:ascii="Times New Roman" w:hAnsi="Times New Roman" w:eastAsia="宋体" w:cs="Times New Roman"/>
          <w:color w:val="000000"/>
          <w:sz w:val="24"/>
        </w:rPr>
        <w:t xml:space="preserve">发包人提供国外标准、规范的名称：</w:t>
      </w:r>
      <w:r>
        <w:rPr>
          <w:rFonts w:ascii="Times New Roman" w:hAnsi="Times New Roman" w:eastAsia="宋体" w:cs="Times New Roman"/>
          <w:color w:val="000000"/>
          <w:sz w:val="24"/>
          <w:u w:val="single"/>
        </w:rPr>
        <w:t xml:space="preserve">      /     </w:t>
      </w:r>
      <w:r>
        <w:rPr>
          <w:rFonts w:ascii="Times New Roman" w:hAnsi="Times New Roman" w:eastAsia="宋体" w:cs="Times New Roman"/>
          <w:color w:val="000000"/>
          <w:sz w:val="24"/>
        </w:rPr>
        <w:t xml:space="preserve">；</w:t>
      </w:r>
      <w:bookmarkEnd w:id="161"/>
      <w:r>
        <w:rPr>
          <w:rFonts w:ascii="Times New Roman" w:hAnsi="Times New Roman" w:eastAsia="宋体" w:cs="Times New Roman"/>
          <w:b w:val="0"/>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发包人提供国外标准、规范的份数：</w:t>
      </w:r>
      <w:r>
        <w:rPr>
          <w:rFonts w:ascii="Times New Roman" w:hAnsi="Times New Roman" w:eastAsia="宋体" w:cs="Times New Roman"/>
          <w:color w:val="000000"/>
          <w:sz w:val="24"/>
          <w:u w:val="single"/>
        </w:rPr>
        <w:t xml:space="preserve">      /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发包人提供国外标准、规范的名称：</w:t>
      </w:r>
      <w:r>
        <w:rPr>
          <w:rFonts w:ascii="Times New Roman" w:hAnsi="Times New Roman" w:eastAsia="宋体" w:cs="Times New Roman"/>
          <w:color w:val="000000"/>
          <w:sz w:val="24"/>
          <w:u w:val="single"/>
        </w:rPr>
        <w:t xml:space="preserve">      /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numPr>
          <w:ilvl w:val="0"/>
          <w:numId w:val="63"/>
        </w:numPr>
        <w:ind w:left="0" w:firstLine="480"/>
        <w:tabs>
          <w:tab w:val="left" w:pos="120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发包人对工程的技术标准和功能要求的特殊要求：</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rPr>
      </w:r>
      <w:r/>
    </w:p>
    <w:p>
      <w:pPr>
        <w:pStyle w:val="1007"/>
        <w:numPr>
          <w:ilvl w:val="0"/>
          <w:numId w:val="59"/>
        </w:numPr>
        <w:ind w:left="0" w:firstLine="482"/>
        <w:tabs>
          <w:tab w:val="left" w:pos="903" w:leader="none"/>
        </w:tabs>
        <w:rPr>
          <w:b/>
        </w:rPr>
      </w:pPr>
      <w:r/>
      <w:bookmarkStart w:id="162" w:name="_Toc25091"/>
      <w:r>
        <w:t xml:space="preserve">合同文件的优先顺序</w:t>
      </w:r>
      <w:bookmarkEnd w:id="162"/>
      <w:r>
        <w:rPr>
          <w:b/>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合同文件组成及优先顺序为：</w:t>
      </w:r>
      <w:r>
        <w:rPr>
          <w:rFonts w:ascii="Times New Roman" w:hAnsi="Times New Roman" w:eastAsia="宋体" w:cs="Times New Roman"/>
          <w:color w:val="000000"/>
          <w:sz w:val="24"/>
          <w:u w:val="single"/>
        </w:rPr>
        <w:t xml:space="preserve">（1）合同协议书；（2）成交通知书；（3）投标函及其附录；（4）专用合同条款及其附件；（5）通用合同条款；（6）技术标准和要求；（7）图纸；（8）已标价的工程量清单或预算书；（9）其他合同文件</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u w:val="single"/>
        </w:rPr>
      </w:r>
      <w:r/>
    </w:p>
    <w:p>
      <w:pPr>
        <w:pStyle w:val="1007"/>
        <w:numPr>
          <w:ilvl w:val="0"/>
          <w:numId w:val="59"/>
        </w:numPr>
        <w:ind w:left="0" w:firstLine="482"/>
        <w:tabs>
          <w:tab w:val="left" w:pos="903" w:leader="none"/>
        </w:tabs>
        <w:rPr>
          <w:b/>
        </w:rPr>
      </w:pPr>
      <w:r/>
      <w:bookmarkStart w:id="163" w:name="_Toc8793"/>
      <w:r>
        <w:t xml:space="preserve">图纸和承包人文件</w:t>
      </w:r>
      <w:bookmarkEnd w:id="163"/>
      <w:r>
        <w:tab/>
      </w:r>
      <w:r>
        <w:rPr>
          <w:b/>
        </w:rPr>
      </w:r>
      <w:r/>
    </w:p>
    <w:p>
      <w:pPr>
        <w:pStyle w:val="1008"/>
        <w:numPr>
          <w:ilvl w:val="0"/>
          <w:numId w:val="64"/>
        </w:numPr>
        <w:ind w:left="0" w:firstLine="482"/>
        <w:tabs>
          <w:tab w:val="left" w:pos="1081" w:leader="none"/>
        </w:tabs>
        <w:rPr>
          <w:b/>
        </w:rPr>
      </w:pPr>
      <w:r>
        <w:t xml:space="preserve">图纸的提供</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发包人向承包人提供图纸的期限：</w:t>
      </w:r>
      <w:r>
        <w:rPr>
          <w:rFonts w:ascii="Times New Roman" w:hAnsi="Times New Roman" w:eastAsia="宋体" w:cs="Times New Roman"/>
          <w:color w:val="000000"/>
          <w:sz w:val="24"/>
          <w:u w:val="single"/>
        </w:rPr>
        <w:t xml:space="preserve">工程开工前</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发包人向承包人提供图纸的数量：</w:t>
      </w:r>
      <w:r>
        <w:rPr>
          <w:rFonts w:ascii="Times New Roman" w:hAnsi="Times New Roman" w:eastAsia="宋体" w:cs="Times New Roman"/>
          <w:color w:val="000000"/>
          <w:sz w:val="24"/>
          <w:u w:val="single"/>
        </w:rPr>
        <w:t xml:space="preserve">按工程实际提供</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发包人向承包人提供图纸的内容：</w:t>
      </w:r>
      <w:r>
        <w:rPr>
          <w:rFonts w:ascii="Times New Roman" w:hAnsi="Times New Roman" w:eastAsia="宋体" w:cs="Times New Roman"/>
          <w:color w:val="000000"/>
          <w:sz w:val="24"/>
          <w:u w:val="single"/>
        </w:rPr>
        <w:t xml:space="preserve">本合同承包范围内的全部工程的图纸</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8"/>
        <w:numPr>
          <w:ilvl w:val="0"/>
          <w:numId w:val="64"/>
        </w:numPr>
        <w:ind w:left="0" w:firstLine="482"/>
        <w:tabs>
          <w:tab w:val="left" w:pos="1081" w:leader="none"/>
        </w:tabs>
        <w:rPr>
          <w:b/>
        </w:rPr>
      </w:pPr>
      <w:r>
        <w:t xml:space="preserve">承包人文件</w:t>
      </w:r>
      <w:r>
        <w:rPr>
          <w:b/>
        </w:rPr>
      </w:r>
      <w:r/>
    </w:p>
    <w:p>
      <w:pPr>
        <w:pStyle w:val="1026"/>
        <w:ind w:left="0" w:firstLine="480"/>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需要由承包人提供的文件，包括：</w:t>
      </w:r>
      <w:r>
        <w:rPr>
          <w:rFonts w:ascii="Times New Roman" w:hAnsi="Times New Roman" w:eastAsia="宋体" w:cs="Times New Roman"/>
          <w:color w:val="000000"/>
          <w:sz w:val="24"/>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u w:val="single"/>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承包人提供的文件的期限为：</w:t>
      </w:r>
      <w:r>
        <w:rPr>
          <w:rFonts w:ascii="Times New Roman" w:hAnsi="Times New Roman" w:eastAsia="宋体" w:cs="Times New Roman"/>
          <w:color w:val="000000"/>
          <w:sz w:val="24"/>
          <w:u w:val="single"/>
        </w:rPr>
        <w:t xml:space="preserve">      同上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承包人提供的文件的数量为：</w:t>
      </w:r>
      <w:r>
        <w:rPr>
          <w:rFonts w:ascii="Times New Roman" w:hAnsi="Times New Roman" w:eastAsia="宋体" w:cs="Times New Roman"/>
          <w:color w:val="000000"/>
          <w:sz w:val="24"/>
          <w:u w:val="single"/>
        </w:rPr>
        <w:t xml:space="preserve">      一式四套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承包人提供的文件的形式为：</w:t>
      </w:r>
      <w:r>
        <w:rPr>
          <w:rFonts w:ascii="Times New Roman" w:hAnsi="Times New Roman" w:eastAsia="宋体" w:cs="Times New Roman"/>
          <w:color w:val="000000"/>
          <w:sz w:val="24"/>
          <w:u w:val="single"/>
        </w:rPr>
        <w:t xml:space="preserve">   书面版和电子版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发包人审批承包人文件的期限：</w:t>
      </w:r>
      <w:r>
        <w:rPr>
          <w:rFonts w:ascii="Times New Roman" w:hAnsi="Times New Roman" w:eastAsia="宋体" w:cs="Times New Roman"/>
          <w:color w:val="000000"/>
          <w:sz w:val="24"/>
          <w:u w:val="single"/>
        </w:rPr>
        <w:t xml:space="preserve"> 书面版和电子版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8"/>
        <w:numPr>
          <w:ilvl w:val="0"/>
          <w:numId w:val="64"/>
        </w:numPr>
        <w:ind w:left="0" w:firstLine="482"/>
        <w:tabs>
          <w:tab w:val="left" w:pos="1081" w:leader="none"/>
        </w:tabs>
        <w:rPr>
          <w:b/>
        </w:rPr>
      </w:pPr>
      <w:r>
        <w:t xml:space="preserve">现场图纸准备</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关于现场图纸准备的约定：</w:t>
      </w:r>
      <w:r>
        <w:rPr>
          <w:rFonts w:ascii="Times New Roman" w:hAnsi="Times New Roman" w:eastAsia="宋体" w:cs="Times New Roman"/>
          <w:color w:val="000000"/>
          <w:sz w:val="24"/>
          <w:u w:val="single"/>
        </w:rPr>
        <w:t xml:space="preserve">由承包人负责准备现场图纸</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7"/>
        <w:numPr>
          <w:ilvl w:val="0"/>
          <w:numId w:val="59"/>
        </w:numPr>
        <w:ind w:left="0" w:firstLine="482"/>
        <w:tabs>
          <w:tab w:val="left" w:pos="903" w:leader="none"/>
        </w:tabs>
        <w:rPr>
          <w:b/>
        </w:rPr>
      </w:pPr>
      <w:r/>
      <w:bookmarkStart w:id="164" w:name="_Toc3468"/>
      <w:r>
        <w:t xml:space="preserve">联络</w:t>
      </w:r>
      <w:bookmarkEnd w:id="164"/>
      <w:r>
        <w:rPr>
          <w:b/>
        </w:rPr>
      </w:r>
      <w:r/>
    </w:p>
    <w:p>
      <w:pPr>
        <w:pStyle w:val="1026"/>
        <w:numPr>
          <w:ilvl w:val="0"/>
          <w:numId w:val="65"/>
        </w:numPr>
        <w:ind w:left="0" w:firstLine="480"/>
        <w:tabs>
          <w:tab w:val="left" w:pos="120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发包人和承包人应当在</w:t>
      </w:r>
      <w:r>
        <w:rPr>
          <w:rFonts w:ascii="Times New Roman" w:hAnsi="Times New Roman" w:eastAsia="宋体" w:cs="Times New Roman"/>
          <w:color w:val="000000"/>
          <w:sz w:val="24"/>
          <w:u w:val="single"/>
        </w:rPr>
        <w:t xml:space="preserve">3</w:t>
      </w:r>
      <w:r>
        <w:rPr>
          <w:rFonts w:ascii="Times New Roman" w:hAnsi="Times New Roman" w:eastAsia="宋体" w:cs="Times New Roman"/>
          <w:color w:val="000000"/>
          <w:sz w:val="24"/>
        </w:rPr>
        <w:t xml:space="preserve">天内将与合同有关的通知、批准、证明、证书、指示、指令、要求、请求、同意、意见、确定和决定等书面函件送达对方当事人。</w:t>
      </w:r>
      <w:r>
        <w:rPr>
          <w:rFonts w:hint="eastAsia" w:ascii="宋体" w:hAnsi="宋体" w:eastAsia="宋体" w:cs="宋体"/>
          <w:b w:val="0"/>
          <w:color w:val="000000"/>
          <w:sz w:val="24"/>
        </w:rPr>
      </w:r>
      <w:r/>
    </w:p>
    <w:p>
      <w:pPr>
        <w:pStyle w:val="1026"/>
        <w:numPr>
          <w:ilvl w:val="0"/>
          <w:numId w:val="65"/>
        </w:numPr>
        <w:ind w:left="0" w:firstLine="480"/>
        <w:tabs>
          <w:tab w:val="left" w:pos="120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发包人接收文件的地点：</w:t>
      </w:r>
      <w:r>
        <w:rPr>
          <w:rFonts w:ascii="Times New Roman" w:hAnsi="Times New Roman" w:eastAsia="宋体" w:cs="Times New Roman"/>
          <w:color w:val="000000"/>
          <w:sz w:val="24"/>
          <w:u w:val="single"/>
        </w:rPr>
        <w:t xml:space="preserve">发包人办公室</w:t>
      </w:r>
      <w:r>
        <w:rPr>
          <w:rFonts w:ascii="Times New Roman" w:hAnsi="Times New Roman" w:eastAsia="宋体" w:cs="Times New Roman"/>
          <w:color w:val="000000"/>
          <w:sz w:val="24"/>
        </w:rPr>
        <w:t xml:space="preserve">；</w:t>
      </w:r>
      <w:r>
        <w:rPr>
          <w:rFonts w:ascii="Times New Roman" w:hAnsi="Times New Roman" w:eastAsia="宋体" w:cs="Times New Roman"/>
          <w:b w:val="0"/>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发包人指定的接收人为：</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承包人接收文件的地点：</w:t>
      </w:r>
      <w:r>
        <w:rPr>
          <w:rFonts w:ascii="Times New Roman" w:hAnsi="Times New Roman" w:eastAsia="宋体" w:cs="Times New Roman"/>
          <w:color w:val="000000"/>
          <w:sz w:val="24"/>
          <w:u w:val="single"/>
        </w:rPr>
        <w:t xml:space="preserve">项目现场办公室或承包人住所地</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承包人指定的接收人为：</w:t>
      </w:r>
      <w:r>
        <w:rPr>
          <w:rFonts w:ascii="Times New Roman" w:hAnsi="Times New Roman" w:eastAsia="宋体" w:cs="Times New Roman"/>
          <w:color w:val="000000"/>
          <w:sz w:val="24"/>
          <w:u w:val="single"/>
        </w:rPr>
        <w:t xml:space="preserve">项目部人员</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监理人接收文件的地点：</w:t>
      </w:r>
      <w:r>
        <w:rPr>
          <w:rFonts w:ascii="Times New Roman" w:hAnsi="Times New Roman" w:eastAsia="宋体" w:cs="Times New Roman"/>
          <w:color w:val="000000"/>
          <w:sz w:val="24"/>
          <w:u w:val="single"/>
        </w:rPr>
        <w:t xml:space="preserve">项目现场办公室</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监理人指定的接收人为：</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7"/>
        <w:numPr>
          <w:ilvl w:val="0"/>
          <w:numId w:val="59"/>
        </w:numPr>
        <w:ind w:left="0" w:firstLine="482"/>
        <w:tabs>
          <w:tab w:val="left" w:pos="903" w:leader="none"/>
        </w:tabs>
        <w:rPr>
          <w:b/>
        </w:rPr>
      </w:pPr>
      <w:r/>
      <w:bookmarkStart w:id="165" w:name="_Toc14019"/>
      <w:r>
        <w:t xml:space="preserve">交通运输</w:t>
      </w:r>
      <w:bookmarkEnd w:id="165"/>
      <w:r>
        <w:rPr>
          <w:b/>
        </w:rPr>
      </w:r>
      <w:r/>
    </w:p>
    <w:p>
      <w:pPr>
        <w:pStyle w:val="1008"/>
        <w:numPr>
          <w:ilvl w:val="0"/>
          <w:numId w:val="66"/>
        </w:numPr>
        <w:ind w:left="0" w:firstLine="482"/>
        <w:tabs>
          <w:tab w:val="left" w:pos="1201" w:leader="none"/>
        </w:tabs>
        <w:rPr>
          <w:b/>
        </w:rPr>
      </w:pPr>
      <w:r/>
      <w:bookmarkStart w:id="166" w:name="_Toc312677986"/>
      <w:r/>
      <w:bookmarkStart w:id="167" w:name="_Toc318581155"/>
      <w:r/>
      <w:bookmarkStart w:id="168" w:name="_Toc300934943"/>
      <w:r/>
      <w:bookmarkStart w:id="169" w:name="_Toc304295521"/>
      <w:r/>
      <w:bookmarkStart w:id="170" w:name="_Toc27740"/>
      <w:r/>
      <w:bookmarkStart w:id="171" w:name="_Toc303539100"/>
      <w:r>
        <w:t xml:space="preserve">出入现场的权利</w:t>
      </w:r>
      <w:bookmarkEnd w:id="170"/>
      <w:r>
        <w:rPr>
          <w:b/>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关于出入现场的权利的约定：</w:t>
      </w:r>
      <w:r>
        <w:rPr>
          <w:rFonts w:ascii="Times New Roman" w:hAnsi="Times New Roman" w:eastAsia="宋体" w:cs="Times New Roman"/>
          <w:color w:val="000000"/>
          <w:sz w:val="24"/>
          <w:u w:val="single"/>
        </w:rPr>
        <w:t xml:space="preserve">承包人已对施工场地现场勘察，由发包人按现状交付承包人施工，且施工场地平整等费用已包含在合同价款中。</w:t>
      </w:r>
      <w:bookmarkEnd w:id="166"/>
      <w:r/>
      <w:bookmarkEnd w:id="167"/>
      <w:r/>
      <w:bookmarkEnd w:id="168"/>
      <w:r/>
      <w:bookmarkEnd w:id="169"/>
      <w:r/>
      <w:bookmarkEnd w:id="171"/>
      <w:r>
        <w:rPr>
          <w:rFonts w:ascii="Times New Roman" w:hAnsi="Times New Roman" w:eastAsia="宋体" w:cs="Times New Roman"/>
          <w:color w:val="000000"/>
          <w:sz w:val="24"/>
          <w:u w:val="single"/>
        </w:rPr>
      </w:r>
      <w:r/>
    </w:p>
    <w:p>
      <w:pPr>
        <w:pStyle w:val="1008"/>
        <w:numPr>
          <w:ilvl w:val="0"/>
          <w:numId w:val="66"/>
        </w:numPr>
        <w:ind w:left="0" w:firstLine="482"/>
        <w:tabs>
          <w:tab w:val="left" w:pos="1201" w:leader="none"/>
        </w:tabs>
        <w:rPr>
          <w:b/>
        </w:rPr>
      </w:pPr>
      <w:r/>
      <w:bookmarkStart w:id="172" w:name="_Toc8902"/>
      <w:r/>
      <w:bookmarkStart w:id="173" w:name="_Toc318581156"/>
      <w:r/>
      <w:bookmarkStart w:id="174" w:name="_Toc300934944"/>
      <w:r/>
      <w:bookmarkStart w:id="175" w:name="_Toc303539101"/>
      <w:r/>
      <w:bookmarkStart w:id="176" w:name="_Toc312677987"/>
      <w:r/>
      <w:bookmarkStart w:id="177" w:name="_Toc304295522"/>
      <w:r>
        <w:t xml:space="preserve">场内交通</w:t>
      </w:r>
      <w:bookmarkEnd w:id="172"/>
      <w:r>
        <w:rPr>
          <w:b/>
        </w:rPr>
      </w:r>
      <w:r/>
    </w:p>
    <w:p>
      <w:pPr>
        <w:pStyle w:val="1026"/>
        <w:ind w:left="0" w:firstLine="480"/>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关于场外交通和场内交通的边界的约定：</w:t>
      </w:r>
      <w:r>
        <w:rPr>
          <w:rFonts w:ascii="Times New Roman" w:hAnsi="Times New Roman" w:eastAsia="宋体" w:cs="Times New Roman"/>
          <w:color w:val="000000"/>
          <w:sz w:val="24"/>
          <w:u w:val="single"/>
        </w:rPr>
        <w:t xml:space="preserve">发包人的用地红线范围为边界</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关于发包人向承包人免费提供满足工程施工需要的场内道路和交通设施的约定：</w:t>
      </w:r>
      <w:bookmarkEnd w:id="173"/>
      <w:r/>
      <w:bookmarkEnd w:id="174"/>
      <w:r/>
      <w:bookmarkEnd w:id="175"/>
      <w:r/>
      <w:bookmarkEnd w:id="176"/>
      <w:r/>
      <w:bookmarkEnd w:id="177"/>
      <w:r>
        <w:rPr>
          <w:rFonts w:ascii="Times New Roman" w:hAnsi="Times New Roman" w:eastAsia="宋体" w:cs="Times New Roman"/>
          <w:color w:val="000000"/>
          <w:sz w:val="24"/>
          <w:u w:val="single"/>
        </w:rPr>
        <w:t xml:space="preserve">均由承包人完成，费用已含在约定的合同价款计价方法中</w:t>
      </w:r>
      <w:r>
        <w:rPr>
          <w:rFonts w:ascii="Times New Roman" w:hAnsi="Times New Roman" w:eastAsia="宋体" w:cs="Times New Roman"/>
          <w:color w:val="000000"/>
          <w:sz w:val="24"/>
        </w:rPr>
        <w:t xml:space="preserve">。  </w:t>
      </w:r>
      <w:bookmarkStart w:id="178" w:name="_Toc318581157"/>
      <w:r>
        <w:rPr>
          <w:rFonts w:ascii="Times New Roman" w:hAnsi="Times New Roman" w:eastAsia="宋体" w:cs="Times New Roman"/>
          <w:color w:val="000000"/>
          <w:sz w:val="24"/>
        </w:rPr>
      </w:r>
      <w:r/>
    </w:p>
    <w:p>
      <w:pPr>
        <w:pStyle w:val="1008"/>
        <w:numPr>
          <w:ilvl w:val="0"/>
          <w:numId w:val="66"/>
        </w:numPr>
        <w:ind w:left="0" w:firstLine="482"/>
        <w:tabs>
          <w:tab w:val="left" w:pos="1201" w:leader="none"/>
        </w:tabs>
        <w:rPr>
          <w:rFonts w:hint="eastAsia" w:ascii="宋体" w:hAnsi="宋体" w:eastAsia="宋体" w:cs="宋体"/>
          <w:b/>
        </w:rPr>
      </w:pPr>
      <w:r>
        <w:t xml:space="preserve">超大件和超重件的运输</w:t>
      </w:r>
      <w:r>
        <w:rPr>
          <w:rFonts w:hint="eastAsia" w:ascii="宋体" w:hAnsi="宋体" w:eastAsia="宋体" w:cs="宋体"/>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运输超大件或超重件所需的道路和桥梁临时加固改造费用和其他有关费用由</w:t>
      </w:r>
      <w:r>
        <w:rPr>
          <w:rFonts w:ascii="Times New Roman" w:hAnsi="Times New Roman" w:eastAsia="宋体" w:cs="Times New Roman"/>
          <w:color w:val="000000"/>
          <w:sz w:val="24"/>
          <w:u w:val="single"/>
        </w:rPr>
        <w:t xml:space="preserve">承包人</w:t>
      </w:r>
      <w:r>
        <w:rPr>
          <w:rFonts w:ascii="Times New Roman" w:hAnsi="Times New Roman" w:eastAsia="宋体" w:cs="Times New Roman"/>
          <w:color w:val="000000"/>
          <w:sz w:val="24"/>
        </w:rPr>
        <w:t xml:space="preserve">承担。</w:t>
      </w:r>
      <w:bookmarkEnd w:id="178"/>
      <w:r>
        <w:rPr>
          <w:rFonts w:ascii="Times New Roman" w:hAnsi="Times New Roman" w:eastAsia="宋体" w:cs="Times New Roman"/>
          <w:color w:val="000000"/>
          <w:sz w:val="24"/>
        </w:rPr>
      </w:r>
      <w:r/>
    </w:p>
    <w:p>
      <w:pPr>
        <w:pStyle w:val="1007"/>
        <w:numPr>
          <w:ilvl w:val="0"/>
          <w:numId w:val="59"/>
        </w:numPr>
        <w:ind w:left="0" w:firstLine="482"/>
        <w:tabs>
          <w:tab w:val="left" w:pos="903" w:leader="none"/>
        </w:tabs>
        <w:rPr>
          <w:b/>
        </w:rPr>
      </w:pPr>
      <w:r/>
      <w:bookmarkStart w:id="179" w:name="_Toc30998"/>
      <w:r>
        <w:t xml:space="preserve">知识产权</w:t>
      </w:r>
      <w:bookmarkEnd w:id="179"/>
      <w:r>
        <w:rPr>
          <w:b/>
        </w:rPr>
      </w:r>
      <w:r/>
    </w:p>
    <w:p>
      <w:pPr>
        <w:pStyle w:val="1026"/>
        <w:numPr>
          <w:ilvl w:val="0"/>
          <w:numId w:val="67"/>
        </w:numPr>
        <w:ind w:left="0" w:firstLine="480"/>
        <w:tabs>
          <w:tab w:val="left" w:pos="132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color w:val="000000"/>
          <w:sz w:val="24"/>
          <w:u w:val="single"/>
        </w:rPr>
        <w:t xml:space="preserve">发包人</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关于发包人提供的上述文件的使用限制的要求：</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numPr>
          <w:ilvl w:val="0"/>
          <w:numId w:val="67"/>
        </w:numPr>
        <w:ind w:left="0" w:firstLine="480"/>
        <w:tabs>
          <w:tab w:val="left" w:pos="1320" w:leader="none"/>
        </w:tabs>
        <w:rPr>
          <w:rFonts w:ascii="Times New Roman" w:hAnsi="Times New Roman" w:eastAsia="宋体" w:cs="Times New Roman"/>
          <w:b w:val="0"/>
          <w:color w:val="000000"/>
          <w:sz w:val="24"/>
        </w:rPr>
      </w:pPr>
      <w:r/>
      <w:bookmarkStart w:id="180" w:name="_Toc19436"/>
      <w:r>
        <w:rPr>
          <w:rFonts w:ascii="Times New Roman" w:hAnsi="Times New Roman" w:eastAsia="宋体" w:cs="Times New Roman"/>
          <w:color w:val="000000"/>
          <w:sz w:val="24"/>
        </w:rPr>
        <w:t xml:space="preserve">关于承包人为实施工程所编制文件的著作权的归属：</w:t>
      </w:r>
      <w:r>
        <w:rPr>
          <w:rFonts w:ascii="Times New Roman" w:hAnsi="Times New Roman" w:eastAsia="宋体" w:cs="Times New Roman"/>
          <w:color w:val="000000"/>
          <w:sz w:val="24"/>
          <w:u w:val="single"/>
        </w:rPr>
        <w:t xml:space="preserve">发包人</w:t>
      </w:r>
      <w:r>
        <w:rPr>
          <w:rFonts w:ascii="Times New Roman" w:hAnsi="Times New Roman" w:eastAsia="宋体" w:cs="Times New Roman"/>
          <w:color w:val="000000"/>
          <w:sz w:val="24"/>
        </w:rPr>
        <w:t xml:space="preserve">。</w:t>
      </w:r>
      <w:bookmarkEnd w:id="180"/>
      <w:r>
        <w:rPr>
          <w:rFonts w:ascii="Times New Roman" w:hAnsi="Times New Roman" w:eastAsia="宋体" w:cs="Times New Roman"/>
          <w:b w:val="0"/>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关于承包人提供的上述文件的使用限制的要求：</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numPr>
          <w:ilvl w:val="0"/>
          <w:numId w:val="67"/>
        </w:numPr>
        <w:ind w:left="0" w:firstLine="480"/>
        <w:tabs>
          <w:tab w:val="left" w:pos="1320" w:leader="none"/>
        </w:tabs>
        <w:rPr>
          <w:rFonts w:ascii="Times New Roman" w:hAnsi="Times New Roman" w:eastAsia="宋体" w:cs="Times New Roman"/>
          <w:b w:val="0"/>
          <w:color w:val="000000"/>
          <w:sz w:val="24"/>
        </w:rPr>
      </w:pPr>
      <w:r/>
      <w:bookmarkStart w:id="181" w:name="_Toc19142"/>
      <w:r>
        <w:rPr>
          <w:rFonts w:ascii="Times New Roman" w:hAnsi="Times New Roman" w:eastAsia="宋体" w:cs="Times New Roman"/>
          <w:color w:val="000000"/>
          <w:sz w:val="24"/>
        </w:rPr>
        <w:t xml:space="preserve">承包人在施工过程中所采用的专利、专有技术、技术秘密的使用费的承担方式：</w:t>
      </w:r>
      <w:r>
        <w:rPr>
          <w:rFonts w:ascii="Times New Roman" w:hAnsi="Times New Roman" w:eastAsia="宋体" w:cs="Times New Roman"/>
          <w:color w:val="000000"/>
          <w:sz w:val="24"/>
          <w:u w:val="single"/>
        </w:rPr>
        <w:t xml:space="preserve">由承包人承担</w:t>
      </w:r>
      <w:r>
        <w:rPr>
          <w:rFonts w:ascii="Times New Roman" w:hAnsi="Times New Roman" w:eastAsia="宋体" w:cs="Times New Roman"/>
          <w:color w:val="000000"/>
          <w:sz w:val="24"/>
        </w:rPr>
        <w:t xml:space="preserve">。</w:t>
      </w:r>
      <w:bookmarkEnd w:id="181"/>
      <w:r>
        <w:rPr>
          <w:rFonts w:ascii="Times New Roman" w:hAnsi="Times New Roman" w:eastAsia="宋体" w:cs="Times New Roman"/>
          <w:b w:val="0"/>
          <w:color w:val="000000"/>
          <w:sz w:val="24"/>
        </w:rPr>
      </w:r>
      <w:r/>
    </w:p>
    <w:p>
      <w:pPr>
        <w:pStyle w:val="1007"/>
        <w:numPr>
          <w:ilvl w:val="0"/>
          <w:numId w:val="59"/>
        </w:numPr>
        <w:ind w:left="0" w:firstLine="482"/>
        <w:tabs>
          <w:tab w:val="left" w:pos="903" w:leader="none"/>
        </w:tabs>
        <w:rPr>
          <w:rFonts w:hint="eastAsia" w:ascii="宋体" w:hAnsi="宋体" w:eastAsia="宋体" w:cs="宋体"/>
          <w:b/>
        </w:rPr>
      </w:pPr>
      <w:r>
        <w:t xml:space="preserve">工程量清单错误的修正</w:t>
      </w:r>
      <w:r>
        <w:rPr>
          <w:rFonts w:hint="eastAsia" w:ascii="宋体" w:hAnsi="宋体" w:eastAsia="宋体" w:cs="宋体"/>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出现工程量清单错误时，是否调整合同价格：</w:t>
      </w:r>
      <w:r>
        <w:rPr>
          <w:rFonts w:ascii="Times New Roman" w:hAnsi="Times New Roman" w:eastAsia="宋体" w:cs="Times New Roman"/>
          <w:color w:val="000000"/>
          <w:sz w:val="24"/>
          <w:u w:val="single"/>
        </w:rPr>
        <w:t xml:space="preserve">是</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允许调整合同价格的工程量偏差范围：</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6"/>
        <w:numPr>
          <w:ilvl w:val="0"/>
          <w:numId w:val="58"/>
        </w:numPr>
        <w:ind w:left="0" w:firstLine="482"/>
        <w:tabs>
          <w:tab w:val="left" w:pos="842" w:leader="none"/>
        </w:tabs>
        <w:rPr>
          <w:b/>
        </w:rPr>
      </w:pPr>
      <w:r/>
      <w:bookmarkStart w:id="182" w:name="_Toc292559362"/>
      <w:r/>
      <w:bookmarkStart w:id="183" w:name="_Toc297120457"/>
      <w:r/>
      <w:bookmarkStart w:id="184" w:name="_Toc296346658"/>
      <w:r/>
      <w:bookmarkStart w:id="185" w:name="_Toc296890985"/>
      <w:r/>
      <w:bookmarkStart w:id="186" w:name="_Toc296347156"/>
      <w:r/>
      <w:bookmarkStart w:id="187" w:name="_Toc296503157"/>
      <w:r/>
      <w:bookmarkStart w:id="188" w:name="_Toc296891197"/>
      <w:r/>
      <w:bookmarkStart w:id="189" w:name="_Toc351203634"/>
      <w:r/>
      <w:bookmarkStart w:id="190" w:name="_Toc296944496"/>
      <w:r/>
      <w:bookmarkStart w:id="191" w:name="_Toc297048343"/>
      <w:r/>
      <w:bookmarkStart w:id="192" w:name="_Toc292559867"/>
      <w:r>
        <w:t xml:space="preserve">发包人</w:t>
      </w:r>
      <w:bookmarkEnd w:id="182"/>
      <w:r/>
      <w:bookmarkEnd w:id="183"/>
      <w:r/>
      <w:bookmarkEnd w:id="184"/>
      <w:r/>
      <w:bookmarkEnd w:id="185"/>
      <w:r/>
      <w:bookmarkEnd w:id="186"/>
      <w:r/>
      <w:bookmarkEnd w:id="187"/>
      <w:r/>
      <w:bookmarkEnd w:id="188"/>
      <w:r/>
      <w:bookmarkEnd w:id="189"/>
      <w:r/>
      <w:bookmarkEnd w:id="190"/>
      <w:r/>
      <w:bookmarkEnd w:id="191"/>
      <w:r/>
      <w:bookmarkEnd w:id="192"/>
      <w:r>
        <w:rPr>
          <w:b/>
        </w:rPr>
      </w:r>
      <w:r/>
    </w:p>
    <w:p>
      <w:pPr>
        <w:pStyle w:val="1007"/>
        <w:numPr>
          <w:ilvl w:val="0"/>
          <w:numId w:val="68"/>
        </w:numPr>
        <w:ind w:left="0" w:firstLine="482"/>
        <w:tabs>
          <w:tab w:val="left" w:pos="903" w:leader="none"/>
        </w:tabs>
        <w:rPr>
          <w:b/>
        </w:rPr>
      </w:pPr>
      <w:r/>
      <w:bookmarkStart w:id="193" w:name="_Toc15891"/>
      <w:r>
        <w:t xml:space="preserve">发包人代表</w:t>
      </w:r>
      <w:bookmarkEnd w:id="193"/>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发包人代表：</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姓    名：</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身份证号：</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职    务：</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联系电话：</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电子信箱：</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通信地址：</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发包人对发包人代表的授权范围如下：</w:t>
      </w:r>
      <w:r>
        <w:rPr>
          <w:rFonts w:ascii="Times New Roman" w:hAnsi="Times New Roman" w:eastAsia="宋体" w:cs="Times New Roman"/>
          <w:color w:val="000000"/>
          <w:sz w:val="24"/>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rPr>
          <w:rFonts w:ascii="Times New Roman" w:hAnsi="Times New Roman" w:eastAsia="宋体" w:cs="Times New Roman"/>
          <w:color w:val="000000"/>
          <w:sz w:val="24"/>
          <w:u w:val="single"/>
        </w:rPr>
      </w:r>
      <w:r/>
    </w:p>
    <w:p>
      <w:pPr>
        <w:pStyle w:val="1007"/>
        <w:numPr>
          <w:ilvl w:val="0"/>
          <w:numId w:val="68"/>
        </w:numPr>
        <w:ind w:left="0" w:firstLine="482"/>
        <w:tabs>
          <w:tab w:val="left" w:pos="903" w:leader="none"/>
        </w:tabs>
        <w:rPr>
          <w:b/>
        </w:rPr>
      </w:pPr>
      <w:r>
        <w:t xml:space="preserve">施工现场、施工条件和基础资料的提供</w:t>
      </w:r>
      <w:r>
        <w:rPr>
          <w:b/>
        </w:rPr>
      </w:r>
      <w:r/>
    </w:p>
    <w:p>
      <w:pPr>
        <w:pStyle w:val="1008"/>
        <w:numPr>
          <w:ilvl w:val="0"/>
          <w:numId w:val="69"/>
        </w:numPr>
        <w:ind w:left="0" w:firstLine="482"/>
        <w:tabs>
          <w:tab w:val="left" w:pos="1081" w:leader="none"/>
        </w:tabs>
        <w:rPr>
          <w:b/>
        </w:rPr>
      </w:pPr>
      <w:r>
        <w:t xml:space="preserve">提供施工现场</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关于发包人移交施工现场的期限要求：</w:t>
      </w:r>
      <w:r>
        <w:rPr>
          <w:rFonts w:ascii="Times New Roman" w:hAnsi="Times New Roman" w:eastAsia="宋体" w:cs="Times New Roman"/>
          <w:color w:val="000000"/>
          <w:sz w:val="24"/>
          <w:u w:val="single"/>
        </w:rPr>
        <w:t xml:space="preserve">已具备移交条件</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8"/>
        <w:numPr>
          <w:ilvl w:val="0"/>
          <w:numId w:val="69"/>
        </w:numPr>
        <w:ind w:left="0" w:firstLine="482"/>
        <w:tabs>
          <w:tab w:val="left" w:pos="1081" w:leader="none"/>
        </w:tabs>
        <w:rPr>
          <w:b/>
        </w:rPr>
      </w:pPr>
      <w:r>
        <w:t xml:space="preserve">提供施工条件</w:t>
      </w:r>
      <w:r>
        <w:rPr>
          <w:b/>
        </w:rPr>
      </w:r>
      <w:r/>
    </w:p>
    <w:p>
      <w:pPr>
        <w:pStyle w:val="1026"/>
        <w:ind w:left="0" w:firstLine="480"/>
        <w:widowControl/>
        <w:rPr>
          <w:rFonts w:ascii="Times New Roman" w:hAnsi="Times New Roman" w:eastAsia="宋体" w:cs="Times New Roman"/>
          <w:b/>
          <w:color w:val="000000"/>
          <w:sz w:val="24"/>
          <w:u w:val="single"/>
        </w:rPr>
      </w:pPr>
      <w:r>
        <w:rPr>
          <w:rFonts w:ascii="Times New Roman" w:hAnsi="Times New Roman" w:eastAsia="宋体" w:cs="Times New Roman"/>
          <w:color w:val="000000"/>
          <w:sz w:val="24"/>
        </w:rPr>
        <w:t xml:space="preserve">关于发包人应负责提供施工所需要的条件，包括：</w:t>
      </w:r>
      <w:r>
        <w:rPr>
          <w:rFonts w:ascii="Times New Roman" w:hAnsi="Times New Roman" w:eastAsia="宋体" w:cs="Times New Roman"/>
          <w:color w:val="000000"/>
          <w:sz w:val="24"/>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rPr>
          <w:rFonts w:ascii="Times New Roman" w:hAnsi="Times New Roman" w:eastAsia="宋体" w:cs="Times New Roman"/>
          <w:b/>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水准点与坐标控制点以书面形式交给承包人，并于开工前进行现场交验；</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ascii="Times New Roman" w:hAnsi="Times New Roman" w:eastAsia="宋体" w:cs="Times New Roman"/>
          <w:color w:val="000000"/>
          <w:sz w:val="24"/>
          <w:u w:val="single"/>
        </w:rPr>
      </w:r>
      <w:r/>
    </w:p>
    <w:p>
      <w:pPr>
        <w:pStyle w:val="1007"/>
        <w:numPr>
          <w:ilvl w:val="0"/>
          <w:numId w:val="68"/>
        </w:numPr>
        <w:ind w:left="0" w:firstLine="482"/>
        <w:tabs>
          <w:tab w:val="left" w:pos="903" w:leader="none"/>
        </w:tabs>
        <w:rPr>
          <w:b/>
        </w:rPr>
      </w:pPr>
      <w:r/>
      <w:bookmarkStart w:id="194" w:name="_Toc21199"/>
      <w:r>
        <w:t xml:space="preserve">资金来源证明及支付担保</w:t>
      </w:r>
      <w:bookmarkEnd w:id="194"/>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发包人提供资金来源证明的期限要求：</w:t>
      </w:r>
      <w:r>
        <w:rPr>
          <w:rFonts w:ascii="Times New Roman" w:hAnsi="Times New Roman" w:eastAsia="宋体" w:cs="Times New Roman"/>
          <w:color w:val="000000"/>
          <w:sz w:val="24"/>
          <w:u w:val="single"/>
        </w:rPr>
        <w:t xml:space="preserve">     /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发包人是否提供支付担保：</w:t>
      </w:r>
      <w:r>
        <w:rPr>
          <w:rFonts w:ascii="Times New Roman" w:hAnsi="Times New Roman" w:eastAsia="宋体" w:cs="Times New Roman"/>
          <w:color w:val="000000"/>
          <w:sz w:val="24"/>
          <w:u w:val="single"/>
        </w:rPr>
        <w:t xml:space="preserve">  无支付担保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发包人提供支付担保的形式：</w:t>
      </w:r>
      <w:r>
        <w:rPr>
          <w:rFonts w:ascii="Times New Roman" w:hAnsi="Times New Roman" w:eastAsia="宋体" w:cs="Times New Roman"/>
          <w:color w:val="000000"/>
          <w:sz w:val="24"/>
          <w:u w:val="single"/>
        </w:rPr>
        <w:t xml:space="preserve">   /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u w:val="single"/>
        </w:rPr>
      </w:r>
      <w:r/>
    </w:p>
    <w:p>
      <w:pPr>
        <w:pStyle w:val="1006"/>
        <w:numPr>
          <w:ilvl w:val="0"/>
          <w:numId w:val="58"/>
        </w:numPr>
        <w:ind w:left="0" w:firstLine="482"/>
        <w:tabs>
          <w:tab w:val="left" w:pos="842" w:leader="none"/>
        </w:tabs>
        <w:rPr>
          <w:b/>
        </w:rPr>
      </w:pPr>
      <w:r/>
      <w:bookmarkStart w:id="195" w:name="_Toc292559868"/>
      <w:r/>
      <w:bookmarkStart w:id="196" w:name="_Toc297120458"/>
      <w:r/>
      <w:bookmarkStart w:id="197" w:name="_Toc296944497"/>
      <w:r/>
      <w:bookmarkStart w:id="198" w:name="_Toc296347157"/>
      <w:r/>
      <w:bookmarkStart w:id="199" w:name="_Toc296503158"/>
      <w:r/>
      <w:bookmarkStart w:id="200" w:name="_Toc351203635"/>
      <w:r/>
      <w:bookmarkStart w:id="201" w:name="_Toc292559363"/>
      <w:r/>
      <w:bookmarkStart w:id="202" w:name="_Toc296890986"/>
      <w:r/>
      <w:bookmarkStart w:id="203" w:name="_Toc296346659"/>
      <w:r/>
      <w:bookmarkStart w:id="204" w:name="_Toc296891198"/>
      <w:r/>
      <w:bookmarkStart w:id="205" w:name="_Toc297048344"/>
      <w:r>
        <w:t xml:space="preserve">承包人</w:t>
      </w:r>
      <w:bookmarkEnd w:id="195"/>
      <w:r/>
      <w:bookmarkEnd w:id="196"/>
      <w:r/>
      <w:bookmarkEnd w:id="197"/>
      <w:r/>
      <w:bookmarkEnd w:id="198"/>
      <w:r/>
      <w:bookmarkEnd w:id="199"/>
      <w:r/>
      <w:bookmarkEnd w:id="200"/>
      <w:r/>
      <w:bookmarkEnd w:id="201"/>
      <w:r/>
      <w:bookmarkEnd w:id="202"/>
      <w:r/>
      <w:bookmarkEnd w:id="203"/>
      <w:r/>
      <w:bookmarkEnd w:id="204"/>
      <w:r/>
      <w:bookmarkEnd w:id="205"/>
      <w:r>
        <w:rPr>
          <w:b/>
        </w:rPr>
      </w:r>
      <w:r/>
    </w:p>
    <w:p>
      <w:pPr>
        <w:pStyle w:val="1007"/>
        <w:numPr>
          <w:ilvl w:val="0"/>
          <w:numId w:val="70"/>
        </w:numPr>
        <w:ind w:left="0" w:firstLine="482"/>
        <w:tabs>
          <w:tab w:val="left" w:pos="903" w:leader="none"/>
        </w:tabs>
        <w:rPr>
          <w:b/>
        </w:rPr>
      </w:pPr>
      <w:r>
        <w:t xml:space="preserve">承包人的一般义务</w:t>
      </w:r>
      <w:r>
        <w:rPr>
          <w:b/>
        </w:rPr>
      </w:r>
      <w:r/>
    </w:p>
    <w:p>
      <w:pPr>
        <w:pStyle w:val="1026"/>
        <w:numPr>
          <w:ilvl w:val="0"/>
          <w:numId w:val="71"/>
        </w:numPr>
        <w:ind w:left="0" w:firstLine="480"/>
        <w:tabs>
          <w:tab w:val="left" w:pos="108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rPr>
        <w:t xml:space="preserve">承包人提交的竣工资料的内容：</w:t>
      </w:r>
      <w:r>
        <w:rPr>
          <w:rFonts w:ascii="Times New Roman" w:hAnsi="Times New Roman" w:eastAsia="宋体" w:cs="Times New Roman"/>
          <w:color w:val="000000"/>
          <w:sz w:val="24"/>
          <w:u w:val="single"/>
        </w:rPr>
        <w:t xml:space="preserve">承包人应按《建设工程文件归档规范》（GB/T50328-2019）及建设部建城〔2002〕221号文关于《市政基础设施工程施工技术文件管理规定》的要求，向发包人提供经过总监理工程师审核认可的完整并符合要求的竣工资料，含竣工图及其它资料。</w:t>
      </w:r>
      <w:r>
        <w:rPr>
          <w:rFonts w:hint="eastAsia" w:ascii="宋体" w:hAnsi="宋体" w:eastAsia="宋体" w:cs="宋体"/>
          <w:b w:val="0"/>
          <w:color w:val="000000"/>
          <w:sz w:val="24"/>
          <w:u w:val="single"/>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承包人需要提交的竣工资料套数：</w:t>
      </w:r>
      <w:r>
        <w:rPr>
          <w:rFonts w:ascii="Times New Roman" w:hAnsi="Times New Roman" w:eastAsia="宋体" w:cs="Times New Roman"/>
          <w:color w:val="000000"/>
          <w:sz w:val="24"/>
          <w:u w:val="single"/>
        </w:rPr>
        <w:t xml:space="preserve">三套</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承包人提交的竣工资料的费用承担：</w:t>
      </w:r>
      <w:r>
        <w:rPr>
          <w:rFonts w:ascii="Times New Roman" w:hAnsi="Times New Roman" w:eastAsia="宋体" w:cs="Times New Roman"/>
          <w:color w:val="000000"/>
          <w:sz w:val="24"/>
          <w:u w:val="single"/>
        </w:rPr>
        <w:t xml:space="preserve">由承包人承担</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承包人提交的竣工资料移交时间：</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承包人提交的竣工资料形式要求：</w:t>
      </w:r>
      <w:r>
        <w:rPr>
          <w:rFonts w:ascii="Times New Roman" w:hAnsi="Times New Roman" w:eastAsia="宋体" w:cs="Times New Roman"/>
          <w:color w:val="000000"/>
          <w:sz w:val="24"/>
          <w:u w:val="single"/>
        </w:rPr>
        <w:t xml:space="preserve">书面及电子文档</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numPr>
          <w:ilvl w:val="0"/>
          <w:numId w:val="71"/>
        </w:numPr>
        <w:ind w:left="0" w:firstLine="480"/>
        <w:widowControl/>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承包人应履行的其他义务：</w:t>
      </w:r>
      <w:r>
        <w:rPr>
          <w:rFonts w:hint="eastAsia" w:ascii="宋体" w:hAnsi="宋体" w:eastAsia="宋体" w:cs="宋体"/>
          <w:b w:val="0"/>
          <w:color w:val="000000"/>
          <w:sz w:val="24"/>
        </w:rPr>
      </w:r>
      <w:r/>
    </w:p>
    <w:p>
      <w:pPr>
        <w:pStyle w:val="1026"/>
        <w:numPr>
          <w:ilvl w:val="0"/>
          <w:numId w:val="72"/>
        </w:numPr>
        <w:ind w:left="0" w:firstLine="480"/>
        <w:widowControl/>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在本合同签订后至开工前，承包人应积极做好开工前的各项准备工作。</w:t>
      </w:r>
      <w:r>
        <w:rPr>
          <w:rFonts w:hint="eastAsia" w:ascii="宋体" w:hAnsi="宋体" w:eastAsia="宋体" w:cs="宋体"/>
          <w:b w:val="0"/>
          <w:color w:val="000000"/>
          <w:sz w:val="24"/>
          <w:u w:val="single"/>
        </w:rPr>
      </w:r>
      <w:r/>
    </w:p>
    <w:p>
      <w:pPr>
        <w:pStyle w:val="1026"/>
        <w:numPr>
          <w:ilvl w:val="0"/>
          <w:numId w:val="72"/>
        </w:numPr>
        <w:ind w:left="0" w:firstLine="480"/>
        <w:widowControl/>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场内外道路：场外道路已开通，场地内施工临时道路、硬化等由承包人自行安排，相关费用由承包人承担。</w:t>
      </w:r>
      <w:r>
        <w:rPr>
          <w:rFonts w:hint="eastAsia" w:ascii="宋体" w:hAnsi="宋体" w:eastAsia="宋体" w:cs="宋体"/>
          <w:b w:val="0"/>
          <w:color w:val="000000"/>
          <w:sz w:val="24"/>
          <w:u w:val="single"/>
        </w:rPr>
      </w:r>
      <w:r/>
    </w:p>
    <w:p>
      <w:pPr>
        <w:pStyle w:val="1026"/>
        <w:numPr>
          <w:ilvl w:val="0"/>
          <w:numId w:val="72"/>
        </w:numPr>
        <w:ind w:left="0" w:firstLine="480"/>
        <w:widowControl/>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独立、有效地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rPr>
          <w:rFonts w:hint="eastAsia" w:ascii="宋体" w:hAnsi="宋体" w:eastAsia="宋体" w:cs="宋体"/>
          <w:b w:val="0"/>
          <w:color w:val="000000"/>
          <w:sz w:val="24"/>
          <w:u w:val="single"/>
        </w:rPr>
      </w:r>
      <w:r/>
    </w:p>
    <w:p>
      <w:pPr>
        <w:pStyle w:val="1026"/>
        <w:numPr>
          <w:ilvl w:val="0"/>
          <w:numId w:val="72"/>
        </w:numPr>
        <w:ind w:left="0" w:firstLine="480"/>
        <w:widowControl/>
        <w:tabs>
          <w:tab w:val="left" w:pos="84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应提供计划、报表的名称及完成时间：每周五下午5:00前提供下周计划和本周完成情况统计表，完成工程量价款汇总（一式三份）交监理机构。</w:t>
      </w:r>
      <w:r>
        <w:rPr>
          <w:rFonts w:ascii="Times New Roman" w:hAnsi="Times New Roman" w:eastAsia="宋体" w:cs="Times New Roman"/>
          <w:b w:val="0"/>
          <w:color w:val="000000"/>
          <w:sz w:val="24"/>
          <w:u w:val="single"/>
        </w:rPr>
      </w:r>
      <w:r/>
    </w:p>
    <w:p>
      <w:pPr>
        <w:pStyle w:val="1026"/>
        <w:numPr>
          <w:ilvl w:val="0"/>
          <w:numId w:val="72"/>
        </w:numPr>
        <w:ind w:left="0" w:firstLine="480"/>
        <w:widowControl/>
        <w:tabs>
          <w:tab w:val="left" w:pos="84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rPr>
          <w:rFonts w:ascii="Times New Roman" w:hAnsi="Times New Roman" w:eastAsia="宋体" w:cs="Times New Roman"/>
          <w:b w:val="0"/>
          <w:color w:val="000000"/>
          <w:sz w:val="24"/>
          <w:u w:val="single"/>
        </w:rPr>
      </w:r>
      <w:r/>
    </w:p>
    <w:p>
      <w:pPr>
        <w:pStyle w:val="1026"/>
        <w:numPr>
          <w:ilvl w:val="0"/>
          <w:numId w:val="72"/>
        </w:numPr>
        <w:ind w:left="0" w:firstLine="480"/>
        <w:widowControl/>
        <w:tabs>
          <w:tab w:val="left" w:pos="84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向发包人提供的办公用房及设施的要求：无偿提供监理、发包人办公室等办公用房，费用已列入合同价款范围。</w:t>
      </w:r>
      <w:r>
        <w:rPr>
          <w:rFonts w:ascii="Times New Roman" w:hAnsi="Times New Roman" w:eastAsia="宋体" w:cs="Times New Roman"/>
          <w:b w:val="0"/>
          <w:color w:val="000000"/>
          <w:sz w:val="24"/>
          <w:u w:val="single"/>
        </w:rPr>
      </w:r>
      <w:r/>
    </w:p>
    <w:p>
      <w:pPr>
        <w:pStyle w:val="1026"/>
        <w:numPr>
          <w:ilvl w:val="0"/>
          <w:numId w:val="72"/>
        </w:numPr>
        <w:ind w:left="0" w:firstLine="480"/>
        <w:widowControl/>
        <w:tabs>
          <w:tab w:val="left" w:pos="84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需承包人办理的有关施工场地交通、环卫环保和施工噪音管理等手续：</w:t>
      </w:r>
      <w:r>
        <w:rPr>
          <w:rFonts w:ascii="Times New Roman" w:hAnsi="Times New Roman" w:eastAsia="宋体" w:cs="Times New Roman"/>
          <w:b w:val="0"/>
          <w:color w:val="000000"/>
          <w:sz w:val="24"/>
          <w:u w:val="single"/>
        </w:rPr>
      </w:r>
      <w:r/>
    </w:p>
    <w:p>
      <w:pPr>
        <w:pStyle w:val="1026"/>
        <w:numPr>
          <w:ilvl w:val="0"/>
          <w:numId w:val="72"/>
        </w:numPr>
        <w:ind w:left="0" w:firstLine="480"/>
        <w:widowControl/>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遵守政府有关主管部门对施工场地交通、施工噪音、环境保护和安全生产等的管理规定，按规定办理有关手续，并以书面形式通知发包人，所有费用均已含在合同价款中。</w:t>
      </w:r>
      <w:r>
        <w:rPr>
          <w:rFonts w:hint="eastAsia" w:ascii="宋体" w:hAnsi="宋体" w:eastAsia="宋体" w:cs="宋体"/>
          <w:b w:val="0"/>
          <w:color w:val="000000"/>
          <w:sz w:val="24"/>
          <w:u w:val="single"/>
        </w:rPr>
      </w:r>
      <w:r/>
    </w:p>
    <w:p>
      <w:pPr>
        <w:pStyle w:val="1026"/>
        <w:numPr>
          <w:ilvl w:val="0"/>
          <w:numId w:val="72"/>
        </w:numPr>
        <w:ind w:left="0" w:firstLine="480"/>
        <w:widowControl/>
        <w:tabs>
          <w:tab w:val="left" w:pos="84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已完工程成品保护的特殊要求及费用承担： 已竣工工程未交付发包人之前，承包人负责已完成工程的保护工作，所需费用含在合同价款内。</w:t>
      </w:r>
      <w:r>
        <w:rPr>
          <w:rFonts w:ascii="Times New Roman" w:hAnsi="Times New Roman" w:eastAsia="宋体" w:cs="Times New Roman"/>
          <w:b w:val="0"/>
          <w:color w:val="000000"/>
          <w:sz w:val="24"/>
          <w:u w:val="single"/>
        </w:rPr>
      </w:r>
      <w:r/>
    </w:p>
    <w:p>
      <w:pPr>
        <w:pStyle w:val="1026"/>
        <w:numPr>
          <w:ilvl w:val="0"/>
          <w:numId w:val="72"/>
        </w:numPr>
        <w:ind w:left="0" w:firstLine="480"/>
        <w:widowControl/>
        <w:tabs>
          <w:tab w:val="left" w:pos="84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施工场地周围地下管线和邻近建筑物、构筑物（含文物保护建筑）、古树名木的保护要求及费用承担：负责做好施工场地周围地下管线和邻近建筑物、构筑物（含文物保护建筑）、古树名木保护措施，费用含在合同价款中。</w:t>
      </w:r>
      <w:r>
        <w:rPr>
          <w:rFonts w:ascii="Times New Roman" w:hAnsi="Times New Roman" w:eastAsia="宋体" w:cs="Times New Roman"/>
          <w:b w:val="0"/>
          <w:color w:val="000000"/>
          <w:sz w:val="24"/>
          <w:u w:val="single"/>
        </w:rPr>
      </w:r>
      <w:r/>
    </w:p>
    <w:p>
      <w:pPr>
        <w:pStyle w:val="1026"/>
        <w:numPr>
          <w:ilvl w:val="0"/>
          <w:numId w:val="72"/>
        </w:numPr>
        <w:ind w:left="0" w:firstLine="480"/>
        <w:widowControl/>
        <w:tabs>
          <w:tab w:val="left" w:pos="84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施工场地清洁卫生的要求：施工现场材料堆放要整齐，并有遮盖，不得扬尘，机械停放有序，符合清洁卫生要求，承担因自身原因违反有关规定造成的损失和罚款。</w:t>
      </w:r>
      <w:r>
        <w:rPr>
          <w:rFonts w:ascii="Times New Roman" w:hAnsi="Times New Roman" w:eastAsia="宋体" w:cs="Times New Roman"/>
          <w:b w:val="0"/>
          <w:color w:val="000000"/>
          <w:sz w:val="24"/>
          <w:u w:val="single"/>
        </w:rPr>
      </w:r>
      <w:r/>
    </w:p>
    <w:p>
      <w:pPr>
        <w:pStyle w:val="1026"/>
        <w:numPr>
          <w:ilvl w:val="0"/>
          <w:numId w:val="72"/>
        </w:numPr>
        <w:ind w:left="0" w:firstLine="480"/>
        <w:widowControl/>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交工前将所有的建筑垃圾及有关临时硬化的道路、场地等从施工场地清除，分类运输，堆放地址必须符合有关部门的要求，不允许乱堆乱倒，同时将所有施工机械、设备及承包人的临时设施从施工场地运走。</w:t>
      </w:r>
      <w:r>
        <w:rPr>
          <w:rFonts w:hint="eastAsia" w:ascii="宋体" w:hAnsi="宋体" w:eastAsia="宋体" w:cs="宋体"/>
          <w:b w:val="0"/>
          <w:color w:val="000000"/>
          <w:sz w:val="24"/>
          <w:u w:val="single"/>
        </w:rPr>
      </w:r>
      <w:r/>
    </w:p>
    <w:p>
      <w:pPr>
        <w:pStyle w:val="1026"/>
        <w:numPr>
          <w:ilvl w:val="0"/>
          <w:numId w:val="72"/>
        </w:numPr>
        <w:ind w:left="0" w:firstLine="480"/>
        <w:widowControl/>
        <w:tabs>
          <w:tab w:val="left" w:pos="84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双方约定承包人应做的其他工作：施工场地要设立标语、标牌，做到文明施工，树立企业形象，主动接受社会监督和有关部门的管理。</w:t>
      </w:r>
      <w:r>
        <w:rPr>
          <w:rFonts w:ascii="Times New Roman" w:hAnsi="Times New Roman" w:eastAsia="宋体" w:cs="Times New Roman"/>
          <w:b w:val="0"/>
          <w:color w:val="000000"/>
          <w:sz w:val="24"/>
          <w:u w:val="single"/>
        </w:rPr>
      </w:r>
      <w:r/>
    </w:p>
    <w:p>
      <w:pPr>
        <w:pStyle w:val="1026"/>
        <w:numPr>
          <w:ilvl w:val="0"/>
          <w:numId w:val="72"/>
        </w:numPr>
        <w:ind w:left="0" w:firstLine="480"/>
        <w:widowControl/>
        <w:tabs>
          <w:tab w:val="left" w:pos="84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rPr>
          <w:rFonts w:ascii="Times New Roman" w:hAnsi="Times New Roman" w:eastAsia="宋体" w:cs="Times New Roman"/>
          <w:b w:val="0"/>
          <w:color w:val="000000"/>
          <w:sz w:val="24"/>
          <w:u w:val="single"/>
        </w:rPr>
      </w:r>
      <w:r/>
    </w:p>
    <w:p>
      <w:pPr>
        <w:pStyle w:val="1026"/>
        <w:numPr>
          <w:ilvl w:val="0"/>
          <w:numId w:val="72"/>
        </w:numPr>
        <w:ind w:left="0" w:firstLine="480"/>
        <w:widowControl/>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承包人已仔细勘察并充分考虑施工范围内地面以上及地面以下将产生的建筑垃圾、杂土清运的工程量，且费用已包含在合同价款中。</w:t>
      </w:r>
      <w:r>
        <w:rPr>
          <w:rFonts w:hint="eastAsia" w:ascii="宋体" w:hAnsi="宋体" w:eastAsia="宋体" w:cs="宋体"/>
          <w:b w:val="0"/>
          <w:color w:val="000000"/>
          <w:sz w:val="24"/>
          <w:u w:val="single"/>
        </w:rPr>
      </w:r>
      <w:r/>
    </w:p>
    <w:p>
      <w:pPr>
        <w:pStyle w:val="1026"/>
        <w:numPr>
          <w:ilvl w:val="0"/>
          <w:numId w:val="72"/>
        </w:numPr>
        <w:ind w:left="0" w:firstLine="480"/>
        <w:widowControl/>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发包人对合同范围内外的工程变更，承包人须无条件接受并予以施工，所发生的费用经发包人核实后纳入工程结算。如承包人拒不执行发包人指令的，发包人有权记承包人不良行为一次。</w:t>
      </w:r>
      <w:r>
        <w:rPr>
          <w:rFonts w:hint="eastAsia" w:ascii="宋体" w:hAnsi="宋体" w:eastAsia="宋体" w:cs="宋体"/>
          <w:b w:val="0"/>
          <w:color w:val="000000"/>
          <w:sz w:val="24"/>
          <w:u w:val="single"/>
        </w:rPr>
      </w:r>
      <w:r/>
    </w:p>
    <w:p>
      <w:pPr>
        <w:pStyle w:val="1026"/>
        <w:numPr>
          <w:ilvl w:val="0"/>
          <w:numId w:val="72"/>
        </w:numPr>
        <w:ind w:left="0" w:firstLine="480"/>
        <w:widowControl/>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对于施工过程中承包人不得因承包方前期手续而索赔或消极施工，需积极配合，保证工程按计划进行。如发生类似情形，发现一次扣除履约保证金的10% 。</w:t>
      </w:r>
      <w:r>
        <w:rPr>
          <w:rFonts w:hint="eastAsia" w:ascii="宋体" w:hAnsi="宋体" w:eastAsia="宋体" w:cs="宋体"/>
          <w:b w:val="0"/>
          <w:color w:val="000000"/>
          <w:sz w:val="24"/>
          <w:u w:val="single"/>
        </w:rPr>
      </w:r>
      <w:r/>
    </w:p>
    <w:p>
      <w:pPr>
        <w:pStyle w:val="1026"/>
        <w:numPr>
          <w:ilvl w:val="0"/>
          <w:numId w:val="72"/>
        </w:numPr>
        <w:ind w:left="0" w:firstLine="480"/>
        <w:widowControl/>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Fonts w:hint="eastAsia" w:ascii="宋体" w:hAnsi="宋体" w:eastAsia="宋体" w:cs="宋体"/>
          <w:b w:val="0"/>
          <w:color w:val="000000"/>
          <w:sz w:val="24"/>
          <w:u w:val="single"/>
        </w:rPr>
      </w:r>
      <w:r/>
    </w:p>
    <w:p>
      <w:pPr>
        <w:pStyle w:val="1007"/>
        <w:numPr>
          <w:ilvl w:val="0"/>
          <w:numId w:val="70"/>
        </w:numPr>
        <w:ind w:left="0" w:firstLine="482"/>
        <w:tabs>
          <w:tab w:val="left" w:pos="903" w:leader="none"/>
        </w:tabs>
        <w:rPr>
          <w:b/>
        </w:rPr>
      </w:pPr>
      <w:r>
        <w:t xml:space="preserve">项目经理</w:t>
      </w:r>
      <w:r>
        <w:rPr>
          <w:b/>
        </w:rPr>
      </w:r>
      <w:r/>
    </w:p>
    <w:p>
      <w:pPr>
        <w:pStyle w:val="1026"/>
        <w:numPr>
          <w:ilvl w:val="0"/>
          <w:numId w:val="73"/>
        </w:numPr>
        <w:ind w:left="0" w:firstLine="480"/>
        <w:tabs>
          <w:tab w:val="left" w:pos="108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项目经理：</w:t>
      </w:r>
      <w:r>
        <w:rPr>
          <w:rFonts w:ascii="Times New Roman" w:hAnsi="Times New Roman" w:eastAsia="宋体" w:cs="Times New Roman"/>
          <w:b w:val="0"/>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姓    名：</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身份证号：</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建造师执业资格等级：</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建造师注册证书号：</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建造师执业印章号：</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安全生产考核合格证书号：</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联系电话：</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电子信箱：</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通信地址：</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承包人对项目经理的授权范围如下：</w:t>
      </w:r>
      <w:r>
        <w:rPr>
          <w:rFonts w:ascii="Times New Roman" w:hAnsi="Times New Roman" w:eastAsia="宋体" w:cs="Times New Roman"/>
          <w:color w:val="000000"/>
          <w:sz w:val="24"/>
          <w:u w:val="single"/>
        </w:rPr>
        <w:t xml:space="preserve">作为承包人代表，负责本工程项目施工全过程中全面管理的责任和义务，全权代表承包人履行合同义务</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关于项目经理每月在施工现场的时间要求：</w:t>
      </w:r>
      <w:r>
        <w:rPr>
          <w:rFonts w:ascii="Times New Roman" w:hAnsi="Times New Roman" w:eastAsia="宋体" w:cs="Times New Roman"/>
          <w:color w:val="000000"/>
          <w:sz w:val="24"/>
          <w:u w:val="single"/>
        </w:rPr>
        <w:t xml:space="preserve">在本工程完工前，项目负责人不得参与其他工程的投标，必须常驻现场，每天不少于8小时，关键节点必须在岗。离开施工现场必须请假，一天向总监请假，二天及以上向发包人请假。</w:t>
      </w:r>
      <w:r>
        <w:rPr>
          <w:rFonts w:ascii="Times New Roman" w:hAnsi="Times New Roman" w:eastAsia="宋体" w:cs="Times New Roman"/>
          <w:color w:val="000000"/>
          <w:sz w:val="24"/>
          <w:u w:val="single"/>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承包人未提交劳动合同，以及没有为项目经理缴纳社会保险证明的违约责任：</w:t>
      </w:r>
      <w:r>
        <w:rPr>
          <w:rFonts w:ascii="Times New Roman" w:hAnsi="Times New Roman" w:eastAsia="宋体" w:cs="Times New Roman"/>
          <w:color w:val="000000"/>
          <w:sz w:val="24"/>
          <w:u w:val="single"/>
        </w:rPr>
        <w:t xml:space="preserve">处以3万元罚款，责令限期提交劳动合同并补缴社会保险；承包人承担因此产生的全部损失和责任，工期不予顺延 。</w:t>
      </w:r>
      <w:r>
        <w:rPr>
          <w:rFonts w:ascii="Times New Roman" w:hAnsi="Times New Roman" w:eastAsia="宋体" w:cs="Times New Roman"/>
          <w:color w:val="000000"/>
          <w:sz w:val="24"/>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项目经理未经批准，擅自离开施工现场的违约责任：</w:t>
      </w:r>
      <w:r>
        <w:rPr>
          <w:rFonts w:ascii="Times New Roman" w:hAnsi="Times New Roman" w:eastAsia="宋体" w:cs="Times New Roman"/>
          <w:color w:val="000000"/>
          <w:sz w:val="24"/>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rPr>
          <w:rFonts w:ascii="Times New Roman" w:hAnsi="Times New Roman" w:eastAsia="宋体" w:cs="Times New Roman"/>
          <w:color w:val="000000"/>
          <w:sz w:val="24"/>
          <w:u w:val="single"/>
        </w:rPr>
      </w:r>
      <w:r/>
    </w:p>
    <w:p>
      <w:pPr>
        <w:pStyle w:val="1026"/>
        <w:numPr>
          <w:ilvl w:val="0"/>
          <w:numId w:val="73"/>
        </w:numPr>
        <w:ind w:left="0" w:firstLine="480"/>
        <w:widowControl/>
        <w:tabs>
          <w:tab w:val="left" w:pos="108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承包人擅自更换项目经理的违约责任：</w:t>
      </w:r>
      <w:r>
        <w:rPr>
          <w:rFonts w:ascii="Times New Roman" w:hAnsi="Times New Roman" w:eastAsia="宋体" w:cs="Times New Roman"/>
          <w:color w:val="000000"/>
          <w:sz w:val="24"/>
          <w:u w:val="single"/>
        </w:rPr>
        <w:t xml:space="preserve">处以5万元罚款，承包人承担上述违约给发包人造成的一切损失，发包人有权单方面解除合同，已完工程不做结算</w:t>
      </w:r>
      <w:r>
        <w:rPr>
          <w:rFonts w:ascii="Times New Roman" w:hAnsi="Times New Roman" w:eastAsia="宋体" w:cs="Times New Roman"/>
          <w:color w:val="000000"/>
          <w:sz w:val="24"/>
        </w:rPr>
        <w:t xml:space="preserve">。</w:t>
      </w:r>
      <w:r>
        <w:rPr>
          <w:rFonts w:ascii="Times New Roman" w:hAnsi="Times New Roman" w:eastAsia="宋体" w:cs="Times New Roman"/>
          <w:b w:val="0"/>
          <w:color w:val="000000"/>
          <w:sz w:val="24"/>
        </w:rPr>
      </w:r>
      <w:r/>
    </w:p>
    <w:p>
      <w:pPr>
        <w:pStyle w:val="1026"/>
        <w:numPr>
          <w:ilvl w:val="0"/>
          <w:numId w:val="73"/>
        </w:numPr>
        <w:ind w:left="0" w:firstLine="480"/>
        <w:widowControl/>
        <w:tabs>
          <w:tab w:val="left" w:pos="108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承包人无正当理由拒绝更换项目经理的违约责任：</w:t>
      </w:r>
      <w:r>
        <w:rPr>
          <w:rFonts w:ascii="Times New Roman" w:hAnsi="Times New Roman" w:eastAsia="宋体" w:cs="Times New Roman"/>
          <w:color w:val="000000"/>
          <w:sz w:val="24"/>
          <w:u w:val="single"/>
        </w:rPr>
        <w:t xml:space="preserve"> 处以5万元罚款，承包人承担上述违约给发包人造成的一切损失，发包人有权单方面解除合同，已完工程不做结算</w:t>
      </w:r>
      <w:r>
        <w:rPr>
          <w:rFonts w:ascii="Times New Roman" w:hAnsi="Times New Roman" w:eastAsia="宋体" w:cs="Times New Roman"/>
          <w:color w:val="000000"/>
          <w:sz w:val="24"/>
        </w:rPr>
        <w:t xml:space="preserve">。</w:t>
      </w:r>
      <w:r>
        <w:rPr>
          <w:rFonts w:ascii="Times New Roman" w:hAnsi="Times New Roman" w:eastAsia="宋体" w:cs="Times New Roman"/>
          <w:b w:val="0"/>
          <w:color w:val="000000"/>
          <w:sz w:val="24"/>
        </w:rPr>
      </w:r>
      <w:r/>
    </w:p>
    <w:p>
      <w:pPr>
        <w:pStyle w:val="1007"/>
        <w:numPr>
          <w:ilvl w:val="0"/>
          <w:numId w:val="70"/>
        </w:numPr>
        <w:ind w:left="0" w:firstLine="482"/>
        <w:tabs>
          <w:tab w:val="left" w:pos="903" w:leader="none"/>
        </w:tabs>
        <w:rPr>
          <w:b/>
        </w:rPr>
      </w:pPr>
      <w:r>
        <w:t xml:space="preserve">承包人人员</w:t>
      </w:r>
      <w:r>
        <w:rPr>
          <w:b/>
        </w:rPr>
      </w:r>
      <w:r/>
    </w:p>
    <w:p>
      <w:pPr>
        <w:pStyle w:val="1026"/>
        <w:numPr>
          <w:ilvl w:val="0"/>
          <w:numId w:val="74"/>
        </w:numPr>
        <w:ind w:left="0" w:firstLine="480"/>
        <w:tabs>
          <w:tab w:val="left" w:pos="108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承包人提交项目管理机构及施工现场管理人员安排报告的期限：</w:t>
      </w:r>
      <w:r>
        <w:rPr>
          <w:rFonts w:ascii="Times New Roman" w:hAnsi="Times New Roman" w:eastAsia="宋体" w:cs="Times New Roman"/>
          <w:color w:val="000000"/>
          <w:sz w:val="24"/>
          <w:u w:val="single"/>
        </w:rPr>
        <w:t xml:space="preserve">工程开工前7天</w:t>
      </w:r>
      <w:r>
        <w:rPr>
          <w:rFonts w:ascii="Times New Roman" w:hAnsi="Times New Roman" w:eastAsia="宋体" w:cs="Times New Roman"/>
          <w:color w:val="000000"/>
          <w:sz w:val="24"/>
        </w:rPr>
        <w:t xml:space="preserve">。</w:t>
      </w:r>
      <w:r>
        <w:rPr>
          <w:rFonts w:ascii="Times New Roman" w:hAnsi="Times New Roman" w:eastAsia="宋体" w:cs="Times New Roman"/>
          <w:b w:val="0"/>
          <w:color w:val="000000"/>
          <w:sz w:val="24"/>
        </w:rPr>
      </w:r>
      <w:r/>
    </w:p>
    <w:p>
      <w:pPr>
        <w:pStyle w:val="1026"/>
        <w:numPr>
          <w:ilvl w:val="0"/>
          <w:numId w:val="74"/>
        </w:numPr>
        <w:ind w:left="0" w:firstLine="480"/>
        <w:widowControl/>
        <w:tabs>
          <w:tab w:val="left" w:pos="108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承包人无正当理由拒绝撤换主要施工管理人员的违约责任：</w:t>
      </w:r>
      <w:r>
        <w:rPr>
          <w:rFonts w:ascii="Times New Roman" w:hAnsi="Times New Roman" w:eastAsia="宋体" w:cs="Times New Roman"/>
          <w:color w:val="000000"/>
          <w:sz w:val="24"/>
          <w:u w:val="single"/>
        </w:rPr>
        <w:t xml:space="preserve">处以2万元罚款，承包人承担上述违约给发包人造成的一切损失，发包人有权单方面解除合同，已完工程不做结算</w:t>
      </w:r>
      <w:r>
        <w:rPr>
          <w:rFonts w:ascii="Times New Roman" w:hAnsi="Times New Roman" w:eastAsia="宋体" w:cs="Times New Roman"/>
          <w:color w:val="000000"/>
          <w:sz w:val="24"/>
        </w:rPr>
        <w:t xml:space="preserve">。</w:t>
      </w:r>
      <w:r>
        <w:rPr>
          <w:rFonts w:ascii="Times New Roman" w:hAnsi="Times New Roman" w:eastAsia="宋体" w:cs="Times New Roman"/>
          <w:b w:val="0"/>
          <w:color w:val="000000"/>
          <w:sz w:val="24"/>
        </w:rPr>
      </w:r>
      <w:r/>
    </w:p>
    <w:p>
      <w:pPr>
        <w:pStyle w:val="1026"/>
        <w:numPr>
          <w:ilvl w:val="0"/>
          <w:numId w:val="74"/>
        </w:numPr>
        <w:ind w:left="0" w:firstLine="480"/>
        <w:widowControl/>
        <w:tabs>
          <w:tab w:val="left" w:pos="108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承包人主要施工管理人员离开施工现场的批准要求：</w:t>
      </w:r>
      <w:r>
        <w:rPr>
          <w:rFonts w:ascii="Times New Roman" w:hAnsi="Times New Roman" w:eastAsia="宋体" w:cs="Times New Roman"/>
          <w:color w:val="000000"/>
          <w:sz w:val="24"/>
          <w:u w:val="single"/>
        </w:rPr>
        <w:t xml:space="preserve">由总监理工程师批准，经发包人书面认可后方可离开</w:t>
      </w:r>
      <w:r>
        <w:rPr>
          <w:rFonts w:ascii="Times New Roman" w:hAnsi="Times New Roman" w:eastAsia="宋体" w:cs="Times New Roman"/>
          <w:color w:val="000000"/>
          <w:sz w:val="24"/>
        </w:rPr>
        <w:t xml:space="preserve">。</w:t>
      </w:r>
      <w:r>
        <w:rPr>
          <w:rFonts w:ascii="Times New Roman" w:hAnsi="Times New Roman" w:eastAsia="宋体" w:cs="Times New Roman"/>
          <w:b w:val="0"/>
          <w:color w:val="000000"/>
          <w:sz w:val="24"/>
        </w:rPr>
      </w:r>
      <w:r/>
    </w:p>
    <w:p>
      <w:pPr>
        <w:pStyle w:val="1026"/>
        <w:numPr>
          <w:ilvl w:val="0"/>
          <w:numId w:val="74"/>
        </w:numPr>
        <w:ind w:left="0" w:firstLine="480"/>
        <w:widowControl/>
        <w:tabs>
          <w:tab w:val="left" w:pos="108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rPr>
        <w:t xml:space="preserve">承包人擅自更换主要施工管理人员的违约责任：</w:t>
      </w:r>
      <w:r>
        <w:rPr>
          <w:rFonts w:ascii="Times New Roman" w:hAnsi="Times New Roman" w:eastAsia="宋体" w:cs="Times New Roman"/>
          <w:color w:val="000000"/>
          <w:sz w:val="24"/>
          <w:u w:val="single"/>
        </w:rPr>
        <w:t xml:space="preserve">处以1000元罚款，承包人承担上述违约给发包人造成的一切损失，发包人有权单方面解除合同，已完工程不做结算</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u w:val="single"/>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承包人主要施工管理人员擅自离开施工现场的违约责任：</w:t>
      </w:r>
      <w:r>
        <w:rPr>
          <w:rFonts w:ascii="Times New Roman" w:hAnsi="Times New Roman" w:eastAsia="宋体" w:cs="Times New Roman"/>
          <w:color w:val="000000"/>
          <w:sz w:val="24"/>
          <w:u w:val="single"/>
        </w:rPr>
        <w:t xml:space="preserve">处以200元罚款，承包人承担上述违约给发包人造成的一切损失</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7"/>
        <w:numPr>
          <w:ilvl w:val="0"/>
          <w:numId w:val="70"/>
        </w:numPr>
        <w:ind w:left="0" w:firstLine="482"/>
        <w:tabs>
          <w:tab w:val="left" w:pos="903" w:leader="none"/>
        </w:tabs>
        <w:rPr>
          <w:b/>
        </w:rPr>
      </w:pPr>
      <w:r/>
      <w:bookmarkStart w:id="206" w:name="_Toc304295523"/>
      <w:r/>
      <w:bookmarkStart w:id="207" w:name="_Toc297120459"/>
      <w:r/>
      <w:bookmarkStart w:id="208" w:name="_Toc303539102"/>
      <w:r/>
      <w:bookmarkStart w:id="209" w:name="_Toc296503159"/>
      <w:r/>
      <w:bookmarkStart w:id="210" w:name="_Toc297048345"/>
      <w:r/>
      <w:bookmarkStart w:id="211" w:name="_Toc300934945"/>
      <w:r/>
      <w:bookmarkStart w:id="212" w:name="_Toc297216151"/>
      <w:r/>
      <w:bookmarkStart w:id="213" w:name="_Toc292559869"/>
      <w:r/>
      <w:bookmarkStart w:id="214" w:name="_Toc296891199"/>
      <w:r/>
      <w:bookmarkStart w:id="215" w:name="_Toc292559364"/>
      <w:r/>
      <w:bookmarkStart w:id="216" w:name="_Toc296347158"/>
      <w:r/>
      <w:bookmarkStart w:id="217" w:name="_Toc296944498"/>
      <w:r/>
      <w:bookmarkStart w:id="218" w:name="_Toc297123492"/>
      <w:r/>
      <w:bookmarkStart w:id="219" w:name="_Toc296890987"/>
      <w:r/>
      <w:bookmarkStart w:id="220" w:name="_Toc296346660"/>
      <w:r/>
      <w:bookmarkStart w:id="221" w:name="_Toc312677988"/>
      <w:r>
        <w:t xml:space="preserve">分包</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Pr>
          <w:b/>
        </w:rPr>
      </w:r>
      <w:r/>
    </w:p>
    <w:p>
      <w:pPr>
        <w:pStyle w:val="1008"/>
        <w:numPr>
          <w:ilvl w:val="0"/>
          <w:numId w:val="75"/>
        </w:numPr>
        <w:ind w:left="0" w:firstLine="482"/>
        <w:tabs>
          <w:tab w:val="left" w:pos="1081" w:leader="none"/>
        </w:tabs>
        <w:rPr>
          <w:b/>
        </w:rPr>
      </w:pPr>
      <w:r/>
      <w:bookmarkStart w:id="222" w:name="_Toc296890988"/>
      <w:r/>
      <w:bookmarkStart w:id="223" w:name="_Toc292559365"/>
      <w:r/>
      <w:bookmarkStart w:id="224" w:name="_Toc304295524"/>
      <w:r/>
      <w:bookmarkStart w:id="225" w:name="_Toc292559870"/>
      <w:r/>
      <w:bookmarkStart w:id="226" w:name="_Toc318581158"/>
      <w:r/>
      <w:bookmarkStart w:id="227" w:name="_Toc297120460"/>
      <w:r/>
      <w:bookmarkStart w:id="228" w:name="_Toc297123493"/>
      <w:r/>
      <w:bookmarkStart w:id="229" w:name="_Toc312677989"/>
      <w:r/>
      <w:bookmarkStart w:id="230" w:name="_Toc297048346"/>
      <w:r/>
      <w:bookmarkStart w:id="231" w:name="_Toc296944499"/>
      <w:r/>
      <w:bookmarkStart w:id="232" w:name="_Toc296503160"/>
      <w:r/>
      <w:bookmarkStart w:id="233" w:name="_Toc300934946"/>
      <w:r/>
      <w:bookmarkStart w:id="234" w:name="_Toc303539103"/>
      <w:r/>
      <w:bookmarkStart w:id="235" w:name="_Toc296347159"/>
      <w:r/>
      <w:bookmarkStart w:id="236" w:name="_Toc297216152"/>
      <w:r/>
      <w:bookmarkStart w:id="237" w:name="_Toc296346661"/>
      <w:r/>
      <w:bookmarkStart w:id="238" w:name="_Toc296891200"/>
      <w:r>
        <w:t xml:space="preserve">分包的一般约定</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禁止分包的工程包括：</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主体结构、关键性工作的范围：</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Start w:id="239" w:name="_Toc297216153"/>
      <w:r/>
      <w:bookmarkEnd w:id="239"/>
      <w:r/>
      <w:bookmarkStart w:id="240" w:name="_Toc297048347"/>
      <w:r/>
      <w:bookmarkEnd w:id="240"/>
      <w:r/>
      <w:bookmarkStart w:id="241" w:name="_Toc304295525"/>
      <w:r/>
      <w:bookmarkEnd w:id="241"/>
      <w:r/>
      <w:bookmarkStart w:id="242" w:name="_Toc297123494"/>
      <w:r/>
      <w:bookmarkEnd w:id="242"/>
      <w:r/>
      <w:bookmarkStart w:id="243" w:name="_Toc296944500"/>
      <w:r/>
      <w:bookmarkEnd w:id="243"/>
      <w:r/>
      <w:bookmarkStart w:id="244" w:name="_Toc296890989"/>
      <w:r/>
      <w:bookmarkEnd w:id="244"/>
      <w:r/>
      <w:bookmarkStart w:id="245" w:name="_Toc296346662"/>
      <w:r/>
      <w:bookmarkEnd w:id="245"/>
      <w:r/>
      <w:bookmarkStart w:id="246" w:name="_Toc296891201"/>
      <w:r/>
      <w:bookmarkEnd w:id="246"/>
      <w:r/>
      <w:bookmarkStart w:id="247" w:name="_Toc303539104"/>
      <w:r/>
      <w:bookmarkEnd w:id="247"/>
      <w:r/>
      <w:bookmarkStart w:id="248" w:name="_Toc297120461"/>
      <w:r/>
      <w:bookmarkEnd w:id="248"/>
      <w:r/>
      <w:bookmarkStart w:id="249" w:name="_Toc296347160"/>
      <w:r/>
      <w:bookmarkEnd w:id="249"/>
      <w:r/>
      <w:bookmarkStart w:id="250" w:name="_Toc300934947"/>
      <w:r/>
      <w:bookmarkEnd w:id="250"/>
      <w:r/>
      <w:bookmarkStart w:id="251" w:name="_Toc296503161"/>
      <w:r/>
      <w:bookmarkEnd w:id="251"/>
      <w:r>
        <w:rPr>
          <w:rFonts w:ascii="Times New Roman" w:hAnsi="Times New Roman" w:eastAsia="宋体" w:cs="Times New Roman"/>
          <w:color w:val="000000"/>
          <w:sz w:val="24"/>
          <w:u w:val="single"/>
        </w:rPr>
      </w:r>
      <w:r/>
    </w:p>
    <w:p>
      <w:pPr>
        <w:pStyle w:val="1008"/>
        <w:numPr>
          <w:ilvl w:val="0"/>
          <w:numId w:val="75"/>
        </w:numPr>
        <w:ind w:left="0" w:firstLine="482"/>
        <w:tabs>
          <w:tab w:val="left" w:pos="1081" w:leader="none"/>
        </w:tabs>
        <w:rPr>
          <w:rFonts w:hint="eastAsia" w:ascii="宋体" w:hAnsi="宋体" w:eastAsia="宋体" w:cs="宋体"/>
          <w:b/>
        </w:rPr>
      </w:pPr>
      <w:r/>
      <w:bookmarkStart w:id="252" w:name="_Toc312677990"/>
      <w:r/>
      <w:bookmarkStart w:id="253" w:name="_Toc318581159"/>
      <w:r>
        <w:t xml:space="preserve">分包的确定</w:t>
      </w:r>
      <w:r>
        <w:rPr>
          <w:rFonts w:hint="eastAsia" w:ascii="宋体" w:hAnsi="宋体" w:eastAsia="宋体" w:cs="宋体"/>
          <w:b/>
        </w:rPr>
      </w:r>
      <w:r/>
    </w:p>
    <w:p>
      <w:pPr>
        <w:pStyle w:val="1026"/>
        <w:ind w:left="0" w:firstLine="480"/>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允许分包的专业工程包括：</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u w:val="single"/>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其他关于分包的约定：</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8"/>
        <w:numPr>
          <w:ilvl w:val="0"/>
          <w:numId w:val="75"/>
        </w:numPr>
        <w:ind w:left="0" w:firstLine="482"/>
        <w:tabs>
          <w:tab w:val="left" w:pos="1081" w:leader="none"/>
        </w:tabs>
        <w:rPr>
          <w:b/>
        </w:rPr>
      </w:pPr>
      <w:r>
        <w:t xml:space="preserve">分包合同价款</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关于分包合同价款支付的约定：</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bookmarkEnd w:id="252"/>
      <w:r/>
      <w:bookmarkEnd w:id="253"/>
      <w:r>
        <w:rPr>
          <w:rFonts w:ascii="Times New Roman" w:hAnsi="Times New Roman" w:eastAsia="宋体" w:cs="Times New Roman"/>
          <w:color w:val="000000"/>
          <w:sz w:val="24"/>
        </w:rPr>
      </w:r>
      <w:r/>
    </w:p>
    <w:p>
      <w:pPr>
        <w:pStyle w:val="1007"/>
        <w:numPr>
          <w:ilvl w:val="0"/>
          <w:numId w:val="70"/>
        </w:numPr>
        <w:ind w:left="0" w:firstLine="482"/>
        <w:tabs>
          <w:tab w:val="left" w:pos="903" w:leader="none"/>
        </w:tabs>
        <w:rPr>
          <w:b/>
        </w:rPr>
      </w:pPr>
      <w:r>
        <w:t xml:space="preserve">工程照管与成品、半成品保护</w:t>
      </w:r>
      <w:r>
        <w:rPr>
          <w:b/>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承包人负责照管工程及工程相关的材料、工程设备的起始时间：</w:t>
      </w:r>
      <w:r>
        <w:rPr>
          <w:rFonts w:ascii="Times New Roman" w:hAnsi="Times New Roman" w:eastAsia="宋体" w:cs="Times New Roman"/>
          <w:color w:val="000000"/>
          <w:sz w:val="24"/>
          <w:u w:val="single"/>
        </w:rPr>
        <w:t xml:space="preserve">从承包人设备、材料进场之日起，到竣工移交手续办理之日止。</w:t>
      </w:r>
      <w:r>
        <w:rPr>
          <w:rFonts w:ascii="Times New Roman" w:hAnsi="Times New Roman" w:eastAsia="宋体" w:cs="Times New Roman"/>
          <w:color w:val="000000"/>
          <w:sz w:val="24"/>
          <w:u w:val="single"/>
        </w:rPr>
      </w:r>
      <w:r/>
    </w:p>
    <w:p>
      <w:pPr>
        <w:pStyle w:val="1007"/>
        <w:numPr>
          <w:ilvl w:val="0"/>
          <w:numId w:val="70"/>
        </w:numPr>
        <w:ind w:left="0" w:firstLine="482"/>
        <w:tabs>
          <w:tab w:val="left" w:pos="903" w:leader="none"/>
        </w:tabs>
        <w:rPr>
          <w:b/>
        </w:rPr>
      </w:pPr>
      <w:r>
        <w:t xml:space="preserve">履约担保</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承包人是否提供履约担保：</w:t>
      </w:r>
      <w:r>
        <w:rPr>
          <w:rFonts w:ascii="Times New Roman" w:hAnsi="Times New Roman" w:eastAsia="宋体" w:cs="Times New Roman"/>
          <w:color w:val="000000"/>
          <w:sz w:val="24"/>
          <w:u w:val="single"/>
        </w:rPr>
        <w:t xml:space="preserve">提供</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承包人提供履约担保的形式、金额及期限的：提供合同价款的10%作为履约保证金，其中：工期履约保证金为3%，质量履约保证金为3%，安全履约保证金为2%，竣工资料履约保证金为1%，廉政履约保证金为1%；履约保证金可以以支票、汇票、本票或者金融机构出具的保函等非现金形式提交。提交时间为本合同签订前。上述履约保证金分别的、共同地承担合同义务和责任。</w:t>
      </w:r>
      <w:r>
        <w:rPr>
          <w:rFonts w:ascii="Times New Roman" w:hAnsi="Times New Roman" w:eastAsia="宋体" w:cs="Times New Roman"/>
          <w:color w:val="000000"/>
          <w:sz w:val="24"/>
          <w:u w:val="single"/>
        </w:rPr>
      </w:r>
      <w:r/>
    </w:p>
    <w:p>
      <w:pPr>
        <w:pStyle w:val="1026"/>
        <w:ind w:left="0" w:firstLine="480"/>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双方约定本工程的履约担保的效力期间为工程开工至本合同范围内的所有工程项目完工并验收合格。履约保证金依约剩余的余额，在工程竣工验收合格后可申请退还；依约扣除的履约保证金不予退还。采购人逾期退还履约保证金的，按照同期银行活期存款利率承担违约责任。</w:t>
      </w:r>
      <w:r>
        <w:rPr>
          <w:rFonts w:ascii="Times New Roman" w:hAnsi="Times New Roman" w:eastAsia="宋体" w:cs="Times New Roman"/>
          <w:color w:val="000000"/>
          <w:sz w:val="24"/>
          <w:u w:val="single"/>
        </w:rPr>
      </w:r>
      <w:r/>
    </w:p>
    <w:p>
      <w:pPr>
        <w:pStyle w:val="1006"/>
        <w:numPr>
          <w:ilvl w:val="0"/>
          <w:numId w:val="58"/>
        </w:numPr>
        <w:ind w:left="0" w:firstLine="482"/>
        <w:tabs>
          <w:tab w:val="left" w:pos="842" w:leader="none"/>
        </w:tabs>
        <w:rPr>
          <w:b/>
        </w:rPr>
      </w:pPr>
      <w:r/>
      <w:bookmarkStart w:id="254" w:name="_Toc297120462"/>
      <w:r/>
      <w:bookmarkStart w:id="255" w:name="_Toc267251413"/>
      <w:r/>
      <w:bookmarkStart w:id="256" w:name="_Toc296891202"/>
      <w:r/>
      <w:bookmarkStart w:id="257" w:name="_Toc292559366"/>
      <w:r/>
      <w:bookmarkStart w:id="258" w:name="_Toc296346663"/>
      <w:r/>
      <w:bookmarkStart w:id="259" w:name="_Toc296890990"/>
      <w:r/>
      <w:bookmarkStart w:id="260" w:name="_Toc296944501"/>
      <w:r/>
      <w:bookmarkStart w:id="261" w:name="_Toc296347161"/>
      <w:r/>
      <w:bookmarkStart w:id="262" w:name="_Toc351203636"/>
      <w:r/>
      <w:bookmarkStart w:id="263" w:name="_Toc297048348"/>
      <w:r/>
      <w:bookmarkStart w:id="264" w:name="_Toc296503162"/>
      <w:r/>
      <w:bookmarkStart w:id="265" w:name="_Toc292559871"/>
      <w:r>
        <w:t xml:space="preserve">监</w:t>
      </w:r>
      <w:bookmarkEnd w:id="254"/>
      <w:r/>
      <w:bookmarkEnd w:id="255"/>
      <w:r/>
      <w:bookmarkEnd w:id="256"/>
      <w:r/>
      <w:bookmarkEnd w:id="257"/>
      <w:r/>
      <w:bookmarkEnd w:id="258"/>
      <w:r/>
      <w:bookmarkEnd w:id="259"/>
      <w:r/>
      <w:bookmarkEnd w:id="260"/>
      <w:r/>
      <w:bookmarkEnd w:id="261"/>
      <w:r/>
      <w:bookmarkEnd w:id="263"/>
      <w:r/>
      <w:bookmarkEnd w:id="264"/>
      <w:r/>
      <w:bookmarkEnd w:id="265"/>
      <w:r>
        <w:t xml:space="preserve">理人</w:t>
      </w:r>
      <w:bookmarkEnd w:id="262"/>
      <w:r>
        <w:rPr>
          <w:b/>
        </w:rPr>
      </w:r>
      <w:r/>
    </w:p>
    <w:p>
      <w:pPr>
        <w:pStyle w:val="1007"/>
        <w:numPr>
          <w:ilvl w:val="0"/>
          <w:numId w:val="76"/>
        </w:numPr>
        <w:ind w:left="0" w:firstLine="482"/>
        <w:tabs>
          <w:tab w:val="left" w:pos="964" w:leader="none"/>
        </w:tabs>
        <w:rPr>
          <w:rFonts w:hint="eastAsia" w:ascii="宋体" w:hAnsi="宋体" w:eastAsia="宋体" w:cs="宋体"/>
          <w:b/>
        </w:rPr>
      </w:pPr>
      <w:r>
        <w:t xml:space="preserve">监理人的一般规定</w:t>
      </w:r>
      <w:r>
        <w:rPr>
          <w:rFonts w:hint="eastAsia" w:ascii="宋体" w:hAnsi="宋体" w:eastAsia="宋体" w:cs="宋体"/>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关于监理人的监理内容：</w:t>
      </w:r>
      <w:r>
        <w:rPr>
          <w:rFonts w:ascii="Times New Roman" w:hAnsi="Times New Roman" w:eastAsia="宋体" w:cs="Times New Roman"/>
          <w:color w:val="000000"/>
          <w:sz w:val="24"/>
          <w:u w:val="single"/>
        </w:rPr>
        <w:t xml:space="preserve">见本工程《建设工程委托监理合同》</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关于监理人的监理权限：</w:t>
      </w:r>
      <w:r>
        <w:rPr>
          <w:rFonts w:ascii="Times New Roman" w:hAnsi="Times New Roman" w:eastAsia="宋体" w:cs="Times New Roman"/>
          <w:color w:val="000000"/>
          <w:sz w:val="24"/>
          <w:u w:val="single"/>
        </w:rPr>
        <w:t xml:space="preserve">见本工程《建设工程委托监理合同》</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关于监理人在施工现场的办公场所、生活场所的提供和费用承担的约定：</w:t>
      </w:r>
      <w:r>
        <w:rPr>
          <w:rFonts w:ascii="Times New Roman" w:hAnsi="Times New Roman" w:eastAsia="宋体" w:cs="Times New Roman"/>
          <w:color w:val="000000"/>
          <w:sz w:val="24"/>
          <w:u w:val="single"/>
        </w:rPr>
        <w:t xml:space="preserve">提供2间办公用房（30平方米），费用由承包人承担，不再单独计取费用</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7"/>
        <w:numPr>
          <w:ilvl w:val="0"/>
          <w:numId w:val="76"/>
        </w:numPr>
        <w:ind w:left="0" w:firstLine="482"/>
        <w:tabs>
          <w:tab w:val="left" w:pos="964" w:leader="none"/>
        </w:tabs>
        <w:rPr>
          <w:b/>
        </w:rPr>
      </w:pPr>
      <w:r>
        <w:t xml:space="preserve">监理人员</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总监理工程师：</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姓    名：</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职    务：</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监理工程师执业资格证书号：</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联系电话：</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电子信箱：</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通信地址：</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关于监理人的其他约定：</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6"/>
        <w:numPr>
          <w:ilvl w:val="0"/>
          <w:numId w:val="58"/>
        </w:numPr>
        <w:ind w:left="0" w:firstLine="482"/>
        <w:tabs>
          <w:tab w:val="left" w:pos="842" w:leader="none"/>
        </w:tabs>
        <w:rPr>
          <w:b/>
        </w:rPr>
      </w:pPr>
      <w:r/>
      <w:bookmarkStart w:id="266" w:name="_Toc292559367"/>
      <w:r/>
      <w:bookmarkStart w:id="267" w:name="_Toc296944502"/>
      <w:r/>
      <w:bookmarkStart w:id="268" w:name="_Toc296891203"/>
      <w:r/>
      <w:bookmarkStart w:id="269" w:name="_Toc297048349"/>
      <w:r/>
      <w:bookmarkStart w:id="270" w:name="_Toc297120463"/>
      <w:r/>
      <w:bookmarkStart w:id="271" w:name="_Toc292559872"/>
      <w:r/>
      <w:bookmarkStart w:id="272" w:name="_Toc296503163"/>
      <w:r/>
      <w:bookmarkStart w:id="273" w:name="_Toc296347162"/>
      <w:r/>
      <w:bookmarkStart w:id="274" w:name="_Toc296346664"/>
      <w:r/>
      <w:bookmarkStart w:id="275" w:name="_Toc351203637"/>
      <w:r/>
      <w:bookmarkStart w:id="276" w:name="_Toc296890991"/>
      <w:r>
        <w:t xml:space="preserve">工程质量</w:t>
      </w:r>
      <w:bookmarkEnd w:id="275"/>
      <w:r>
        <w:rPr>
          <w:b/>
        </w:rPr>
      </w:r>
      <w:r/>
    </w:p>
    <w:p>
      <w:pPr>
        <w:pStyle w:val="1007"/>
        <w:numPr>
          <w:ilvl w:val="0"/>
          <w:numId w:val="77"/>
        </w:numPr>
        <w:ind w:left="0" w:firstLine="482"/>
        <w:tabs>
          <w:tab w:val="left" w:pos="903" w:leader="none"/>
        </w:tabs>
        <w:rPr>
          <w:b/>
        </w:rPr>
      </w:pPr>
      <w:r/>
      <w:bookmarkStart w:id="277" w:name="_Toc20002"/>
      <w:r>
        <w:t xml:space="preserve">质量要求</w:t>
      </w:r>
      <w:bookmarkEnd w:id="277"/>
      <w:r>
        <w:rPr>
          <w:b/>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5</w:t>
      </w:r>
      <w:bookmarkStart w:id="278" w:name="_Toc297123496"/>
      <w:r/>
      <w:bookmarkStart w:id="279" w:name="_Toc300934949"/>
      <w:r/>
      <w:bookmarkStart w:id="280" w:name="_Toc318581164"/>
      <w:r/>
      <w:bookmarkStart w:id="281" w:name="_Toc303539106"/>
      <w:r/>
      <w:bookmarkStart w:id="282" w:name="_Toc304295527"/>
      <w:r/>
      <w:bookmarkStart w:id="283" w:name="_Toc312677997"/>
      <w:r/>
      <w:bookmarkStart w:id="284" w:name="_Toc297216155"/>
      <w:r>
        <w:rPr>
          <w:rFonts w:ascii="Times New Roman" w:hAnsi="Times New Roman" w:eastAsia="宋体" w:cs="Times New Roman"/>
          <w:color w:val="000000"/>
          <w:sz w:val="24"/>
        </w:rPr>
        <w:t xml:space="preserve">.1.1 特殊质量标准和要求：</w:t>
      </w:r>
      <w:r>
        <w:rPr>
          <w:rFonts w:ascii="Times New Roman" w:hAnsi="Times New Roman" w:eastAsia="宋体" w:cs="Times New Roman"/>
          <w:color w:val="000000"/>
          <w:sz w:val="24"/>
          <w:u w:val="single"/>
        </w:rPr>
        <w:t xml:space="preserve">工程质量达不到本合同约定要求，发包人有权没收全部的质量保证金，施工单位须无偿返工直至达到合格。</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技术处理（含地基处理、暗河清理、回填等）必须满足施工要求，处理方法在施工前必须获得设计单位的书面同意。</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rPr>
          <w:rFonts w:ascii="Times New Roman" w:hAnsi="Times New Roman" w:eastAsia="宋体" w:cs="Times New Roman"/>
          <w:color w:val="000000"/>
          <w:sz w:val="24"/>
          <w:u w:val="single"/>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关于工程奖项的约定：</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7"/>
        <w:numPr>
          <w:ilvl w:val="0"/>
          <w:numId w:val="77"/>
        </w:numPr>
        <w:ind w:left="0" w:firstLine="482"/>
        <w:tabs>
          <w:tab w:val="left" w:pos="903" w:leader="none"/>
        </w:tabs>
        <w:rPr>
          <w:b/>
        </w:rPr>
      </w:pPr>
      <w:r/>
      <w:bookmarkStart w:id="285" w:name="_Toc24386"/>
      <w:r>
        <w:t xml:space="preserve">隐蔽工程检查</w:t>
      </w:r>
      <w:bookmarkEnd w:id="285"/>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5.3.2承包人提前通知监理人隐蔽工程检查的期限的约定：</w:t>
      </w:r>
      <w:r>
        <w:rPr>
          <w:rFonts w:ascii="Times New Roman" w:hAnsi="Times New Roman" w:eastAsia="宋体" w:cs="Times New Roman"/>
          <w:color w:val="000000"/>
          <w:sz w:val="24"/>
          <w:u w:val="single"/>
        </w:rPr>
        <w:t xml:space="preserve">共同检查前24小时书面通知监理人</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监理人不能按时进行检查时，应提前</w:t>
      </w:r>
      <w:r>
        <w:rPr>
          <w:rFonts w:ascii="Times New Roman" w:hAnsi="Times New Roman" w:eastAsia="宋体" w:cs="Times New Roman"/>
          <w:color w:val="000000"/>
          <w:sz w:val="24"/>
          <w:u w:val="single"/>
        </w:rPr>
        <w:t xml:space="preserve">12</w:t>
      </w:r>
      <w:r>
        <w:rPr>
          <w:rFonts w:ascii="Times New Roman" w:hAnsi="Times New Roman" w:eastAsia="宋体" w:cs="Times New Roman"/>
          <w:color w:val="000000"/>
          <w:sz w:val="24"/>
        </w:rPr>
        <w:t xml:space="preserve">小时提交书面延期要求。</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关于延期最长不得超过：</w:t>
      </w:r>
      <w:r>
        <w:rPr>
          <w:rFonts w:ascii="Times New Roman" w:hAnsi="Times New Roman" w:eastAsia="宋体" w:cs="Times New Roman"/>
          <w:color w:val="000000"/>
          <w:sz w:val="24"/>
          <w:u w:val="single"/>
        </w:rPr>
        <w:t xml:space="preserve">24</w:t>
      </w:r>
      <w:r>
        <w:rPr>
          <w:rFonts w:ascii="Times New Roman" w:hAnsi="Times New Roman" w:eastAsia="宋体" w:cs="Times New Roman"/>
          <w:color w:val="000000"/>
          <w:sz w:val="24"/>
        </w:rPr>
        <w:t xml:space="preserve">小时。</w:t>
      </w:r>
      <w:r>
        <w:rPr>
          <w:rFonts w:ascii="Times New Roman" w:hAnsi="Times New Roman" w:eastAsia="宋体" w:cs="Times New Roman"/>
          <w:color w:val="000000"/>
          <w:sz w:val="24"/>
        </w:rPr>
      </w:r>
      <w:r/>
    </w:p>
    <w:p>
      <w:pPr>
        <w:pStyle w:val="1006"/>
        <w:numPr>
          <w:ilvl w:val="0"/>
          <w:numId w:val="58"/>
        </w:numPr>
        <w:ind w:left="0" w:firstLine="482"/>
        <w:tabs>
          <w:tab w:val="left" w:pos="842" w:leader="none"/>
        </w:tabs>
        <w:rPr>
          <w:b/>
        </w:rPr>
      </w:pPr>
      <w:r/>
      <w:bookmarkStart w:id="286" w:name="_Toc351203638"/>
      <w:r>
        <w:t xml:space="preserve">安全文明施工与环境保护</w:t>
      </w:r>
      <w:bookmarkEnd w:id="286"/>
      <w:r>
        <w:rPr>
          <w:b/>
        </w:rPr>
      </w:r>
      <w:r/>
    </w:p>
    <w:p>
      <w:pPr>
        <w:pStyle w:val="1007"/>
        <w:ind w:left="0" w:firstLine="482"/>
      </w:pPr>
      <w:r>
        <w:t xml:space="preserve">6.1安全文明施工</w:t>
      </w:r>
      <w:r/>
    </w:p>
    <w:p>
      <w:pPr>
        <w:pStyle w:val="1026"/>
        <w:numPr>
          <w:ilvl w:val="0"/>
          <w:numId w:val="78"/>
        </w:numPr>
        <w:ind w:left="0" w:firstLine="480"/>
        <w:widowControl/>
        <w:tabs>
          <w:tab w:val="left" w:pos="10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rPr>
        <w:t xml:space="preserve">项目安全生产的达标目标及相应事项的约定：</w:t>
      </w:r>
      <w:r>
        <w:rPr>
          <w:rFonts w:ascii="Times New Roman" w:hAnsi="Times New Roman" w:eastAsia="宋体" w:cs="Times New Roman"/>
          <w:color w:val="000000"/>
          <w:sz w:val="24"/>
          <w:u w:val="single"/>
        </w:rPr>
        <w:t xml:space="preserve">要求达到《建筑施工安全检查标准》（JGJ59-2011）标准，承包人应严格按工程建设安全生产的有关规定，采取安全措施组织施工。若发生安全责任事故，一切责任由承包人承担。</w:t>
      </w:r>
      <w:r>
        <w:rPr>
          <w:rFonts w:ascii="Times New Roman" w:hAnsi="Times New Roman" w:eastAsia="宋体" w:cs="Times New Roman"/>
          <w:b w:val="0"/>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承包人应尽到总承包单位的义务，对施工现场的安全生产管理负总责，承包人在工地现场必须按规定要求配备专职安全员。承包人在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承包人使用的安全防护用具、机械设备、施工机具及配件，应当具有生产（制造）许可证、产品合格证，并在进入施工现场前进行查验，经监理工程师签字确认后方可使用；</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提供和维修施工使用照明、警示照明、围栏设施，指示标志、警告标志、禁止标志等安全防护措施。</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承包人若不按工程建设安全生产的有关规定组织施工及设置安全设施，或发生较大安全责任事故的，发包人有权没收安全保证金。</w:t>
      </w:r>
      <w:r>
        <w:rPr>
          <w:rFonts w:ascii="Times New Roman" w:hAnsi="Times New Roman" w:eastAsia="宋体" w:cs="Times New Roman"/>
          <w:color w:val="000000"/>
          <w:sz w:val="24"/>
          <w:u w:val="single"/>
        </w:rPr>
      </w:r>
      <w:r/>
    </w:p>
    <w:p>
      <w:pPr>
        <w:pStyle w:val="1026"/>
        <w:numPr>
          <w:ilvl w:val="0"/>
          <w:numId w:val="78"/>
        </w:numPr>
        <w:ind w:left="0" w:firstLine="480"/>
        <w:tabs>
          <w:tab w:val="left" w:pos="108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关于治安保卫的特别约定：</w:t>
      </w:r>
      <w:r>
        <w:rPr>
          <w:rFonts w:ascii="Times New Roman" w:hAnsi="Times New Roman" w:eastAsia="宋体" w:cs="Times New Roman"/>
          <w:color w:val="000000"/>
          <w:sz w:val="24"/>
          <w:u w:val="single"/>
        </w:rPr>
        <w:t xml:space="preserve">按通用条款执行</w:t>
      </w:r>
      <w:r>
        <w:rPr>
          <w:rFonts w:ascii="Times New Roman" w:hAnsi="Times New Roman" w:eastAsia="宋体" w:cs="Times New Roman"/>
          <w:color w:val="000000"/>
          <w:sz w:val="24"/>
        </w:rPr>
        <w:t xml:space="preserve">。</w:t>
      </w:r>
      <w:r>
        <w:rPr>
          <w:rFonts w:ascii="Times New Roman" w:hAnsi="Times New Roman" w:eastAsia="宋体" w:cs="Times New Roman"/>
          <w:b w:val="0"/>
          <w:color w:val="000000"/>
          <w:sz w:val="24"/>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关于编制施工场地治安管理计划的约定：</w:t>
      </w:r>
      <w:r>
        <w:rPr>
          <w:rFonts w:ascii="Times New Roman" w:hAnsi="Times New Roman" w:eastAsia="宋体" w:cs="Times New Roman"/>
          <w:color w:val="000000"/>
          <w:sz w:val="24"/>
          <w:u w:val="single"/>
        </w:rPr>
        <w:t xml:space="preserve">承包人在开工前提供施工场地治安管理计划，负责夜间和非夜间的安全巡逻和保卫，统一管理施工场地治安保卫事项并承担相应责任。</w:t>
      </w:r>
      <w:r>
        <w:rPr>
          <w:rFonts w:ascii="Times New Roman" w:hAnsi="Times New Roman" w:eastAsia="宋体" w:cs="Times New Roman"/>
          <w:color w:val="000000"/>
          <w:sz w:val="24"/>
          <w:u w:val="single"/>
        </w:rPr>
      </w:r>
      <w:r/>
    </w:p>
    <w:p>
      <w:pPr>
        <w:pStyle w:val="1026"/>
        <w:numPr>
          <w:ilvl w:val="0"/>
          <w:numId w:val="78"/>
        </w:numPr>
        <w:ind w:left="0" w:firstLine="480"/>
        <w:tabs>
          <w:tab w:val="left" w:pos="108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文明施工</w:t>
      </w:r>
      <w:r>
        <w:rPr>
          <w:rFonts w:ascii="Times New Roman" w:hAnsi="Times New Roman" w:eastAsia="宋体" w:cs="Times New Roman"/>
          <w:b w:val="0"/>
          <w:color w:val="000000"/>
          <w:sz w:val="24"/>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合同当事人对文明施工的要求：</w:t>
      </w:r>
      <w:r>
        <w:rPr>
          <w:rFonts w:ascii="Times New Roman" w:hAnsi="Times New Roman" w:eastAsia="宋体" w:cs="Times New Roman"/>
          <w:color w:val="000000"/>
          <w:sz w:val="24"/>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现场施工扬尘控制，必须严格按《通州区扬尘整治“654”专项行动方案》要求逐项落实，现场应编制“扬尘”控制专项方案报监理方审核，如措施不到位，处 1〜5 万元违约金。</w:t>
      </w:r>
      <w:r>
        <w:rPr>
          <w:rFonts w:ascii="Times New Roman" w:hAnsi="Times New Roman" w:eastAsia="宋体" w:cs="Times New Roman"/>
          <w:color w:val="000000"/>
          <w:sz w:val="24"/>
          <w:u w:val="single"/>
        </w:rPr>
      </w:r>
      <w:r/>
    </w:p>
    <w:p>
      <w:pPr>
        <w:pStyle w:val="1026"/>
        <w:numPr>
          <w:ilvl w:val="0"/>
          <w:numId w:val="78"/>
        </w:numPr>
        <w:ind w:left="0" w:firstLine="480"/>
        <w:widowControl/>
        <w:tabs>
          <w:tab w:val="left" w:pos="10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rPr>
        <w:t xml:space="preserve">关于安全文明施工费支付比例和支付期限的约定：</w:t>
      </w:r>
      <w:bookmarkEnd w:id="278"/>
      <w:r/>
      <w:bookmarkEnd w:id="279"/>
      <w:r/>
      <w:bookmarkEnd w:id="280"/>
      <w:r/>
      <w:bookmarkEnd w:id="281"/>
      <w:r/>
      <w:bookmarkEnd w:id="282"/>
      <w:r/>
      <w:bookmarkEnd w:id="283"/>
      <w:r/>
      <w:bookmarkEnd w:id="284"/>
      <w:r/>
      <w:bookmarkStart w:id="287" w:name="_Toc351203639"/>
      <w:r>
        <w:rPr>
          <w:rFonts w:ascii="Times New Roman" w:hAnsi="Times New Roman" w:eastAsia="宋体" w:cs="Times New Roman"/>
          <w:color w:val="000000"/>
          <w:sz w:val="24"/>
          <w:u w:val="single"/>
        </w:rPr>
        <w:t xml:space="preserve">纳入合同价款支付。</w:t>
      </w:r>
      <w:r>
        <w:rPr>
          <w:rFonts w:ascii="Times New Roman" w:hAnsi="Times New Roman" w:eastAsia="宋体" w:cs="Times New Roman"/>
          <w:b w:val="0"/>
          <w:color w:val="000000"/>
          <w:sz w:val="24"/>
          <w:u w:val="single"/>
        </w:rPr>
      </w:r>
      <w:r/>
    </w:p>
    <w:p>
      <w:pPr>
        <w:pStyle w:val="1026"/>
        <w:numPr>
          <w:ilvl w:val="0"/>
          <w:numId w:val="78"/>
        </w:numPr>
        <w:ind w:left="0" w:firstLine="480"/>
        <w:widowControl/>
        <w:tabs>
          <w:tab w:val="left" w:pos="108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安全生产责任承包人应严格按《建设工程安全生产管理条例》等法律法规采取安全措施、组织施工，承包人须对本合同范围内所有施工范围和施工人员负全部安全施工责任。承包人应严格按工程建设安全生产有关管理规定，采取安全措施组织施工。若发生安全事故，一切责任由承包方承担。承包人对因工程施工可能造</w:t>
      </w:r>
      <w:r>
        <w:rPr>
          <w:rFonts w:ascii="Times New Roman" w:hAnsi="Times New Roman" w:eastAsia="宋体" w:cs="Times New Roman"/>
          <w:color w:val="000000"/>
          <w:sz w:val="24"/>
          <w:u w:val="single"/>
        </w:rPr>
        <w:t xml:space="preserve">成损害的毗邻建筑物、构筑物和地下管线等，应当采取专项防护措施。承包人应当遵守有关环境保护法律法规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rPr>
          <w:rFonts w:hint="eastAsia" w:ascii="宋体" w:hAnsi="宋体" w:eastAsia="宋体" w:cs="宋体"/>
          <w:b w:val="0"/>
          <w:color w:val="000000"/>
          <w:sz w:val="24"/>
          <w:u w:val="single"/>
        </w:rPr>
      </w:r>
      <w:r/>
    </w:p>
    <w:p>
      <w:pPr>
        <w:pStyle w:val="1006"/>
        <w:numPr>
          <w:ilvl w:val="0"/>
          <w:numId w:val="58"/>
        </w:numPr>
        <w:ind w:left="0" w:firstLine="482"/>
        <w:tabs>
          <w:tab w:val="left" w:pos="842" w:leader="none"/>
        </w:tabs>
        <w:rPr>
          <w:b/>
        </w:rPr>
      </w:pPr>
      <w:r>
        <w:t xml:space="preserve">工期和进度</w:t>
      </w:r>
      <w:bookmarkEnd w:id="287"/>
      <w:r>
        <w:rPr>
          <w:b/>
        </w:rPr>
      </w:r>
      <w:r/>
    </w:p>
    <w:p>
      <w:pPr>
        <w:pStyle w:val="1007"/>
        <w:numPr>
          <w:ilvl w:val="0"/>
          <w:numId w:val="79"/>
        </w:numPr>
        <w:ind w:left="0" w:firstLine="482"/>
        <w:tabs>
          <w:tab w:val="left" w:pos="903" w:leader="none"/>
        </w:tabs>
        <w:rPr>
          <w:b/>
        </w:rPr>
      </w:pPr>
      <w:r>
        <w:t xml:space="preserve">施工组织设计</w:t>
      </w:r>
      <w:r>
        <w:rPr>
          <w:b/>
        </w:rPr>
      </w:r>
      <w:r/>
    </w:p>
    <w:p>
      <w:pPr>
        <w:pStyle w:val="1026"/>
        <w:numPr>
          <w:ilvl w:val="0"/>
          <w:numId w:val="80"/>
        </w:numPr>
        <w:ind w:left="0" w:firstLine="480"/>
        <w:widowControl/>
        <w:tabs>
          <w:tab w:val="left" w:pos="10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rPr>
        <w:t xml:space="preserve">合同当事人约定的施工组织设计应包括的其他内容：</w:t>
      </w:r>
      <w:r>
        <w:rPr>
          <w:rFonts w:ascii="Times New Roman" w:hAnsi="Times New Roman" w:eastAsia="宋体" w:cs="Times New Roman"/>
          <w:color w:val="000000"/>
          <w:sz w:val="24"/>
          <w:u w:val="single"/>
        </w:rPr>
        <w:t xml:space="preserve">按招标文件约定，招标文件无约定的按通用条款或双方另行约定。</w:t>
      </w:r>
      <w:r>
        <w:rPr>
          <w:rFonts w:ascii="Times New Roman" w:hAnsi="Times New Roman" w:eastAsia="宋体" w:cs="Times New Roman"/>
          <w:b w:val="0"/>
          <w:color w:val="000000"/>
          <w:sz w:val="24"/>
          <w:u w:val="single"/>
        </w:rPr>
      </w:r>
      <w:r/>
    </w:p>
    <w:p>
      <w:pPr>
        <w:pStyle w:val="1026"/>
        <w:numPr>
          <w:ilvl w:val="0"/>
          <w:numId w:val="80"/>
        </w:numPr>
        <w:ind w:left="0" w:firstLine="480"/>
        <w:tabs>
          <w:tab w:val="left" w:pos="108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施工组织设计的提交和修改</w:t>
      </w:r>
      <w:r>
        <w:rPr>
          <w:rFonts w:ascii="Times New Roman" w:hAnsi="Times New Roman" w:eastAsia="宋体" w:cs="Times New Roman"/>
          <w:b w:val="0"/>
          <w:color w:val="000000"/>
          <w:sz w:val="24"/>
        </w:rPr>
      </w:r>
      <w:r/>
    </w:p>
    <w:p>
      <w:pPr>
        <w:pStyle w:val="1026"/>
        <w:ind w:left="0" w:firstLine="480"/>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承包人提交详细施工组织设计的期限约定：</w:t>
      </w:r>
      <w:r>
        <w:rPr>
          <w:rFonts w:ascii="Times New Roman" w:hAnsi="Times New Roman" w:eastAsia="宋体" w:cs="Times New Roman"/>
          <w:color w:val="000000"/>
          <w:sz w:val="24"/>
          <w:u w:val="single"/>
        </w:rPr>
        <w:t xml:space="preserve">开工前7日。</w:t>
      </w:r>
      <w:r>
        <w:rPr>
          <w:rFonts w:ascii="Times New Roman" w:hAnsi="Times New Roman" w:eastAsia="宋体" w:cs="Times New Roman"/>
          <w:color w:val="000000"/>
          <w:sz w:val="24"/>
          <w:u w:val="single"/>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发包人和监理人在收到详细的施工组织设计后确认或提出修改意见的期限：</w:t>
      </w:r>
      <w:r>
        <w:rPr>
          <w:rFonts w:ascii="Times New Roman" w:hAnsi="Times New Roman" w:eastAsia="宋体" w:cs="Times New Roman"/>
          <w:color w:val="000000"/>
          <w:sz w:val="24"/>
          <w:u w:val="single"/>
        </w:rPr>
        <w:t xml:space="preserve">收到后5天内予以确认或提出修改意见</w:t>
      </w:r>
      <w:r>
        <w:rPr>
          <w:rFonts w:ascii="Times New Roman" w:hAnsi="Times New Roman" w:eastAsia="宋体" w:cs="Times New Roman"/>
          <w:b/>
          <w:color w:val="000000"/>
          <w:sz w:val="24"/>
        </w:rPr>
        <w:t xml:space="preserve">。</w:t>
      </w:r>
      <w:r>
        <w:rPr>
          <w:rFonts w:ascii="Times New Roman" w:hAnsi="Times New Roman" w:eastAsia="宋体" w:cs="Times New Roman"/>
          <w:color w:val="000000"/>
          <w:sz w:val="24"/>
        </w:rPr>
      </w:r>
      <w:r/>
    </w:p>
    <w:p>
      <w:pPr>
        <w:pStyle w:val="1007"/>
        <w:numPr>
          <w:ilvl w:val="0"/>
          <w:numId w:val="79"/>
        </w:numPr>
        <w:ind w:left="0" w:firstLine="482"/>
        <w:tabs>
          <w:tab w:val="left" w:pos="903" w:leader="none"/>
        </w:tabs>
        <w:rPr>
          <w:b/>
        </w:rPr>
      </w:pPr>
      <w:r/>
      <w:bookmarkStart w:id="288" w:name="_Toc312678005"/>
      <w:r/>
      <w:bookmarkStart w:id="289" w:name="_Toc304295541"/>
      <w:r/>
      <w:bookmarkStart w:id="290" w:name="_Toc300934966"/>
      <w:r/>
      <w:bookmarkStart w:id="291" w:name="_Toc303539123"/>
      <w:r/>
      <w:bookmarkStart w:id="292" w:name="_Toc297123514"/>
      <w:r/>
      <w:bookmarkStart w:id="293" w:name="_Toc312677479"/>
      <w:r/>
      <w:bookmarkStart w:id="294" w:name="_Toc297216173"/>
      <w:r>
        <w:t xml:space="preserve">施工进度计划</w:t>
      </w:r>
      <w:r>
        <w:rPr>
          <w:b/>
        </w:rPr>
      </w:r>
      <w:r/>
    </w:p>
    <w:p>
      <w:pPr>
        <w:pStyle w:val="1008"/>
        <w:ind w:left="0" w:firstLine="482"/>
      </w:pPr>
      <w:r>
        <w:t xml:space="preserve">7.2.2 施工进度计划的修订</w:t>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发包人和监理人在收到修订的施工进度计划后确认或提出修改意见的期限：</w:t>
      </w:r>
      <w:r>
        <w:rPr>
          <w:rFonts w:ascii="Times New Roman" w:hAnsi="Times New Roman" w:eastAsia="宋体" w:cs="Times New Roman"/>
          <w:color w:val="000000"/>
          <w:sz w:val="24"/>
          <w:u w:val="single"/>
        </w:rPr>
        <w:t xml:space="preserve">收到后5天内；</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承包人每周五下午5:00前提供下周计划和本周完成情况统计表（一式三份）交监理机构。</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施工月进度计划：第一次在开工前7日，以后在上月25日前提供；在每月25日前，将本月进度统计报表及纠偏措施与下月施工进度计划同时提供。</w:t>
      </w:r>
      <w:r>
        <w:rPr>
          <w:rFonts w:ascii="Times New Roman" w:hAnsi="Times New Roman" w:eastAsia="宋体" w:cs="Times New Roman"/>
          <w:color w:val="000000"/>
          <w:sz w:val="24"/>
          <w:u w:val="single"/>
        </w:rPr>
      </w:r>
      <w:r/>
    </w:p>
    <w:p>
      <w:pPr>
        <w:pStyle w:val="1007"/>
        <w:numPr>
          <w:ilvl w:val="0"/>
          <w:numId w:val="79"/>
        </w:numPr>
        <w:ind w:left="0" w:firstLine="482"/>
        <w:tabs>
          <w:tab w:val="left" w:pos="903" w:leader="none"/>
        </w:tabs>
        <w:rPr>
          <w:b/>
        </w:rPr>
      </w:pPr>
      <w:r>
        <w:t xml:space="preserve">开工</w:t>
      </w:r>
      <w:r>
        <w:rPr>
          <w:b/>
        </w:rPr>
      </w:r>
      <w:r/>
    </w:p>
    <w:p>
      <w:pPr>
        <w:pStyle w:val="1008"/>
        <w:numPr>
          <w:ilvl w:val="0"/>
          <w:numId w:val="81"/>
        </w:numPr>
        <w:ind w:left="0" w:firstLine="482"/>
        <w:tabs>
          <w:tab w:val="left" w:pos="1081" w:leader="none"/>
        </w:tabs>
        <w:rPr>
          <w:b/>
        </w:rPr>
      </w:pPr>
      <w:r>
        <w:t xml:space="preserve">开工准备</w:t>
      </w:r>
      <w:r>
        <w:rPr>
          <w:b/>
        </w:rPr>
      </w:r>
      <w:r/>
    </w:p>
    <w:p>
      <w:pPr>
        <w:pStyle w:val="1026"/>
        <w:ind w:left="0" w:firstLine="480"/>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关于承包人提交工程开工报审表的期限：</w:t>
      </w:r>
      <w:r>
        <w:rPr>
          <w:rFonts w:ascii="Times New Roman" w:hAnsi="Times New Roman" w:eastAsia="宋体" w:cs="Times New Roman"/>
          <w:color w:val="000000"/>
          <w:sz w:val="24"/>
          <w:u w:val="single"/>
        </w:rPr>
        <w:t xml:space="preserve">合同签订后、开工前</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u w:val="single"/>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关于发包人应完成的其他开工准备工作及期限：</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关于承包人应完成的其他开工准备工作及期限：</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8"/>
        <w:numPr>
          <w:ilvl w:val="0"/>
          <w:numId w:val="81"/>
        </w:numPr>
        <w:ind w:left="0" w:firstLine="482"/>
        <w:tabs>
          <w:tab w:val="left" w:pos="1081" w:leader="none"/>
        </w:tabs>
        <w:rPr>
          <w:rFonts w:hint="eastAsia" w:ascii="宋体" w:hAnsi="宋体" w:eastAsia="宋体" w:cs="宋体"/>
          <w:b/>
        </w:rPr>
      </w:pPr>
      <w:r>
        <w:t xml:space="preserve">开工通知</w:t>
      </w:r>
      <w:r>
        <w:rPr>
          <w:rFonts w:hint="eastAsia" w:ascii="宋体" w:hAnsi="宋体" w:eastAsia="宋体" w:cs="宋体"/>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因发包人原因造成监理人未能在计划开工日期之日起</w:t>
      </w:r>
      <w:r>
        <w:rPr>
          <w:rFonts w:ascii="Times New Roman" w:hAnsi="Times New Roman" w:eastAsia="宋体" w:cs="Times New Roman"/>
          <w:color w:val="000000"/>
          <w:sz w:val="24"/>
          <w:u w:val="single"/>
        </w:rPr>
        <w:t xml:space="preserve">90</w:t>
      </w:r>
      <w:r>
        <w:rPr>
          <w:rFonts w:ascii="Times New Roman" w:hAnsi="Times New Roman" w:eastAsia="宋体" w:cs="Times New Roman"/>
          <w:color w:val="000000"/>
          <w:sz w:val="24"/>
        </w:rPr>
        <w:t xml:space="preserve">天内发出开工通知的，承包人有权提出价格调整要求，或者解除合同。</w:t>
      </w:r>
      <w:bookmarkEnd w:id="288"/>
      <w:r/>
      <w:bookmarkEnd w:id="289"/>
      <w:r/>
      <w:bookmarkEnd w:id="290"/>
      <w:r/>
      <w:bookmarkEnd w:id="291"/>
      <w:r/>
      <w:bookmarkEnd w:id="292"/>
      <w:r/>
      <w:bookmarkEnd w:id="293"/>
      <w:r/>
      <w:bookmarkEnd w:id="294"/>
      <w:r>
        <w:rPr>
          <w:rFonts w:ascii="Times New Roman" w:hAnsi="Times New Roman" w:eastAsia="宋体" w:cs="Times New Roman"/>
          <w:color w:val="000000"/>
          <w:sz w:val="24"/>
        </w:rPr>
      </w:r>
      <w:r/>
    </w:p>
    <w:p>
      <w:pPr>
        <w:pStyle w:val="1007"/>
        <w:numPr>
          <w:ilvl w:val="0"/>
          <w:numId w:val="79"/>
        </w:numPr>
        <w:ind w:left="0" w:firstLine="482"/>
        <w:tabs>
          <w:tab w:val="left" w:pos="903" w:leader="none"/>
        </w:tabs>
        <w:rPr>
          <w:b/>
        </w:rPr>
      </w:pPr>
      <w:r>
        <w:t xml:space="preserve">测量放线</w:t>
      </w:r>
      <w:r>
        <w:rPr>
          <w:b/>
        </w:rPr>
      </w:r>
      <w:r/>
    </w:p>
    <w:p>
      <w:pPr>
        <w:pStyle w:val="1026"/>
        <w:ind w:left="0" w:firstLine="480"/>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7.4.1发包人通过监理人向承包人提供测量基准点、基准线和水准点及其书面资料的期限：</w:t>
      </w:r>
      <w:r>
        <w:rPr>
          <w:rFonts w:ascii="Times New Roman" w:hAnsi="Times New Roman" w:eastAsia="宋体" w:cs="Times New Roman"/>
          <w:color w:val="000000"/>
          <w:sz w:val="24"/>
          <w:u w:val="single"/>
        </w:rPr>
        <w:t xml:space="preserve">按通用条款。</w:t>
      </w:r>
      <w:r>
        <w:rPr>
          <w:rFonts w:ascii="Times New Roman" w:hAnsi="Times New Roman" w:eastAsia="宋体" w:cs="Times New Roman"/>
          <w:color w:val="000000"/>
          <w:sz w:val="24"/>
          <w:u w:val="single"/>
        </w:rPr>
      </w:r>
      <w:r/>
    </w:p>
    <w:p>
      <w:pPr>
        <w:pStyle w:val="1007"/>
        <w:numPr>
          <w:ilvl w:val="0"/>
          <w:numId w:val="79"/>
        </w:numPr>
        <w:ind w:left="0" w:firstLine="482"/>
        <w:tabs>
          <w:tab w:val="left" w:pos="903" w:leader="none"/>
        </w:tabs>
        <w:rPr>
          <w:b/>
        </w:rPr>
      </w:pPr>
      <w:r/>
      <w:bookmarkStart w:id="295" w:name="_Toc312677484"/>
      <w:r/>
      <w:bookmarkStart w:id="296" w:name="_Toc297216175"/>
      <w:r/>
      <w:bookmarkStart w:id="297" w:name="_Toc304295546"/>
      <w:r/>
      <w:bookmarkStart w:id="298" w:name="_Toc303539125"/>
      <w:r/>
      <w:bookmarkStart w:id="299" w:name="_Toc297123516"/>
      <w:r/>
      <w:bookmarkStart w:id="300" w:name="_Toc312678010"/>
      <w:r/>
      <w:bookmarkStart w:id="301" w:name="_Toc300934968"/>
      <w:r>
        <w:t xml:space="preserve">工期延误</w:t>
      </w:r>
      <w:bookmarkEnd w:id="295"/>
      <w:r/>
      <w:bookmarkEnd w:id="296"/>
      <w:r/>
      <w:bookmarkEnd w:id="297"/>
      <w:r/>
      <w:bookmarkEnd w:id="298"/>
      <w:r/>
      <w:bookmarkEnd w:id="299"/>
      <w:r/>
      <w:bookmarkEnd w:id="300"/>
      <w:r/>
      <w:bookmarkEnd w:id="301"/>
      <w:r>
        <w:rPr>
          <w:b/>
        </w:rPr>
      </w:r>
      <w:r/>
    </w:p>
    <w:p>
      <w:pPr>
        <w:pStyle w:val="1008"/>
        <w:numPr>
          <w:ilvl w:val="0"/>
          <w:numId w:val="82"/>
        </w:numPr>
        <w:ind w:left="0" w:firstLine="482"/>
        <w:tabs>
          <w:tab w:val="left" w:pos="1081" w:leader="none"/>
        </w:tabs>
        <w:rPr>
          <w:b/>
        </w:rPr>
      </w:pPr>
      <w:r>
        <w:t xml:space="preserve">因发包人原因导致工期延误</w:t>
      </w:r>
      <w:r>
        <w:rPr>
          <w:b/>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（7）因发包人原因导致工期延误的其他情形：</w:t>
      </w:r>
      <w:r>
        <w:rPr>
          <w:rFonts w:ascii="Times New Roman" w:hAnsi="Times New Roman" w:eastAsia="宋体" w:cs="Times New Roman"/>
          <w:color w:val="000000"/>
          <w:sz w:val="24"/>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rPr>
          <w:rFonts w:ascii="Times New Roman" w:hAnsi="Times New Roman" w:eastAsia="宋体" w:cs="Times New Roman"/>
          <w:color w:val="000000"/>
          <w:sz w:val="24"/>
          <w:u w:val="single"/>
        </w:rPr>
      </w:r>
      <w:r/>
    </w:p>
    <w:p>
      <w:pPr>
        <w:pStyle w:val="1008"/>
        <w:numPr>
          <w:ilvl w:val="0"/>
          <w:numId w:val="82"/>
        </w:numPr>
        <w:ind w:left="0" w:firstLine="482"/>
        <w:tabs>
          <w:tab w:val="left" w:pos="1081" w:leader="none"/>
        </w:tabs>
        <w:rPr>
          <w:b/>
        </w:rPr>
      </w:pPr>
      <w:r/>
      <w:bookmarkStart w:id="302" w:name="_Toc312678012"/>
      <w:r/>
      <w:bookmarkStart w:id="303" w:name="_Toc318581169"/>
      <w:r/>
      <w:bookmarkStart w:id="304" w:name="_Toc312677486"/>
      <w:r/>
      <w:bookmarkStart w:id="305" w:name="_Toc304295548"/>
      <w:r/>
      <w:bookmarkStart w:id="306" w:name="_Toc303539127"/>
      <w:r/>
      <w:bookmarkStart w:id="307" w:name="_Toc297216177"/>
      <w:r/>
      <w:bookmarkStart w:id="308" w:name="_Toc297123518"/>
      <w:r/>
      <w:bookmarkStart w:id="309" w:name="_Toc300934970"/>
      <w:r>
        <w:t xml:space="preserve">因承包人原因导致工期延误</w:t>
      </w:r>
      <w:bookmarkEnd w:id="302"/>
      <w:r/>
      <w:bookmarkEnd w:id="303"/>
      <w:r/>
      <w:bookmarkEnd w:id="304"/>
      <w:r>
        <w:rPr>
          <w:b/>
        </w:rPr>
      </w:r>
      <w:r/>
    </w:p>
    <w:p>
      <w:pPr>
        <w:pStyle w:val="1026"/>
        <w:ind w:left="0" w:firstLine="480"/>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因</w:t>
      </w:r>
      <w:bookmarkStart w:id="310" w:name="_Toc312678013"/>
      <w:r/>
      <w:bookmarkStart w:id="311" w:name="_Toc312677487"/>
      <w:r/>
      <w:bookmarkStart w:id="312" w:name="_Toc318581170"/>
      <w:r>
        <w:rPr>
          <w:rFonts w:ascii="Times New Roman" w:hAnsi="Times New Roman" w:eastAsia="宋体" w:cs="Times New Roman"/>
          <w:color w:val="000000"/>
          <w:sz w:val="24"/>
        </w:rPr>
        <w:t xml:space="preserve">承包人原因造成工期延误，逾期竣工违约金的计算方法为：</w:t>
      </w:r>
      <w:bookmarkEnd w:id="305"/>
      <w:r/>
      <w:bookmarkEnd w:id="306"/>
      <w:r/>
      <w:bookmarkEnd w:id="307"/>
      <w:r/>
      <w:bookmarkEnd w:id="308"/>
      <w:r/>
      <w:bookmarkEnd w:id="309"/>
      <w:r/>
      <w:bookmarkEnd w:id="310"/>
      <w:r/>
      <w:bookmarkEnd w:id="311"/>
      <w:r/>
      <w:bookmarkEnd w:id="312"/>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因承包人原因延误总工期每延迟一天罚款10000元，超过15天（含15天）工期履约保证金不退还，并处以工程结算价为基数每天千分之五罚款，其他按通用条款中约定的内容执行。</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因承包人原因未及时开工，按照约定的开工日期，每拖延一天罚款10000元。</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未经发包人书面批准，承包人超过本合同约定的开工日期10天仍未开工或连续停工5天以上的，发包人有权单方解除本合同，对已完成的工程量不支付工程款。</w:t>
      </w:r>
      <w:r>
        <w:rPr>
          <w:rFonts w:ascii="Times New Roman" w:hAnsi="Times New Roman" w:eastAsia="宋体" w:cs="Times New Roman"/>
          <w:color w:val="000000"/>
          <w:sz w:val="24"/>
          <w:u w:val="single"/>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因承包人原因造成工期延误，逾</w:t>
      </w:r>
      <w:bookmarkStart w:id="313" w:name="_Toc318581171"/>
      <w:r/>
      <w:bookmarkStart w:id="314" w:name="_Toc312678014"/>
      <w:r>
        <w:rPr>
          <w:rFonts w:ascii="Times New Roman" w:hAnsi="Times New Roman" w:eastAsia="宋体" w:cs="Times New Roman"/>
          <w:color w:val="000000"/>
          <w:sz w:val="24"/>
        </w:rPr>
        <w:t xml:space="preserve">期竣工违约金的上限：</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bookmarkEnd w:id="313"/>
      <w:r/>
      <w:bookmarkEnd w:id="314"/>
      <w:r>
        <w:rPr>
          <w:rFonts w:ascii="Times New Roman" w:hAnsi="Times New Roman" w:eastAsia="宋体" w:cs="Times New Roman"/>
          <w:color w:val="000000"/>
          <w:sz w:val="24"/>
        </w:rPr>
      </w:r>
      <w:r/>
    </w:p>
    <w:p>
      <w:pPr>
        <w:pStyle w:val="1007"/>
        <w:numPr>
          <w:ilvl w:val="0"/>
          <w:numId w:val="79"/>
        </w:numPr>
        <w:ind w:left="0" w:firstLine="482"/>
        <w:tabs>
          <w:tab w:val="left" w:pos="903" w:leader="none"/>
        </w:tabs>
        <w:rPr>
          <w:b/>
        </w:rPr>
      </w:pPr>
      <w:r/>
      <w:bookmarkStart w:id="315" w:name="_Toc312678015"/>
      <w:r/>
      <w:bookmarkStart w:id="316" w:name="_Toc303539128"/>
      <w:r/>
      <w:bookmarkStart w:id="317" w:name="_Toc304295549"/>
      <w:r/>
      <w:bookmarkStart w:id="318" w:name="_Toc300934971"/>
      <w:r/>
      <w:bookmarkStart w:id="319" w:name="_Toc297216178"/>
      <w:r/>
      <w:bookmarkStart w:id="320" w:name="_Toc297123519"/>
      <w:r>
        <w:t xml:space="preserve">不</w:t>
      </w:r>
      <w:bookmarkEnd w:id="315"/>
      <w:r/>
      <w:bookmarkEnd w:id="316"/>
      <w:r/>
      <w:bookmarkEnd w:id="317"/>
      <w:r/>
      <w:bookmarkEnd w:id="318"/>
      <w:r/>
      <w:bookmarkEnd w:id="319"/>
      <w:r/>
      <w:bookmarkEnd w:id="320"/>
      <w:r>
        <w:t xml:space="preserve">利物质条件</w:t>
      </w:r>
      <w:r>
        <w:rPr>
          <w:b/>
        </w:rPr>
      </w:r>
      <w:r/>
    </w:p>
    <w:p>
      <w:pPr>
        <w:pStyle w:val="1026"/>
        <w:ind w:left="0" w:firstLine="480"/>
        <w:rPr>
          <w:rFonts w:ascii="Times New Roman" w:hAnsi="Times New Roman" w:eastAsia="宋体" w:cs="Times New Roman"/>
          <w:color w:val="000000"/>
          <w:sz w:val="24"/>
        </w:rPr>
      </w:pPr>
      <w:r/>
      <w:bookmarkStart w:id="321" w:name="_Toc300934972"/>
      <w:r/>
      <w:bookmarkStart w:id="322" w:name="_Toc312678016"/>
      <w:r/>
      <w:bookmarkStart w:id="323" w:name="_Toc297123520"/>
      <w:r/>
      <w:bookmarkStart w:id="324" w:name="_Toc303539129"/>
      <w:r/>
      <w:bookmarkStart w:id="325" w:name="_Toc318581172"/>
      <w:r/>
      <w:bookmarkStart w:id="326" w:name="_Toc304295550"/>
      <w:r/>
      <w:bookmarkStart w:id="327" w:name="_Toc297216179"/>
      <w:r>
        <w:rPr>
          <w:rFonts w:ascii="Times New Roman" w:hAnsi="Times New Roman" w:eastAsia="宋体" w:cs="Times New Roman"/>
          <w:color w:val="000000"/>
          <w:sz w:val="24"/>
        </w:rPr>
        <w:t xml:space="preserve">不利物质条件的其他情形和有关约定：</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bookmarkEnd w:id="321"/>
      <w:r/>
      <w:bookmarkEnd w:id="322"/>
      <w:r/>
      <w:bookmarkEnd w:id="323"/>
      <w:r/>
      <w:bookmarkEnd w:id="324"/>
      <w:r/>
      <w:bookmarkEnd w:id="325"/>
      <w:r/>
      <w:bookmarkEnd w:id="326"/>
      <w:r/>
      <w:bookmarkEnd w:id="327"/>
      <w:r>
        <w:rPr>
          <w:rFonts w:ascii="Times New Roman" w:hAnsi="Times New Roman" w:eastAsia="宋体" w:cs="Times New Roman"/>
          <w:color w:val="000000"/>
          <w:sz w:val="24"/>
        </w:rPr>
      </w:r>
      <w:r/>
    </w:p>
    <w:p>
      <w:pPr>
        <w:pStyle w:val="1007"/>
        <w:numPr>
          <w:ilvl w:val="0"/>
          <w:numId w:val="79"/>
        </w:numPr>
        <w:ind w:left="0" w:firstLine="482"/>
        <w:tabs>
          <w:tab w:val="left" w:pos="903" w:leader="none"/>
        </w:tabs>
        <w:rPr>
          <w:rFonts w:hint="eastAsia" w:ascii="宋体" w:hAnsi="宋体" w:eastAsia="宋体" w:cs="宋体"/>
          <w:b/>
        </w:rPr>
      </w:pPr>
      <w:r/>
      <w:bookmarkStart w:id="328" w:name="_Toc300934973"/>
      <w:r/>
      <w:bookmarkStart w:id="329" w:name="_Toc297123521"/>
      <w:r/>
      <w:bookmarkStart w:id="330" w:name="_Toc312678017"/>
      <w:r/>
      <w:bookmarkStart w:id="331" w:name="_Toc297216180"/>
      <w:r/>
      <w:bookmarkStart w:id="332" w:name="_Toc304295551"/>
      <w:r/>
      <w:bookmarkStart w:id="333" w:name="_Toc303539130"/>
      <w:r>
        <w:t xml:space="preserve">异常恶劣的气候条件</w:t>
      </w:r>
      <w:bookmarkEnd w:id="328"/>
      <w:r/>
      <w:bookmarkEnd w:id="329"/>
      <w:r/>
      <w:bookmarkEnd w:id="330"/>
      <w:r/>
      <w:bookmarkEnd w:id="331"/>
      <w:r/>
      <w:bookmarkEnd w:id="332"/>
      <w:r/>
      <w:bookmarkEnd w:id="333"/>
      <w:r>
        <w:rPr>
          <w:rFonts w:hint="eastAsia" w:ascii="宋体" w:hAnsi="宋体" w:eastAsia="宋体" w:cs="宋体"/>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发包人和承包人同意以下情形视为异常恶劣的气候条件：</w:t>
      </w:r>
      <w:r>
        <w:rPr>
          <w:rFonts w:ascii="Times New Roman" w:hAnsi="Times New Roman" w:eastAsia="宋体" w:cs="Times New Roman"/>
          <w:color w:val="000000"/>
          <w:sz w:val="24"/>
        </w:rPr>
      </w:r>
      <w:r/>
    </w:p>
    <w:p>
      <w:pPr>
        <w:pStyle w:val="1026"/>
        <w:numPr>
          <w:ilvl w:val="0"/>
          <w:numId w:val="83"/>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u w:val="single"/>
        </w:rPr>
        <w:t xml:space="preserve">由市级以上有关部门正式发布和认定的自然灾害</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rPr>
      </w:r>
      <w:r/>
    </w:p>
    <w:p>
      <w:pPr>
        <w:pStyle w:val="1007"/>
        <w:numPr>
          <w:ilvl w:val="0"/>
          <w:numId w:val="79"/>
        </w:numPr>
        <w:ind w:left="0" w:firstLine="482"/>
        <w:tabs>
          <w:tab w:val="left" w:pos="903" w:leader="none"/>
        </w:tabs>
        <w:rPr>
          <w:b/>
        </w:rPr>
      </w:pPr>
      <w:r/>
      <w:bookmarkStart w:id="334" w:name="_Toc21388"/>
      <w:r>
        <w:t xml:space="preserve">提前竣工的奖励</w:t>
      </w:r>
      <w:bookmarkEnd w:id="334"/>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7.8.1提前竣工的奖励：</w:t>
      </w:r>
      <w:r>
        <w:rPr>
          <w:rFonts w:ascii="Times New Roman" w:hAnsi="Times New Roman" w:eastAsia="宋体" w:cs="Times New Roman"/>
          <w:color w:val="000000"/>
          <w:sz w:val="24"/>
          <w:u w:val="single"/>
        </w:rPr>
        <w:t xml:space="preserve">      无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6"/>
        <w:numPr>
          <w:ilvl w:val="0"/>
          <w:numId w:val="58"/>
        </w:numPr>
        <w:ind w:left="0" w:firstLine="482"/>
        <w:tabs>
          <w:tab w:val="left" w:pos="842" w:leader="none"/>
        </w:tabs>
        <w:rPr>
          <w:b/>
        </w:rPr>
      </w:pPr>
      <w:r/>
      <w:bookmarkStart w:id="335" w:name="_Toc351203640"/>
      <w:r>
        <w:t xml:space="preserve">材料与设备</w:t>
      </w:r>
      <w:bookmarkEnd w:id="335"/>
      <w:r>
        <w:rPr>
          <w:b/>
        </w:rPr>
      </w:r>
      <w:r/>
    </w:p>
    <w:p>
      <w:pPr>
        <w:pStyle w:val="1007"/>
        <w:ind w:left="0" w:firstLine="482"/>
      </w:pPr>
      <w:r>
        <w:t xml:space="preserve">8.2承包人采购材料与工程设备</w:t>
      </w:r>
      <w:r/>
    </w:p>
    <w:p>
      <w:pPr>
        <w:pStyle w:val="1026"/>
        <w:numPr>
          <w:ilvl w:val="0"/>
          <w:numId w:val="84"/>
        </w:numPr>
        <w:ind w:left="0" w:firstLine="480"/>
        <w:tabs>
          <w:tab w:val="left" w:pos="1080" w:leader="none"/>
        </w:tabs>
        <w:rPr>
          <w:rStyle w:val="1056"/>
          <w:rFonts w:ascii="Times New Roman" w:hAnsi="Times New Roman" w:eastAsia="宋体" w:cs="Times New Roman"/>
          <w:b w:val="0"/>
          <w:color w:val="000000"/>
          <w:sz w:val="24"/>
        </w:rPr>
      </w:pPr>
      <w:r>
        <w:rPr>
          <w:rStyle w:val="1056"/>
          <w:rFonts w:ascii="Times New Roman" w:hAnsi="Times New Roman" w:eastAsia="宋体" w:cs="Times New Roman"/>
          <w:color w:val="000000"/>
          <w:sz w:val="24"/>
        </w:rPr>
        <w:t xml:space="preserve">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rPr>
          <w:rStyle w:val="1056"/>
          <w:rFonts w:ascii="Times New Roman" w:hAnsi="Times New Roman" w:eastAsia="宋体" w:cs="Times New Roman"/>
          <w:b w:val="0"/>
          <w:color w:val="000000"/>
          <w:sz w:val="24"/>
        </w:rPr>
      </w:r>
      <w:r/>
    </w:p>
    <w:p>
      <w:pPr>
        <w:pStyle w:val="1026"/>
        <w:numPr>
          <w:ilvl w:val="0"/>
          <w:numId w:val="84"/>
        </w:numPr>
        <w:ind w:left="0" w:firstLine="480"/>
        <w:tabs>
          <w:tab w:val="left" w:pos="1080" w:leader="none"/>
        </w:tabs>
        <w:rPr>
          <w:rStyle w:val="1056"/>
          <w:rFonts w:hint="eastAsia" w:ascii="宋体" w:hAnsi="宋体" w:eastAsia="宋体" w:cs="宋体"/>
          <w:b w:val="0"/>
          <w:color w:val="000000"/>
          <w:sz w:val="24"/>
        </w:rPr>
      </w:pPr>
      <w:r>
        <w:rPr>
          <w:rStyle w:val="1056"/>
          <w:rFonts w:ascii="Times New Roman" w:hAnsi="Times New Roman" w:eastAsia="宋体" w:cs="Times New Roman"/>
          <w:color w:val="000000"/>
          <w:sz w:val="24"/>
        </w:rPr>
        <w:t xml:space="preserve">工程师或其代表可能要求在承包人或其他代表在场的情况下从每一材料中抽样用作检验，经工程师决定，这样抽取的样品应视为一批材料的代表。</w:t>
      </w:r>
      <w:r>
        <w:rPr>
          <w:rStyle w:val="1056"/>
          <w:rFonts w:hint="eastAsia" w:ascii="宋体" w:hAnsi="宋体" w:eastAsia="宋体" w:cs="宋体"/>
          <w:b w:val="0"/>
          <w:color w:val="000000"/>
          <w:sz w:val="24"/>
        </w:rPr>
      </w:r>
      <w:r/>
    </w:p>
    <w:p>
      <w:pPr>
        <w:pStyle w:val="1026"/>
        <w:numPr>
          <w:ilvl w:val="0"/>
          <w:numId w:val="84"/>
        </w:numPr>
        <w:ind w:left="0" w:firstLine="480"/>
        <w:tabs>
          <w:tab w:val="left" w:pos="1080" w:leader="none"/>
        </w:tabs>
        <w:rPr>
          <w:rStyle w:val="1056"/>
          <w:rFonts w:hint="eastAsia" w:ascii="宋体" w:hAnsi="宋体" w:eastAsia="宋体" w:cs="宋体"/>
          <w:b w:val="0"/>
          <w:color w:val="000000"/>
          <w:sz w:val="24"/>
        </w:rPr>
      </w:pPr>
      <w:r>
        <w:rPr>
          <w:rStyle w:val="1056"/>
          <w:rFonts w:ascii="Times New Roman" w:hAnsi="Times New Roman" w:eastAsia="宋体" w:cs="Times New Roman"/>
          <w:color w:val="000000"/>
          <w:sz w:val="24"/>
        </w:rPr>
        <w:t xml:space="preserve">如果任何一批材料中的样品不符合合同要求的，材料全部均予退货，无论是否已经采用与否，其费用全部由承包人支付，且不允许由于更换而延长工期。</w:t>
      </w:r>
      <w:r>
        <w:rPr>
          <w:rStyle w:val="1056"/>
          <w:rFonts w:hint="eastAsia" w:ascii="宋体" w:hAnsi="宋体" w:eastAsia="宋体" w:cs="宋体"/>
          <w:b w:val="0"/>
          <w:color w:val="000000"/>
          <w:sz w:val="24"/>
        </w:rPr>
      </w:r>
      <w:r/>
    </w:p>
    <w:p>
      <w:pPr>
        <w:pStyle w:val="1026"/>
        <w:numPr>
          <w:ilvl w:val="0"/>
          <w:numId w:val="84"/>
        </w:numPr>
        <w:ind w:left="0" w:firstLine="480"/>
        <w:tabs>
          <w:tab w:val="left" w:pos="1080" w:leader="none"/>
        </w:tabs>
        <w:rPr>
          <w:rStyle w:val="1056"/>
          <w:rFonts w:hint="eastAsia" w:ascii="宋体" w:hAnsi="宋体" w:eastAsia="宋体" w:cs="宋体"/>
          <w:b w:val="0"/>
          <w:color w:val="000000"/>
          <w:sz w:val="24"/>
        </w:rPr>
      </w:pPr>
      <w:r>
        <w:rPr>
          <w:rStyle w:val="1056"/>
          <w:rFonts w:ascii="Times New Roman" w:hAnsi="Times New Roman" w:eastAsia="宋体" w:cs="Times New Roman"/>
          <w:color w:val="000000"/>
          <w:sz w:val="24"/>
        </w:rPr>
        <w:t xml:space="preserve">对于任何拒绝验收的材料，如果是由于发包人或构成发包人对承包人已付款的一部分，则发包人将把此款扣回。但如果工程师决定保留那些已安装好的材料，发包人将按双方协商的结果扣除部分款项，但并不免除承包人在合同范围内的任何责任。</w:t>
      </w:r>
      <w:r>
        <w:rPr>
          <w:rStyle w:val="1056"/>
          <w:rFonts w:hint="eastAsia" w:ascii="宋体" w:hAnsi="宋体" w:eastAsia="宋体" w:cs="宋体"/>
          <w:b w:val="0"/>
          <w:color w:val="000000"/>
          <w:sz w:val="24"/>
        </w:rPr>
      </w:r>
      <w:r/>
    </w:p>
    <w:p>
      <w:pPr>
        <w:pStyle w:val="1026"/>
        <w:numPr>
          <w:ilvl w:val="0"/>
          <w:numId w:val="84"/>
        </w:numPr>
        <w:ind w:left="0" w:firstLine="480"/>
        <w:tabs>
          <w:tab w:val="left" w:pos="1080" w:leader="none"/>
        </w:tabs>
        <w:rPr>
          <w:rStyle w:val="1056"/>
          <w:rFonts w:hint="eastAsia" w:ascii="宋体" w:hAnsi="宋体" w:eastAsia="宋体" w:cs="宋体"/>
          <w:b w:val="0"/>
          <w:color w:val="000000"/>
          <w:sz w:val="24"/>
        </w:rPr>
      </w:pPr>
      <w:r>
        <w:rPr>
          <w:rStyle w:val="1056"/>
          <w:rFonts w:ascii="Times New Roman" w:hAnsi="Times New Roman" w:eastAsia="宋体" w:cs="Times New Roman"/>
          <w:color w:val="000000"/>
          <w:sz w:val="24"/>
        </w:rPr>
        <w:t xml:space="preserve">运抵到现场的所有材料，无论在施工进度款中是否已付款，未经总监的书面批准，不得从现场搬移出去。</w:t>
      </w:r>
      <w:r>
        <w:rPr>
          <w:rStyle w:val="1056"/>
          <w:rFonts w:hint="eastAsia" w:ascii="宋体" w:hAnsi="宋体" w:eastAsia="宋体" w:cs="宋体"/>
          <w:b w:val="0"/>
          <w:color w:val="000000"/>
          <w:sz w:val="24"/>
        </w:rPr>
      </w:r>
      <w:r/>
    </w:p>
    <w:p>
      <w:pPr>
        <w:pStyle w:val="1026"/>
        <w:numPr>
          <w:ilvl w:val="0"/>
          <w:numId w:val="84"/>
        </w:numPr>
        <w:ind w:left="0" w:firstLine="480"/>
        <w:tabs>
          <w:tab w:val="left" w:pos="1080" w:leader="none"/>
        </w:tabs>
        <w:rPr>
          <w:rStyle w:val="1056"/>
          <w:rFonts w:ascii="Times New Roman" w:hAnsi="Times New Roman" w:eastAsia="宋体" w:cs="Times New Roman"/>
          <w:b w:val="0"/>
          <w:color w:val="000000"/>
          <w:sz w:val="24"/>
        </w:rPr>
      </w:pPr>
      <w:r>
        <w:rPr>
          <w:rStyle w:val="1056"/>
          <w:rFonts w:ascii="Times New Roman" w:hAnsi="Times New Roman" w:eastAsia="宋体" w:cs="Times New Roman"/>
          <w:color w:val="000000"/>
          <w:sz w:val="24"/>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Style w:val="1056"/>
          <w:rFonts w:ascii="Times New Roman" w:hAnsi="Times New Roman" w:eastAsia="宋体" w:cs="Times New Roman"/>
          <w:b w:val="0"/>
          <w:color w:val="000000"/>
          <w:sz w:val="24"/>
        </w:rPr>
      </w:r>
      <w:r/>
    </w:p>
    <w:p>
      <w:pPr>
        <w:pStyle w:val="1026"/>
        <w:numPr>
          <w:ilvl w:val="0"/>
          <w:numId w:val="84"/>
        </w:numPr>
        <w:ind w:left="0" w:firstLine="480"/>
        <w:tabs>
          <w:tab w:val="left" w:pos="1080" w:leader="none"/>
        </w:tabs>
        <w:rPr>
          <w:rFonts w:ascii="Times New Roman" w:hAnsi="Times New Roman" w:eastAsia="宋体" w:cs="Times New Roman"/>
          <w:b w:val="0"/>
          <w:color w:val="000000"/>
          <w:sz w:val="24"/>
        </w:rPr>
      </w:pPr>
      <w:r>
        <w:rPr>
          <w:rStyle w:val="1056"/>
          <w:rFonts w:ascii="Times New Roman" w:hAnsi="Times New Roman" w:eastAsia="宋体" w:cs="Times New Roman"/>
          <w:color w:val="000000"/>
          <w:sz w:val="24"/>
        </w:rPr>
        <w:t xml:space="preserve">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检验或试验费用均由承包人承担。</w:t>
      </w:r>
      <w:bookmarkEnd w:id="266"/>
      <w:r/>
      <w:bookmarkEnd w:id="267"/>
      <w:r/>
      <w:bookmarkEnd w:id="268"/>
      <w:r/>
      <w:bookmarkEnd w:id="269"/>
      <w:r/>
      <w:bookmarkEnd w:id="270"/>
      <w:r/>
      <w:bookmarkEnd w:id="271"/>
      <w:r/>
      <w:bookmarkEnd w:id="272"/>
      <w:r/>
      <w:bookmarkEnd w:id="273"/>
      <w:r/>
      <w:bookmarkEnd w:id="274"/>
      <w:r/>
      <w:bookmarkEnd w:id="276"/>
      <w:r>
        <w:rPr>
          <w:rFonts w:ascii="Times New Roman" w:hAnsi="Times New Roman" w:eastAsia="宋体" w:cs="Times New Roman"/>
          <w:b w:val="0"/>
          <w:color w:val="000000"/>
          <w:sz w:val="24"/>
        </w:rPr>
      </w:r>
      <w:r/>
    </w:p>
    <w:p>
      <w:pPr>
        <w:pStyle w:val="1007"/>
        <w:ind w:left="0" w:firstLine="482"/>
      </w:pPr>
      <w:r>
        <w:t xml:space="preserve">8</w:t>
      </w:r>
      <w:bookmarkStart w:id="336" w:name="_Toc296347166"/>
      <w:r/>
      <w:bookmarkStart w:id="337" w:name="_Toc280868654"/>
      <w:r/>
      <w:bookmarkStart w:id="338" w:name="_Toc312678019"/>
      <w:r/>
      <w:bookmarkStart w:id="339" w:name="_Toc296944506"/>
      <w:r/>
      <w:bookmarkStart w:id="340" w:name="_Toc296346668"/>
      <w:r/>
      <w:bookmarkStart w:id="341" w:name="_Toc297123527"/>
      <w:r/>
      <w:bookmarkStart w:id="342" w:name="_Toc292559877"/>
      <w:r/>
      <w:bookmarkStart w:id="343" w:name="_Toc304295556"/>
      <w:r/>
      <w:bookmarkStart w:id="344" w:name="_Toc296890995"/>
      <w:r/>
      <w:bookmarkStart w:id="345" w:name="_Toc292559372"/>
      <w:r/>
      <w:bookmarkStart w:id="346" w:name="_Toc300934979"/>
      <w:r/>
      <w:bookmarkStart w:id="347" w:name="_Toc296891207"/>
      <w:r/>
      <w:bookmarkStart w:id="348" w:name="_Toc297216186"/>
      <w:r/>
      <w:bookmarkStart w:id="349" w:name="_Toc297120467"/>
      <w:r/>
      <w:bookmarkStart w:id="350" w:name="_Toc303539136"/>
      <w:r/>
      <w:bookmarkStart w:id="351" w:name="_Toc267251424"/>
      <w:r/>
      <w:bookmarkStart w:id="352" w:name="_Toc280868656"/>
      <w:r/>
      <w:bookmarkStart w:id="353" w:name="_Toc280868655"/>
      <w:r/>
      <w:bookmarkStart w:id="354" w:name="_Toc297048353"/>
      <w:r/>
      <w:bookmarkStart w:id="355" w:name="_Toc312677493"/>
      <w:r/>
      <w:bookmarkStart w:id="356" w:name="_Toc296503167"/>
      <w:r>
        <w:t xml:space="preserve">.4材料与工程设备的保管与使用</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4"/>
      <w:r/>
      <w:bookmarkEnd w:id="355"/>
      <w:r/>
      <w:bookmarkEnd w:id="356"/>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8</w:t>
      </w:r>
      <w:bookmarkStart w:id="357" w:name="_Toc304295557"/>
      <w:r/>
      <w:bookmarkStart w:id="358" w:name="_Toc297216187"/>
      <w:r/>
      <w:bookmarkStart w:id="359" w:name="_Toc300934980"/>
      <w:r/>
      <w:bookmarkStart w:id="360" w:name="_Toc312677494"/>
      <w:r/>
      <w:bookmarkStart w:id="361" w:name="_Toc312678020"/>
      <w:r/>
      <w:bookmarkStart w:id="362" w:name="_Toc297120468"/>
      <w:r/>
      <w:bookmarkStart w:id="363" w:name="_Toc296891208"/>
      <w:r/>
      <w:bookmarkStart w:id="364" w:name="_Toc296346669"/>
      <w:r/>
      <w:bookmarkStart w:id="365" w:name="_Toc296347167"/>
      <w:r/>
      <w:bookmarkStart w:id="366" w:name="_Toc318581173"/>
      <w:r/>
      <w:bookmarkStart w:id="367" w:name="_Toc296503168"/>
      <w:r/>
      <w:bookmarkStart w:id="368" w:name="_Toc303539137"/>
      <w:r/>
      <w:bookmarkStart w:id="369" w:name="_Toc292559373"/>
      <w:r/>
      <w:bookmarkStart w:id="370" w:name="_Toc292559878"/>
      <w:r/>
      <w:bookmarkStart w:id="371" w:name="_Toc296890996"/>
      <w:r/>
      <w:bookmarkStart w:id="372" w:name="_Toc296944507"/>
      <w:r/>
      <w:bookmarkStart w:id="373" w:name="_Toc297123528"/>
      <w:r/>
      <w:bookmarkStart w:id="374" w:name="_Toc297048354"/>
      <w:r>
        <w:rPr>
          <w:rFonts w:ascii="Times New Roman" w:hAnsi="Times New Roman" w:eastAsia="宋体" w:cs="Times New Roman"/>
          <w:color w:val="000000"/>
          <w:sz w:val="24"/>
        </w:rPr>
        <w:t xml:space="preserve">.4.1发包人供应的材料设备的保管费用的承担：</w:t>
      </w:r>
      <w:bookmarkEnd w:id="369"/>
      <w:r/>
      <w:bookmarkEnd w:id="370"/>
      <w:r>
        <w:rPr>
          <w:rFonts w:ascii="Times New Roman" w:hAnsi="Times New Roman" w:eastAsia="宋体" w:cs="Times New Roman"/>
          <w:color w:val="000000"/>
          <w:sz w:val="24"/>
          <w:u w:val="single"/>
        </w:rPr>
        <w:t xml:space="preserve">由承包人承担</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7"/>
        <w:ind w:left="0" w:firstLine="482"/>
      </w:pPr>
      <w:r>
        <w:t xml:space="preserve">8.6 样品</w:t>
      </w:r>
      <w:r/>
    </w:p>
    <w:p>
      <w:pPr>
        <w:pStyle w:val="1008"/>
        <w:ind w:left="0" w:firstLine="482"/>
      </w:pPr>
      <w:r>
        <w:t xml:space="preserve">8.6.1样品的报送与封存</w:t>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需要承包人报送样品的材料或工程设备，样品的种类、名称、规格、数量要求：</w:t>
      </w:r>
      <w:r>
        <w:rPr>
          <w:rFonts w:ascii="Times New Roman" w:hAnsi="Times New Roman" w:eastAsia="宋体" w:cs="Times New Roman"/>
          <w:color w:val="000000"/>
          <w:sz w:val="24"/>
          <w:u w:val="single"/>
        </w:rPr>
        <w:t xml:space="preserve">按管理部门要求和发包人需求确定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numPr>
          <w:ilvl w:val="0"/>
          <w:numId w:val="85"/>
        </w:numPr>
        <w:ind w:left="0" w:firstLine="480"/>
        <w:tabs>
          <w:tab w:val="left" w:pos="1440" w:leader="none"/>
        </w:tabs>
        <w:rPr>
          <w:rStyle w:val="1056"/>
          <w:rFonts w:hint="eastAsia" w:ascii="宋体" w:hAnsi="宋体" w:eastAsia="宋体" w:cs="宋体"/>
          <w:b w:val="0"/>
          <w:color w:val="000000"/>
          <w:sz w:val="24"/>
        </w:rPr>
      </w:pPr>
      <w:r>
        <w:rPr>
          <w:rStyle w:val="1056"/>
          <w:rFonts w:ascii="Times New Roman" w:hAnsi="Times New Roman" w:eastAsia="宋体" w:cs="Times New Roman"/>
          <w:color w:val="000000"/>
          <w:sz w:val="24"/>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Style w:val="1056"/>
          <w:rFonts w:hint="eastAsia" w:ascii="宋体" w:hAnsi="宋体" w:eastAsia="宋体" w:cs="宋体"/>
          <w:b w:val="0"/>
          <w:color w:val="000000"/>
          <w:sz w:val="24"/>
        </w:rPr>
      </w:r>
      <w:r/>
    </w:p>
    <w:p>
      <w:pPr>
        <w:pStyle w:val="1026"/>
        <w:numPr>
          <w:ilvl w:val="0"/>
          <w:numId w:val="85"/>
        </w:numPr>
        <w:ind w:left="0" w:firstLine="480"/>
        <w:tabs>
          <w:tab w:val="left" w:pos="1440" w:leader="none"/>
        </w:tabs>
        <w:rPr>
          <w:rFonts w:ascii="Times New Roman" w:hAnsi="Times New Roman" w:eastAsia="宋体" w:cs="Times New Roman"/>
          <w:b w:val="0"/>
          <w:color w:val="000000"/>
          <w:sz w:val="24"/>
        </w:rPr>
      </w:pPr>
      <w:r>
        <w:rPr>
          <w:rStyle w:val="1056"/>
          <w:rFonts w:ascii="Times New Roman" w:hAnsi="Times New Roman" w:eastAsia="宋体" w:cs="Times New Roman"/>
          <w:color w:val="000000"/>
          <w:sz w:val="24"/>
        </w:rPr>
        <w:t xml:space="preserve">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检验或试验费用均由承包人承担。</w:t>
      </w:r>
      <w:r>
        <w:rPr>
          <w:rFonts w:ascii="Times New Roman" w:hAnsi="Times New Roman" w:eastAsia="宋体" w:cs="Times New Roman"/>
          <w:b w:val="0"/>
          <w:color w:val="000000"/>
          <w:sz w:val="24"/>
        </w:rPr>
      </w:r>
      <w:r/>
    </w:p>
    <w:p>
      <w:pPr>
        <w:pStyle w:val="1007"/>
        <w:ind w:left="0" w:firstLine="482"/>
      </w:pPr>
      <w:r>
        <w:t xml:space="preserve">8.8 施工设备和临时设施</w:t>
      </w:r>
      <w:r/>
    </w:p>
    <w:p>
      <w:pPr>
        <w:pStyle w:val="1008"/>
        <w:ind w:left="0" w:firstLine="482"/>
      </w:pPr>
      <w:r>
        <w:t xml:space="preserve">8.8.1 承包人提供的施工设备和临时设施</w:t>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关于修建临时设施费用承担的约定：</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71"/>
      <w:r/>
      <w:bookmarkEnd w:id="372"/>
      <w:r/>
      <w:bookmarkEnd w:id="373"/>
      <w:r/>
      <w:bookmarkEnd w:id="374"/>
      <w:r/>
      <w:bookmarkStart w:id="375" w:name="_Toc351203641"/>
      <w:r>
        <w:rPr>
          <w:rFonts w:ascii="Times New Roman" w:hAnsi="Times New Roman" w:eastAsia="宋体" w:cs="Times New Roman"/>
          <w:color w:val="000000"/>
          <w:sz w:val="24"/>
          <w:u w:val="single"/>
        </w:rPr>
        <w:t xml:space="preserve">由承包人承担</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6"/>
        <w:numPr>
          <w:ilvl w:val="0"/>
          <w:numId w:val="58"/>
        </w:numPr>
        <w:ind w:left="0" w:firstLine="482"/>
        <w:tabs>
          <w:tab w:val="left" w:pos="842" w:leader="none"/>
        </w:tabs>
        <w:rPr>
          <w:b/>
        </w:rPr>
      </w:pPr>
      <w:r/>
      <w:bookmarkEnd w:id="351"/>
      <w:r/>
      <w:bookmarkEnd w:id="352"/>
      <w:r/>
      <w:bookmarkEnd w:id="353"/>
      <w:r/>
      <w:bookmarkStart w:id="376" w:name="_Toc312677495"/>
      <w:r/>
      <w:bookmarkStart w:id="377" w:name="_Toc297123533"/>
      <w:r/>
      <w:bookmarkStart w:id="378" w:name="_Toc297216192"/>
      <w:r/>
      <w:bookmarkStart w:id="379" w:name="_Toc303539139"/>
      <w:r/>
      <w:bookmarkStart w:id="380" w:name="_Toc304295559"/>
      <w:r/>
      <w:bookmarkStart w:id="381" w:name="_Toc296891213"/>
      <w:r/>
      <w:bookmarkStart w:id="382" w:name="_Toc297048359"/>
      <w:r/>
      <w:bookmarkStart w:id="383" w:name="_Toc296891001"/>
      <w:r/>
      <w:bookmarkStart w:id="384" w:name="_Toc297120473"/>
      <w:r/>
      <w:bookmarkStart w:id="385" w:name="_Toc296347172"/>
      <w:r/>
      <w:bookmarkStart w:id="386" w:name="_Toc267251427"/>
      <w:r/>
      <w:bookmarkStart w:id="387" w:name="_Toc296346674"/>
      <w:r/>
      <w:bookmarkStart w:id="388" w:name="_Toc296944512"/>
      <w:r/>
      <w:bookmarkStart w:id="389" w:name="_Toc292559883"/>
      <w:r/>
      <w:bookmarkStart w:id="390" w:name="_Toc267251428"/>
      <w:r/>
      <w:bookmarkStart w:id="391" w:name="_Toc292559378"/>
      <w:r/>
      <w:bookmarkStart w:id="392" w:name="_Toc312678021"/>
      <w:r/>
      <w:bookmarkStart w:id="393" w:name="_Toc300934982"/>
      <w:r/>
      <w:bookmarkStart w:id="394" w:name="_Toc296503173"/>
      <w:r>
        <w:t xml:space="preserve">试验与检验</w:t>
      </w:r>
      <w:bookmarkEnd w:id="375"/>
      <w:r/>
      <w:bookmarkEnd w:id="376"/>
      <w:r/>
      <w:bookmarkEnd w:id="377"/>
      <w:r/>
      <w:bookmarkEnd w:id="378"/>
      <w:r/>
      <w:bookmarkEnd w:id="379"/>
      <w:r/>
      <w:bookmarkEnd w:id="380"/>
      <w:r/>
      <w:bookmarkEnd w:id="392"/>
      <w:r/>
      <w:bookmarkEnd w:id="393"/>
      <w:r>
        <w:rPr>
          <w:b/>
        </w:rPr>
      </w:r>
      <w:r/>
    </w:p>
    <w:p>
      <w:pPr>
        <w:pStyle w:val="1007"/>
        <w:numPr>
          <w:ilvl w:val="0"/>
          <w:numId w:val="86"/>
        </w:numPr>
        <w:ind w:left="0" w:firstLine="482"/>
        <w:tabs>
          <w:tab w:val="left" w:pos="963" w:leader="none"/>
        </w:tabs>
        <w:rPr>
          <w:rFonts w:hint="eastAsia" w:ascii="宋体" w:hAnsi="宋体" w:eastAsia="宋体" w:cs="宋体"/>
          <w:b/>
        </w:rPr>
      </w:pPr>
      <w:r/>
      <w:bookmarkStart w:id="395" w:name="_Toc297123534"/>
      <w:r/>
      <w:bookmarkStart w:id="396" w:name="_Toc303539140"/>
      <w:r/>
      <w:bookmarkStart w:id="397" w:name="_Toc304295560"/>
      <w:r/>
      <w:bookmarkStart w:id="398" w:name="_Toc300934983"/>
      <w:r/>
      <w:bookmarkStart w:id="399" w:name="_Toc297216193"/>
      <w:r/>
      <w:bookmarkStart w:id="400" w:name="_Toc312678022"/>
      <w:r/>
      <w:bookmarkStart w:id="401" w:name="_Toc312677496"/>
      <w:r>
        <w:t xml:space="preserve">试验设备与试验人员</w:t>
      </w:r>
      <w:bookmarkEnd w:id="395"/>
      <w:r/>
      <w:bookmarkEnd w:id="396"/>
      <w:r/>
      <w:bookmarkEnd w:id="397"/>
      <w:r/>
      <w:bookmarkEnd w:id="398"/>
      <w:r/>
      <w:bookmarkEnd w:id="399"/>
      <w:r/>
      <w:bookmarkEnd w:id="400"/>
      <w:r/>
      <w:bookmarkEnd w:id="401"/>
      <w:r>
        <w:rPr>
          <w:rFonts w:hint="eastAsia" w:ascii="宋体" w:hAnsi="宋体" w:eastAsia="宋体" w:cs="宋体"/>
          <w:b/>
        </w:rPr>
      </w:r>
      <w:r/>
    </w:p>
    <w:p>
      <w:pPr>
        <w:pStyle w:val="1008"/>
        <w:ind w:left="0" w:firstLine="482"/>
      </w:pPr>
      <w:r>
        <w:t xml:space="preserve">9</w:t>
      </w:r>
      <w:bookmarkStart w:id="402" w:name="_Toc318581174"/>
      <w:r/>
      <w:bookmarkStart w:id="403" w:name="_Toc297216194"/>
      <w:r/>
      <w:bookmarkStart w:id="404" w:name="_Toc312678023"/>
      <w:r/>
      <w:bookmarkStart w:id="405" w:name="_Toc312677497"/>
      <w:r/>
      <w:bookmarkStart w:id="406" w:name="_Toc304295561"/>
      <w:r/>
      <w:bookmarkStart w:id="407" w:name="_Toc297123535"/>
      <w:r/>
      <w:bookmarkStart w:id="408" w:name="_Toc303539141"/>
      <w:r/>
      <w:bookmarkStart w:id="409" w:name="_Toc300934984"/>
      <w:r>
        <w:t xml:space="preserve">.1.2 试验设备</w:t>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施工现场需要配置的试验场所：</w:t>
      </w:r>
      <w:bookmarkEnd w:id="403"/>
      <w:r/>
      <w:bookmarkEnd w:id="404"/>
      <w:r/>
      <w:bookmarkEnd w:id="405"/>
      <w:r/>
      <w:bookmarkEnd w:id="406"/>
      <w:r/>
      <w:bookmarkEnd w:id="407"/>
      <w:r/>
      <w:bookmarkEnd w:id="408"/>
      <w:r/>
      <w:bookmarkEnd w:id="409"/>
      <w:r/>
      <w:bookmarkStart w:id="410" w:name="_Toc303539142"/>
      <w:r/>
      <w:bookmarkStart w:id="411" w:name="_Toc297216195"/>
      <w:r/>
      <w:bookmarkStart w:id="412" w:name="_Toc300934985"/>
      <w:r/>
      <w:bookmarkStart w:id="413" w:name="_Toc312678024"/>
      <w:r/>
      <w:bookmarkStart w:id="414" w:name="_Toc297123536"/>
      <w:r/>
      <w:bookmarkStart w:id="415" w:name="_Toc304295562"/>
      <w:r/>
      <w:bookmarkStart w:id="416" w:name="_Toc312677498"/>
      <w:r>
        <w:rPr>
          <w:rFonts w:ascii="Times New Roman" w:hAnsi="Times New Roman" w:eastAsia="宋体" w:cs="Times New Roman"/>
          <w:color w:val="000000"/>
          <w:sz w:val="24"/>
          <w:u w:val="single"/>
        </w:rPr>
        <w:t xml:space="preserve"> 按有关规定执行</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施工现场需要配备的试验设备：</w:t>
      </w:r>
      <w:r>
        <w:rPr>
          <w:rFonts w:ascii="Times New Roman" w:hAnsi="Times New Roman" w:eastAsia="宋体" w:cs="Times New Roman"/>
          <w:color w:val="000000"/>
          <w:sz w:val="24"/>
          <w:u w:val="single"/>
        </w:rPr>
        <w:t xml:space="preserve"> 按有关规定执行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u w:val="single"/>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施工现场需要具备的其他试验条件：</w:t>
      </w:r>
      <w:r>
        <w:rPr>
          <w:rFonts w:ascii="Times New Roman" w:hAnsi="Times New Roman" w:eastAsia="宋体" w:cs="Times New Roman"/>
          <w:color w:val="000000"/>
          <w:sz w:val="24"/>
          <w:u w:val="single"/>
        </w:rPr>
        <w:t xml:space="preserve">  按有关规定执行</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7"/>
        <w:numPr>
          <w:ilvl w:val="0"/>
          <w:numId w:val="86"/>
        </w:numPr>
        <w:ind w:left="0" w:firstLine="482"/>
        <w:tabs>
          <w:tab w:val="left" w:pos="963" w:leader="none"/>
        </w:tabs>
        <w:rPr>
          <w:b/>
        </w:rPr>
      </w:pPr>
      <w:r/>
      <w:bookmarkStart w:id="417" w:name="_Toc11489"/>
      <w:r>
        <w:t xml:space="preserve">现场工艺试验</w:t>
      </w:r>
      <w:bookmarkEnd w:id="417"/>
      <w:r>
        <w:t xml:space="preserve"> </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现场工艺试验的有关约定：</w:t>
      </w:r>
      <w:r>
        <w:rPr>
          <w:rFonts w:ascii="Times New Roman" w:hAnsi="Times New Roman" w:eastAsia="宋体" w:cs="Times New Roman"/>
          <w:color w:val="000000"/>
          <w:sz w:val="24"/>
          <w:u w:val="single"/>
        </w:rPr>
        <w:t xml:space="preserve">按有关规定执行</w:t>
      </w:r>
      <w:r>
        <w:rPr>
          <w:rFonts w:ascii="Times New Roman" w:hAnsi="Times New Roman" w:eastAsia="宋体" w:cs="Times New Roman"/>
          <w:color w:val="000000"/>
          <w:sz w:val="24"/>
        </w:rPr>
        <w:t xml:space="preserve">。</w:t>
      </w:r>
      <w:bookmarkEnd w:id="402"/>
      <w:r/>
      <w:bookmarkEnd w:id="410"/>
      <w:r/>
      <w:bookmarkEnd w:id="411"/>
      <w:r/>
      <w:bookmarkEnd w:id="412"/>
      <w:r/>
      <w:bookmarkEnd w:id="413"/>
      <w:r/>
      <w:bookmarkEnd w:id="414"/>
      <w:r/>
      <w:bookmarkEnd w:id="415"/>
      <w:r/>
      <w:bookmarkEnd w:id="416"/>
      <w:r>
        <w:rPr>
          <w:rFonts w:ascii="Times New Roman" w:hAnsi="Times New Roman" w:eastAsia="宋体" w:cs="Times New Roman"/>
          <w:color w:val="000000"/>
          <w:sz w:val="24"/>
        </w:rPr>
      </w:r>
      <w:r/>
    </w:p>
    <w:p>
      <w:pPr>
        <w:pStyle w:val="1006"/>
        <w:numPr>
          <w:ilvl w:val="0"/>
          <w:numId w:val="58"/>
        </w:numPr>
        <w:ind w:left="0" w:firstLine="482"/>
        <w:tabs>
          <w:tab w:val="left" w:pos="842" w:leader="none"/>
        </w:tabs>
        <w:rPr>
          <w:b/>
        </w:rPr>
      </w:pPr>
      <w:r/>
      <w:bookmarkEnd w:id="381"/>
      <w:r/>
      <w:bookmarkEnd w:id="382"/>
      <w:r/>
      <w:bookmarkEnd w:id="383"/>
      <w:r/>
      <w:bookmarkEnd w:id="384"/>
      <w:r/>
      <w:bookmarkEnd w:id="385"/>
      <w:r/>
      <w:bookmarkEnd w:id="386"/>
      <w:r/>
      <w:bookmarkEnd w:id="387"/>
      <w:r/>
      <w:bookmarkEnd w:id="388"/>
      <w:r/>
      <w:bookmarkEnd w:id="389"/>
      <w:r/>
      <w:bookmarkEnd w:id="390"/>
      <w:r/>
      <w:bookmarkEnd w:id="391"/>
      <w:r/>
      <w:bookmarkEnd w:id="394"/>
      <w:r/>
      <w:bookmarkStart w:id="418" w:name="_Toc303539146"/>
      <w:r/>
      <w:bookmarkStart w:id="419" w:name="_Toc312677499"/>
      <w:r/>
      <w:bookmarkStart w:id="420" w:name="_Toc351203642"/>
      <w:r/>
      <w:bookmarkStart w:id="421" w:name="_Toc296891233"/>
      <w:r/>
      <w:bookmarkStart w:id="422" w:name="_Toc300934989"/>
      <w:r/>
      <w:bookmarkStart w:id="423" w:name="_Toc296944532"/>
      <w:r/>
      <w:bookmarkStart w:id="424" w:name="_Toc296347192"/>
      <w:r/>
      <w:bookmarkStart w:id="425" w:name="_Toc304295566"/>
      <w:r/>
      <w:bookmarkStart w:id="426" w:name="_Toc312678025"/>
      <w:r/>
      <w:bookmarkStart w:id="427" w:name="_Toc296503193"/>
      <w:r/>
      <w:bookmarkStart w:id="428" w:name="_Toc297216199"/>
      <w:r/>
      <w:bookmarkStart w:id="429" w:name="_Toc297123540"/>
      <w:r/>
      <w:bookmarkStart w:id="430" w:name="_Toc296346694"/>
      <w:r/>
      <w:bookmarkStart w:id="431" w:name="_Toc297048379"/>
      <w:r/>
      <w:bookmarkStart w:id="432" w:name="_Toc292559903"/>
      <w:r/>
      <w:bookmarkStart w:id="433" w:name="_Toc297120493"/>
      <w:r/>
      <w:bookmarkStart w:id="434" w:name="_Toc296891021"/>
      <w:r/>
      <w:bookmarkStart w:id="435" w:name="_Toc267251433"/>
      <w:r/>
      <w:bookmarkStart w:id="436" w:name="_Toc267251439"/>
      <w:r/>
      <w:bookmarkStart w:id="437" w:name="_Toc267251435"/>
      <w:r/>
      <w:bookmarkStart w:id="438" w:name="_Toc267251440"/>
      <w:r/>
      <w:bookmarkStart w:id="439" w:name="_Toc267251441"/>
      <w:r/>
      <w:bookmarkStart w:id="440" w:name="_Toc267251437"/>
      <w:r/>
      <w:bookmarkStart w:id="441" w:name="_Toc292559398"/>
      <w:r>
        <w:t xml:space="preserve">变更</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41"/>
      <w:r>
        <w:rPr>
          <w:b/>
        </w:rPr>
      </w:r>
      <w:r/>
    </w:p>
    <w:p>
      <w:pPr>
        <w:pStyle w:val="1007"/>
        <w:numPr>
          <w:ilvl w:val="0"/>
          <w:numId w:val="87"/>
        </w:numPr>
        <w:ind w:left="0" w:firstLine="482"/>
        <w:tabs>
          <w:tab w:val="left" w:pos="1086" w:leader="none"/>
        </w:tabs>
        <w:rPr>
          <w:rFonts w:hint="eastAsia" w:ascii="宋体" w:hAnsi="宋体" w:eastAsia="宋体" w:cs="宋体"/>
          <w:b/>
        </w:rPr>
      </w:pPr>
      <w:r/>
      <w:bookmarkStart w:id="442" w:name="_Toc296944533"/>
      <w:r/>
      <w:bookmarkStart w:id="443" w:name="_Toc296891234"/>
      <w:r/>
      <w:bookmarkStart w:id="444" w:name="_Toc297120494"/>
      <w:r/>
      <w:bookmarkStart w:id="445" w:name="_Toc300934990"/>
      <w:r/>
      <w:bookmarkStart w:id="446" w:name="_Toc296503194"/>
      <w:r/>
      <w:bookmarkStart w:id="447" w:name="_Toc292559904"/>
      <w:r/>
      <w:bookmarkStart w:id="448" w:name="_Toc297216200"/>
      <w:r/>
      <w:bookmarkStart w:id="449" w:name="_Toc297048380"/>
      <w:r/>
      <w:bookmarkStart w:id="450" w:name="_Toc312677500"/>
      <w:r/>
      <w:bookmarkStart w:id="451" w:name="_Toc296891022"/>
      <w:r/>
      <w:bookmarkStart w:id="452" w:name="_Toc296346695"/>
      <w:r/>
      <w:bookmarkStart w:id="453" w:name="_Toc312678026"/>
      <w:r/>
      <w:bookmarkStart w:id="454" w:name="_Toc292559399"/>
      <w:r/>
      <w:bookmarkStart w:id="455" w:name="_Toc296347193"/>
      <w:r/>
      <w:bookmarkStart w:id="456" w:name="_Toc303539147"/>
      <w:r/>
      <w:bookmarkStart w:id="457" w:name="_Toc297123541"/>
      <w:r/>
      <w:bookmarkStart w:id="458" w:name="_Toc304295567"/>
      <w:r>
        <w:t xml:space="preserve">变更的范围</w:t>
      </w:r>
      <w:r>
        <w:rPr>
          <w:rFonts w:hint="eastAsia" w:ascii="宋体" w:hAnsi="宋体" w:eastAsia="宋体" w:cs="宋体"/>
          <w:b/>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关于变更的范围的约定：</w:t>
      </w:r>
      <w:r>
        <w:rPr>
          <w:rFonts w:ascii="Times New Roman" w:hAnsi="Times New Roman" w:eastAsia="宋体" w:cs="Times New Roman"/>
          <w:color w:val="000000"/>
          <w:sz w:val="24"/>
          <w:u w:val="single"/>
        </w:rPr>
        <w:t xml:space="preserve">（1）工程设计变更（2）不可预见性变更（3）工程量清单特征不符、清单缺项、工程量偏差（4）涉及工程造价、质量标准等政策调整的变更（5）其他实质性变更。</w:t>
      </w:r>
      <w:r>
        <w:rPr>
          <w:rFonts w:ascii="Times New Roman" w:hAnsi="Times New Roman" w:eastAsia="宋体" w:cs="Times New Roman"/>
          <w:color w:val="000000"/>
          <w:sz w:val="24"/>
          <w:u w:val="single"/>
        </w:rPr>
      </w:r>
      <w:r/>
    </w:p>
    <w:p>
      <w:pPr>
        <w:pStyle w:val="1007"/>
        <w:numPr>
          <w:ilvl w:val="0"/>
          <w:numId w:val="87"/>
        </w:numPr>
        <w:ind w:left="0" w:firstLine="482"/>
        <w:tabs>
          <w:tab w:val="left" w:pos="1086" w:leader="none"/>
        </w:tabs>
        <w:rPr>
          <w:b/>
        </w:rPr>
      </w:pPr>
      <w:r/>
      <w:bookmarkStart w:id="459" w:name="_Toc14006"/>
      <w:r>
        <w:t xml:space="preserve">变更估价</w:t>
      </w:r>
      <w:bookmarkEnd w:id="459"/>
      <w:r>
        <w:rPr>
          <w:b/>
        </w:rPr>
      </w:r>
      <w:r/>
    </w:p>
    <w:p>
      <w:pPr>
        <w:pStyle w:val="1008"/>
        <w:ind w:left="0" w:firstLine="482"/>
      </w:pPr>
      <w:r>
        <w:t xml:space="preserve">10.4.1 变更估价原则</w:t>
      </w:r>
      <w:r/>
    </w:p>
    <w:p>
      <w:pPr>
        <w:pStyle w:val="1026"/>
        <w:ind w:left="0" w:firstLine="480"/>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关于变更估价的约定： </w:t>
      </w:r>
      <w:r>
        <w:rPr>
          <w:rFonts w:ascii="Times New Roman" w:hAnsi="Times New Roman" w:eastAsia="宋体" w:cs="Times New Roman"/>
          <w:color w:val="000000"/>
          <w:sz w:val="24"/>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工程变更引起已标价工程量清单项目或其工程数量发生变化，应按照下列规定调整：</w:t>
      </w:r>
      <w:r>
        <w:rPr>
          <w:rFonts w:ascii="Times New Roman" w:hAnsi="Times New Roman" w:eastAsia="宋体" w:cs="Times New Roman"/>
          <w:color w:val="000000"/>
          <w:sz w:val="24"/>
          <w:u w:val="single"/>
        </w:rPr>
      </w:r>
      <w:r/>
    </w:p>
    <w:p>
      <w:pPr>
        <w:pStyle w:val="1026"/>
        <w:numPr>
          <w:ilvl w:val="0"/>
          <w:numId w:val="88"/>
        </w:numPr>
        <w:ind w:left="0" w:firstLine="480"/>
        <w:widowControl/>
        <w:tabs>
          <w:tab w:val="left" w:pos="78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u w:val="single"/>
        </w:rPr>
        <w:t xml:space="preserve">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r>
        <w:rPr>
          <w:rFonts w:ascii="Times New Roman" w:hAnsi="Times New Roman" w:eastAsia="宋体" w:cs="Times New Roman"/>
          <w:b w:val="0"/>
          <w:color w:val="000000"/>
          <w:sz w:val="24"/>
        </w:rPr>
      </w:r>
      <w:r/>
    </w:p>
    <w:p>
      <w:pPr>
        <w:pStyle w:val="1026"/>
        <w:numPr>
          <w:ilvl w:val="0"/>
          <w:numId w:val="88"/>
        </w:numPr>
        <w:ind w:left="0" w:firstLine="480"/>
        <w:widowControl/>
        <w:tabs>
          <w:tab w:val="left" w:pos="7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已标价工程量清单中没有适用但有类似于变更工程项目的，可在合理范围内参照类似项目的单价调整；如果参照类似项目的单价调整的，应经发（承）包方和监理工程师签认。</w:t>
      </w:r>
      <w:r>
        <w:rPr>
          <w:rFonts w:ascii="Times New Roman" w:hAnsi="Times New Roman" w:eastAsia="宋体" w:cs="Times New Roman"/>
          <w:b w:val="0"/>
          <w:color w:val="000000"/>
          <w:sz w:val="24"/>
          <w:u w:val="single"/>
        </w:rPr>
      </w:r>
      <w:r/>
    </w:p>
    <w:p>
      <w:pPr>
        <w:pStyle w:val="1026"/>
        <w:numPr>
          <w:ilvl w:val="0"/>
          <w:numId w:val="88"/>
        </w:numPr>
        <w:ind w:left="0" w:firstLine="480"/>
        <w:widowControl/>
        <w:tabs>
          <w:tab w:val="left" w:pos="7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中标价/审定标底价即未按控制价调整系数调整前的价格）*100%，下浮率的计算均需扣除采购人暂列金额、暂估价、规费、安全文明施工措施费及税金。</w:t>
      </w:r>
      <w:r>
        <w:rPr>
          <w:rFonts w:ascii="Times New Roman" w:hAnsi="Times New Roman" w:eastAsia="宋体" w:cs="Times New Roman"/>
          <w:b w:val="0"/>
          <w:color w:val="000000"/>
          <w:sz w:val="24"/>
          <w:u w:val="single"/>
        </w:rPr>
      </w:r>
      <w:r/>
    </w:p>
    <w:p>
      <w:pPr>
        <w:pStyle w:val="1026"/>
        <w:numPr>
          <w:ilvl w:val="0"/>
          <w:numId w:val="88"/>
        </w:numPr>
        <w:ind w:left="0" w:firstLine="480"/>
        <w:widowControl/>
        <w:tabs>
          <w:tab w:val="left" w:pos="7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rPr>
          <w:rFonts w:ascii="Times New Roman" w:hAnsi="Times New Roman" w:eastAsia="宋体" w:cs="Times New Roman"/>
          <w:b w:val="0"/>
          <w:color w:val="000000"/>
          <w:sz w:val="24"/>
          <w:u w:val="single"/>
        </w:rPr>
      </w:r>
      <w:r/>
    </w:p>
    <w:p>
      <w:pPr>
        <w:pStyle w:val="1026"/>
        <w:numPr>
          <w:ilvl w:val="0"/>
          <w:numId w:val="88"/>
        </w:numPr>
        <w:ind w:left="0" w:firstLine="480"/>
        <w:widowControl/>
        <w:tabs>
          <w:tab w:val="left" w:pos="7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rPr>
          <w:rFonts w:ascii="Times New Roman" w:hAnsi="Times New Roman" w:eastAsia="宋体" w:cs="Times New Roman"/>
          <w:b w:val="0"/>
          <w:color w:val="000000"/>
          <w:sz w:val="24"/>
          <w:u w:val="single"/>
        </w:rPr>
      </w:r>
      <w:r/>
    </w:p>
    <w:p>
      <w:pPr>
        <w:pStyle w:val="1026"/>
        <w:numPr>
          <w:ilvl w:val="0"/>
          <w:numId w:val="89"/>
        </w:numPr>
        <w:ind w:left="0" w:firstLine="480"/>
        <w:widowControl/>
        <w:tabs>
          <w:tab w:val="left" w:pos="108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安全文明施工费按照实际发生变化的措施项目依据规范规定计算。</w:t>
      </w:r>
      <w:r>
        <w:rPr>
          <w:rFonts w:hint="eastAsia" w:ascii="宋体" w:hAnsi="宋体" w:eastAsia="宋体" w:cs="宋体"/>
          <w:b w:val="0"/>
          <w:color w:val="000000"/>
          <w:sz w:val="24"/>
          <w:u w:val="single"/>
        </w:rPr>
      </w:r>
      <w:r/>
    </w:p>
    <w:p>
      <w:pPr>
        <w:pStyle w:val="1026"/>
        <w:numPr>
          <w:ilvl w:val="0"/>
          <w:numId w:val="89"/>
        </w:numPr>
        <w:ind w:left="0" w:firstLine="480"/>
        <w:widowControl/>
        <w:tabs>
          <w:tab w:val="left" w:pos="108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采用单价计算的措施项目费，按照实际发生变化的措施项目的规定确定单价。</w:t>
      </w:r>
      <w:r>
        <w:rPr>
          <w:rFonts w:hint="eastAsia" w:ascii="宋体" w:hAnsi="宋体" w:eastAsia="宋体" w:cs="宋体"/>
          <w:b w:val="0"/>
          <w:color w:val="000000"/>
          <w:sz w:val="24"/>
          <w:u w:val="single"/>
        </w:rPr>
      </w:r>
      <w:r/>
    </w:p>
    <w:p>
      <w:pPr>
        <w:pStyle w:val="1026"/>
        <w:numPr>
          <w:ilvl w:val="0"/>
          <w:numId w:val="89"/>
        </w:numPr>
        <w:ind w:left="0" w:firstLine="480"/>
        <w:widowControl/>
        <w:tabs>
          <w:tab w:val="left" w:pos="108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按总价（或系数）计算的措施项目费，按照实际发生变化的措施项目调整，但应考虑承包人报价浮动因素，即调整金额按照实际调整金额乘以规定的承包人报价浮动率计算。</w:t>
      </w:r>
      <w:r>
        <w:rPr>
          <w:rFonts w:hint="eastAsia" w:ascii="宋体" w:hAnsi="宋体" w:eastAsia="宋体" w:cs="宋体"/>
          <w:b w:val="0"/>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如果承包人未事先将拟实施的方案提交给发包人确认，则视为工程变更不引起措施项目费的调整或承包人放弃调整措施项目费的权利。</w:t>
      </w:r>
      <w:r>
        <w:rPr>
          <w:rFonts w:ascii="Times New Roman" w:hAnsi="Times New Roman" w:eastAsia="宋体" w:cs="Times New Roman"/>
          <w:color w:val="000000"/>
          <w:sz w:val="24"/>
          <w:u w:val="single"/>
        </w:rPr>
      </w:r>
      <w:r/>
    </w:p>
    <w:p>
      <w:pPr>
        <w:pStyle w:val="1007"/>
        <w:numPr>
          <w:ilvl w:val="0"/>
          <w:numId w:val="87"/>
        </w:numPr>
        <w:ind w:left="0" w:firstLine="482"/>
        <w:tabs>
          <w:tab w:val="left" w:pos="1086" w:leader="none"/>
        </w:tabs>
        <w:rPr>
          <w:rFonts w:hint="eastAsia" w:ascii="宋体" w:hAnsi="宋体" w:eastAsia="宋体" w:cs="宋体"/>
          <w:b/>
        </w:rPr>
      </w:pPr>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Start w:id="460" w:name="_Toc296346698"/>
      <w:r/>
      <w:bookmarkStart w:id="461" w:name="_Toc303539150"/>
      <w:r/>
      <w:bookmarkStart w:id="462" w:name="_Toc296503197"/>
      <w:r/>
      <w:bookmarkStart w:id="463" w:name="_Toc297048383"/>
      <w:r/>
      <w:bookmarkStart w:id="464" w:name="_Toc297216203"/>
      <w:r/>
      <w:bookmarkStart w:id="465" w:name="_Toc304295570"/>
      <w:r/>
      <w:bookmarkStart w:id="466" w:name="_Toc312678029"/>
      <w:r/>
      <w:bookmarkStart w:id="467" w:name="_Toc312677503"/>
      <w:r/>
      <w:bookmarkStart w:id="468" w:name="_Toc297120497"/>
      <w:r/>
      <w:bookmarkStart w:id="469" w:name="_Toc296891025"/>
      <w:r/>
      <w:bookmarkStart w:id="470" w:name="_Toc292559907"/>
      <w:r/>
      <w:bookmarkStart w:id="471" w:name="_Toc292559402"/>
      <w:r/>
      <w:bookmarkStart w:id="472" w:name="_Toc297123544"/>
      <w:r/>
      <w:bookmarkStart w:id="473" w:name="_Toc296891237"/>
      <w:r/>
      <w:bookmarkStart w:id="474" w:name="_Toc300934993"/>
      <w:r/>
      <w:bookmarkStart w:id="475" w:name="_Toc296944536"/>
      <w:r/>
      <w:bookmarkStart w:id="476" w:name="_Toc296347196"/>
      <w:r>
        <w:t xml:space="preserve">承</w:t>
      </w:r>
      <w:bookmarkEnd w:id="460"/>
      <w:r/>
      <w:bookmarkEnd w:id="461"/>
      <w:r/>
      <w:bookmarkEnd w:id="462"/>
      <w:r/>
      <w:bookmarkEnd w:id="463"/>
      <w:r/>
      <w:bookmarkEnd w:id="464"/>
      <w:r/>
      <w:bookmarkEnd w:id="468"/>
      <w:r/>
      <w:bookmarkEnd w:id="469"/>
      <w:r/>
      <w:bookmarkEnd w:id="470"/>
      <w:r/>
      <w:bookmarkEnd w:id="471"/>
      <w:r/>
      <w:bookmarkEnd w:id="472"/>
      <w:r/>
      <w:bookmarkEnd w:id="473"/>
      <w:r/>
      <w:bookmarkEnd w:id="474"/>
      <w:r/>
      <w:bookmarkEnd w:id="475"/>
      <w:r/>
      <w:bookmarkEnd w:id="476"/>
      <w:r/>
      <w:bookmarkStart w:id="477" w:name="_Toc297123545"/>
      <w:r/>
      <w:bookmarkStart w:id="478" w:name="_Toc297048389"/>
      <w:r/>
      <w:bookmarkStart w:id="479" w:name="_Toc296944542"/>
      <w:r/>
      <w:bookmarkStart w:id="480" w:name="_Toc300934994"/>
      <w:r/>
      <w:bookmarkStart w:id="481" w:name="_Toc296347202"/>
      <w:r/>
      <w:bookmarkStart w:id="482" w:name="_Toc297216204"/>
      <w:r/>
      <w:bookmarkStart w:id="483" w:name="_Toc296346704"/>
      <w:r/>
      <w:bookmarkStart w:id="484" w:name="_Toc292559913"/>
      <w:r/>
      <w:bookmarkStart w:id="485" w:name="_Toc296891243"/>
      <w:r/>
      <w:bookmarkStart w:id="486" w:name="_Toc292559408"/>
      <w:r/>
      <w:bookmarkStart w:id="487" w:name="_Toc296891031"/>
      <w:r/>
      <w:bookmarkStart w:id="488" w:name="_Toc297120503"/>
      <w:r/>
      <w:bookmarkStart w:id="489" w:name="_Toc303539151"/>
      <w:r/>
      <w:bookmarkStart w:id="490" w:name="_Toc296503203"/>
      <w:r>
        <w:t xml:space="preserve">包人的合理化建议</w:t>
      </w:r>
      <w:bookmarkEnd w:id="465"/>
      <w:r/>
      <w:bookmarkEnd w:id="466"/>
      <w:r/>
      <w:bookmarkEnd w:id="467"/>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rFonts w:hint="eastAsia" w:ascii="宋体" w:hAnsi="宋体" w:eastAsia="宋体" w:cs="宋体"/>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监理人审查承包人合理化建议的期限：</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发包人审批承包人合理化建议的期限：</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承</w:t>
      </w:r>
      <w:bookmarkStart w:id="491" w:name="_Toc300934995"/>
      <w:r/>
      <w:bookmarkStart w:id="492" w:name="_Toc297123546"/>
      <w:r/>
      <w:bookmarkStart w:id="493" w:name="_Toc296944543"/>
      <w:r/>
      <w:bookmarkStart w:id="494" w:name="_Toc318581175"/>
      <w:r/>
      <w:bookmarkStart w:id="495" w:name="_Toc296347203"/>
      <w:r/>
      <w:bookmarkStart w:id="496" w:name="_Toc296346705"/>
      <w:r/>
      <w:bookmarkStart w:id="497" w:name="_Toc292559409"/>
      <w:r/>
      <w:bookmarkStart w:id="498" w:name="_Toc312678030"/>
      <w:r/>
      <w:bookmarkStart w:id="499" w:name="_Toc296503204"/>
      <w:r/>
      <w:bookmarkStart w:id="500" w:name="_Toc297048390"/>
      <w:r/>
      <w:bookmarkStart w:id="501" w:name="_Toc304295571"/>
      <w:r/>
      <w:bookmarkStart w:id="502" w:name="_Toc312677504"/>
      <w:r/>
      <w:bookmarkStart w:id="503" w:name="_Toc296891244"/>
      <w:r/>
      <w:bookmarkStart w:id="504" w:name="_Toc303539152"/>
      <w:r/>
      <w:bookmarkStart w:id="505" w:name="_Toc297216205"/>
      <w:r/>
      <w:bookmarkStart w:id="506" w:name="_Toc297120504"/>
      <w:r/>
      <w:bookmarkStart w:id="507" w:name="_Toc296891032"/>
      <w:r/>
      <w:bookmarkStart w:id="508" w:name="_Toc292559914"/>
      <w:r>
        <w:rPr>
          <w:rFonts w:ascii="Times New Roman" w:hAnsi="Times New Roman" w:eastAsia="宋体" w:cs="Times New Roman"/>
          <w:color w:val="000000"/>
          <w:sz w:val="24"/>
        </w:rPr>
        <w:t xml:space="preserve">包人提出的合理化建议降低了合同价格或者提高了工程经济效益的奖励的方法和金额为：</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rFonts w:ascii="Times New Roman" w:hAnsi="Times New Roman" w:eastAsia="宋体" w:cs="Times New Roman"/>
          <w:color w:val="000000"/>
          <w:sz w:val="24"/>
          <w:u w:val="single"/>
        </w:rPr>
      </w:r>
      <w:r/>
    </w:p>
    <w:p>
      <w:pPr>
        <w:pStyle w:val="1007"/>
        <w:numPr>
          <w:ilvl w:val="0"/>
          <w:numId w:val="87"/>
        </w:numPr>
        <w:ind w:left="0" w:firstLine="482"/>
        <w:tabs>
          <w:tab w:val="left" w:pos="1086" w:leader="none"/>
        </w:tabs>
        <w:rPr>
          <w:b/>
        </w:rPr>
      </w:pPr>
      <w:r/>
      <w:bookmarkStart w:id="509" w:name="_Toc296891027"/>
      <w:r/>
      <w:bookmarkStart w:id="510" w:name="_Toc296891239"/>
      <w:r/>
      <w:bookmarkStart w:id="511" w:name="_Toc292559909"/>
      <w:r/>
      <w:bookmarkStart w:id="512" w:name="_Toc303539154"/>
      <w:r/>
      <w:bookmarkStart w:id="513" w:name="_Toc296944538"/>
      <w:r/>
      <w:bookmarkStart w:id="514" w:name="_Toc297120499"/>
      <w:r/>
      <w:bookmarkStart w:id="515" w:name="_Toc297048385"/>
      <w:r/>
      <w:bookmarkStart w:id="516" w:name="_Toc297216207"/>
      <w:r/>
      <w:bookmarkStart w:id="517" w:name="_Toc300934997"/>
      <w:r/>
      <w:bookmarkStart w:id="518" w:name="_Toc312678033"/>
      <w:r/>
      <w:bookmarkStart w:id="519" w:name="_Toc296503199"/>
      <w:r/>
      <w:bookmarkStart w:id="520" w:name="_Toc296347198"/>
      <w:r/>
      <w:bookmarkStart w:id="521" w:name="_Toc292559404"/>
      <w:r/>
      <w:bookmarkStart w:id="522" w:name="_Toc312677507"/>
      <w:r/>
      <w:bookmarkStart w:id="523" w:name="_Toc297123548"/>
      <w:r/>
      <w:bookmarkStart w:id="524" w:name="_Toc304295574"/>
      <w:r/>
      <w:bookmarkStart w:id="525" w:name="_Toc296346700"/>
      <w:r/>
      <w:bookmarkStart w:id="526" w:name="_Toc28262"/>
      <w:r>
        <w:t xml:space="preserve">暂估价</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暂</w:t>
      </w:r>
      <w:bookmarkStart w:id="527" w:name="_Toc318581176"/>
      <w:r/>
      <w:bookmarkStart w:id="528" w:name="_Toc312677508"/>
      <w:r/>
      <w:bookmarkStart w:id="529" w:name="_Toc312678034"/>
      <w:r>
        <w:rPr>
          <w:rFonts w:ascii="Times New Roman" w:hAnsi="Times New Roman" w:eastAsia="宋体" w:cs="Times New Roman"/>
          <w:color w:val="000000"/>
          <w:sz w:val="24"/>
        </w:rPr>
        <w:t xml:space="preserve">估价材料和工程设备的明细详见附件11：《暂估价一览表》。</w:t>
      </w:r>
      <w:bookmarkEnd w:id="527"/>
      <w:r/>
      <w:bookmarkEnd w:id="528"/>
      <w:r/>
      <w:bookmarkEnd w:id="529"/>
      <w:r>
        <w:rPr>
          <w:rFonts w:ascii="Times New Roman" w:hAnsi="Times New Roman" w:eastAsia="宋体" w:cs="Times New Roman"/>
          <w:color w:val="000000"/>
          <w:sz w:val="24"/>
        </w:rPr>
      </w:r>
      <w:r/>
    </w:p>
    <w:p>
      <w:pPr>
        <w:pStyle w:val="1008"/>
        <w:numPr>
          <w:ilvl w:val="0"/>
          <w:numId w:val="90"/>
        </w:numPr>
        <w:ind w:left="0" w:firstLine="482"/>
        <w:tabs>
          <w:tab w:val="left" w:pos="1201" w:leader="none"/>
        </w:tabs>
        <w:rPr>
          <w:b/>
        </w:rPr>
      </w:pPr>
      <w:r/>
      <w:bookmarkStart w:id="530" w:name="_Toc312677509"/>
      <w:r/>
      <w:bookmarkStart w:id="531" w:name="_Toc318581177"/>
      <w:r/>
      <w:bookmarkStart w:id="532" w:name="_Toc312678035"/>
      <w:r>
        <w:t xml:space="preserve">依法必须招标的暂估价项目</w:t>
      </w:r>
      <w:bookmarkEnd w:id="530"/>
      <w:r/>
      <w:bookmarkEnd w:id="531"/>
      <w:r/>
      <w:bookmarkEnd w:id="532"/>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对于依法必须招标的暂估价项目的确认和批准采取第</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种方式确定</w:t>
      </w:r>
      <w:r>
        <w:rPr>
          <w:rFonts w:ascii="Times New Roman" w:hAnsi="Times New Roman" w:eastAsia="宋体" w:cs="Times New Roman"/>
          <w:color w:val="000000"/>
          <w:sz w:val="24"/>
          <w:u w:val="single"/>
        </w:rPr>
        <w:t xml:space="preserve">（参照通用条款10.7条）</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8"/>
        <w:numPr>
          <w:ilvl w:val="0"/>
          <w:numId w:val="90"/>
        </w:numPr>
        <w:ind w:left="0" w:firstLine="482"/>
        <w:tabs>
          <w:tab w:val="left" w:pos="1201" w:leader="none"/>
        </w:tabs>
        <w:rPr>
          <w:b/>
        </w:rPr>
      </w:pPr>
      <w:r>
        <w:t xml:space="preserve">不属于依法必须招标的暂估价项目</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对于不属于依法必须招标的暂估价项目的确认和批准采取第</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 种方式确定</w:t>
      </w:r>
      <w:r>
        <w:rPr>
          <w:rFonts w:ascii="Times New Roman" w:hAnsi="Times New Roman" w:eastAsia="宋体" w:cs="Times New Roman"/>
          <w:color w:val="000000"/>
          <w:sz w:val="24"/>
          <w:u w:val="single"/>
        </w:rPr>
        <w:t xml:space="preserve">（参照通用条款10.7条）</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第3种方式：承包人直接实施的暂估价项目</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承包人直接实施的暂估价项目的约定：</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7"/>
        <w:numPr>
          <w:ilvl w:val="0"/>
          <w:numId w:val="87"/>
        </w:numPr>
        <w:ind w:left="0" w:firstLine="482"/>
        <w:tabs>
          <w:tab w:val="left" w:pos="1086" w:leader="none"/>
        </w:tabs>
        <w:rPr>
          <w:b/>
        </w:rPr>
      </w:pPr>
      <w:r>
        <w:t xml:space="preserve">暂列金额</w:t>
      </w:r>
      <w:r>
        <w:rPr>
          <w:b/>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合同当事人关于暂列金额使用的约定：</w:t>
      </w:r>
      <w:r>
        <w:rPr>
          <w:rFonts w:ascii="Times New Roman" w:hAnsi="Times New Roman" w:eastAsia="宋体" w:cs="Times New Roman"/>
          <w:color w:val="000000"/>
          <w:sz w:val="24"/>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rPr>
          <w:rFonts w:ascii="Times New Roman" w:hAnsi="Times New Roman" w:eastAsia="宋体" w:cs="Times New Roman"/>
          <w:color w:val="000000"/>
          <w:sz w:val="24"/>
          <w:u w:val="single"/>
        </w:rPr>
      </w:r>
      <w:r/>
    </w:p>
    <w:p>
      <w:pPr>
        <w:pStyle w:val="1006"/>
        <w:numPr>
          <w:ilvl w:val="0"/>
          <w:numId w:val="58"/>
        </w:numPr>
        <w:ind w:left="0" w:firstLine="482"/>
        <w:tabs>
          <w:tab w:val="left" w:pos="842" w:leader="none"/>
        </w:tabs>
        <w:rPr>
          <w:b/>
        </w:rPr>
      </w:pPr>
      <w:r/>
      <w:bookmarkStart w:id="533" w:name="_Toc351203643"/>
      <w:r>
        <w:t xml:space="preserve">价格调整</w:t>
      </w:r>
      <w:bookmarkEnd w:id="533"/>
      <w:r>
        <w:rPr>
          <w:b/>
        </w:rPr>
      </w:r>
      <w:r/>
    </w:p>
    <w:p>
      <w:pPr>
        <w:pStyle w:val="1007"/>
        <w:ind w:left="0" w:firstLine="482"/>
      </w:pPr>
      <w:r/>
      <w:bookmarkStart w:id="534" w:name="_Toc296347200"/>
      <w:r/>
      <w:bookmarkStart w:id="535" w:name="_Toc304295577"/>
      <w:r/>
      <w:bookmarkStart w:id="536" w:name="_Toc312678039"/>
      <w:r/>
      <w:bookmarkStart w:id="537" w:name="_Toc296503201"/>
      <w:r/>
      <w:bookmarkStart w:id="538" w:name="_Toc296891241"/>
      <w:r/>
      <w:bookmarkStart w:id="539" w:name="_Toc297216209"/>
      <w:r/>
      <w:bookmarkStart w:id="540" w:name="_Toc292559406"/>
      <w:r/>
      <w:bookmarkStart w:id="541" w:name="_Toc296891029"/>
      <w:r/>
      <w:bookmarkStart w:id="542" w:name="_Toc296346702"/>
      <w:r/>
      <w:bookmarkStart w:id="543" w:name="_Toc297123550"/>
      <w:r/>
      <w:bookmarkStart w:id="544" w:name="_Toc292559911"/>
      <w:r/>
      <w:bookmarkStart w:id="545" w:name="_Toc297120501"/>
      <w:r/>
      <w:bookmarkStart w:id="546" w:name="_Toc303539157"/>
      <w:r/>
      <w:bookmarkStart w:id="547" w:name="_Toc300935000"/>
      <w:r/>
      <w:bookmarkStart w:id="548" w:name="_Toc296944540"/>
      <w:r/>
      <w:bookmarkStart w:id="549" w:name="_Toc297048387"/>
      <w:r>
        <w:t xml:space="preserve">11.1 市场价格波动引起的调整：</w:t>
      </w:r>
      <w:r/>
    </w:p>
    <w:p>
      <w:pPr>
        <w:pStyle w:val="1026"/>
        <w:ind w:left="0" w:firstLine="480"/>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市场价格波动是否调整合同价格的约定：</w:t>
      </w:r>
      <w:r>
        <w:rPr>
          <w:rFonts w:ascii="Times New Roman" w:hAnsi="Times New Roman" w:eastAsia="宋体" w:cs="Times New Roman"/>
          <w:color w:val="000000"/>
          <w:sz w:val="24"/>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人工费结算不再调整，由承包人按照江苏省人工费调整幅度预测，在投标报价时综合考虑上涨因素进行报价，风险由承包人承担。</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物价波动引起价格的调整参照执行南通市建设工程造价管理处（通建价〔2016〕22号）“关于建筑业实施营改增后进一步明确建设工程材料价格风险控制及价差调整计算方法的通知”。</w:t>
      </w:r>
      <w:r>
        <w:rPr>
          <w:rFonts w:ascii="Times New Roman" w:hAnsi="Times New Roman" w:eastAsia="宋体" w:cs="Times New Roman"/>
          <w:color w:val="000000"/>
          <w:sz w:val="24"/>
          <w:u w:val="single"/>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因市场价格波动调整合同价格，采用以下第</w:t>
      </w:r>
      <w:r>
        <w:rPr>
          <w:rFonts w:ascii="Times New Roman" w:hAnsi="Times New Roman" w:eastAsia="宋体" w:cs="Times New Roman"/>
          <w:color w:val="000000"/>
          <w:sz w:val="24"/>
          <w:u w:val="single"/>
        </w:rPr>
        <w:t xml:space="preserve">2</w:t>
      </w:r>
      <w:r>
        <w:rPr>
          <w:rFonts w:ascii="Times New Roman" w:hAnsi="Times New Roman" w:eastAsia="宋体" w:cs="Times New Roman"/>
          <w:color w:val="000000"/>
          <w:sz w:val="24"/>
        </w:rPr>
        <w:t xml:space="preserve">种方式对合同价格进行调整：</w:t>
      </w:r>
      <w:r>
        <w:rPr>
          <w:rFonts w:ascii="Times New Roman" w:hAnsi="Times New Roman" w:eastAsia="宋体" w:cs="Times New Roman"/>
          <w:color w:val="000000"/>
          <w:sz w:val="24"/>
        </w:rPr>
      </w:r>
      <w:r/>
    </w:p>
    <w:p>
      <w:pPr>
        <w:pStyle w:val="1026"/>
        <w:numPr>
          <w:ilvl w:val="0"/>
          <w:numId w:val="91"/>
        </w:numPr>
        <w:ind w:left="0" w:firstLine="480"/>
        <w:tabs>
          <w:tab w:val="left" w:pos="132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方式：采用价格指数进行价格调整。</w:t>
      </w:r>
      <w:r>
        <w:rPr>
          <w:rFonts w:hint="eastAsia" w:ascii="宋体" w:hAnsi="宋体" w:eastAsia="宋体" w:cs="宋体"/>
          <w:b w:val="0"/>
          <w:color w:val="000000"/>
          <w:sz w:val="24"/>
        </w:rPr>
      </w:r>
      <w:r/>
    </w:p>
    <w:p>
      <w:pPr>
        <w:pStyle w:val="1026"/>
        <w:ind w:left="0" w:firstLine="480"/>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关于各可调因子、定值和变值权重，以及基本价格指数及其来源的约定：</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u w:val="single"/>
        </w:rPr>
      </w:r>
      <w:r/>
    </w:p>
    <w:p>
      <w:pPr>
        <w:pStyle w:val="1026"/>
        <w:numPr>
          <w:ilvl w:val="0"/>
          <w:numId w:val="91"/>
        </w:numPr>
        <w:ind w:left="0" w:firstLine="480"/>
        <w:tabs>
          <w:tab w:val="left" w:pos="132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方式：采用造价信息进行价格调整。</w:t>
      </w:r>
      <w:r>
        <w:rPr>
          <w:rFonts w:hint="eastAsia" w:ascii="宋体" w:hAnsi="宋体" w:eastAsia="宋体" w:cs="宋体"/>
          <w:b w:val="0"/>
          <w:color w:val="000000"/>
          <w:sz w:val="24"/>
        </w:rPr>
      </w:r>
      <w:r/>
    </w:p>
    <w:p>
      <w:pPr>
        <w:pStyle w:val="1026"/>
        <w:ind w:left="0" w:firstLine="480"/>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（2）关于基准价格的约定：</w:t>
      </w:r>
      <w:r>
        <w:rPr>
          <w:rFonts w:ascii="Times New Roman" w:hAnsi="Times New Roman" w:eastAsia="宋体" w:cs="Times New Roman"/>
          <w:color w:val="000000"/>
          <w:sz w:val="24"/>
        </w:rPr>
      </w:r>
      <w:r/>
    </w:p>
    <w:p>
      <w:pPr>
        <w:pStyle w:val="1026"/>
        <w:numPr>
          <w:ilvl w:val="0"/>
          <w:numId w:val="92"/>
        </w:numPr>
        <w:ind w:left="0" w:firstLine="480"/>
        <w:widowControl/>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主要建筑材料费用占单位工程费用的比值a确定方法：</w:t>
      </w:r>
      <w:r>
        <w:rPr>
          <w:rFonts w:hint="eastAsia" w:ascii="宋体" w:hAnsi="宋体" w:eastAsia="宋体" w:cs="宋体"/>
          <w:b w:val="0"/>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a=【单位工程某类别建筑材料工程总数量（包括变更调整数量）×中标单价／单位工程结算总造价（不含人工、材料风险价差部分）】×100%。</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当a值＞5%时，该建筑材料为主要建筑材料，当a值≤5%，该建筑材料为非主要建筑材料。</w:t>
      </w:r>
      <w:r>
        <w:rPr>
          <w:rFonts w:ascii="Times New Roman" w:hAnsi="Times New Roman" w:eastAsia="宋体" w:cs="Times New Roman"/>
          <w:color w:val="000000"/>
          <w:sz w:val="24"/>
          <w:u w:val="single"/>
        </w:rPr>
      </w:r>
      <w:r/>
    </w:p>
    <w:p>
      <w:pPr>
        <w:pStyle w:val="1026"/>
        <w:numPr>
          <w:ilvl w:val="0"/>
          <w:numId w:val="92"/>
        </w:numPr>
        <w:ind w:left="0" w:firstLine="480"/>
        <w:widowControl/>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承包人应承担的主要建筑材料价格涨跌风险幅度b应为5%：</w:t>
      </w:r>
      <w:r>
        <w:rPr>
          <w:rFonts w:hint="eastAsia" w:ascii="宋体" w:hAnsi="宋体" w:eastAsia="宋体" w:cs="宋体"/>
          <w:b w:val="0"/>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采用固定价格合同形式的建设工程，当工程施工期间非主要建筑材料价格上涨或下跌的，其差价均由承包人承担或受益；当工程施工期间主要建筑材料价格上涨或下跌幅度在5%以内（含5%）的，其差价由承包人承担或受益，超过5%的部分由发包人承担或受益。</w:t>
      </w:r>
      <w:r>
        <w:rPr>
          <w:rFonts w:ascii="Times New Roman" w:hAnsi="Times New Roman" w:eastAsia="宋体" w:cs="Times New Roman"/>
          <w:color w:val="000000"/>
          <w:sz w:val="24"/>
          <w:u w:val="single"/>
        </w:rPr>
      </w:r>
      <w:r/>
    </w:p>
    <w:p>
      <w:pPr>
        <w:pStyle w:val="1026"/>
        <w:numPr>
          <w:ilvl w:val="0"/>
          <w:numId w:val="92"/>
        </w:numPr>
        <w:ind w:left="0" w:firstLine="480"/>
        <w:widowControl/>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主要建筑材料单价价差的取定：</w:t>
      </w:r>
      <w:r>
        <w:rPr>
          <w:rFonts w:hint="eastAsia" w:ascii="宋体" w:hAnsi="宋体" w:eastAsia="宋体" w:cs="宋体"/>
          <w:b w:val="0"/>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应以南通市造价管理部门发布的材料指导价格为基准（缺指导价的材料以双方确认的市场信息价为准），差价为施工期间同类材料加权平均指导价格与合同工程基准日（招标工程以投标截止日前28天，非招标工程以合同签订前28天为基准日）当月的材料指导价格的差额。</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施工期间主要建筑材料加权平均指导价=Σ（每月实际使用量×当月材料指导价）／该材料总用量。</w:t>
      </w:r>
      <w:r>
        <w:rPr>
          <w:rFonts w:ascii="Times New Roman" w:hAnsi="Times New Roman" w:eastAsia="宋体" w:cs="Times New Roman"/>
          <w:color w:val="000000"/>
          <w:sz w:val="24"/>
          <w:u w:val="single"/>
        </w:rPr>
      </w:r>
      <w:r/>
    </w:p>
    <w:p>
      <w:pPr>
        <w:pStyle w:val="1026"/>
        <w:numPr>
          <w:ilvl w:val="0"/>
          <w:numId w:val="93"/>
        </w:numPr>
        <w:ind w:left="0" w:firstLine="480"/>
        <w:widowControl/>
        <w:tabs>
          <w:tab w:val="left" w:pos="7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主要建筑材料数量的取定：</w:t>
      </w:r>
      <w:r>
        <w:rPr>
          <w:rFonts w:ascii="Times New Roman" w:hAnsi="Times New Roman" w:eastAsia="宋体" w:cs="Times New Roman"/>
          <w:b w:val="0"/>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原则上调整主要建筑材料的数量应为已标价工程量清单及其综合单价分析表中的含量乘以实际完成的相应工程量。</w:t>
      </w:r>
      <w:r>
        <w:rPr>
          <w:rFonts w:ascii="Times New Roman" w:hAnsi="Times New Roman" w:eastAsia="宋体" w:cs="Times New Roman"/>
          <w:color w:val="000000"/>
          <w:sz w:val="24"/>
          <w:u w:val="single"/>
        </w:rPr>
      </w:r>
      <w:r/>
    </w:p>
    <w:p>
      <w:pPr>
        <w:pStyle w:val="1026"/>
        <w:numPr>
          <w:ilvl w:val="0"/>
          <w:numId w:val="93"/>
        </w:numPr>
        <w:ind w:left="0" w:firstLine="480"/>
        <w:widowControl/>
        <w:tabs>
          <w:tab w:val="left" w:pos="7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主要建筑材料价差调整金额的计算：</w:t>
      </w:r>
      <w:r>
        <w:rPr>
          <w:rFonts w:ascii="Times New Roman" w:hAnsi="Times New Roman" w:eastAsia="宋体" w:cs="Times New Roman"/>
          <w:b w:val="0"/>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施工期间可调价材料价格的涨、跌幅度以工程基准日当月所采用的材料指导价格为基础，指导价格涨、跌幅度在b以内（含b）时，其差价由承包人承担或受益；涨、跌幅度超出b时，其超出部分的差价由发包人承担或受益，计算公式如下：</w:t>
      </w:r>
      <w:r>
        <w:rPr>
          <w:rFonts w:ascii="Times New Roman" w:hAnsi="Times New Roman" w:eastAsia="宋体" w:cs="Times New Roman"/>
          <w:color w:val="000000"/>
          <w:sz w:val="24"/>
          <w:u w:val="single"/>
        </w:rPr>
      </w:r>
      <w:r/>
    </w:p>
    <w:p>
      <w:pPr>
        <w:pStyle w:val="1026"/>
        <w:numPr>
          <w:ilvl w:val="0"/>
          <w:numId w:val="94"/>
        </w:numPr>
        <w:ind w:left="0" w:firstLine="480"/>
        <w:widowControl/>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上涨超出b时，差价（正值）=【施工期间可调价材料加权平均指导价格-基准日档期的月份指导价格×(1+b））】×该类主要建筑材料数量；</w:t>
      </w:r>
      <w:r>
        <w:rPr>
          <w:rFonts w:hint="eastAsia" w:ascii="宋体" w:hAnsi="宋体" w:eastAsia="宋体" w:cs="宋体"/>
          <w:b w:val="0"/>
          <w:color w:val="000000"/>
          <w:sz w:val="24"/>
          <w:u w:val="single"/>
        </w:rPr>
      </w:r>
      <w:r/>
    </w:p>
    <w:p>
      <w:pPr>
        <w:pStyle w:val="1026"/>
        <w:numPr>
          <w:ilvl w:val="0"/>
          <w:numId w:val="94"/>
        </w:numPr>
        <w:ind w:left="0" w:firstLine="480"/>
        <w:widowControl/>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下跌超出b时，差价（负值）=【施工期间可调价材料加权平均指导价格-基准日档期的月份指导价格×（1-b）】× 该类主要建筑材料数量。</w:t>
      </w:r>
      <w:r>
        <w:rPr>
          <w:rFonts w:hint="eastAsia" w:ascii="宋体" w:hAnsi="宋体" w:eastAsia="宋体" w:cs="宋体"/>
          <w:b w:val="0"/>
          <w:color w:val="000000"/>
          <w:sz w:val="24"/>
          <w:u w:val="single"/>
        </w:rPr>
      </w:r>
      <w:r/>
    </w:p>
    <w:p>
      <w:pPr>
        <w:pStyle w:val="1026"/>
        <w:numPr>
          <w:ilvl w:val="0"/>
          <w:numId w:val="93"/>
        </w:numPr>
        <w:ind w:left="0" w:firstLine="480"/>
        <w:widowControl/>
        <w:tabs>
          <w:tab w:val="left" w:pos="7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主要建筑材料差价应根据计价定额规则计取相关费用和税金，并作为追加（减）合同价款和工程进度款同期支付。</w:t>
      </w:r>
      <w:r>
        <w:rPr>
          <w:rFonts w:ascii="Times New Roman" w:hAnsi="Times New Roman" w:eastAsia="宋体" w:cs="Times New Roman"/>
          <w:b w:val="0"/>
          <w:color w:val="000000"/>
          <w:sz w:val="24"/>
          <w:u w:val="single"/>
        </w:rPr>
      </w:r>
      <w:r/>
    </w:p>
    <w:p>
      <w:pPr>
        <w:pStyle w:val="1026"/>
        <w:numPr>
          <w:ilvl w:val="0"/>
          <w:numId w:val="93"/>
        </w:numPr>
        <w:ind w:left="0" w:firstLine="480"/>
        <w:widowControl/>
        <w:tabs>
          <w:tab w:val="left" w:pos="7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因发包人原因造成工期延误的，延误期间发生的材料价格上涨差额由发包人承担；因承包人原因造成工期延误的，延误期间发生的材料价格上涨差额由承包人承担。</w:t>
      </w:r>
      <w:r>
        <w:rPr>
          <w:rFonts w:ascii="Times New Roman" w:hAnsi="Times New Roman" w:eastAsia="宋体" w:cs="Times New Roman"/>
          <w:b w:val="0"/>
          <w:color w:val="000000"/>
          <w:sz w:val="24"/>
          <w:u w:val="single"/>
        </w:rPr>
      </w:r>
      <w:r/>
    </w:p>
    <w:p>
      <w:pPr>
        <w:pStyle w:val="1026"/>
        <w:numPr>
          <w:ilvl w:val="0"/>
          <w:numId w:val="91"/>
        </w:numPr>
        <w:ind w:left="0" w:firstLine="480"/>
        <w:tabs>
          <w:tab w:val="left" w:pos="132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方式：其他价格调整方式：</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bookmarkEnd w:id="435"/>
      <w:r/>
      <w:bookmarkEnd w:id="436"/>
      <w:r/>
      <w:bookmarkEnd w:id="437"/>
      <w:r/>
      <w:bookmarkEnd w:id="438"/>
      <w:r/>
      <w:bookmarkEnd w:id="439"/>
      <w:r/>
      <w:bookmarkEnd w:id="440"/>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Pr>
          <w:rFonts w:hint="eastAsia" w:ascii="宋体" w:hAnsi="宋体" w:eastAsia="宋体" w:cs="宋体"/>
          <w:b w:val="0"/>
          <w:color w:val="000000"/>
          <w:sz w:val="24"/>
        </w:rPr>
      </w:r>
      <w:r/>
    </w:p>
    <w:p>
      <w:pPr>
        <w:pStyle w:val="1006"/>
        <w:numPr>
          <w:ilvl w:val="0"/>
          <w:numId w:val="58"/>
        </w:numPr>
        <w:ind w:left="0" w:firstLine="482"/>
        <w:tabs>
          <w:tab w:val="left" w:pos="842" w:leader="none"/>
        </w:tabs>
        <w:rPr>
          <w:b/>
        </w:rPr>
      </w:pPr>
      <w:r/>
      <w:bookmarkStart w:id="550" w:name="_Toc303539159"/>
      <w:r/>
      <w:bookmarkStart w:id="551" w:name="_Toc304295579"/>
      <w:r/>
      <w:bookmarkStart w:id="552" w:name="_Toc312678040"/>
      <w:r/>
      <w:bookmarkStart w:id="553" w:name="_Toc297123552"/>
      <w:r/>
      <w:bookmarkStart w:id="554" w:name="_Toc297216211"/>
      <w:r/>
      <w:bookmarkStart w:id="555" w:name="_Toc300935002"/>
      <w:r/>
      <w:bookmarkStart w:id="556" w:name="_Toc351203644"/>
      <w:r>
        <w:t xml:space="preserve">合同价格、计量与支付</w:t>
      </w:r>
      <w:bookmarkEnd w:id="550"/>
      <w:r/>
      <w:bookmarkEnd w:id="551"/>
      <w:r/>
      <w:bookmarkEnd w:id="552"/>
      <w:r/>
      <w:bookmarkEnd w:id="553"/>
      <w:r/>
      <w:bookmarkEnd w:id="554"/>
      <w:r/>
      <w:bookmarkEnd w:id="555"/>
      <w:r/>
      <w:bookmarkEnd w:id="556"/>
      <w:r>
        <w:rPr>
          <w:b/>
        </w:rPr>
      </w:r>
      <w:r/>
    </w:p>
    <w:p>
      <w:pPr>
        <w:pStyle w:val="1007"/>
        <w:numPr>
          <w:ilvl w:val="0"/>
          <w:numId w:val="95"/>
        </w:numPr>
        <w:ind w:left="0" w:firstLine="482"/>
        <w:tabs>
          <w:tab w:val="left" w:pos="1023" w:leader="none"/>
        </w:tabs>
        <w:rPr>
          <w:b/>
        </w:rPr>
      </w:pPr>
      <w:r/>
      <w:bookmarkStart w:id="557" w:name="_Toc297048392"/>
      <w:r/>
      <w:bookmarkStart w:id="558" w:name="_Toc296891034"/>
      <w:r/>
      <w:bookmarkStart w:id="559" w:name="_Toc296347205"/>
      <w:r/>
      <w:bookmarkStart w:id="560" w:name="_Toc296503206"/>
      <w:r/>
      <w:bookmarkStart w:id="561" w:name="_Toc296891246"/>
      <w:r/>
      <w:bookmarkStart w:id="562" w:name="_Toc296346707"/>
      <w:r/>
      <w:bookmarkStart w:id="563" w:name="_Toc297120506"/>
      <w:r/>
      <w:bookmarkStart w:id="564" w:name="_Toc296944545"/>
      <w:r/>
      <w:bookmarkStart w:id="565" w:name="_Toc312678041"/>
      <w:r/>
      <w:bookmarkStart w:id="566" w:name="_Toc303539160"/>
      <w:r/>
      <w:bookmarkStart w:id="567" w:name="_Toc304295580"/>
      <w:r/>
      <w:bookmarkStart w:id="568" w:name="_Toc297216212"/>
      <w:r/>
      <w:bookmarkStart w:id="569" w:name="_Toc300935003"/>
      <w:r/>
      <w:bookmarkStart w:id="570" w:name="_Toc297123553"/>
      <w:r/>
      <w:bookmarkStart w:id="571" w:name="_Toc292559411"/>
      <w:r/>
      <w:bookmarkStart w:id="572" w:name="_Toc292559916"/>
      <w:r/>
      <w:bookmarkStart w:id="573" w:name="_Toc267251461"/>
      <w:r>
        <w:t xml:space="preserve">合</w:t>
      </w:r>
      <w:bookmarkEnd w:id="571"/>
      <w:r/>
      <w:bookmarkEnd w:id="572"/>
      <w:r/>
      <w:bookmarkEnd w:id="573"/>
      <w:r>
        <w:t xml:space="preserve">同价</w:t>
      </w:r>
      <w:bookmarkEnd w:id="557"/>
      <w:r/>
      <w:bookmarkEnd w:id="558"/>
      <w:r/>
      <w:bookmarkEnd w:id="559"/>
      <w:r/>
      <w:bookmarkEnd w:id="560"/>
      <w:r/>
      <w:bookmarkEnd w:id="561"/>
      <w:r/>
      <w:bookmarkEnd w:id="562"/>
      <w:r/>
      <w:bookmarkEnd w:id="563"/>
      <w:r/>
      <w:bookmarkEnd w:id="564"/>
      <w:r>
        <w:t xml:space="preserve">格形式</w:t>
      </w:r>
      <w:bookmarkEnd w:id="565"/>
      <w:r/>
      <w:bookmarkEnd w:id="566"/>
      <w:r/>
      <w:bookmarkEnd w:id="567"/>
      <w:r/>
      <w:bookmarkEnd w:id="568"/>
      <w:r/>
      <w:bookmarkEnd w:id="569"/>
      <w:r/>
      <w:bookmarkEnd w:id="570"/>
      <w:r>
        <w:rPr>
          <w:b/>
        </w:rPr>
      </w:r>
      <w:r/>
    </w:p>
    <w:p>
      <w:pPr>
        <w:pStyle w:val="1008"/>
        <w:numPr>
          <w:ilvl w:val="0"/>
          <w:numId w:val="96"/>
        </w:numPr>
        <w:ind w:left="0" w:firstLine="482"/>
        <w:tabs>
          <w:tab w:val="left" w:pos="781" w:leader="none"/>
        </w:tabs>
        <w:rPr>
          <w:b/>
        </w:rPr>
      </w:pPr>
      <w:r>
        <w:t xml:space="preserve">单价合同。</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综合单价包含的风险范围：</w:t>
      </w:r>
      <w:r>
        <w:rPr>
          <w:rFonts w:ascii="Times New Roman" w:hAnsi="Times New Roman" w:eastAsia="宋体" w:cs="Times New Roman"/>
          <w:color w:val="000000"/>
          <w:sz w:val="24"/>
          <w:u w:val="single"/>
        </w:rPr>
        <w:t xml:space="preserve">各种因素引起的人工工资、施工机械使用费、管理费、利润等变化及风险因素均不作调整。</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风险费用的计算方法：</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风险范围以外合同价格的调整方法：</w:t>
      </w:r>
      <w:r>
        <w:rPr>
          <w:rFonts w:ascii="Times New Roman" w:hAnsi="Times New Roman" w:eastAsia="宋体" w:cs="Times New Roman"/>
          <w:color w:val="000000"/>
          <w:sz w:val="24"/>
          <w:u w:val="single"/>
        </w:rPr>
        <w:t xml:space="preserve">均不作调整</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8"/>
        <w:numPr>
          <w:ilvl w:val="0"/>
          <w:numId w:val="96"/>
        </w:numPr>
        <w:ind w:left="0" w:firstLine="482"/>
        <w:tabs>
          <w:tab w:val="left" w:pos="781" w:leader="none"/>
        </w:tabs>
        <w:rPr>
          <w:b/>
        </w:rPr>
      </w:pPr>
      <w:r>
        <w:t xml:space="preserve">总价合同。</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总价包含的风险范围：</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风险费用的计算方法：</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风险范围以外合同价格的调整方法：</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8"/>
        <w:numPr>
          <w:ilvl w:val="0"/>
          <w:numId w:val="96"/>
        </w:numPr>
        <w:ind w:left="0" w:firstLine="482"/>
        <w:tabs>
          <w:tab w:val="left" w:pos="781" w:leader="none"/>
        </w:tabs>
        <w:rPr>
          <w:b/>
        </w:rPr>
      </w:pPr>
      <w:r>
        <w:t xml:space="preserve">其他价格方式：</w:t>
      </w:r>
      <w:r>
        <w:rPr>
          <w:u w:val="single"/>
        </w:rPr>
        <w:t xml:space="preserve">/</w:t>
      </w:r>
      <w:r>
        <w:t xml:space="preserve">。</w:t>
      </w:r>
      <w:r>
        <w:rPr>
          <w:b/>
        </w:rPr>
      </w:r>
      <w:r/>
    </w:p>
    <w:p>
      <w:pPr>
        <w:pStyle w:val="1007"/>
        <w:numPr>
          <w:ilvl w:val="0"/>
          <w:numId w:val="95"/>
        </w:numPr>
        <w:ind w:left="0" w:firstLine="482"/>
        <w:tabs>
          <w:tab w:val="left" w:pos="1023" w:leader="none"/>
        </w:tabs>
        <w:rPr>
          <w:b/>
        </w:rPr>
      </w:pPr>
      <w:r/>
      <w:bookmarkStart w:id="574" w:name="_Toc300935004"/>
      <w:r/>
      <w:bookmarkStart w:id="575" w:name="_Toc303539161"/>
      <w:r/>
      <w:bookmarkStart w:id="576" w:name="_Toc297123554"/>
      <w:r/>
      <w:bookmarkStart w:id="577" w:name="_Toc296891247"/>
      <w:r/>
      <w:bookmarkStart w:id="578" w:name="_Toc296346708"/>
      <w:r/>
      <w:bookmarkStart w:id="579" w:name="_Toc292559412"/>
      <w:r/>
      <w:bookmarkStart w:id="580" w:name="_Toc297048393"/>
      <w:r/>
      <w:bookmarkStart w:id="581" w:name="_Toc292559917"/>
      <w:r/>
      <w:bookmarkStart w:id="582" w:name="_Toc296503207"/>
      <w:r/>
      <w:bookmarkStart w:id="583" w:name="_Toc296891035"/>
      <w:r/>
      <w:bookmarkStart w:id="584" w:name="_Toc296347206"/>
      <w:r/>
      <w:bookmarkStart w:id="585" w:name="_Toc296944546"/>
      <w:r/>
      <w:bookmarkStart w:id="586" w:name="_Toc297120507"/>
      <w:r/>
      <w:bookmarkStart w:id="587" w:name="_Toc312678042"/>
      <w:r/>
      <w:bookmarkStart w:id="588" w:name="_Toc297216213"/>
      <w:r/>
      <w:bookmarkStart w:id="589" w:name="_Toc304295581"/>
      <w:r>
        <w:t xml:space="preserve">预付款</w:t>
      </w:r>
      <w:bookmarkEnd w:id="574"/>
      <w:r/>
      <w:bookmarkEnd w:id="575"/>
      <w:r/>
      <w:bookmarkEnd w:id="576"/>
      <w:r/>
      <w:bookmarkEnd w:id="587"/>
      <w:r/>
      <w:bookmarkEnd w:id="588"/>
      <w:r/>
      <w:bookmarkEnd w:id="589"/>
      <w:r>
        <w:rPr>
          <w:b/>
        </w:rPr>
      </w:r>
      <w:r/>
    </w:p>
    <w:p>
      <w:pPr>
        <w:pStyle w:val="1008"/>
        <w:numPr>
          <w:ilvl w:val="0"/>
          <w:numId w:val="97"/>
        </w:numPr>
        <w:ind w:left="0" w:firstLine="482"/>
        <w:tabs>
          <w:tab w:val="left" w:pos="1201" w:leader="none"/>
        </w:tabs>
        <w:rPr>
          <w:b/>
        </w:rPr>
      </w:pPr>
      <w:r>
        <w:t xml:space="preserve">预付款的支付</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预付款支付比例或金额：</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预付款支付期限：</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预付款扣回的方式：</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8"/>
        <w:numPr>
          <w:ilvl w:val="0"/>
          <w:numId w:val="97"/>
        </w:numPr>
        <w:ind w:left="0" w:firstLine="482"/>
        <w:tabs>
          <w:tab w:val="left" w:pos="1201" w:leader="none"/>
        </w:tabs>
        <w:rPr>
          <w:b/>
        </w:rPr>
      </w:pPr>
      <w:r>
        <w:t xml:space="preserve">预付款担保</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承包人提交预付款担保的期限：</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预付款担保的形式为：</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bookmarkEnd w:id="577"/>
      <w:r/>
      <w:bookmarkEnd w:id="578"/>
      <w:r/>
      <w:bookmarkEnd w:id="579"/>
      <w:r/>
      <w:bookmarkEnd w:id="580"/>
      <w:r/>
      <w:bookmarkEnd w:id="581"/>
      <w:r/>
      <w:bookmarkEnd w:id="582"/>
      <w:r/>
      <w:bookmarkEnd w:id="583"/>
      <w:r/>
      <w:bookmarkEnd w:id="584"/>
      <w:r/>
      <w:bookmarkEnd w:id="585"/>
      <w:r/>
      <w:bookmarkEnd w:id="586"/>
      <w:r>
        <w:rPr>
          <w:rFonts w:ascii="Times New Roman" w:hAnsi="Times New Roman" w:eastAsia="宋体" w:cs="Times New Roman"/>
          <w:color w:val="000000"/>
          <w:sz w:val="24"/>
        </w:rPr>
      </w:r>
      <w:r/>
    </w:p>
    <w:p>
      <w:pPr>
        <w:pStyle w:val="1007"/>
        <w:numPr>
          <w:ilvl w:val="0"/>
          <w:numId w:val="95"/>
        </w:numPr>
        <w:ind w:left="0" w:firstLine="482"/>
        <w:tabs>
          <w:tab w:val="left" w:pos="1023" w:leader="none"/>
        </w:tabs>
        <w:rPr>
          <w:b/>
        </w:rPr>
      </w:pPr>
      <w:r>
        <w:t xml:space="preserve">计量</w:t>
      </w:r>
      <w:r>
        <w:rPr>
          <w:b/>
        </w:rPr>
      </w:r>
      <w:r/>
    </w:p>
    <w:p>
      <w:pPr>
        <w:pStyle w:val="1026"/>
        <w:numPr>
          <w:ilvl w:val="0"/>
          <w:numId w:val="98"/>
        </w:numPr>
        <w:ind w:left="0" w:firstLine="480"/>
        <w:tabs>
          <w:tab w:val="left" w:pos="120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计量原则</w:t>
      </w:r>
      <w:r>
        <w:rPr>
          <w:rFonts w:ascii="Times New Roman" w:hAnsi="Times New Roman" w:eastAsia="宋体" w:cs="Times New Roman"/>
          <w:b w:val="0"/>
          <w:color w:val="000000"/>
          <w:sz w:val="24"/>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工程量计算规则：</w:t>
      </w:r>
      <w:r>
        <w:rPr>
          <w:rFonts w:ascii="Times New Roman" w:hAnsi="Times New Roman" w:eastAsia="宋体" w:cs="Times New Roman"/>
          <w:color w:val="000000"/>
          <w:sz w:val="24"/>
          <w:u w:val="single"/>
        </w:rPr>
        <w:t xml:space="preserve">《建设工程工程量清单计价规范》（2013）、《江苏省建筑与装饰工程计价表》（2014年）、《江苏省土建工程计价定额》（2014）、《江苏省建设工程费用定额》（2014）、《关于发布省住房城乡建设厅关于发布建设工程人工工资指导价的通知》（苏建函价〔202</w:t>
      </w:r>
      <w:r>
        <w:rPr>
          <w:rFonts w:hint="eastAsia" w:cs="Times New Roman"/>
          <w:color w:val="000000"/>
          <w:sz w:val="24"/>
          <w:u w:val="single"/>
          <w:lang w:val="en-US" w:eastAsia="zh-CN"/>
        </w:rPr>
        <w:t xml:space="preserve">5</w:t>
      </w:r>
      <w:r>
        <w:rPr>
          <w:rFonts w:ascii="Times New Roman" w:hAnsi="Times New Roman" w:eastAsia="宋体" w:cs="Times New Roman"/>
          <w:color w:val="000000"/>
          <w:sz w:val="24"/>
          <w:u w:val="single"/>
        </w:rPr>
        <w:t xml:space="preserve">〕</w:t>
      </w:r>
      <w:r>
        <w:rPr>
          <w:rFonts w:hint="eastAsia" w:cs="Times New Roman"/>
          <w:color w:val="000000"/>
          <w:sz w:val="24"/>
          <w:u w:val="single"/>
          <w:lang w:val="en-US" w:eastAsia="zh-CN"/>
        </w:rPr>
        <w:t xml:space="preserve">273</w:t>
      </w:r>
      <w:r>
        <w:rPr>
          <w:rFonts w:ascii="Times New Roman" w:hAnsi="Times New Roman" w:eastAsia="宋体" w:cs="Times New Roman"/>
          <w:color w:val="000000"/>
          <w:sz w:val="24"/>
          <w:u w:val="single"/>
        </w:rPr>
        <w:t xml:space="preserve">号）。</w:t>
      </w:r>
      <w:r>
        <w:rPr>
          <w:rFonts w:ascii="Times New Roman" w:hAnsi="Times New Roman" w:eastAsia="宋体" w:cs="Times New Roman"/>
          <w:color w:val="000000"/>
          <w:sz w:val="24"/>
          <w:u w:val="single"/>
        </w:rPr>
      </w:r>
      <w:r/>
    </w:p>
    <w:p>
      <w:pPr>
        <w:pStyle w:val="1026"/>
        <w:numPr>
          <w:ilvl w:val="0"/>
          <w:numId w:val="98"/>
        </w:numPr>
        <w:ind w:left="0" w:firstLine="480"/>
        <w:tabs>
          <w:tab w:val="left" w:pos="120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计量周期</w:t>
      </w:r>
      <w:r>
        <w:rPr>
          <w:rFonts w:ascii="Times New Roman" w:hAnsi="Times New Roman" w:eastAsia="宋体" w:cs="Times New Roman"/>
          <w:b w:val="0"/>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关于计量周期的约定：</w:t>
      </w:r>
      <w:r>
        <w:rPr>
          <w:rFonts w:ascii="Times New Roman" w:hAnsi="Times New Roman" w:eastAsia="宋体" w:cs="Times New Roman"/>
          <w:color w:val="000000"/>
          <w:sz w:val="24"/>
          <w:u w:val="single"/>
        </w:rPr>
        <w:t xml:space="preserve">按通用条款</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numPr>
          <w:ilvl w:val="0"/>
          <w:numId w:val="98"/>
        </w:numPr>
        <w:ind w:left="0" w:firstLine="480"/>
        <w:tabs>
          <w:tab w:val="left" w:pos="120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单价合同的计量</w:t>
      </w:r>
      <w:r>
        <w:rPr>
          <w:rFonts w:ascii="Times New Roman" w:hAnsi="Times New Roman" w:eastAsia="宋体" w:cs="Times New Roman"/>
          <w:b w:val="0"/>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关于单价合同计量的约定：</w:t>
      </w:r>
      <w:r>
        <w:rPr>
          <w:rFonts w:ascii="Times New Roman" w:hAnsi="Times New Roman" w:eastAsia="宋体" w:cs="Times New Roman"/>
          <w:color w:val="000000"/>
          <w:sz w:val="24"/>
          <w:u w:val="single"/>
        </w:rPr>
        <w:t xml:space="preserve">按通用条款</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numPr>
          <w:ilvl w:val="0"/>
          <w:numId w:val="98"/>
        </w:numPr>
        <w:ind w:left="0" w:firstLine="480"/>
        <w:tabs>
          <w:tab w:val="left" w:pos="120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总价合同的计量</w:t>
      </w:r>
      <w:r>
        <w:rPr>
          <w:rFonts w:ascii="Times New Roman" w:hAnsi="Times New Roman" w:eastAsia="宋体" w:cs="Times New Roman"/>
          <w:b w:val="0"/>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关于总价合同计量的约定：</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numPr>
          <w:ilvl w:val="0"/>
          <w:numId w:val="98"/>
        </w:numPr>
        <w:ind w:left="0" w:firstLine="480"/>
        <w:tabs>
          <w:tab w:val="left" w:pos="120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总价合同采用支付分解表计量支付的，是否适用第12.3.4 项〔总价合同的计量〕约定进行计量：</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rPr>
      </w:r>
      <w:r/>
    </w:p>
    <w:p>
      <w:pPr>
        <w:pStyle w:val="1026"/>
        <w:numPr>
          <w:ilvl w:val="0"/>
          <w:numId w:val="98"/>
        </w:numPr>
        <w:ind w:left="0" w:firstLine="480"/>
        <w:tabs>
          <w:tab w:val="left" w:pos="120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其他价格形式合同的计量</w:t>
      </w:r>
      <w:r>
        <w:rPr>
          <w:rFonts w:ascii="Times New Roman" w:hAnsi="Times New Roman" w:eastAsia="宋体" w:cs="Times New Roman"/>
          <w:b w:val="0"/>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其他价格形式的计量方式和程序：</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7"/>
        <w:numPr>
          <w:ilvl w:val="0"/>
          <w:numId w:val="95"/>
        </w:numPr>
        <w:ind w:left="0" w:firstLine="482"/>
        <w:tabs>
          <w:tab w:val="left" w:pos="1023" w:leader="none"/>
        </w:tabs>
        <w:rPr>
          <w:b/>
        </w:rPr>
      </w:pPr>
      <w:r>
        <w:t xml:space="preserve">工程进度款支付</w:t>
      </w:r>
      <w:r>
        <w:rPr>
          <w:b/>
        </w:rPr>
      </w:r>
      <w:r/>
    </w:p>
    <w:p>
      <w:pPr>
        <w:pStyle w:val="1008"/>
        <w:numPr>
          <w:ilvl w:val="0"/>
          <w:numId w:val="99"/>
        </w:numPr>
        <w:ind w:left="0" w:firstLine="482"/>
        <w:tabs>
          <w:tab w:val="left" w:pos="1201" w:leader="none"/>
        </w:tabs>
        <w:rPr>
          <w:b/>
        </w:rPr>
      </w:pPr>
      <w:r>
        <w:t xml:space="preserve">付款周期</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关于付款周期的约定：</w:t>
      </w:r>
      <w:r>
        <w:rPr>
          <w:rFonts w:ascii="Times New Roman" w:hAnsi="Times New Roman" w:eastAsia="宋体" w:cs="Times New Roman"/>
          <w:color w:val="000000"/>
          <w:sz w:val="24"/>
        </w:rPr>
      </w:r>
      <w:r/>
    </w:p>
    <w:p>
      <w:pPr>
        <w:pStyle w:val="1026"/>
        <w:ind w:left="0" w:firstLine="482"/>
        <w:rPr>
          <w:rFonts w:ascii="Times New Roman" w:hAnsi="Times New Roman" w:eastAsia="宋体" w:cs="Times New Roman"/>
          <w:b/>
          <w:color w:val="000000"/>
          <w:sz w:val="24"/>
          <w:highlight w:val="yellow"/>
          <w:u w:val="single"/>
        </w:rPr>
      </w:pPr>
      <w:r>
        <w:rPr>
          <w:rFonts w:ascii="Times New Roman" w:hAnsi="Times New Roman" w:eastAsia="宋体" w:cs="Times New Roman"/>
          <w:b/>
          <w:color w:val="000000"/>
          <w:sz w:val="24"/>
          <w:highlight w:val="yellow"/>
          <w:u w:val="single"/>
        </w:rPr>
        <w:t xml:space="preserve">工程完工经验收合格、于2027年春节前拨付合同价款的50%，审计结束至2028年春节前付至审计价的80%，余款待保期满无质量问题于2029年春节前付清。</w:t>
      </w:r>
      <w:r>
        <w:rPr>
          <w:rFonts w:ascii="Times New Roman" w:hAnsi="Times New Roman" w:eastAsia="宋体" w:cs="Times New Roman"/>
          <w:b/>
          <w:color w:val="000000"/>
          <w:sz w:val="24"/>
          <w:highlight w:val="yellow"/>
          <w:u w:val="single"/>
        </w:rPr>
      </w:r>
      <w:r/>
    </w:p>
    <w:p>
      <w:pPr>
        <w:pStyle w:val="1026"/>
        <w:ind w:left="0" w:firstLine="482"/>
        <w:rPr>
          <w:rFonts w:ascii="Times New Roman" w:hAnsi="Times New Roman" w:eastAsia="宋体" w:cs="Times New Roman"/>
          <w:b/>
          <w:color w:val="000000"/>
          <w:sz w:val="24"/>
          <w:highlight w:val="none"/>
          <w:u w:val="single"/>
        </w:rPr>
      </w:pPr>
      <w:r>
        <w:rPr>
          <w:rFonts w:ascii="Times New Roman" w:hAnsi="Times New Roman" w:eastAsia="宋体" w:cs="Times New Roman"/>
          <w:b/>
          <w:color w:val="000000"/>
          <w:sz w:val="24"/>
          <w:highlight w:val="none"/>
        </w:rPr>
        <w:t xml:space="preserve">每次支付前，承包人均应出具税务部门开具的相应金额的税务发票。否则发包人有权拒付工程款，且不承担延期支付款项的违约责任。</w:t>
      </w:r>
      <w:r>
        <w:rPr>
          <w:rFonts w:ascii="Times New Roman" w:hAnsi="Times New Roman" w:eastAsia="宋体" w:cs="Times New Roman"/>
          <w:b/>
          <w:color w:val="000000"/>
          <w:sz w:val="24"/>
          <w:highlight w:val="none"/>
          <w:u w:val="single"/>
        </w:rPr>
      </w:r>
      <w:r/>
    </w:p>
    <w:p>
      <w:pPr>
        <w:pStyle w:val="1008"/>
        <w:numPr>
          <w:ilvl w:val="0"/>
          <w:numId w:val="99"/>
        </w:numPr>
        <w:ind w:left="0" w:firstLine="482"/>
        <w:tabs>
          <w:tab w:val="left" w:pos="1201" w:leader="none"/>
        </w:tabs>
        <w:rPr>
          <w:b/>
        </w:rPr>
      </w:pPr>
      <w:r>
        <w:t xml:space="preserve">进度付款申请单的编制</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关于进度付款申请单编制的约定：</w:t>
      </w:r>
      <w:r>
        <w:rPr>
          <w:rFonts w:ascii="Times New Roman" w:hAnsi="Times New Roman" w:eastAsia="宋体" w:cs="Times New Roman"/>
          <w:color w:val="000000"/>
          <w:sz w:val="24"/>
          <w:u w:val="single"/>
        </w:rPr>
        <w:t xml:space="preserve">已完成约定进度的证明，相应金额的税务发票</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8"/>
        <w:numPr>
          <w:ilvl w:val="0"/>
          <w:numId w:val="99"/>
        </w:numPr>
        <w:ind w:left="0" w:firstLine="482"/>
        <w:tabs>
          <w:tab w:val="left" w:pos="1201" w:leader="none"/>
        </w:tabs>
        <w:rPr>
          <w:b/>
        </w:rPr>
      </w:pPr>
      <w:r>
        <w:t xml:space="preserve">进度付款申请单的提交</w:t>
      </w:r>
      <w:r>
        <w:rPr>
          <w:b/>
        </w:rPr>
      </w:r>
      <w:r/>
    </w:p>
    <w:p>
      <w:pPr>
        <w:pStyle w:val="1026"/>
        <w:numPr>
          <w:ilvl w:val="0"/>
          <w:numId w:val="100"/>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单价合同进度付款申请单提交的约定：</w:t>
      </w:r>
      <w:r>
        <w:rPr>
          <w:rFonts w:ascii="Times New Roman" w:hAnsi="Times New Roman" w:eastAsia="宋体" w:cs="Times New Roman"/>
          <w:color w:val="000000"/>
          <w:sz w:val="24"/>
          <w:u w:val="single"/>
        </w:rPr>
        <w:t xml:space="preserve">按节点提交</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rPr>
      </w:r>
      <w:r/>
    </w:p>
    <w:p>
      <w:pPr>
        <w:pStyle w:val="1026"/>
        <w:numPr>
          <w:ilvl w:val="0"/>
          <w:numId w:val="100"/>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总价合同进度付款申请单提交的约定：</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rPr>
      </w:r>
      <w:r/>
    </w:p>
    <w:p>
      <w:pPr>
        <w:pStyle w:val="1026"/>
        <w:numPr>
          <w:ilvl w:val="0"/>
          <w:numId w:val="100"/>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其他价格形式合同进度付款申请单提交的约定：</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rPr>
      </w:r>
      <w:r/>
    </w:p>
    <w:p>
      <w:pPr>
        <w:pStyle w:val="1008"/>
        <w:numPr>
          <w:ilvl w:val="0"/>
          <w:numId w:val="99"/>
        </w:numPr>
        <w:ind w:left="0" w:firstLine="482"/>
        <w:tabs>
          <w:tab w:val="left" w:pos="1201" w:leader="none"/>
        </w:tabs>
        <w:rPr>
          <w:b/>
        </w:rPr>
      </w:pPr>
      <w:r>
        <w:t xml:space="preserve">进度款审核和支付</w:t>
      </w:r>
      <w:r>
        <w:rPr>
          <w:b/>
        </w:rPr>
      </w:r>
      <w:r/>
    </w:p>
    <w:p>
      <w:pPr>
        <w:pStyle w:val="1026"/>
        <w:numPr>
          <w:ilvl w:val="0"/>
          <w:numId w:val="101"/>
        </w:numPr>
        <w:ind w:left="0" w:firstLine="480"/>
        <w:tabs>
          <w:tab w:val="left" w:pos="108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rPr>
        <w:t xml:space="preserve">监理人审查并报送发包人的期限：</w:t>
      </w:r>
      <w:r>
        <w:rPr>
          <w:rFonts w:ascii="Times New Roman" w:hAnsi="Times New Roman" w:eastAsia="宋体" w:cs="Times New Roman"/>
          <w:color w:val="000000"/>
          <w:sz w:val="24"/>
          <w:u w:val="single"/>
        </w:rPr>
        <w:t xml:space="preserve">  收到申请7天内   </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发包人完成审批并签发进度款支付证书的期限：</w:t>
      </w:r>
      <w:r>
        <w:rPr>
          <w:rFonts w:ascii="Times New Roman" w:hAnsi="Times New Roman" w:eastAsia="宋体" w:cs="Times New Roman"/>
          <w:color w:val="000000"/>
          <w:sz w:val="24"/>
          <w:u w:val="single"/>
        </w:rPr>
        <w:t xml:space="preserve">收到通过监理审查的审核表后10天内。</w:t>
      </w:r>
      <w:r>
        <w:rPr>
          <w:rFonts w:ascii="Times New Roman" w:hAnsi="Times New Roman" w:eastAsia="宋体" w:cs="Times New Roman"/>
          <w:color w:val="000000"/>
          <w:sz w:val="24"/>
          <w:u w:val="single"/>
        </w:rPr>
      </w:r>
      <w:r/>
    </w:p>
    <w:p>
      <w:pPr>
        <w:pStyle w:val="1026"/>
        <w:numPr>
          <w:ilvl w:val="0"/>
          <w:numId w:val="101"/>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发包人支付进度款的期限：</w:t>
      </w:r>
      <w:r>
        <w:rPr>
          <w:rFonts w:ascii="Times New Roman" w:hAnsi="Times New Roman" w:eastAsia="宋体" w:cs="Times New Roman"/>
          <w:color w:val="000000"/>
          <w:sz w:val="24"/>
          <w:u w:val="single"/>
        </w:rPr>
        <w:t xml:space="preserve">按合同要求执行</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发包人逾期支付进度款的违约金的计算方式：</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6"/>
        <w:numPr>
          <w:ilvl w:val="0"/>
          <w:numId w:val="58"/>
        </w:numPr>
        <w:ind w:left="0" w:firstLine="482"/>
        <w:tabs>
          <w:tab w:val="left" w:pos="842" w:leader="none"/>
        </w:tabs>
        <w:rPr>
          <w:b/>
        </w:rPr>
      </w:pPr>
      <w:r/>
      <w:bookmarkStart w:id="590" w:name="_Toc351203645"/>
      <w:r/>
      <w:bookmarkStart w:id="591" w:name="_Toc296944558"/>
      <w:r/>
      <w:bookmarkStart w:id="592" w:name="_Toc296503219"/>
      <w:r/>
      <w:bookmarkStart w:id="593" w:name="_Toc304295593"/>
      <w:r/>
      <w:bookmarkStart w:id="594" w:name="_Toc303539172"/>
      <w:r/>
      <w:bookmarkStart w:id="595" w:name="_Toc297120519"/>
      <w:r/>
      <w:bookmarkStart w:id="596" w:name="_Toc296347218"/>
      <w:r/>
      <w:bookmarkStart w:id="597" w:name="_Toc312678053"/>
      <w:r/>
      <w:bookmarkStart w:id="598" w:name="_Toc292559424"/>
      <w:r/>
      <w:bookmarkStart w:id="599" w:name="_Toc296346720"/>
      <w:r/>
      <w:bookmarkStart w:id="600" w:name="_Toc297123564"/>
      <w:r/>
      <w:bookmarkStart w:id="601" w:name="_Toc296891047"/>
      <w:r/>
      <w:bookmarkStart w:id="602" w:name="_Toc300935015"/>
      <w:r/>
      <w:bookmarkStart w:id="603" w:name="_Toc297216223"/>
      <w:r/>
      <w:bookmarkStart w:id="604" w:name="_Toc296891259"/>
      <w:r/>
      <w:bookmarkStart w:id="605" w:name="_Toc297048405"/>
      <w:r/>
      <w:bookmarkStart w:id="606" w:name="_Toc292559929"/>
      <w:r>
        <w:t xml:space="preserve">验收和工程试车</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b/>
        </w:rPr>
      </w:r>
      <w:r/>
    </w:p>
    <w:p>
      <w:pPr>
        <w:pStyle w:val="1007"/>
        <w:numPr>
          <w:ilvl w:val="0"/>
          <w:numId w:val="102"/>
        </w:numPr>
        <w:ind w:left="0" w:firstLine="482"/>
        <w:tabs>
          <w:tab w:val="left" w:pos="1021" w:leader="none"/>
        </w:tabs>
        <w:rPr>
          <w:b/>
        </w:rPr>
      </w:pPr>
      <w:r>
        <w:t xml:space="preserve">分部分项工程验收</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13.1.2监理人不能按时进行验收时，应提前</w:t>
      </w:r>
      <w:r>
        <w:rPr>
          <w:rFonts w:ascii="Times New Roman" w:hAnsi="Times New Roman" w:eastAsia="宋体" w:cs="Times New Roman"/>
          <w:color w:val="000000"/>
          <w:sz w:val="24"/>
          <w:u w:val="single"/>
        </w:rPr>
        <w:t xml:space="preserve">12</w:t>
      </w:r>
      <w:r>
        <w:rPr>
          <w:rFonts w:ascii="Times New Roman" w:hAnsi="Times New Roman" w:eastAsia="宋体" w:cs="Times New Roman"/>
          <w:color w:val="000000"/>
          <w:sz w:val="24"/>
        </w:rPr>
        <w:t xml:space="preserve">小时提交书面延期要求。</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b/>
          <w:color w:val="000000"/>
          <w:sz w:val="24"/>
        </w:rPr>
      </w:pPr>
      <w:r>
        <w:rPr>
          <w:rFonts w:ascii="Times New Roman" w:hAnsi="Times New Roman" w:eastAsia="宋体" w:cs="Times New Roman"/>
          <w:color w:val="000000"/>
          <w:sz w:val="24"/>
        </w:rPr>
        <w:t xml:space="preserve">关于延期最长不得超过：</w:t>
      </w:r>
      <w:r>
        <w:rPr>
          <w:rFonts w:ascii="Times New Roman" w:hAnsi="Times New Roman" w:eastAsia="宋体" w:cs="Times New Roman"/>
          <w:color w:val="000000"/>
          <w:sz w:val="24"/>
          <w:u w:val="single"/>
        </w:rPr>
        <w:t xml:space="preserve">24</w:t>
      </w:r>
      <w:r>
        <w:rPr>
          <w:rFonts w:ascii="Times New Roman" w:hAnsi="Times New Roman" w:eastAsia="宋体" w:cs="Times New Roman"/>
          <w:color w:val="000000"/>
          <w:sz w:val="24"/>
        </w:rPr>
        <w:t xml:space="preserve">小时。</w:t>
      </w:r>
      <w:r>
        <w:rPr>
          <w:rFonts w:ascii="Times New Roman" w:hAnsi="Times New Roman" w:eastAsia="宋体" w:cs="Times New Roman"/>
          <w:b/>
          <w:color w:val="000000"/>
          <w:sz w:val="24"/>
        </w:rPr>
      </w:r>
      <w:r/>
    </w:p>
    <w:p>
      <w:pPr>
        <w:pStyle w:val="1007"/>
        <w:numPr>
          <w:ilvl w:val="0"/>
          <w:numId w:val="102"/>
        </w:numPr>
        <w:ind w:left="0" w:firstLine="482"/>
        <w:tabs>
          <w:tab w:val="left" w:pos="1021" w:leader="none"/>
        </w:tabs>
        <w:rPr>
          <w:b/>
        </w:rPr>
      </w:pPr>
      <w:r/>
      <w:bookmarkStart w:id="607" w:name="_Toc292559933"/>
      <w:r/>
      <w:bookmarkStart w:id="608" w:name="_Toc304295596"/>
      <w:r/>
      <w:bookmarkStart w:id="609" w:name="_Toc296891051"/>
      <w:r/>
      <w:bookmarkStart w:id="610" w:name="_Toc312678056"/>
      <w:r/>
      <w:bookmarkStart w:id="611" w:name="_Toc296944562"/>
      <w:r/>
      <w:bookmarkStart w:id="612" w:name="_Toc297120523"/>
      <w:r/>
      <w:bookmarkStart w:id="613" w:name="_Toc297123565"/>
      <w:r/>
      <w:bookmarkStart w:id="614" w:name="_Toc297048409"/>
      <w:r/>
      <w:bookmarkStart w:id="615" w:name="_Toc296891263"/>
      <w:r/>
      <w:bookmarkStart w:id="616" w:name="_Toc292559428"/>
      <w:r/>
      <w:bookmarkStart w:id="617" w:name="_Toc303539173"/>
      <w:r/>
      <w:bookmarkStart w:id="618" w:name="_Toc300935016"/>
      <w:r/>
      <w:bookmarkStart w:id="619" w:name="_Toc296346724"/>
      <w:r/>
      <w:bookmarkStart w:id="620" w:name="_Toc296503223"/>
      <w:r/>
      <w:bookmarkStart w:id="621" w:name="_Toc267251476"/>
      <w:r/>
      <w:bookmarkStart w:id="622" w:name="_Toc267251470"/>
      <w:r/>
      <w:bookmarkStart w:id="623" w:name="_Toc267251471"/>
      <w:r/>
      <w:bookmarkStart w:id="624" w:name="_Toc267251474"/>
      <w:r/>
      <w:bookmarkStart w:id="625" w:name="_Toc267251472"/>
      <w:r/>
      <w:bookmarkStart w:id="626" w:name="_Toc267251473"/>
      <w:r/>
      <w:bookmarkStart w:id="627" w:name="_Toc267251475"/>
      <w:r/>
      <w:bookmarkStart w:id="628" w:name="_Toc297216224"/>
      <w:r/>
      <w:bookmarkStart w:id="629" w:name="_Toc296347222"/>
      <w:r>
        <w:t xml:space="preserve">竣工验收</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8"/>
      <w:r/>
      <w:bookmarkEnd w:id="629"/>
      <w:r>
        <w:rPr>
          <w:b/>
        </w:rPr>
      </w:r>
      <w:r/>
    </w:p>
    <w:p>
      <w:pPr>
        <w:pStyle w:val="1008"/>
        <w:numPr>
          <w:ilvl w:val="0"/>
          <w:numId w:val="103"/>
        </w:numPr>
        <w:ind w:left="0" w:firstLine="482"/>
        <w:tabs>
          <w:tab w:val="left" w:pos="1326" w:leader="none"/>
        </w:tabs>
        <w:rPr>
          <w:rFonts w:hint="eastAsia" w:ascii="宋体" w:hAnsi="宋体" w:eastAsia="宋体" w:cs="宋体"/>
          <w:b/>
        </w:rPr>
      </w:pPr>
      <w:r/>
      <w:bookmarkStart w:id="630" w:name="_Toc280868708"/>
      <w:r/>
      <w:bookmarkStart w:id="631" w:name="_Toc280868704"/>
      <w:r/>
      <w:bookmarkStart w:id="632" w:name="_Toc280868709"/>
      <w:r/>
      <w:bookmarkStart w:id="633" w:name="_Toc280868706"/>
      <w:r/>
      <w:bookmarkStart w:id="634" w:name="_Toc280868707"/>
      <w:r/>
      <w:bookmarkStart w:id="635" w:name="_Toc280868705"/>
      <w:r>
        <w:t xml:space="preserve">竣工验收程序</w:t>
      </w:r>
      <w:bookmarkEnd w:id="631"/>
      <w:r>
        <w:rPr>
          <w:rFonts w:hint="eastAsia" w:ascii="宋体" w:hAnsi="宋体" w:eastAsia="宋体" w:cs="宋体"/>
          <w:b/>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关于竣工验收程序的约定：</w:t>
      </w:r>
      <w:r>
        <w:rPr>
          <w:rFonts w:ascii="Times New Roman" w:hAnsi="Times New Roman" w:eastAsia="宋体" w:cs="Times New Roman"/>
          <w:color w:val="000000"/>
          <w:sz w:val="24"/>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rPr>
          <w:rFonts w:ascii="Times New Roman" w:hAnsi="Times New Roman" w:eastAsia="宋体" w:cs="Times New Roman"/>
          <w:color w:val="000000"/>
          <w:sz w:val="24"/>
          <w:u w:val="single"/>
        </w:rPr>
      </w:r>
      <w:r/>
    </w:p>
    <w:p>
      <w:pPr>
        <w:pStyle w:val="1026"/>
        <w:numPr>
          <w:ilvl w:val="0"/>
          <w:numId w:val="104"/>
        </w:numPr>
        <w:ind w:left="0" w:firstLine="480"/>
        <w:widowControl/>
        <w:tabs>
          <w:tab w:val="left" w:pos="108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rPr>
          <w:rFonts w:hint="eastAsia" w:ascii="宋体" w:hAnsi="宋体" w:eastAsia="宋体" w:cs="宋体"/>
          <w:b w:val="0"/>
          <w:color w:val="000000"/>
          <w:sz w:val="24"/>
          <w:u w:val="single"/>
        </w:rPr>
      </w:r>
      <w:r/>
    </w:p>
    <w:p>
      <w:pPr>
        <w:pStyle w:val="1026"/>
        <w:numPr>
          <w:ilvl w:val="0"/>
          <w:numId w:val="104"/>
        </w:numPr>
        <w:ind w:left="0" w:firstLine="480"/>
        <w:widowControl/>
        <w:tabs>
          <w:tab w:val="left" w:pos="108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承包人竣工验收通过后30天内向发包人移交完整的竣工资料及竣工图纸三套及相应的电子文档资料（竣工资料及竣工图纸必须准确真实地反映实际施工情况）。另外，如有需要的，承包人应大力配合发包人及时向相关部门办理工程资料验收和移交。属于发包人应提供的资料，由发包人负责及时提供给承包人，由承包人汇总整理后，交由发包人移交相关部门。承包人未按规定向发包人移交资料造成的损失，由承包人承担。</w:t>
      </w:r>
      <w:r>
        <w:rPr>
          <w:rFonts w:hint="eastAsia" w:ascii="宋体" w:hAnsi="宋体" w:eastAsia="宋体" w:cs="宋体"/>
          <w:b w:val="0"/>
          <w:color w:val="000000"/>
          <w:sz w:val="24"/>
          <w:u w:val="single"/>
        </w:rPr>
      </w:r>
      <w:r/>
    </w:p>
    <w:p>
      <w:pPr>
        <w:pStyle w:val="1026"/>
        <w:ind w:left="0" w:firstLine="480"/>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发包人不按照本项约定组织竣工验收、颁发工程接收证书的，</w:t>
      </w:r>
      <w:r>
        <w:rPr>
          <w:rFonts w:ascii="Times New Roman" w:hAnsi="Times New Roman" w:eastAsia="宋体" w:cs="Times New Roman"/>
          <w:color w:val="000000"/>
          <w:sz w:val="24"/>
          <w:u w:val="single"/>
        </w:rPr>
        <w:t xml:space="preserve">竣工资料履约保证金不予退还，并额外承担违约金，违约金的计算方法：按通用条款执行</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发包人不按照本项约定组织竣工验收、颁发工程接收证书的违约金的计算方法：</w:t>
      </w:r>
      <w:bookmarkEnd w:id="635"/>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8"/>
        <w:numPr>
          <w:ilvl w:val="0"/>
          <w:numId w:val="103"/>
        </w:numPr>
        <w:ind w:left="0" w:firstLine="482"/>
        <w:tabs>
          <w:tab w:val="left" w:pos="1326" w:leader="none"/>
        </w:tabs>
        <w:rPr>
          <w:rFonts w:hint="eastAsia" w:ascii="宋体" w:hAnsi="宋体" w:eastAsia="宋体" w:cs="宋体"/>
          <w:b/>
        </w:rPr>
      </w:pPr>
      <w:r>
        <w:t xml:space="preserve">移交、接收全部与部分工程</w:t>
      </w:r>
      <w:bookmarkEnd w:id="633"/>
      <w:r>
        <w:rPr>
          <w:rFonts w:hint="eastAsia" w:ascii="宋体" w:hAnsi="宋体" w:eastAsia="宋体" w:cs="宋体"/>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承包人向发包人移交工程的期限：</w:t>
      </w:r>
      <w:r>
        <w:rPr>
          <w:rFonts w:ascii="Times New Roman" w:hAnsi="Times New Roman" w:eastAsia="宋体" w:cs="Times New Roman"/>
          <w:color w:val="000000"/>
          <w:sz w:val="24"/>
          <w:u w:val="single"/>
        </w:rPr>
        <w:t xml:space="preserve">按通用条款</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发包人未按本合同约定接收全部或部分工程的，违约金的计算方法为：</w:t>
      </w:r>
      <w:r>
        <w:rPr>
          <w:rFonts w:ascii="Times New Roman" w:hAnsi="Times New Roman" w:eastAsia="宋体" w:cs="Times New Roman"/>
          <w:color w:val="000000"/>
          <w:sz w:val="24"/>
          <w:u w:val="single"/>
        </w:rPr>
        <w:t xml:space="preserve">                               </w:t>
      </w:r>
      <w:bookmarkEnd w:id="634"/>
      <w:r>
        <w:rPr>
          <w:rFonts w:ascii="Times New Roman" w:hAnsi="Times New Roman" w:eastAsia="宋体" w:cs="Times New Roman"/>
          <w:color w:val="000000"/>
          <w:sz w:val="24"/>
        </w:rPr>
      </w:r>
      <w:r/>
    </w:p>
    <w:p>
      <w:pPr>
        <w:pStyle w:val="1026"/>
        <w:ind w:left="0" w:firstLine="480"/>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承包人未按时移交工程的，违约金的计算方法为：</w:t>
      </w:r>
      <w:r>
        <w:rPr>
          <w:rFonts w:ascii="Times New Roman" w:hAnsi="Times New Roman" w:eastAsia="宋体" w:cs="Times New Roman"/>
          <w:color w:val="000000"/>
          <w:sz w:val="24"/>
          <w:u w:val="single"/>
        </w:rPr>
        <w:t xml:space="preserve">承包人每日需向发包人按照工程合同暂定造价0.5‰承担违约责任，赔偿未按时移交工程给发包人产生的其他直接和间接损失。</w:t>
      </w:r>
      <w:r>
        <w:rPr>
          <w:rFonts w:ascii="Times New Roman" w:hAnsi="Times New Roman" w:eastAsia="宋体" w:cs="Times New Roman"/>
          <w:color w:val="000000"/>
          <w:sz w:val="24"/>
        </w:rPr>
      </w:r>
      <w:r/>
    </w:p>
    <w:p>
      <w:pPr>
        <w:pStyle w:val="1007"/>
        <w:numPr>
          <w:ilvl w:val="0"/>
          <w:numId w:val="102"/>
        </w:numPr>
        <w:ind w:left="0" w:firstLine="482"/>
        <w:tabs>
          <w:tab w:val="left" w:pos="1021" w:leader="none"/>
        </w:tabs>
        <w:rPr>
          <w:b/>
        </w:rPr>
      </w:pPr>
      <w:r>
        <w:t xml:space="preserve">工程试车</w:t>
      </w:r>
      <w:bookmarkEnd w:id="630"/>
      <w:r>
        <w:rPr>
          <w:b/>
        </w:rPr>
      </w:r>
      <w:r/>
    </w:p>
    <w:p>
      <w:pPr>
        <w:pStyle w:val="1008"/>
        <w:numPr>
          <w:ilvl w:val="0"/>
          <w:numId w:val="105"/>
        </w:numPr>
        <w:ind w:left="0" w:firstLine="482"/>
        <w:tabs>
          <w:tab w:val="left" w:pos="1201" w:leader="none"/>
        </w:tabs>
        <w:rPr>
          <w:b/>
        </w:rPr>
      </w:pPr>
      <w:r>
        <w:t xml:space="preserve">试车程序</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工程试车内容：</w:t>
      </w:r>
      <w:r>
        <w:rPr>
          <w:rFonts w:ascii="Times New Roman" w:hAnsi="Times New Roman" w:eastAsia="宋体" w:cs="Times New Roman"/>
          <w:color w:val="000000"/>
          <w:sz w:val="24"/>
          <w:u w:val="single"/>
        </w:rPr>
        <w:t xml:space="preserve">    /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numPr>
          <w:ilvl w:val="0"/>
          <w:numId w:val="106"/>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单机无负荷试车费用由</w:t>
      </w:r>
      <w:r>
        <w:rPr>
          <w:rFonts w:ascii="Times New Roman" w:hAnsi="Times New Roman" w:eastAsia="宋体" w:cs="Times New Roman"/>
          <w:color w:val="000000"/>
          <w:sz w:val="24"/>
          <w:u w:val="single"/>
        </w:rPr>
        <w:t xml:space="preserve">  已含在双方约定的计价中  </w:t>
      </w:r>
      <w:r>
        <w:rPr>
          <w:rFonts w:ascii="Times New Roman" w:hAnsi="Times New Roman" w:eastAsia="宋体" w:cs="Times New Roman"/>
          <w:color w:val="000000"/>
          <w:sz w:val="24"/>
        </w:rPr>
        <w:t xml:space="preserve">承担；</w:t>
      </w:r>
      <w:r>
        <w:rPr>
          <w:rFonts w:hint="eastAsia" w:ascii="宋体" w:hAnsi="宋体" w:eastAsia="宋体" w:cs="宋体"/>
          <w:b w:val="0"/>
          <w:color w:val="000000"/>
          <w:sz w:val="24"/>
        </w:rPr>
      </w:r>
      <w:r/>
    </w:p>
    <w:p>
      <w:pPr>
        <w:pStyle w:val="1026"/>
        <w:numPr>
          <w:ilvl w:val="0"/>
          <w:numId w:val="106"/>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无负荷联动试车费用由</w:t>
      </w:r>
      <w:r>
        <w:rPr>
          <w:rFonts w:ascii="Times New Roman" w:hAnsi="Times New Roman" w:eastAsia="宋体" w:cs="Times New Roman"/>
          <w:color w:val="000000"/>
          <w:sz w:val="24"/>
          <w:u w:val="single"/>
        </w:rPr>
        <w:t xml:space="preserve">  已含在双方约定的计价中  </w:t>
      </w:r>
      <w:r>
        <w:rPr>
          <w:rFonts w:ascii="Times New Roman" w:hAnsi="Times New Roman" w:eastAsia="宋体" w:cs="Times New Roman"/>
          <w:color w:val="000000"/>
          <w:sz w:val="24"/>
        </w:rPr>
        <w:t xml:space="preserve">承担。</w:t>
      </w:r>
      <w:r>
        <w:rPr>
          <w:rFonts w:hint="eastAsia" w:ascii="宋体" w:hAnsi="宋体" w:eastAsia="宋体" w:cs="宋体"/>
          <w:b w:val="0"/>
          <w:color w:val="000000"/>
          <w:sz w:val="24"/>
        </w:rPr>
      </w:r>
      <w:r/>
    </w:p>
    <w:p>
      <w:pPr>
        <w:pStyle w:val="1008"/>
        <w:numPr>
          <w:ilvl w:val="0"/>
          <w:numId w:val="105"/>
        </w:numPr>
        <w:ind w:left="0" w:firstLine="482"/>
        <w:tabs>
          <w:tab w:val="left" w:pos="1201" w:leader="none"/>
        </w:tabs>
        <w:rPr>
          <w:b/>
        </w:rPr>
      </w:pPr>
      <w:r>
        <w:t xml:space="preserve">投料试车</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关于投料试车相关事项的约定：</w:t>
      </w:r>
      <w:r>
        <w:rPr>
          <w:rFonts w:ascii="Times New Roman" w:hAnsi="Times New Roman" w:eastAsia="宋体" w:cs="Times New Roman"/>
          <w:color w:val="000000"/>
          <w:sz w:val="24"/>
          <w:u w:val="single"/>
        </w:rPr>
        <w:t xml:space="preserve"> /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7"/>
        <w:numPr>
          <w:ilvl w:val="0"/>
          <w:numId w:val="102"/>
        </w:numPr>
        <w:ind w:left="0" w:firstLine="482"/>
        <w:tabs>
          <w:tab w:val="left" w:pos="1021" w:leader="none"/>
        </w:tabs>
        <w:rPr>
          <w:b/>
        </w:rPr>
      </w:pPr>
      <w:r/>
      <w:bookmarkStart w:id="636" w:name="_Toc17339"/>
      <w:r>
        <w:t xml:space="preserve">竣工退场</w:t>
      </w:r>
      <w:bookmarkEnd w:id="636"/>
      <w:r>
        <w:rPr>
          <w:b/>
        </w:rPr>
      </w:r>
      <w:r/>
    </w:p>
    <w:p>
      <w:pPr>
        <w:pStyle w:val="1008"/>
        <w:ind w:left="0" w:firstLine="482"/>
      </w:pPr>
      <w:r>
        <w:t xml:space="preserve">13.6.1 竣工退场</w:t>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承包人完成竣工退场的期限：</w:t>
      </w:r>
      <w:r>
        <w:rPr>
          <w:rFonts w:ascii="Times New Roman" w:hAnsi="Times New Roman" w:eastAsia="宋体" w:cs="Times New Roman"/>
          <w:color w:val="000000"/>
          <w:sz w:val="24"/>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rPr>
          <w:rFonts w:ascii="Times New Roman" w:hAnsi="Times New Roman" w:eastAsia="宋体" w:cs="Times New Roman"/>
          <w:color w:val="000000"/>
          <w:sz w:val="24"/>
        </w:rPr>
      </w:r>
      <w:r/>
    </w:p>
    <w:p>
      <w:pPr>
        <w:pStyle w:val="1006"/>
        <w:numPr>
          <w:ilvl w:val="0"/>
          <w:numId w:val="58"/>
        </w:numPr>
        <w:ind w:left="0" w:firstLine="482"/>
        <w:tabs>
          <w:tab w:val="left" w:pos="842" w:leader="none"/>
        </w:tabs>
        <w:rPr>
          <w:b/>
        </w:rPr>
      </w:pPr>
      <w:r/>
      <w:bookmarkStart w:id="637" w:name="_Toc351203646"/>
      <w:r>
        <w:t xml:space="preserve">竣工结算</w:t>
      </w:r>
      <w:bookmarkEnd w:id="637"/>
      <w:r>
        <w:rPr>
          <w:b/>
        </w:rPr>
      </w:r>
      <w:r/>
    </w:p>
    <w:p>
      <w:pPr>
        <w:pStyle w:val="1007"/>
        <w:numPr>
          <w:ilvl w:val="0"/>
          <w:numId w:val="107"/>
        </w:numPr>
        <w:ind w:left="0" w:firstLine="482"/>
        <w:tabs>
          <w:tab w:val="left" w:pos="1021" w:leader="none"/>
        </w:tabs>
        <w:rPr>
          <w:b/>
        </w:rPr>
      </w:pPr>
      <w:r>
        <w:t xml:space="preserve">竣工结算申请</w:t>
      </w:r>
      <w:r>
        <w:rPr>
          <w:b/>
        </w:rPr>
      </w:r>
      <w:r/>
    </w:p>
    <w:p>
      <w:pPr>
        <w:pStyle w:val="1026"/>
        <w:ind w:left="0" w:firstLine="480"/>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承包人提交竣工结算申请单的期限：</w:t>
      </w:r>
      <w:r>
        <w:rPr>
          <w:rFonts w:ascii="Times New Roman" w:hAnsi="Times New Roman" w:eastAsia="宋体" w:cs="Times New Roman"/>
          <w:color w:val="000000"/>
          <w:sz w:val="24"/>
          <w:u w:val="single"/>
        </w:rPr>
        <w:t xml:space="preserve">工程竣工验收合格，经相关部门验收且工程竣工验收备案通过后30天内向发包人和监理人提交竣工结算申请单，并提交完整的结算资料。</w:t>
      </w:r>
      <w:r>
        <w:rPr>
          <w:rFonts w:ascii="Times New Roman" w:hAnsi="Times New Roman" w:eastAsia="宋体" w:cs="Times New Roman"/>
          <w:color w:val="000000"/>
          <w:sz w:val="24"/>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竣工结算申请单应包括的内容：</w:t>
      </w:r>
      <w:r>
        <w:rPr>
          <w:rFonts w:ascii="Times New Roman" w:hAnsi="Times New Roman" w:eastAsia="宋体" w:cs="Times New Roman"/>
          <w:color w:val="000000"/>
          <w:sz w:val="24"/>
          <w:u w:val="single"/>
        </w:rPr>
        <w:t xml:space="preserve">按通用条款，提交的竣工结算资料必须完整，发包人不分次接收竣工结算资料；承包人逾期提交结算资料，造成竣工结算迟延支付的，发包人不承担违约责任。</w:t>
      </w:r>
      <w:r>
        <w:rPr>
          <w:rFonts w:ascii="Times New Roman" w:hAnsi="Times New Roman" w:eastAsia="宋体" w:cs="Times New Roman"/>
          <w:color w:val="000000"/>
          <w:sz w:val="24"/>
          <w:u w:val="single"/>
        </w:rPr>
      </w:r>
      <w:r/>
    </w:p>
    <w:p>
      <w:pPr>
        <w:pStyle w:val="1007"/>
        <w:numPr>
          <w:ilvl w:val="0"/>
          <w:numId w:val="107"/>
        </w:numPr>
        <w:ind w:left="0" w:firstLine="482"/>
        <w:tabs>
          <w:tab w:val="left" w:pos="1021" w:leader="none"/>
        </w:tabs>
        <w:rPr>
          <w:b/>
        </w:rPr>
      </w:pPr>
      <w:r/>
      <w:bookmarkStart w:id="638" w:name="_Toc6846"/>
      <w:r>
        <w:t xml:space="preserve">竣工结算审核</w:t>
      </w:r>
      <w:bookmarkEnd w:id="638"/>
      <w:r>
        <w:rPr>
          <w:b/>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发包人审批竣工付款申请单的期限：</w:t>
      </w:r>
      <w:r>
        <w:rPr>
          <w:rFonts w:ascii="Times New Roman" w:hAnsi="Times New Roman" w:eastAsia="宋体" w:cs="Times New Roman"/>
          <w:color w:val="000000"/>
          <w:sz w:val="24"/>
          <w:u w:val="single"/>
        </w:rPr>
        <w:t xml:space="preserve">承包人应在工程竣工验收后3- 6个月内提供完整的竣工结算报告及结算资料，发包人收到承包人递交的完整竣工结算报告及结算资料后6个月内审计完成，承包人应积极配合审计并及时给予修正和确认，承包人不配合、不及时修正、不及时确认的，发包人有权相应顺延审计期；竣工结算的审计单位为发包人指定的具有相应资质的审计单位。</w:t>
      </w:r>
      <w:r>
        <w:rPr>
          <w:rFonts w:ascii="Times New Roman" w:hAnsi="Times New Roman" w:eastAsia="宋体" w:cs="Times New Roman"/>
          <w:color w:val="000000"/>
          <w:sz w:val="24"/>
          <w:u w:val="single"/>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发包人完成竣工付款的期限：</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关于竣工付款证书异议部分复核的方式和程序：</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7"/>
        <w:numPr>
          <w:ilvl w:val="0"/>
          <w:numId w:val="107"/>
        </w:numPr>
        <w:ind w:left="0" w:firstLine="482"/>
        <w:tabs>
          <w:tab w:val="left" w:pos="1021" w:leader="none"/>
        </w:tabs>
        <w:rPr>
          <w:b/>
        </w:rPr>
      </w:pPr>
      <w:r>
        <w:t xml:space="preserve">最终结清</w:t>
      </w:r>
      <w:r>
        <w:rPr>
          <w:b/>
        </w:rPr>
      </w:r>
      <w:r/>
    </w:p>
    <w:p>
      <w:pPr>
        <w:pStyle w:val="1008"/>
        <w:numPr>
          <w:ilvl w:val="0"/>
          <w:numId w:val="108"/>
        </w:numPr>
        <w:ind w:left="0" w:firstLine="482"/>
        <w:tabs>
          <w:tab w:val="left" w:pos="1201" w:leader="none"/>
        </w:tabs>
        <w:rPr>
          <w:b/>
        </w:rPr>
      </w:pPr>
      <w:r>
        <w:t xml:space="preserve">最终结清申请单</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承包人提交最终结清申请单的份数：</w:t>
      </w:r>
      <w:r>
        <w:rPr>
          <w:rFonts w:ascii="Times New Roman" w:hAnsi="Times New Roman" w:eastAsia="宋体" w:cs="Times New Roman"/>
          <w:color w:val="000000"/>
          <w:sz w:val="24"/>
          <w:u w:val="single"/>
        </w:rPr>
        <w:t xml:space="preserve">四份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承包人提交最终结算申请单的期限：</w:t>
      </w:r>
      <w:r>
        <w:rPr>
          <w:rFonts w:ascii="Times New Roman" w:hAnsi="Times New Roman" w:eastAsia="宋体" w:cs="Times New Roman"/>
          <w:color w:val="000000"/>
          <w:sz w:val="24"/>
          <w:u w:val="single"/>
        </w:rPr>
        <w:t xml:space="preserve">质量保修期满</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p>
      <w:pPr>
        <w:pStyle w:val="1008"/>
        <w:numPr>
          <w:ilvl w:val="0"/>
          <w:numId w:val="108"/>
        </w:numPr>
        <w:ind w:left="0" w:firstLine="482"/>
        <w:tabs>
          <w:tab w:val="left" w:pos="1201" w:leader="none"/>
        </w:tabs>
        <w:rPr>
          <w:b/>
        </w:rPr>
      </w:pPr>
      <w:r>
        <w:t xml:space="preserve">最终结清证书和支付</w:t>
      </w:r>
      <w:r>
        <w:rPr>
          <w:b/>
        </w:rPr>
      </w:r>
      <w:r/>
    </w:p>
    <w:p>
      <w:pPr>
        <w:pStyle w:val="1026"/>
        <w:numPr>
          <w:ilvl w:val="0"/>
          <w:numId w:val="109"/>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发包人完成最终结清申请单的审批并颁发最终结清证书的期限：</w:t>
      </w:r>
      <w:r>
        <w:rPr>
          <w:rFonts w:ascii="Times New Roman" w:hAnsi="Times New Roman" w:eastAsia="宋体" w:cs="Times New Roman"/>
          <w:color w:val="000000"/>
          <w:sz w:val="24"/>
          <w:u w:val="single"/>
        </w:rPr>
        <w:t xml:space="preserve">收到申请28天内</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rPr>
      </w:r>
      <w:r/>
    </w:p>
    <w:p>
      <w:pPr>
        <w:pStyle w:val="1026"/>
        <w:numPr>
          <w:ilvl w:val="0"/>
          <w:numId w:val="109"/>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发包人完成支付的期限：</w:t>
      </w:r>
      <w:r>
        <w:rPr>
          <w:rFonts w:ascii="Times New Roman" w:hAnsi="Times New Roman" w:eastAsia="宋体" w:cs="Times New Roman"/>
          <w:color w:val="000000"/>
          <w:sz w:val="24"/>
          <w:u w:val="single"/>
        </w:rPr>
        <w:t xml:space="preserve">申请签发14天内</w:t>
      </w:r>
      <w:r>
        <w:rPr>
          <w:rFonts w:ascii="Times New Roman" w:hAnsi="Times New Roman" w:eastAsia="宋体" w:cs="Times New Roman"/>
          <w:color w:val="000000"/>
          <w:sz w:val="24"/>
        </w:rPr>
        <w:t xml:space="preserve">。</w:t>
      </w:r>
      <w:bookmarkEnd w:id="621"/>
      <w:r/>
      <w:bookmarkEnd w:id="622"/>
      <w:r/>
      <w:bookmarkEnd w:id="623"/>
      <w:r/>
      <w:bookmarkEnd w:id="624"/>
      <w:r/>
      <w:bookmarkEnd w:id="625"/>
      <w:r/>
      <w:bookmarkEnd w:id="626"/>
      <w:r/>
      <w:bookmarkEnd w:id="627"/>
      <w:r/>
      <w:bookmarkEnd w:id="632"/>
      <w:r>
        <w:rPr>
          <w:rFonts w:hint="eastAsia" w:ascii="宋体" w:hAnsi="宋体" w:eastAsia="宋体" w:cs="宋体"/>
          <w:b w:val="0"/>
          <w:color w:val="000000"/>
          <w:sz w:val="24"/>
        </w:rPr>
      </w:r>
      <w:r/>
    </w:p>
    <w:p>
      <w:pPr>
        <w:pStyle w:val="1006"/>
        <w:numPr>
          <w:ilvl w:val="0"/>
          <w:numId w:val="58"/>
        </w:numPr>
        <w:ind w:left="0" w:firstLine="482"/>
        <w:tabs>
          <w:tab w:val="left" w:pos="842" w:leader="none"/>
        </w:tabs>
        <w:rPr>
          <w:b/>
        </w:rPr>
      </w:pPr>
      <w:r/>
      <w:bookmarkStart w:id="639" w:name="_Toc267251494"/>
      <w:r/>
      <w:bookmarkStart w:id="640" w:name="_Toc267251491"/>
      <w:r/>
      <w:bookmarkStart w:id="641" w:name="_Toc267251492"/>
      <w:r/>
      <w:bookmarkStart w:id="642" w:name="_Toc267251484"/>
      <w:r/>
      <w:bookmarkStart w:id="643" w:name="_Toc267251482"/>
      <w:r/>
      <w:bookmarkStart w:id="644" w:name="_Toc267251485"/>
      <w:r/>
      <w:bookmarkStart w:id="645" w:name="_Toc267251490"/>
      <w:r/>
      <w:bookmarkStart w:id="646" w:name="_Toc267251489"/>
      <w:r/>
      <w:bookmarkStart w:id="647" w:name="_Toc267251488"/>
      <w:r/>
      <w:bookmarkStart w:id="648" w:name="_Toc267251486"/>
      <w:r/>
      <w:bookmarkStart w:id="649" w:name="_Toc267251498"/>
      <w:r/>
      <w:bookmarkStart w:id="650" w:name="_Toc267251502"/>
      <w:r/>
      <w:bookmarkStart w:id="651" w:name="_Toc267251503"/>
      <w:r/>
      <w:bookmarkStart w:id="652" w:name="_Toc267251495"/>
      <w:r/>
      <w:bookmarkStart w:id="653" w:name="_Toc351203647"/>
      <w:r/>
      <w:bookmarkStart w:id="654" w:name="_Toc267251501"/>
      <w:r/>
      <w:bookmarkStart w:id="655" w:name="_Toc267251499"/>
      <w:r/>
      <w:bookmarkStart w:id="656" w:name="_Toc267251493"/>
      <w:r/>
      <w:bookmarkStart w:id="657" w:name="_Toc267251497"/>
      <w:r/>
      <w:bookmarkStart w:id="658" w:name="_Toc267251496"/>
      <w:r/>
      <w:bookmarkStart w:id="659" w:name="_Toc267251506"/>
      <w:r/>
      <w:bookmarkStart w:id="660" w:name="_Toc267251504"/>
      <w:r/>
      <w:bookmarkStart w:id="661" w:name="_Toc267251507"/>
      <w:r/>
      <w:bookmarkStart w:id="662" w:name="_Toc267251508"/>
      <w:r/>
      <w:bookmarkStart w:id="663" w:name="_Toc267251515"/>
      <w:r/>
      <w:bookmarkStart w:id="664" w:name="_Toc267251510"/>
      <w:r/>
      <w:bookmarkStart w:id="665" w:name="_Toc267251514"/>
      <w:r/>
      <w:bookmarkStart w:id="666" w:name="_Toc267251509"/>
      <w:r/>
      <w:bookmarkStart w:id="667" w:name="_Toc267251511"/>
      <w:r/>
      <w:bookmarkStart w:id="668" w:name="_Toc267251513"/>
      <w:r/>
      <w:bookmarkStart w:id="669" w:name="_Toc267251483"/>
      <w:r>
        <w:t xml:space="preserve">缺陷责任期与保修</w:t>
      </w:r>
      <w:bookmarkEnd w:id="653"/>
      <w:r>
        <w:rPr>
          <w:b/>
        </w:rPr>
      </w:r>
      <w:r/>
    </w:p>
    <w:p>
      <w:pPr>
        <w:pStyle w:val="1007"/>
        <w:numPr>
          <w:ilvl w:val="0"/>
          <w:numId w:val="110"/>
        </w:numPr>
        <w:ind w:left="0" w:firstLine="482"/>
        <w:tabs>
          <w:tab w:val="left" w:pos="1083" w:leader="none"/>
        </w:tabs>
        <w:rPr>
          <w:rFonts w:hint="eastAsia" w:ascii="宋体" w:hAnsi="宋体" w:eastAsia="宋体" w:cs="宋体"/>
          <w:b/>
        </w:rPr>
      </w:pPr>
      <w:r>
        <w:t xml:space="preserve">缺陷责任期</w:t>
      </w:r>
      <w:bookmarkEnd w:id="669"/>
      <w:r>
        <w:rPr>
          <w:rFonts w:hint="eastAsia" w:ascii="宋体" w:hAnsi="宋体" w:eastAsia="宋体" w:cs="宋体"/>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缺陷责任期的具体期限：</w:t>
      </w:r>
      <w:r>
        <w:rPr>
          <w:rFonts w:ascii="Times New Roman" w:hAnsi="Times New Roman" w:eastAsia="宋体" w:cs="Times New Roman"/>
          <w:color w:val="000000"/>
          <w:sz w:val="24"/>
          <w:u w:val="single"/>
        </w:rPr>
        <w:t xml:space="preserve">24个月</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7"/>
        <w:numPr>
          <w:ilvl w:val="0"/>
          <w:numId w:val="110"/>
        </w:numPr>
        <w:ind w:left="0" w:firstLine="482"/>
        <w:tabs>
          <w:tab w:val="left" w:pos="1083" w:leader="none"/>
        </w:tabs>
        <w:rPr>
          <w:b/>
        </w:rPr>
      </w:pPr>
      <w:r/>
      <w:bookmarkStart w:id="670" w:name="_Toc27683"/>
      <w:r>
        <w:t xml:space="preserve">质量保证金</w:t>
      </w:r>
      <w:bookmarkEnd w:id="670"/>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关于是否扣留质量保证金的约定： </w:t>
      </w:r>
      <w:r>
        <w:rPr>
          <w:rFonts w:ascii="Times New Roman" w:hAnsi="Times New Roman" w:eastAsia="宋体" w:cs="Times New Roman"/>
          <w:color w:val="000000"/>
          <w:sz w:val="24"/>
          <w:u w:val="single"/>
        </w:rPr>
        <w:t xml:space="preserve"> 扣留  </w:t>
      </w:r>
      <w:r>
        <w:rPr>
          <w:rFonts w:ascii="Times New Roman" w:hAnsi="Times New Roman" w:eastAsia="宋体" w:cs="Times New Roman"/>
          <w:color w:val="000000"/>
          <w:sz w:val="24"/>
        </w:rPr>
        <w:t xml:space="preserve"> 。在工程项目竣工前，承包人按专用合同条款第3.7条提供履约担保的，发包人不得同时预留工程质量保证金。</w:t>
      </w:r>
      <w:r>
        <w:rPr>
          <w:rFonts w:ascii="Times New Roman" w:hAnsi="Times New Roman" w:eastAsia="宋体" w:cs="Times New Roman"/>
          <w:color w:val="000000"/>
          <w:sz w:val="24"/>
        </w:rPr>
      </w:r>
      <w:r/>
    </w:p>
    <w:p>
      <w:pPr>
        <w:pStyle w:val="1008"/>
        <w:numPr>
          <w:ilvl w:val="0"/>
          <w:numId w:val="111"/>
        </w:numPr>
        <w:ind w:left="0" w:firstLine="482"/>
        <w:tabs>
          <w:tab w:val="left" w:pos="1201" w:leader="none"/>
        </w:tabs>
        <w:rPr>
          <w:b/>
        </w:rPr>
      </w:pPr>
      <w:r/>
      <w:bookmarkStart w:id="671" w:name="_Toc8790"/>
      <w:r>
        <w:t xml:space="preserve">承包人提供质量保证金的方式</w:t>
      </w:r>
      <w:bookmarkEnd w:id="671"/>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质量保证金采用以下第</w:t>
      </w:r>
      <w:r>
        <w:rPr>
          <w:rFonts w:ascii="Times New Roman" w:hAnsi="Times New Roman" w:eastAsia="宋体" w:cs="Times New Roman"/>
          <w:color w:val="000000"/>
          <w:sz w:val="24"/>
          <w:u w:val="single"/>
        </w:rPr>
        <w:t xml:space="preserve"> 2</w:t>
      </w:r>
      <w:r>
        <w:rPr>
          <w:rFonts w:ascii="Times New Roman" w:hAnsi="Times New Roman" w:eastAsia="宋体" w:cs="Times New Roman"/>
          <w:color w:val="000000"/>
          <w:sz w:val="24"/>
        </w:rPr>
        <w:t xml:space="preserve">种方式：</w:t>
      </w:r>
      <w:r>
        <w:rPr>
          <w:rFonts w:ascii="Times New Roman" w:hAnsi="Times New Roman" w:eastAsia="宋体" w:cs="Times New Roman"/>
          <w:color w:val="000000"/>
          <w:sz w:val="24"/>
        </w:rPr>
      </w:r>
      <w:r/>
    </w:p>
    <w:p>
      <w:pPr>
        <w:pStyle w:val="1026"/>
        <w:numPr>
          <w:ilvl w:val="0"/>
          <w:numId w:val="112"/>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质量保证金保函，保证金额为：</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 </w:t>
      </w:r>
      <w:r>
        <w:rPr>
          <w:rFonts w:hint="eastAsia" w:ascii="宋体" w:hAnsi="宋体" w:eastAsia="宋体" w:cs="宋体"/>
          <w:b w:val="0"/>
          <w:color w:val="000000"/>
          <w:sz w:val="24"/>
        </w:rPr>
      </w:r>
      <w:r/>
    </w:p>
    <w:p>
      <w:pPr>
        <w:pStyle w:val="1026"/>
        <w:numPr>
          <w:ilvl w:val="0"/>
          <w:numId w:val="112"/>
        </w:numPr>
        <w:ind w:left="0" w:firstLine="480"/>
        <w:tabs>
          <w:tab w:val="left" w:pos="1080" w:leader="none"/>
        </w:tabs>
        <w:rPr>
          <w:rFonts w:ascii="Times New Roman" w:hAnsi="Times New Roman" w:eastAsia="宋体" w:cs="Times New Roman"/>
          <w:b w:val="0"/>
          <w:color w:val="000000"/>
          <w:sz w:val="24"/>
        </w:rPr>
      </w:pPr>
      <w:r>
        <w:rPr>
          <w:rFonts w:ascii="Times New Roman" w:hAnsi="Times New Roman" w:eastAsia="宋体" w:cs="Times New Roman"/>
          <w:color w:val="000000"/>
          <w:sz w:val="24"/>
          <w:u w:val="single"/>
        </w:rPr>
        <w:t xml:space="preserve">3 </w:t>
      </w:r>
      <w:r>
        <w:rPr>
          <w:rFonts w:ascii="Times New Roman" w:hAnsi="Times New Roman" w:eastAsia="宋体" w:cs="Times New Roman"/>
          <w:color w:val="000000"/>
          <w:sz w:val="24"/>
        </w:rPr>
        <w:t xml:space="preserve">%的工程款；</w:t>
      </w:r>
      <w:r>
        <w:rPr>
          <w:rFonts w:ascii="Times New Roman" w:hAnsi="Times New Roman" w:eastAsia="宋体" w:cs="Times New Roman"/>
          <w:b w:val="0"/>
          <w:color w:val="000000"/>
          <w:sz w:val="24"/>
        </w:rPr>
      </w:r>
      <w:r/>
    </w:p>
    <w:p>
      <w:pPr>
        <w:pStyle w:val="1026"/>
        <w:numPr>
          <w:ilvl w:val="0"/>
          <w:numId w:val="112"/>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其他方式:</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rPr>
      </w:r>
      <w:r/>
    </w:p>
    <w:p>
      <w:pPr>
        <w:pStyle w:val="1008"/>
        <w:numPr>
          <w:ilvl w:val="0"/>
          <w:numId w:val="111"/>
        </w:numPr>
        <w:ind w:left="0" w:firstLine="482"/>
        <w:tabs>
          <w:tab w:val="left" w:pos="1201" w:leader="none"/>
        </w:tabs>
        <w:rPr>
          <w:b/>
        </w:rPr>
      </w:pPr>
      <w:r/>
      <w:bookmarkStart w:id="672" w:name="_Toc14219"/>
      <w:r>
        <w:t xml:space="preserve">质量保证金的扣留</w:t>
      </w:r>
      <w:bookmarkEnd w:id="672"/>
      <w:r>
        <w:t xml:space="preserve"> </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质量保证金的扣留采取以下第</w:t>
      </w:r>
      <w:r>
        <w:rPr>
          <w:rFonts w:ascii="Times New Roman" w:hAnsi="Times New Roman" w:eastAsia="宋体" w:cs="Times New Roman"/>
          <w:color w:val="000000"/>
          <w:sz w:val="24"/>
          <w:u w:val="single"/>
        </w:rPr>
        <w:t xml:space="preserve">2</w:t>
      </w:r>
      <w:r>
        <w:rPr>
          <w:rFonts w:ascii="Times New Roman" w:hAnsi="Times New Roman" w:eastAsia="宋体" w:cs="Times New Roman"/>
          <w:color w:val="000000"/>
          <w:sz w:val="24"/>
        </w:rPr>
        <w:t xml:space="preserve">种方式：</w:t>
      </w:r>
      <w:r>
        <w:rPr>
          <w:rFonts w:ascii="Times New Roman" w:hAnsi="Times New Roman" w:eastAsia="宋体" w:cs="Times New Roman"/>
          <w:color w:val="000000"/>
          <w:sz w:val="24"/>
        </w:rPr>
      </w:r>
      <w:r/>
    </w:p>
    <w:p>
      <w:pPr>
        <w:pStyle w:val="1026"/>
        <w:numPr>
          <w:ilvl w:val="0"/>
          <w:numId w:val="113"/>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在支付工程进度款时逐次扣留，在此情形下，质量保证金的计算基数不包括预付款的支付、扣回以及价格调整的金额；</w:t>
      </w:r>
      <w:r>
        <w:rPr>
          <w:rFonts w:hint="eastAsia" w:ascii="宋体" w:hAnsi="宋体" w:eastAsia="宋体" w:cs="宋体"/>
          <w:b w:val="0"/>
          <w:color w:val="000000"/>
          <w:sz w:val="24"/>
        </w:rPr>
      </w:r>
      <w:r/>
    </w:p>
    <w:p>
      <w:pPr>
        <w:pStyle w:val="1026"/>
        <w:numPr>
          <w:ilvl w:val="0"/>
          <w:numId w:val="113"/>
        </w:numPr>
        <w:ind w:left="0" w:firstLine="480"/>
        <w:tabs>
          <w:tab w:val="left" w:pos="1080" w:leader="none"/>
        </w:tabs>
        <w:rPr>
          <w:rFonts w:hint="eastAsia" w:ascii="宋体" w:hAnsi="宋体" w:eastAsia="宋体" w:cs="宋体"/>
          <w:b w:val="0"/>
          <w:color w:val="000000"/>
          <w:sz w:val="24"/>
        </w:rPr>
      </w:pPr>
      <w:r/>
      <w:bookmarkStart w:id="673" w:name="_Toc27572"/>
      <w:r>
        <w:rPr>
          <w:rFonts w:ascii="Times New Roman" w:hAnsi="Times New Roman" w:eastAsia="宋体" w:cs="Times New Roman"/>
          <w:color w:val="000000"/>
          <w:sz w:val="24"/>
        </w:rPr>
        <w:t xml:space="preserve">退回履约保证金后，在工程竣工结算时一次性扣留质量保证金；</w:t>
      </w:r>
      <w:bookmarkEnd w:id="673"/>
      <w:r>
        <w:rPr>
          <w:rFonts w:hint="eastAsia" w:ascii="宋体" w:hAnsi="宋体" w:eastAsia="宋体" w:cs="宋体"/>
          <w:b w:val="0"/>
          <w:color w:val="000000"/>
          <w:sz w:val="24"/>
        </w:rPr>
      </w:r>
      <w:r/>
    </w:p>
    <w:p>
      <w:pPr>
        <w:pStyle w:val="1026"/>
        <w:numPr>
          <w:ilvl w:val="0"/>
          <w:numId w:val="113"/>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其他扣留方式：</w:t>
      </w:r>
      <w:r>
        <w:rPr>
          <w:rFonts w:ascii="Times New Roman" w:hAnsi="Times New Roman" w:eastAsia="宋体" w:cs="Times New Roman"/>
          <w:color w:val="000000"/>
          <w:sz w:val="24"/>
          <w:u w:val="single"/>
        </w:rPr>
        <w:t xml:space="preserve"> / </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关于质量保证金的补充约定：</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bookmarkEnd w:id="642"/>
      <w:r/>
      <w:bookmarkEnd w:id="643"/>
      <w:r>
        <w:rPr>
          <w:rFonts w:ascii="Times New Roman" w:hAnsi="Times New Roman" w:eastAsia="宋体" w:cs="Times New Roman"/>
          <w:color w:val="000000"/>
          <w:sz w:val="24"/>
        </w:rPr>
      </w:r>
      <w:r/>
    </w:p>
    <w:p>
      <w:pPr>
        <w:pStyle w:val="1007"/>
        <w:numPr>
          <w:ilvl w:val="0"/>
          <w:numId w:val="110"/>
        </w:numPr>
        <w:ind w:left="0" w:firstLine="482"/>
        <w:tabs>
          <w:tab w:val="left" w:pos="1083" w:leader="none"/>
        </w:tabs>
        <w:rPr>
          <w:rFonts w:hint="eastAsia" w:ascii="宋体" w:hAnsi="宋体" w:eastAsia="宋体" w:cs="宋体"/>
          <w:b/>
        </w:rPr>
      </w:pPr>
      <w:r>
        <w:t xml:space="preserve">保修</w:t>
      </w:r>
      <w:bookmarkEnd w:id="644"/>
      <w:r>
        <w:rPr>
          <w:rFonts w:hint="eastAsia" w:ascii="宋体" w:hAnsi="宋体" w:eastAsia="宋体" w:cs="宋体"/>
          <w:b/>
        </w:rPr>
      </w:r>
      <w:r/>
    </w:p>
    <w:p>
      <w:pPr>
        <w:pStyle w:val="1008"/>
        <w:numPr>
          <w:ilvl w:val="0"/>
          <w:numId w:val="114"/>
        </w:numPr>
        <w:ind w:left="0" w:firstLine="482"/>
        <w:tabs>
          <w:tab w:val="left" w:pos="1201" w:leader="none"/>
        </w:tabs>
        <w:rPr>
          <w:b/>
        </w:rPr>
      </w:pPr>
      <w:r>
        <w:t xml:space="preserve">保修责任</w:t>
      </w:r>
      <w:r>
        <w:rPr>
          <w:b/>
        </w:rPr>
      </w:r>
      <w:r/>
    </w:p>
    <w:p>
      <w:pPr>
        <w:pStyle w:val="1026"/>
        <w:ind w:left="0" w:firstLine="480"/>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工程保修期为：</w:t>
      </w:r>
      <w:r>
        <w:rPr>
          <w:rFonts w:ascii="Times New Roman" w:hAnsi="Times New Roman" w:eastAsia="宋体" w:cs="Times New Roman"/>
          <w:color w:val="000000"/>
          <w:sz w:val="24"/>
          <w:u w:val="single"/>
        </w:rPr>
        <w:t xml:space="preserve">详见质量保修协议。</w:t>
      </w:r>
      <w:r>
        <w:rPr>
          <w:rFonts w:ascii="Times New Roman" w:hAnsi="Times New Roman" w:eastAsia="宋体" w:cs="Times New Roman"/>
          <w:color w:val="000000"/>
          <w:sz w:val="24"/>
          <w:u w:val="single"/>
        </w:rPr>
      </w:r>
      <w:r/>
    </w:p>
    <w:p>
      <w:pPr>
        <w:pStyle w:val="1008"/>
        <w:numPr>
          <w:ilvl w:val="0"/>
          <w:numId w:val="114"/>
        </w:numPr>
        <w:ind w:left="0" w:firstLine="482"/>
        <w:tabs>
          <w:tab w:val="left" w:pos="1201" w:leader="none"/>
        </w:tabs>
        <w:rPr>
          <w:b/>
        </w:rPr>
      </w:pPr>
      <w:r>
        <w:t xml:space="preserve">修复通知</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承包人收到保修通知并到达工程现场的合理时间：</w:t>
      </w:r>
      <w:r>
        <w:rPr>
          <w:rFonts w:ascii="Times New Roman" w:hAnsi="Times New Roman" w:eastAsia="宋体" w:cs="Times New Roman"/>
          <w:color w:val="000000"/>
          <w:sz w:val="24"/>
          <w:u w:val="single"/>
        </w:rPr>
        <w:t xml:space="preserve">详见质量保修协议。</w:t>
      </w:r>
      <w:bookmarkEnd w:id="645"/>
      <w:r/>
      <w:bookmarkEnd w:id="646"/>
      <w:r/>
      <w:bookmarkEnd w:id="647"/>
      <w:r/>
      <w:bookmarkEnd w:id="648"/>
      <w:r>
        <w:rPr>
          <w:rFonts w:ascii="Times New Roman" w:hAnsi="Times New Roman" w:eastAsia="宋体" w:cs="Times New Roman"/>
          <w:color w:val="000000"/>
          <w:sz w:val="24"/>
        </w:rPr>
      </w:r>
      <w:r/>
    </w:p>
    <w:p>
      <w:pPr>
        <w:pStyle w:val="1006"/>
        <w:numPr>
          <w:ilvl w:val="0"/>
          <w:numId w:val="58"/>
        </w:numPr>
        <w:ind w:left="0" w:firstLine="482"/>
        <w:tabs>
          <w:tab w:val="left" w:pos="842" w:leader="none"/>
        </w:tabs>
        <w:rPr>
          <w:b/>
        </w:rPr>
      </w:pPr>
      <w:r/>
      <w:bookmarkStart w:id="674" w:name="_Toc280868718"/>
      <w:r/>
      <w:bookmarkStart w:id="675" w:name="_Toc351203648"/>
      <w:r/>
      <w:bookmarkStart w:id="676" w:name="_Toc280868717"/>
      <w:r>
        <w:t xml:space="preserve">违约</w:t>
      </w:r>
      <w:bookmarkEnd w:id="675"/>
      <w:r>
        <w:rPr>
          <w:b/>
        </w:rPr>
      </w:r>
      <w:r/>
    </w:p>
    <w:p>
      <w:pPr>
        <w:pStyle w:val="1007"/>
        <w:numPr>
          <w:ilvl w:val="0"/>
          <w:numId w:val="115"/>
        </w:numPr>
        <w:ind w:left="0" w:firstLine="482"/>
        <w:tabs>
          <w:tab w:val="left" w:pos="1021" w:leader="none"/>
        </w:tabs>
        <w:rPr>
          <w:b/>
        </w:rPr>
      </w:pPr>
      <w:r/>
      <w:bookmarkStart w:id="677" w:name="_Toc25166"/>
      <w:r>
        <w:t xml:space="preserve">发包人违约</w:t>
      </w:r>
      <w:bookmarkEnd w:id="677"/>
      <w:r>
        <w:rPr>
          <w:b/>
        </w:rPr>
      </w:r>
      <w:r/>
    </w:p>
    <w:p>
      <w:pPr>
        <w:pStyle w:val="1008"/>
        <w:numPr>
          <w:ilvl w:val="0"/>
          <w:numId w:val="116"/>
        </w:numPr>
        <w:ind w:left="1327" w:hanging="845"/>
        <w:tabs>
          <w:tab w:val="left" w:pos="482" w:leader="none"/>
        </w:tabs>
        <w:rPr>
          <w:rFonts w:hint="eastAsia" w:ascii="宋体" w:hAnsi="宋体" w:eastAsia="宋体" w:cs="宋体"/>
          <w:b/>
        </w:rPr>
      </w:pPr>
      <w:r>
        <w:t xml:space="preserve">发包人违约的情形</w:t>
      </w:r>
      <w:r>
        <w:rPr>
          <w:rFonts w:hint="eastAsia" w:ascii="宋体" w:hAnsi="宋体" w:eastAsia="宋体" w:cs="宋体"/>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发包人违约的其他情形：</w:t>
      </w:r>
      <w:r>
        <w:rPr>
          <w:rFonts w:ascii="Times New Roman" w:hAnsi="Times New Roman" w:eastAsia="宋体" w:cs="Times New Roman"/>
          <w:color w:val="000000"/>
          <w:sz w:val="24"/>
          <w:u w:val="single"/>
        </w:rPr>
        <w:t xml:space="preserve">  /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8"/>
        <w:numPr>
          <w:ilvl w:val="0"/>
          <w:numId w:val="116"/>
        </w:numPr>
        <w:ind w:left="1327" w:hanging="845"/>
        <w:tabs>
          <w:tab w:val="left" w:pos="482" w:leader="none"/>
        </w:tabs>
        <w:rPr>
          <w:b/>
        </w:rPr>
      </w:pPr>
      <w:r>
        <w:t xml:space="preserve">发包人违约的责任</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发包人违约责任的承担方式和计算方法：</w:t>
      </w:r>
      <w:r>
        <w:rPr>
          <w:rFonts w:ascii="Times New Roman" w:hAnsi="Times New Roman" w:eastAsia="宋体" w:cs="Times New Roman"/>
          <w:color w:val="000000"/>
          <w:sz w:val="24"/>
        </w:rPr>
      </w:r>
      <w:r/>
    </w:p>
    <w:p>
      <w:pPr>
        <w:pStyle w:val="1026"/>
        <w:numPr>
          <w:ilvl w:val="0"/>
          <w:numId w:val="117"/>
        </w:numPr>
        <w:ind w:left="0" w:firstLine="480"/>
        <w:tabs>
          <w:tab w:val="left" w:pos="108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rPr>
        <w:t xml:space="preserve">因发包人原因未能在计划开工日期前7天内下达开工通知的违约责任：</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u w:val="single"/>
        </w:rPr>
      </w:r>
      <w:r/>
    </w:p>
    <w:p>
      <w:pPr>
        <w:pStyle w:val="1026"/>
        <w:numPr>
          <w:ilvl w:val="0"/>
          <w:numId w:val="117"/>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因发包人原因未能按合同约定支付合同价款的违约责任：</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rPr>
      </w:r>
      <w:r/>
    </w:p>
    <w:p>
      <w:pPr>
        <w:pStyle w:val="1026"/>
        <w:numPr>
          <w:ilvl w:val="0"/>
          <w:numId w:val="117"/>
        </w:numPr>
        <w:ind w:left="0" w:firstLine="480"/>
        <w:widowControl/>
        <w:tabs>
          <w:tab w:val="left" w:pos="108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rPr>
        <w:t xml:space="preserve">发包人违反第10.1款〔变更的范围〕第（2）项约定，自行实施被取消的工作或转由他人实施的违约责任：</w:t>
      </w:r>
      <w:r>
        <w:rPr>
          <w:rFonts w:ascii="Times New Roman" w:hAnsi="Times New Roman" w:eastAsia="宋体" w:cs="Times New Roman"/>
          <w:color w:val="000000"/>
          <w:sz w:val="24"/>
          <w:u w:val="single"/>
        </w:rPr>
        <w:t xml:space="preserve">发包人有权根据实际情况增减部分工程量，承包人对此不提出索赔</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u w:val="single"/>
        </w:rPr>
      </w:r>
      <w:r/>
    </w:p>
    <w:p>
      <w:pPr>
        <w:pStyle w:val="1026"/>
        <w:numPr>
          <w:ilvl w:val="0"/>
          <w:numId w:val="117"/>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发包人提供的材料、工程设备的规格、数量或质量不符合合同约定，或因发包人原因导致交货日期延误或交货地点变更等情况的违约责任：</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rPr>
      </w:r>
      <w:r/>
    </w:p>
    <w:p>
      <w:pPr>
        <w:pStyle w:val="1026"/>
        <w:numPr>
          <w:ilvl w:val="0"/>
          <w:numId w:val="117"/>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因发包人违反合同约定造成暂停施工的违约责任：</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rPr>
      </w:r>
      <w:r/>
    </w:p>
    <w:p>
      <w:pPr>
        <w:pStyle w:val="1026"/>
        <w:numPr>
          <w:ilvl w:val="0"/>
          <w:numId w:val="117"/>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发包人无正当理由没有在约定期限内发出复工指示，导致承包人无法复工的违约责任：</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rPr>
      </w:r>
      <w:r/>
    </w:p>
    <w:p>
      <w:pPr>
        <w:pStyle w:val="1026"/>
        <w:numPr>
          <w:ilvl w:val="0"/>
          <w:numId w:val="117"/>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其他：</w:t>
      </w:r>
      <w:r>
        <w:rPr>
          <w:rFonts w:ascii="Times New Roman" w:hAnsi="Times New Roman" w:eastAsia="宋体" w:cs="Times New Roman"/>
          <w:color w:val="000000"/>
          <w:sz w:val="24"/>
          <w:u w:val="single"/>
        </w:rPr>
        <w:t xml:space="preserve">/</w:t>
      </w:r>
      <w:r>
        <w:rPr>
          <w:rFonts w:ascii="Times New Roman" w:hAnsi="Times New Roman" w:eastAsia="宋体" w:cs="Times New Roman"/>
          <w:color w:val="000000"/>
          <w:sz w:val="24"/>
        </w:rPr>
        <w:t xml:space="preserve">。</w:t>
      </w:r>
      <w:r>
        <w:rPr>
          <w:rFonts w:hint="eastAsia" w:ascii="宋体" w:hAnsi="宋体" w:eastAsia="宋体" w:cs="宋体"/>
          <w:b w:val="0"/>
          <w:color w:val="000000"/>
          <w:sz w:val="24"/>
        </w:rPr>
      </w:r>
      <w:r/>
    </w:p>
    <w:p>
      <w:pPr>
        <w:pStyle w:val="1008"/>
        <w:numPr>
          <w:ilvl w:val="0"/>
          <w:numId w:val="116"/>
        </w:numPr>
        <w:ind w:left="1327" w:hanging="845"/>
        <w:tabs>
          <w:tab w:val="left" w:pos="482" w:leader="none"/>
        </w:tabs>
        <w:rPr>
          <w:b/>
        </w:rPr>
      </w:pPr>
      <w:r>
        <w:t xml:space="preserve">因发包人违约解除合同</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承包人按16.1.1项〔发包人违约的情形〕约定暂停施工满</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天后发包人仍不纠正其违约行为并致使合同目的不能实现的，承包人有权解除合同。</w:t>
      </w:r>
      <w:r>
        <w:rPr>
          <w:rFonts w:ascii="Times New Roman" w:hAnsi="Times New Roman" w:eastAsia="宋体" w:cs="Times New Roman"/>
          <w:color w:val="000000"/>
          <w:sz w:val="24"/>
        </w:rPr>
      </w:r>
      <w:r/>
    </w:p>
    <w:p>
      <w:pPr>
        <w:pStyle w:val="1007"/>
        <w:numPr>
          <w:ilvl w:val="0"/>
          <w:numId w:val="115"/>
        </w:numPr>
        <w:ind w:left="0" w:firstLine="482"/>
        <w:tabs>
          <w:tab w:val="left" w:pos="1021" w:leader="none"/>
        </w:tabs>
        <w:rPr>
          <w:b/>
        </w:rPr>
      </w:pPr>
      <w:r/>
      <w:bookmarkStart w:id="678" w:name="_Toc14831"/>
      <w:r>
        <w:t xml:space="preserve">承包人违约</w:t>
      </w:r>
      <w:bookmarkEnd w:id="678"/>
      <w:r>
        <w:rPr>
          <w:b/>
        </w:rPr>
      </w:r>
      <w:r/>
    </w:p>
    <w:p>
      <w:pPr>
        <w:pStyle w:val="1008"/>
        <w:numPr>
          <w:ilvl w:val="0"/>
          <w:numId w:val="118"/>
        </w:numPr>
        <w:ind w:left="0" w:firstLine="482"/>
        <w:tabs>
          <w:tab w:val="left" w:pos="1201" w:leader="none"/>
        </w:tabs>
        <w:rPr>
          <w:b/>
        </w:rPr>
      </w:pPr>
      <w:r>
        <w:t xml:space="preserve">承包人违约的情形</w:t>
      </w:r>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承包人违约的其他情形：</w:t>
      </w:r>
      <w:r>
        <w:rPr>
          <w:rFonts w:ascii="Times New Roman" w:hAnsi="Times New Roman" w:eastAsia="宋体" w:cs="Times New Roman"/>
          <w:color w:val="000000"/>
          <w:sz w:val="24"/>
          <w:u w:val="single"/>
        </w:rPr>
        <w:t xml:space="preserve">按本合同16.2.2条及其它条款的约定。</w:t>
      </w:r>
      <w:r>
        <w:rPr>
          <w:rFonts w:ascii="Times New Roman" w:hAnsi="Times New Roman" w:eastAsia="宋体" w:cs="Times New Roman"/>
          <w:color w:val="000000"/>
          <w:sz w:val="24"/>
        </w:rPr>
      </w:r>
      <w:r/>
    </w:p>
    <w:p>
      <w:pPr>
        <w:pStyle w:val="1008"/>
        <w:numPr>
          <w:ilvl w:val="0"/>
          <w:numId w:val="118"/>
        </w:numPr>
        <w:ind w:left="0" w:firstLine="482"/>
        <w:tabs>
          <w:tab w:val="left" w:pos="1201" w:leader="none"/>
        </w:tabs>
        <w:rPr>
          <w:rFonts w:hint="eastAsia" w:ascii="宋体" w:hAnsi="宋体" w:eastAsia="宋体" w:cs="宋体"/>
          <w:b/>
        </w:rPr>
      </w:pPr>
      <w:r>
        <w:t xml:space="preserve">承包人违约的责任</w:t>
      </w:r>
      <w:r>
        <w:rPr>
          <w:rFonts w:hint="eastAsia" w:ascii="宋体" w:hAnsi="宋体" w:eastAsia="宋体" w:cs="宋体"/>
          <w:b/>
        </w:rPr>
      </w:r>
      <w:r/>
    </w:p>
    <w:p>
      <w:pPr>
        <w:pStyle w:val="1026"/>
        <w:ind w:left="0" w:firstLine="480"/>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承包人违约责任的承担方式和计算方法：</w:t>
      </w:r>
      <w:r>
        <w:rPr>
          <w:rFonts w:ascii="Times New Roman" w:hAnsi="Times New Roman" w:eastAsia="宋体" w:cs="Times New Roman"/>
          <w:color w:val="000000"/>
          <w:sz w:val="24"/>
        </w:rPr>
      </w:r>
      <w:r/>
    </w:p>
    <w:p>
      <w:pPr>
        <w:pStyle w:val="1026"/>
        <w:numPr>
          <w:ilvl w:val="0"/>
          <w:numId w:val="119"/>
        </w:numPr>
        <w:ind w:left="0" w:firstLine="480"/>
        <w:widowControl/>
        <w:tabs>
          <w:tab w:val="left" w:pos="7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承包人明确表示或者以其行为表明不</w:t>
      </w:r>
      <w:r>
        <w:rPr>
          <w:rFonts w:ascii="Times New Roman" w:hAnsi="Times New Roman" w:eastAsia="宋体" w:cs="Times New Roman"/>
          <w:color w:val="000000"/>
          <w:sz w:val="24"/>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rPr>
          <w:rFonts w:ascii="Times New Roman" w:hAnsi="Times New Roman" w:eastAsia="宋体" w:cs="Times New Roman"/>
          <w:b w:val="0"/>
          <w:color w:val="000000"/>
          <w:sz w:val="24"/>
          <w:u w:val="single"/>
        </w:rPr>
      </w:r>
      <w:r/>
    </w:p>
    <w:p>
      <w:pPr>
        <w:pStyle w:val="1026"/>
        <w:numPr>
          <w:ilvl w:val="0"/>
          <w:numId w:val="119"/>
        </w:numPr>
        <w:ind w:left="0" w:firstLine="480"/>
        <w:widowControl/>
        <w:tabs>
          <w:tab w:val="left" w:pos="7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合同约定的工程施工管理和工程结算审核、工程交付使用中的扣罚款应由双方当场及时履行，承包人不履行的发包人有权要求停止施工或在履约保证金中或在支付工程款时按扣罚额的双倍扣除。</w:t>
      </w:r>
      <w:r>
        <w:rPr>
          <w:rFonts w:ascii="Times New Roman" w:hAnsi="Times New Roman" w:eastAsia="宋体" w:cs="Times New Roman"/>
          <w:b w:val="0"/>
          <w:color w:val="000000"/>
          <w:sz w:val="24"/>
          <w:u w:val="single"/>
        </w:rPr>
      </w:r>
      <w:r/>
    </w:p>
    <w:p>
      <w:pPr>
        <w:pStyle w:val="1026"/>
        <w:numPr>
          <w:ilvl w:val="0"/>
          <w:numId w:val="119"/>
        </w:numPr>
        <w:ind w:left="0" w:firstLine="480"/>
        <w:widowControl/>
        <w:tabs>
          <w:tab w:val="left" w:pos="7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rPr>
          <w:rFonts w:ascii="Times New Roman" w:hAnsi="Times New Roman" w:eastAsia="宋体" w:cs="Times New Roman"/>
          <w:b w:val="0"/>
          <w:color w:val="000000"/>
          <w:sz w:val="24"/>
          <w:u w:val="single"/>
        </w:rPr>
      </w:r>
      <w:r/>
    </w:p>
    <w:p>
      <w:pPr>
        <w:pStyle w:val="1026"/>
        <w:numPr>
          <w:ilvl w:val="0"/>
          <w:numId w:val="119"/>
        </w:numPr>
        <w:ind w:left="0" w:firstLine="480"/>
        <w:widowControl/>
        <w:tabs>
          <w:tab w:val="left" w:pos="7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rPr>
          <w:rFonts w:ascii="Times New Roman" w:hAnsi="Times New Roman" w:eastAsia="宋体" w:cs="Times New Roman"/>
          <w:b w:val="0"/>
          <w:color w:val="000000"/>
          <w:sz w:val="24"/>
          <w:u w:val="single"/>
        </w:rPr>
      </w:r>
      <w:r/>
    </w:p>
    <w:p>
      <w:pPr>
        <w:pStyle w:val="1026"/>
        <w:numPr>
          <w:ilvl w:val="0"/>
          <w:numId w:val="119"/>
        </w:numPr>
        <w:ind w:left="0" w:firstLine="480"/>
        <w:widowControl/>
        <w:tabs>
          <w:tab w:val="left" w:pos="7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万—3万元的违约金，每发生一起重大质量事故，承包人除接受政府相关部门的处罚外，还应向发包人承担10万元的违约金。同时，承包人应无条件返工至合格并采取措施消除不良影响。</w:t>
      </w:r>
      <w:r>
        <w:rPr>
          <w:rFonts w:ascii="Times New Roman" w:hAnsi="Times New Roman" w:eastAsia="宋体" w:cs="Times New Roman"/>
          <w:b w:val="0"/>
          <w:color w:val="000000"/>
          <w:sz w:val="24"/>
          <w:u w:val="single"/>
        </w:rPr>
      </w:r>
      <w:r/>
    </w:p>
    <w:p>
      <w:pPr>
        <w:pStyle w:val="1026"/>
        <w:numPr>
          <w:ilvl w:val="0"/>
          <w:numId w:val="119"/>
        </w:numPr>
        <w:ind w:left="0" w:firstLine="480"/>
        <w:widowControl/>
        <w:tabs>
          <w:tab w:val="left" w:pos="7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rPr>
          <w:rFonts w:ascii="Times New Roman" w:hAnsi="Times New Roman" w:eastAsia="宋体" w:cs="Times New Roman"/>
          <w:b w:val="0"/>
          <w:color w:val="000000"/>
          <w:sz w:val="24"/>
          <w:u w:val="single"/>
        </w:rPr>
      </w:r>
      <w:r/>
    </w:p>
    <w:p>
      <w:pPr>
        <w:pStyle w:val="1026"/>
        <w:numPr>
          <w:ilvl w:val="0"/>
          <w:numId w:val="119"/>
        </w:numPr>
        <w:ind w:left="0" w:firstLine="480"/>
        <w:widowControl/>
        <w:tabs>
          <w:tab w:val="left" w:pos="7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承包人未能按施工进度计划及时完成合同约定的工作，造成工期延误的违约责任：按7.5条约定 。</w:t>
      </w:r>
      <w:r>
        <w:rPr>
          <w:rFonts w:ascii="Times New Roman" w:hAnsi="Times New Roman" w:eastAsia="宋体" w:cs="Times New Roman"/>
          <w:b w:val="0"/>
          <w:color w:val="000000"/>
          <w:sz w:val="24"/>
          <w:u w:val="single"/>
        </w:rPr>
      </w:r>
      <w:r/>
    </w:p>
    <w:p>
      <w:pPr>
        <w:pStyle w:val="1026"/>
        <w:numPr>
          <w:ilvl w:val="0"/>
          <w:numId w:val="119"/>
        </w:numPr>
        <w:ind w:left="0" w:firstLine="480"/>
        <w:widowControl/>
        <w:tabs>
          <w:tab w:val="left" w:pos="7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承包人在缺陷责任期及保修期内，未能在合理期限内对工程缺陷进行修复，或拒绝按发包人要求进行修复的违约责任：发包人两次通知未到场处置或维修，由发包人另行派人维修，按发生维修费用的三倍从保修金中扣除。</w:t>
      </w:r>
      <w:r>
        <w:rPr>
          <w:rFonts w:ascii="Times New Roman" w:hAnsi="Times New Roman" w:eastAsia="宋体" w:cs="Times New Roman"/>
          <w:b w:val="0"/>
          <w:color w:val="000000"/>
          <w:sz w:val="24"/>
          <w:u w:val="single"/>
        </w:rPr>
      </w:r>
      <w:r/>
    </w:p>
    <w:p>
      <w:pPr>
        <w:pStyle w:val="1026"/>
        <w:numPr>
          <w:ilvl w:val="0"/>
          <w:numId w:val="119"/>
        </w:numPr>
        <w:ind w:left="0" w:firstLine="480"/>
        <w:widowControl/>
        <w:tabs>
          <w:tab w:val="left" w:pos="780" w:leader="none"/>
        </w:tabs>
        <w:rPr>
          <w:rFonts w:ascii="Times New Roman" w:hAnsi="Times New Roman" w:eastAsia="宋体" w:cs="Times New Roman"/>
          <w:b w:val="0"/>
          <w:color w:val="000000"/>
          <w:sz w:val="24"/>
          <w:u w:val="single"/>
        </w:rPr>
      </w:pPr>
      <w:r>
        <w:rPr>
          <w:rFonts w:ascii="Times New Roman" w:hAnsi="Times New Roman" w:eastAsia="宋体" w:cs="Times New Roman"/>
          <w:color w:val="000000"/>
          <w:sz w:val="24"/>
          <w:u w:val="single"/>
        </w:rPr>
        <w:t xml:space="preserve">承包人未能按照合同约定履行其他义务的违约责任：</w:t>
      </w:r>
      <w:r>
        <w:rPr>
          <w:rFonts w:ascii="Times New Roman" w:hAnsi="Times New Roman" w:eastAsia="宋体" w:cs="Times New Roman"/>
          <w:b w:val="0"/>
          <w:color w:val="000000"/>
          <w:sz w:val="24"/>
          <w:u w:val="single"/>
        </w:rPr>
      </w:r>
      <w:r/>
    </w:p>
    <w:p>
      <w:pPr>
        <w:pStyle w:val="1026"/>
        <w:numPr>
          <w:ilvl w:val="0"/>
          <w:numId w:val="120"/>
        </w:numPr>
        <w:ind w:left="0" w:firstLine="480"/>
        <w:widowControl/>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他所有损失。</w:t>
      </w:r>
      <w:r>
        <w:rPr>
          <w:rFonts w:hint="eastAsia" w:ascii="宋体" w:hAnsi="宋体" w:eastAsia="宋体" w:cs="宋体"/>
          <w:b w:val="0"/>
          <w:color w:val="000000"/>
          <w:sz w:val="24"/>
          <w:u w:val="single"/>
        </w:rPr>
      </w:r>
      <w:r/>
    </w:p>
    <w:p>
      <w:pPr>
        <w:pStyle w:val="1026"/>
        <w:numPr>
          <w:ilvl w:val="0"/>
          <w:numId w:val="120"/>
        </w:numPr>
        <w:ind w:left="0" w:firstLine="480"/>
        <w:widowControl/>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承包人未按约定履行本合同义务，由此而造成发包人的其他损失（包括但不限于发包人为实现合同权利而支出的诉讼费、财产保全费、律师费，调查取证费用，执行费，公告费用等），均由承包人承担。</w:t>
      </w:r>
      <w:r>
        <w:rPr>
          <w:rFonts w:hint="eastAsia" w:ascii="宋体" w:hAnsi="宋体" w:eastAsia="宋体" w:cs="宋体"/>
          <w:b w:val="0"/>
          <w:color w:val="000000"/>
          <w:sz w:val="24"/>
          <w:u w:val="single"/>
        </w:rPr>
      </w:r>
      <w:r/>
    </w:p>
    <w:p>
      <w:pPr>
        <w:pStyle w:val="1026"/>
        <w:numPr>
          <w:ilvl w:val="0"/>
          <w:numId w:val="120"/>
        </w:numPr>
        <w:ind w:left="0" w:firstLine="480"/>
        <w:widowControl/>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承包人要做到减少噪声及环境污染，文明施工达标，如因承包人原因导致工地在市、区检查中被评为不合格工地的，按每有一起罚款4000元。</w:t>
      </w:r>
      <w:r>
        <w:rPr>
          <w:rFonts w:hint="eastAsia" w:ascii="宋体" w:hAnsi="宋体" w:eastAsia="宋体" w:cs="宋体"/>
          <w:b w:val="0"/>
          <w:color w:val="000000"/>
          <w:sz w:val="24"/>
          <w:u w:val="single"/>
        </w:rPr>
      </w:r>
      <w:r/>
    </w:p>
    <w:p>
      <w:pPr>
        <w:pStyle w:val="1026"/>
        <w:numPr>
          <w:ilvl w:val="0"/>
          <w:numId w:val="120"/>
        </w:numPr>
        <w:ind w:left="0" w:firstLine="480"/>
        <w:widowControl/>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rPr>
          <w:rFonts w:hint="eastAsia" w:ascii="宋体" w:hAnsi="宋体" w:eastAsia="宋体" w:cs="宋体"/>
          <w:b w:val="0"/>
          <w:color w:val="000000"/>
          <w:sz w:val="24"/>
          <w:u w:val="single"/>
        </w:rPr>
      </w:r>
      <w:r/>
    </w:p>
    <w:p>
      <w:pPr>
        <w:pStyle w:val="1026"/>
        <w:numPr>
          <w:ilvl w:val="0"/>
          <w:numId w:val="120"/>
        </w:numPr>
        <w:ind w:left="0" w:firstLine="480"/>
        <w:tabs>
          <w:tab w:val="left" w:pos="840" w:leader="none"/>
        </w:tabs>
        <w:rPr>
          <w:rFonts w:hint="eastAsia" w:ascii="宋体" w:hAnsi="宋体" w:eastAsia="宋体" w:cs="宋体"/>
          <w:b w:val="0"/>
          <w:color w:val="000000"/>
          <w:sz w:val="24"/>
          <w:u w:val="single"/>
        </w:rPr>
      </w:pPr>
      <w:r>
        <w:rPr>
          <w:rFonts w:ascii="Times New Roman" w:hAnsi="Times New Roman" w:eastAsia="宋体" w:cs="Times New Roman"/>
          <w:color w:val="000000"/>
          <w:sz w:val="24"/>
          <w:u w:val="single"/>
        </w:rPr>
        <w:t xml:space="preserve">施工过程中，因承包人施工原因，而造成煤气、自来水管道、雨污分流管等受到破坏的，除承包人须按规定修复或承担相应修复费用外，发包人可对承包人处以2000元/次处罚，并承担一切责任。   </w:t>
      </w:r>
      <w:r>
        <w:rPr>
          <w:rFonts w:ascii="Times New Roman" w:hAnsi="Times New Roman" w:eastAsia="宋体" w:cs="Times New Roman"/>
          <w:color w:val="000000"/>
          <w:sz w:val="24"/>
        </w:rPr>
        <w:t xml:space="preserve">    </w:t>
      </w:r>
      <w:r>
        <w:rPr>
          <w:rFonts w:hint="eastAsia" w:ascii="宋体" w:hAnsi="宋体" w:eastAsia="宋体" w:cs="宋体"/>
          <w:b w:val="0"/>
          <w:color w:val="000000"/>
          <w:sz w:val="24"/>
          <w:u w:val="single"/>
        </w:rPr>
      </w:r>
      <w:r/>
    </w:p>
    <w:p>
      <w:pPr>
        <w:pStyle w:val="1008"/>
        <w:numPr>
          <w:ilvl w:val="0"/>
          <w:numId w:val="118"/>
        </w:numPr>
        <w:ind w:left="0" w:firstLine="482"/>
        <w:tabs>
          <w:tab w:val="left" w:pos="1201" w:leader="none"/>
        </w:tabs>
        <w:rPr>
          <w:b/>
        </w:rPr>
      </w:pPr>
      <w:r>
        <w:t xml:space="preserve">因承包人违约解除合同</w:t>
      </w:r>
      <w:r>
        <w:rPr>
          <w:b/>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关于承包人违约解除合同的特别约定：</w:t>
      </w:r>
      <w:r>
        <w:rPr>
          <w:rFonts w:ascii="Times New Roman" w:hAnsi="Times New Roman" w:eastAsia="宋体" w:cs="Times New Roman"/>
          <w:color w:val="000000"/>
          <w:sz w:val="24"/>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他条款对合同解除有特别约定的，从其特别约定。</w:t>
      </w:r>
      <w:r>
        <w:rPr>
          <w:rFonts w:ascii="Times New Roman" w:hAnsi="Times New Roman" w:eastAsia="宋体" w:cs="Times New Roman"/>
          <w:color w:val="000000"/>
          <w:sz w:val="24"/>
          <w:u w:val="single"/>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发包人继续使用承包人在施工现场的材料、设备、临时工程、承包人文件和由承包人或以其名义编制的其他文件的费用承担方式：</w:t>
      </w:r>
      <w:r>
        <w:rPr>
          <w:rFonts w:ascii="Times New Roman" w:hAnsi="Times New Roman" w:eastAsia="宋体" w:cs="Times New Roman"/>
          <w:color w:val="000000"/>
          <w:sz w:val="24"/>
          <w:u w:val="single"/>
        </w:rPr>
        <w:t xml:space="preserve">不计费用</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6"/>
        <w:numPr>
          <w:ilvl w:val="0"/>
          <w:numId w:val="58"/>
        </w:numPr>
        <w:ind w:left="0" w:firstLine="482"/>
        <w:tabs>
          <w:tab w:val="left" w:pos="842" w:leader="none"/>
        </w:tabs>
        <w:rPr>
          <w:b/>
        </w:rPr>
      </w:pPr>
      <w:r/>
      <w:bookmarkStart w:id="679" w:name="_Toc351203649"/>
      <w:r>
        <w:t xml:space="preserve">不可抗力</w:t>
      </w:r>
      <w:bookmarkEnd w:id="679"/>
      <w:r>
        <w:t xml:space="preserve"> </w:t>
      </w:r>
      <w:bookmarkEnd w:id="676"/>
      <w:r>
        <w:rPr>
          <w:b/>
        </w:rPr>
      </w:r>
      <w:r/>
    </w:p>
    <w:p>
      <w:pPr>
        <w:pStyle w:val="1007"/>
        <w:numPr>
          <w:ilvl w:val="0"/>
          <w:numId w:val="121"/>
        </w:numPr>
        <w:ind w:left="0" w:firstLine="482"/>
        <w:tabs>
          <w:tab w:val="left" w:pos="1021" w:leader="none"/>
        </w:tabs>
        <w:rPr>
          <w:b/>
        </w:rPr>
      </w:pPr>
      <w:r>
        <w:t xml:space="preserve">不可抗力的确认</w:t>
      </w:r>
      <w:r>
        <w:rPr>
          <w:b/>
        </w:rPr>
      </w:r>
      <w:r/>
    </w:p>
    <w:p>
      <w:pPr>
        <w:pStyle w:val="1026"/>
        <w:ind w:left="0" w:firstLine="480"/>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除通用合同条款约定的不可抗力事件之外，视为不可抗力的其他情形：</w:t>
      </w:r>
      <w:r>
        <w:rPr>
          <w:rFonts w:ascii="Times New Roman" w:hAnsi="Times New Roman" w:eastAsia="宋体" w:cs="Times New Roman"/>
          <w:color w:val="000000"/>
          <w:sz w:val="24"/>
          <w:u w:val="single"/>
        </w:rPr>
        <w:t xml:space="preserve">由市级以上有关部门正式发布和认定的自然灾害。</w:t>
      </w:r>
      <w:r>
        <w:rPr>
          <w:rFonts w:ascii="Times New Roman" w:hAnsi="Times New Roman" w:eastAsia="宋体" w:cs="Times New Roman"/>
          <w:color w:val="000000"/>
          <w:sz w:val="24"/>
          <w:u w:val="single"/>
        </w:rPr>
      </w:r>
      <w:r/>
    </w:p>
    <w:p>
      <w:pPr>
        <w:pStyle w:val="1007"/>
        <w:numPr>
          <w:ilvl w:val="0"/>
          <w:numId w:val="121"/>
        </w:numPr>
        <w:ind w:left="0" w:firstLine="482"/>
        <w:tabs>
          <w:tab w:val="left" w:pos="1021" w:leader="none"/>
        </w:tabs>
        <w:rPr>
          <w:b/>
        </w:rPr>
      </w:pPr>
      <w:r/>
      <w:bookmarkStart w:id="680" w:name="_Toc25261"/>
      <w:r>
        <w:t xml:space="preserve">因不可抗力解除合同</w:t>
      </w:r>
      <w:bookmarkEnd w:id="680"/>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合同解除后，发包人应在商定或确定发包人应支付款项后</w:t>
      </w:r>
      <w:r>
        <w:rPr>
          <w:rFonts w:ascii="Times New Roman" w:hAnsi="Times New Roman" w:eastAsia="宋体" w:cs="Times New Roman"/>
          <w:color w:val="000000"/>
          <w:sz w:val="24"/>
          <w:u w:val="single"/>
        </w:rPr>
        <w:t xml:space="preserve">60</w:t>
      </w:r>
      <w:r>
        <w:rPr>
          <w:rFonts w:ascii="Times New Roman" w:hAnsi="Times New Roman" w:eastAsia="宋体" w:cs="Times New Roman"/>
          <w:color w:val="000000"/>
          <w:sz w:val="24"/>
        </w:rPr>
        <w:t xml:space="preserve">天内完成款项的支付。</w:t>
      </w:r>
      <w:r>
        <w:rPr>
          <w:rFonts w:ascii="Times New Roman" w:hAnsi="Times New Roman" w:eastAsia="宋体" w:cs="Times New Roman"/>
          <w:color w:val="000000"/>
          <w:sz w:val="24"/>
        </w:rPr>
      </w:r>
      <w:r/>
    </w:p>
    <w:p>
      <w:pPr>
        <w:pStyle w:val="1006"/>
        <w:numPr>
          <w:ilvl w:val="0"/>
          <w:numId w:val="58"/>
        </w:numPr>
        <w:ind w:left="0" w:firstLine="482"/>
        <w:tabs>
          <w:tab w:val="left" w:pos="842" w:leader="none"/>
        </w:tabs>
        <w:rPr>
          <w:b/>
        </w:rPr>
      </w:pPr>
      <w:r/>
      <w:bookmarkStart w:id="681" w:name="_Toc351203650"/>
      <w:r>
        <w:t xml:space="preserve">保险</w:t>
      </w:r>
      <w:bookmarkEnd w:id="674"/>
      <w:r/>
      <w:bookmarkEnd w:id="681"/>
      <w:r>
        <w:rPr>
          <w:b/>
        </w:rPr>
      </w:r>
      <w:r/>
    </w:p>
    <w:p>
      <w:pPr>
        <w:pStyle w:val="1007"/>
        <w:ind w:left="0" w:firstLine="482"/>
      </w:pPr>
      <w:r>
        <w:t xml:space="preserve">18.1 工程保险</w:t>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关于工程保险的特别约定：</w:t>
      </w:r>
      <w:r>
        <w:rPr>
          <w:rFonts w:ascii="Times New Roman" w:hAnsi="Times New Roman" w:eastAsia="宋体" w:cs="Times New Roman"/>
          <w:color w:val="000000"/>
          <w:sz w:val="24"/>
          <w:u w:val="single"/>
        </w:rPr>
        <w:t xml:space="preserve">发包人投保内容：建设工程和施工场地内的自有人员生命财产险。</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发包人委托承包人办理的保险事项：         /          。</w:t>
      </w:r>
      <w:r>
        <w:rPr>
          <w:rFonts w:ascii="Times New Roman" w:hAnsi="Times New Roman" w:eastAsia="宋体" w:cs="Times New Roman"/>
          <w:color w:val="000000"/>
          <w:sz w:val="24"/>
          <w:u w:val="single"/>
        </w:rPr>
      </w:r>
      <w:r/>
    </w:p>
    <w:p>
      <w:pPr>
        <w:pStyle w:val="1026"/>
        <w:ind w:left="0" w:firstLine="480"/>
        <w:widowControl/>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rPr>
          <w:rFonts w:ascii="Times New Roman" w:hAnsi="Times New Roman" w:eastAsia="宋体" w:cs="Times New Roman"/>
          <w:color w:val="000000"/>
          <w:sz w:val="24"/>
          <w:u w:val="single"/>
        </w:rPr>
      </w:r>
      <w:r/>
    </w:p>
    <w:p>
      <w:pPr>
        <w:pStyle w:val="1007"/>
        <w:ind w:left="0" w:firstLine="482"/>
      </w:pPr>
      <w:r/>
      <w:bookmarkStart w:id="682" w:name="_Toc29633"/>
      <w:r>
        <w:t xml:space="preserve">18.3 其他保险</w:t>
      </w:r>
      <w:bookmarkEnd w:id="682"/>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关于其他保险的约定：</w:t>
      </w:r>
      <w:r>
        <w:rPr>
          <w:rFonts w:ascii="Times New Roman" w:hAnsi="Times New Roman" w:eastAsia="宋体" w:cs="Times New Roman"/>
          <w:color w:val="000000"/>
          <w:sz w:val="24"/>
          <w:u w:val="single"/>
        </w:rPr>
        <w:t xml:space="preserve">各自办理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u w:val="single"/>
        </w:rPr>
      </w:pPr>
      <w:r/>
      <w:bookmarkStart w:id="683" w:name="_Toc4108"/>
      <w:r>
        <w:rPr>
          <w:rFonts w:ascii="Times New Roman" w:hAnsi="Times New Roman" w:eastAsia="宋体" w:cs="Times New Roman"/>
          <w:color w:val="000000"/>
          <w:sz w:val="24"/>
        </w:rPr>
        <w:t xml:space="preserve">承包人是否应为其施工设备等办理财产保险：</w:t>
      </w:r>
      <w:r>
        <w:rPr>
          <w:rFonts w:ascii="Times New Roman" w:hAnsi="Times New Roman" w:eastAsia="宋体" w:cs="Times New Roman"/>
          <w:color w:val="000000"/>
          <w:sz w:val="24"/>
          <w:u w:val="single"/>
        </w:rPr>
        <w:t xml:space="preserve">按通用条款执行。</w:t>
      </w:r>
      <w:bookmarkEnd w:id="683"/>
      <w:r>
        <w:rPr>
          <w:rFonts w:ascii="Times New Roman" w:hAnsi="Times New Roman" w:eastAsia="宋体" w:cs="Times New Roman"/>
          <w:color w:val="000000"/>
          <w:sz w:val="24"/>
          <w:u w:val="single"/>
        </w:rPr>
      </w:r>
      <w:r/>
    </w:p>
    <w:p>
      <w:pPr>
        <w:pStyle w:val="1007"/>
        <w:ind w:left="0" w:firstLine="482"/>
      </w:pPr>
      <w:r/>
      <w:bookmarkStart w:id="684" w:name="_Toc14405"/>
      <w:r>
        <w:t xml:space="preserve">18.7 通知义务</w:t>
      </w:r>
      <w:bookmarkEnd w:id="684"/>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关于变更保险合同时的通知义务的约定：</w:t>
      </w:r>
      <w:r>
        <w:rPr>
          <w:rFonts w:ascii="Times New Roman" w:hAnsi="Times New Roman" w:eastAsia="宋体" w:cs="Times New Roman"/>
          <w:color w:val="000000"/>
          <w:sz w:val="24"/>
          <w:u w:val="single"/>
        </w:rPr>
        <w:t xml:space="preserve">按通用条款执行。</w:t>
      </w:r>
      <w:bookmarkEnd w:id="639"/>
      <w:r/>
      <w:bookmarkEnd w:id="640"/>
      <w:r/>
      <w:bookmarkEnd w:id="641"/>
      <w:r/>
      <w:bookmarkEnd w:id="649"/>
      <w:r/>
      <w:bookmarkEnd w:id="650"/>
      <w:r/>
      <w:bookmarkEnd w:id="651"/>
      <w:r/>
      <w:bookmarkEnd w:id="652"/>
      <w:r/>
      <w:bookmarkEnd w:id="654"/>
      <w:r/>
      <w:bookmarkEnd w:id="655"/>
      <w:r/>
      <w:bookmarkEnd w:id="656"/>
      <w:r/>
      <w:bookmarkEnd w:id="657"/>
      <w:r/>
      <w:bookmarkEnd w:id="658"/>
      <w:r>
        <w:rPr>
          <w:rFonts w:ascii="Times New Roman" w:hAnsi="Times New Roman" w:eastAsia="宋体" w:cs="Times New Roman"/>
          <w:color w:val="000000"/>
          <w:sz w:val="24"/>
        </w:rPr>
      </w:r>
      <w:r/>
    </w:p>
    <w:p>
      <w:pPr>
        <w:pStyle w:val="1006"/>
        <w:numPr>
          <w:ilvl w:val="0"/>
          <w:numId w:val="58"/>
        </w:numPr>
        <w:ind w:left="0" w:firstLine="482"/>
        <w:tabs>
          <w:tab w:val="left" w:pos="842" w:leader="none"/>
        </w:tabs>
        <w:rPr>
          <w:b/>
        </w:rPr>
      </w:pPr>
      <w:r/>
      <w:bookmarkStart w:id="685" w:name="_Toc351203651"/>
      <w:r>
        <w:t xml:space="preserve">争议解决</w:t>
      </w:r>
      <w:bookmarkEnd w:id="659"/>
      <w:r/>
      <w:bookmarkEnd w:id="660"/>
      <w:r/>
      <w:bookmarkEnd w:id="685"/>
      <w:r>
        <w:rPr>
          <w:b/>
        </w:rPr>
      </w:r>
      <w:r/>
    </w:p>
    <w:p>
      <w:pPr>
        <w:pStyle w:val="1007"/>
        <w:numPr>
          <w:ilvl w:val="0"/>
          <w:numId w:val="122"/>
        </w:numPr>
        <w:ind w:left="0" w:firstLine="482"/>
        <w:tabs>
          <w:tab w:val="left" w:pos="1021" w:leader="none"/>
        </w:tabs>
        <w:rPr>
          <w:b/>
        </w:rPr>
      </w:pPr>
      <w:r/>
      <w:bookmarkStart w:id="686" w:name="_Toc17723"/>
      <w:r>
        <w:t xml:space="preserve">争</w:t>
      </w:r>
      <w:bookmarkEnd w:id="661"/>
      <w:r>
        <w:t xml:space="preserve">议评审</w:t>
      </w:r>
      <w:bookmarkEnd w:id="686"/>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合同当事人是否同意将工程争议提交争议评审小组决定：</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p>
      <w:pPr>
        <w:pStyle w:val="1008"/>
        <w:numPr>
          <w:ilvl w:val="0"/>
          <w:numId w:val="123"/>
        </w:numPr>
        <w:ind w:left="0" w:firstLine="482"/>
        <w:tabs>
          <w:tab w:val="left" w:pos="1201" w:leader="none"/>
        </w:tabs>
        <w:rPr>
          <w:b/>
        </w:rPr>
      </w:pPr>
      <w:r/>
      <w:bookmarkStart w:id="687" w:name="_Toc22184"/>
      <w:r>
        <w:t xml:space="preserve">争议评审小组的确定</w:t>
      </w:r>
      <w:bookmarkEnd w:id="687"/>
      <w:r>
        <w:rPr>
          <w:b/>
        </w:rPr>
      </w:r>
      <w:r/>
    </w:p>
    <w:p>
      <w:pPr>
        <w:pStyle w:val="1026"/>
        <w:ind w:left="0" w:firstLine="480"/>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争议评审小组成员的确定：</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u w:val="single"/>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选定争议评审员的期限：</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争议评审小组成员的报酬承担方式：</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其他事项的约定：</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8"/>
        <w:numPr>
          <w:ilvl w:val="0"/>
          <w:numId w:val="123"/>
        </w:numPr>
        <w:ind w:left="0" w:firstLine="482"/>
        <w:tabs>
          <w:tab w:val="left" w:pos="1201" w:leader="none"/>
        </w:tabs>
        <w:rPr>
          <w:b/>
        </w:rPr>
      </w:pPr>
      <w:r/>
      <w:bookmarkStart w:id="688" w:name="_Toc24037"/>
      <w:r>
        <w:t xml:space="preserve">争议评审小组的决定</w:t>
      </w:r>
      <w:bookmarkEnd w:id="688"/>
      <w:r>
        <w:rPr>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合同当事人关于本项的约定：</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07"/>
        <w:numPr>
          <w:ilvl w:val="0"/>
          <w:numId w:val="122"/>
        </w:numPr>
        <w:ind w:left="0" w:firstLine="482"/>
        <w:tabs>
          <w:tab w:val="left" w:pos="1021" w:leader="none"/>
        </w:tabs>
        <w:rPr>
          <w:rFonts w:hint="eastAsia" w:ascii="宋体" w:hAnsi="宋体" w:eastAsia="宋体" w:cs="宋体"/>
          <w:b/>
        </w:rPr>
      </w:pPr>
      <w:r/>
      <w:bookmarkStart w:id="689" w:name="_Toc10320"/>
      <w:r>
        <w:t xml:space="preserve">仲裁或诉讼</w:t>
      </w:r>
      <w:bookmarkEnd w:id="662"/>
      <w:r/>
      <w:bookmarkEnd w:id="689"/>
      <w:r>
        <w:rPr>
          <w:rFonts w:hint="eastAsia" w:ascii="宋体" w:hAnsi="宋体" w:eastAsia="宋体" w:cs="宋体"/>
          <w:b/>
        </w:rPr>
      </w:r>
      <w:r/>
    </w:p>
    <w:p>
      <w:pPr>
        <w:pStyle w:val="1026"/>
        <w:ind w:left="0" w:firstLine="48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因合同及合同有关事项发生的争议，按下列第</w:t>
      </w:r>
      <w:r>
        <w:rPr>
          <w:rFonts w:ascii="Times New Roman" w:hAnsi="Times New Roman" w:eastAsia="宋体" w:cs="Times New Roman"/>
          <w:color w:val="000000"/>
          <w:sz w:val="24"/>
          <w:u w:val="single"/>
        </w:rPr>
        <w:t xml:space="preserve"> 2 </w:t>
      </w:r>
      <w:r>
        <w:rPr>
          <w:rFonts w:ascii="Times New Roman" w:hAnsi="Times New Roman" w:eastAsia="宋体" w:cs="Times New Roman"/>
          <w:color w:val="000000"/>
          <w:sz w:val="24"/>
        </w:rPr>
        <w:t xml:space="preserve">种方式解决：</w:t>
      </w:r>
      <w:r>
        <w:rPr>
          <w:rFonts w:ascii="Times New Roman" w:hAnsi="Times New Roman" w:eastAsia="宋体" w:cs="Times New Roman"/>
          <w:color w:val="000000"/>
          <w:sz w:val="24"/>
        </w:rPr>
      </w:r>
      <w:r/>
    </w:p>
    <w:p>
      <w:pPr>
        <w:pStyle w:val="1026"/>
        <w:numPr>
          <w:ilvl w:val="0"/>
          <w:numId w:val="124"/>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向</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仲裁委员会申请仲裁；</w:t>
      </w:r>
      <w:r>
        <w:rPr>
          <w:rFonts w:hint="eastAsia" w:ascii="宋体" w:hAnsi="宋体" w:eastAsia="宋体" w:cs="宋体"/>
          <w:b w:val="0"/>
          <w:color w:val="000000"/>
          <w:sz w:val="24"/>
        </w:rPr>
      </w:r>
      <w:r/>
    </w:p>
    <w:p>
      <w:pPr>
        <w:pStyle w:val="1026"/>
        <w:numPr>
          <w:ilvl w:val="0"/>
          <w:numId w:val="124"/>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向</w:t>
      </w:r>
      <w:r>
        <w:rPr>
          <w:rFonts w:ascii="Times New Roman" w:hAnsi="Times New Roman" w:eastAsia="宋体" w:cs="Times New Roman"/>
          <w:color w:val="000000"/>
          <w:sz w:val="24"/>
          <w:u w:val="single"/>
        </w:rPr>
        <w:t xml:space="preserve">南通市通州区</w:t>
      </w:r>
      <w:r>
        <w:rPr>
          <w:rFonts w:ascii="Times New Roman" w:hAnsi="Times New Roman" w:eastAsia="宋体" w:cs="Times New Roman"/>
          <w:color w:val="000000"/>
          <w:sz w:val="24"/>
        </w:rPr>
        <w:t xml:space="preserve">人民法院起诉。</w:t>
      </w:r>
      <w:bookmarkEnd w:id="663"/>
      <w:r/>
      <w:bookmarkEnd w:id="664"/>
      <w:r/>
      <w:bookmarkEnd w:id="665"/>
      <w:r/>
      <w:bookmarkEnd w:id="666"/>
      <w:r/>
      <w:bookmarkEnd w:id="667"/>
      <w:r/>
      <w:bookmarkEnd w:id="668"/>
      <w:r>
        <w:rPr>
          <w:rFonts w:hint="eastAsia" w:ascii="宋体" w:hAnsi="宋体" w:eastAsia="宋体" w:cs="宋体"/>
          <w:b w:val="0"/>
          <w:color w:val="000000"/>
          <w:sz w:val="24"/>
        </w:rPr>
      </w:r>
      <w:r/>
    </w:p>
    <w:p>
      <w:pPr>
        <w:pStyle w:val="1005"/>
        <w:ind w:left="0"/>
        <w:pageBreakBefore w:val="0"/>
        <w:spacing w:line="360" w:lineRule="auto"/>
        <w:rPr>
          <w:rFonts w:hint="eastAsia" w:ascii="宋体" w:hAnsi="宋体" w:eastAsia="宋体"/>
          <w:color w:val="000000"/>
          <w:sz w:val="24"/>
          <w:szCs w:val="24"/>
        </w:rPr>
        <w:sectPr>
          <w:footerReference w:type="default" r:id="rId10"/>
          <w:footerReference w:type="first" r:id="rId11"/>
          <w:footnotePr/>
          <w:endnotePr/>
          <w:type w:val="nextPage"/>
          <w:pgSz w:w="11906" w:h="16838" w:orient="portrait"/>
          <w:pgMar w:top="1418" w:right="1555" w:bottom="1418" w:left="1531" w:header="851" w:footer="992" w:gutter="0"/>
          <w:lnNumType w:countBy="0" w:start="1"/>
          <w:cols w:num="1" w:sep="0" w:space="1701" w:equalWidth="1"/>
          <w:docGrid w:linePitch="360"/>
          <w:titlePg/>
        </w:sectPr>
        <w:outlineLvl w:val="9"/>
      </w:pPr>
      <w:r>
        <w:rPr>
          <w:rFonts w:hint="eastAsia" w:ascii="宋体" w:hAnsi="宋体" w:eastAsia="宋体"/>
          <w:color w:val="000000"/>
          <w:sz w:val="24"/>
          <w:szCs w:val="24"/>
        </w:rPr>
      </w:r>
      <w:r/>
    </w:p>
    <w:p>
      <w:pPr>
        <w:pStyle w:val="1091"/>
        <w:outlineLvl w:val="0"/>
      </w:pPr>
      <w:r>
        <w:t xml:space="preserve">附</w:t>
      </w:r>
      <w:bookmarkStart w:id="690" w:name="_Toc296891054"/>
      <w:r/>
      <w:bookmarkStart w:id="691" w:name="_Toc296347225"/>
      <w:r/>
      <w:bookmarkStart w:id="692" w:name="_Toc296346727"/>
      <w:r/>
      <w:bookmarkStart w:id="693" w:name="_Toc267261693"/>
      <w:r/>
      <w:bookmarkStart w:id="694" w:name="_Toc296503226"/>
      <w:r/>
      <w:bookmarkStart w:id="695" w:name="_Toc296944565"/>
      <w:r/>
      <w:bookmarkStart w:id="696" w:name="_Toc296891266"/>
      <w:r>
        <w:t xml:space="preserve">件：</w:t>
      </w:r>
      <w:bookmarkEnd w:id="690"/>
      <w:r/>
      <w:bookmarkEnd w:id="691"/>
      <w:r/>
      <w:bookmarkEnd w:id="692"/>
      <w:r/>
      <w:bookmarkEnd w:id="693"/>
      <w:r/>
      <w:bookmarkEnd w:id="694"/>
      <w:r/>
      <w:bookmarkEnd w:id="695"/>
      <w:r/>
      <w:bookmarkEnd w:id="696"/>
      <w:r>
        <w:t xml:space="preserve">    </w:t>
      </w:r>
      <w:r/>
    </w:p>
    <w:p>
      <w:pPr>
        <w:pStyle w:val="1096"/>
        <w:shd w:val="clear" w:color="auto" w:fill="ffffff"/>
        <w:outlineLvl w:val="0"/>
      </w:pPr>
      <w:r>
        <w:t xml:space="preserve">工程质量保修书</w:t>
      </w:r>
      <w:r/>
    </w:p>
    <w:p>
      <w:pPr>
        <w:pStyle w:val="1026"/>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发包人（全称）：</w:t>
      </w:r>
      <w:r>
        <w:rPr>
          <w:rFonts w:ascii="Times New Roman" w:hAnsi="Times New Roman" w:eastAsia="宋体" w:cs="Times New Roman"/>
          <w:color w:val="000000"/>
          <w:sz w:val="24"/>
          <w:u w:val="single"/>
        </w:rPr>
        <w:t xml:space="preserve">南通市通州区十总镇人民政府 </w:t>
      </w:r>
      <w:r>
        <w:rPr>
          <w:rFonts w:ascii="Times New Roman" w:hAnsi="Times New Roman" w:eastAsia="宋体" w:cs="Times New Roman"/>
          <w:color w:val="000000"/>
          <w:sz w:val="24"/>
          <w:u w:val="single"/>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承包人（全称）：</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发包人和承包人根据《中华人民共和国建筑法》和《建设工程质量管理条例》，经协商一致就</w:t>
      </w:r>
      <w:r>
        <w:rPr>
          <w:rFonts w:ascii="Times New Roman" w:hAnsi="Times New Roman" w:eastAsia="宋体" w:cs="Times New Roman"/>
          <w:color w:val="000000"/>
          <w:sz w:val="24"/>
          <w:u w:val="single"/>
        </w:rPr>
        <w:t xml:space="preserve"> 南通市通州区十总镇2026年一事一议财政奖补项目—道路防渗渠工程</w:t>
      </w:r>
      <w:r>
        <w:rPr>
          <w:rFonts w:ascii="Times New Roman" w:hAnsi="Times New Roman" w:eastAsia="宋体" w:cs="Times New Roman"/>
          <w:color w:val="000000"/>
          <w:sz w:val="24"/>
        </w:rPr>
        <w:t xml:space="preserve">签订工程质量保修书。</w:t>
      </w:r>
      <w:r>
        <w:rPr>
          <w:rFonts w:ascii="Times New Roman" w:hAnsi="Times New Roman" w:eastAsia="宋体" w:cs="Times New Roman"/>
          <w:color w:val="000000"/>
          <w:sz w:val="24"/>
        </w:rPr>
      </w:r>
      <w:r/>
    </w:p>
    <w:p>
      <w:pPr>
        <w:pStyle w:val="1095"/>
        <w:outlineLvl w:val="0"/>
      </w:pPr>
      <w:r/>
      <w:bookmarkStart w:id="697" w:name="_Toc2372"/>
      <w:r>
        <w:t xml:space="preserve">一、工程质量保修范围和内容</w:t>
      </w:r>
      <w:bookmarkEnd w:id="697"/>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承包人在质量保修期内，按照有关法律规定和合同约定，承担工程质量保修责任。</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质量保修范围包括</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，以及双方约定的其他项目。具体保修的内容，双方约定如下：</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u w:val="single"/>
        </w:rPr>
        <w:t xml:space="preserve">  详见工程量清单及本工程竣工后实际完成的所有工作内容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95"/>
        <w:outlineLvl w:val="0"/>
      </w:pPr>
      <w:r/>
      <w:bookmarkStart w:id="698" w:name="_Toc29208"/>
      <w:r>
        <w:t xml:space="preserve">二、质量保修期</w:t>
      </w:r>
      <w:bookmarkEnd w:id="698"/>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根据《建设工程质量管理条例》及有关规定，工程的质量保修期如下：</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1.地基基础工程和主体结构工程为设计文件规定的工程合理使用年限；</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2.屋面防水工程、有防水要求的卫生间、房间和外墙面的防渗为</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年；</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3.装修工程为</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年；</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4.电气管线、给排水管道、设备安装工程为</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年；</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5.供热与供冷系统为</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个采暖期、供冷期；</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6.住宅小区内的给排水设施、道路等配套工程为</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年；</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7.其他项目保修期限约定如下：</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u w:val="single"/>
        </w:rPr>
        <w:t xml:space="preserve">  </w:t>
      </w:r>
      <w:r>
        <w:rPr>
          <w:rFonts w:ascii="Times New Roman" w:hAnsi="Times New Roman" w:eastAsia="宋体" w:cs="Times New Roman"/>
          <w:b/>
          <w:color w:val="000000"/>
          <w:sz w:val="24"/>
          <w:u w:val="single"/>
        </w:rPr>
        <w:t xml:space="preserve">本工程质量保修期两年   </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质量保修期自工程竣工验收合格之日起计算。</w:t>
      </w:r>
      <w:r>
        <w:rPr>
          <w:rFonts w:ascii="Times New Roman" w:hAnsi="Times New Roman" w:eastAsia="宋体" w:cs="Times New Roman"/>
          <w:color w:val="000000"/>
          <w:sz w:val="24"/>
        </w:rPr>
      </w:r>
      <w:r/>
    </w:p>
    <w:p>
      <w:pPr>
        <w:pStyle w:val="1095"/>
        <w:outlineLvl w:val="0"/>
      </w:pPr>
      <w:r/>
      <w:bookmarkStart w:id="699" w:name="_Toc18658"/>
      <w:r>
        <w:t xml:space="preserve">三、缺陷责任期</w:t>
      </w:r>
      <w:bookmarkEnd w:id="699"/>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工程缺陷责任期为</w:t>
      </w:r>
      <w:r>
        <w:rPr>
          <w:rFonts w:ascii="Times New Roman" w:hAnsi="Times New Roman" w:eastAsia="宋体" w:cs="Times New Roman"/>
          <w:color w:val="000000"/>
          <w:sz w:val="24"/>
          <w:u w:val="single"/>
        </w:rPr>
        <w:t xml:space="preserve">24</w:t>
      </w:r>
      <w:r>
        <w:rPr>
          <w:rFonts w:ascii="Times New Roman" w:hAnsi="Times New Roman" w:eastAsia="宋体" w:cs="Times New Roman"/>
          <w:color w:val="000000"/>
          <w:sz w:val="24"/>
        </w:rPr>
        <w:t xml:space="preserve">个月，缺陷责任期自工程通过竣工验收之日起计算。单位工程先于全部工程进行验收，单位工程缺陷责任期自单位工程验收合格之日起算。</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缺陷责任期终止后，发包人应退还剩余的质量保证金。</w:t>
      </w:r>
      <w:r>
        <w:rPr>
          <w:rFonts w:ascii="Times New Roman" w:hAnsi="Times New Roman" w:eastAsia="宋体" w:cs="Times New Roman"/>
          <w:color w:val="000000"/>
          <w:sz w:val="24"/>
        </w:rPr>
      </w:r>
      <w:r/>
    </w:p>
    <w:p>
      <w:pPr>
        <w:pStyle w:val="1095"/>
        <w:outlineLvl w:val="0"/>
      </w:pPr>
      <w:r/>
      <w:bookmarkStart w:id="700" w:name="_Toc5031"/>
      <w:r>
        <w:t xml:space="preserve">四、质量保修责任</w:t>
      </w:r>
      <w:bookmarkEnd w:id="700"/>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1.属于保修范围、内容的项目，承包人应当在接到保修通知之日起7天内派人保修。承包人不在约定期限内派人保修的，发包人可以委托他人修理。</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2.发生紧急事故需抢修的，承包人在接到事故通知后，应当立即到达事故现场抢修。</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4.质量保修完成后，由发包人组织验收。</w:t>
      </w:r>
      <w:r>
        <w:rPr>
          <w:rFonts w:ascii="Times New Roman" w:hAnsi="Times New Roman" w:eastAsia="宋体" w:cs="Times New Roman"/>
          <w:color w:val="000000"/>
          <w:sz w:val="24"/>
        </w:rPr>
      </w:r>
      <w:r/>
    </w:p>
    <w:p>
      <w:pPr>
        <w:pStyle w:val="1095"/>
        <w:outlineLvl w:val="0"/>
      </w:pPr>
      <w:r/>
      <w:bookmarkStart w:id="701" w:name="_Toc32029"/>
      <w:r>
        <w:t xml:space="preserve">五、保修费用</w:t>
      </w:r>
      <w:bookmarkEnd w:id="701"/>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保修费用由造成质量缺陷的责任方承担。</w:t>
      </w:r>
      <w:r>
        <w:rPr>
          <w:rFonts w:ascii="Times New Roman" w:hAnsi="Times New Roman" w:eastAsia="宋体" w:cs="Times New Roman"/>
          <w:color w:val="000000"/>
          <w:sz w:val="24"/>
        </w:rPr>
      </w:r>
      <w:r/>
    </w:p>
    <w:p>
      <w:pPr>
        <w:pStyle w:val="1095"/>
        <w:outlineLvl w:val="0"/>
      </w:pPr>
      <w:r/>
      <w:bookmarkStart w:id="702" w:name="_Toc32222"/>
      <w:r>
        <w:t xml:space="preserve">六、双方约定的其他工程质量保修项：</w:t>
      </w:r>
      <w:r>
        <w:rPr>
          <w:u w:val="single"/>
        </w:rPr>
        <w:t xml:space="preserve">                                          </w:t>
      </w:r>
      <w:r>
        <w:t xml:space="preserve">。</w:t>
      </w:r>
      <w:bookmarkEnd w:id="702"/>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工程质量保修书由发包人、承包人在工程竣工验收前共同签署，作为施工合同附件，其有效期限至保修期满。</w:t>
      </w:r>
      <w:r>
        <w:rPr>
          <w:rFonts w:ascii="Times New Roman" w:hAnsi="Times New Roman" w:eastAsia="宋体" w:cs="Times New Roman"/>
          <w:color w:val="000000"/>
          <w:sz w:val="24"/>
        </w:rPr>
      </w:r>
      <w:r/>
    </w:p>
    <w:p>
      <w:pPr>
        <w:pStyle w:val="1005"/>
        <w:ind w:left="480" w:firstLine="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发包人</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公章</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t xml:space="preserve">         承包人</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公章</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r>
      <w:r/>
    </w:p>
    <w:p>
      <w:pPr>
        <w:pStyle w:val="1005"/>
        <w:ind w:left="480" w:firstLine="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地  址：</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u w:val="single"/>
          <w:lang w:val="en-US" w:eastAsia="zh-CN"/>
        </w:rPr>
        <w:t xml:space="preserve">  </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t xml:space="preserve">         地  址：</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r>
      <w:r/>
    </w:p>
    <w:p>
      <w:pPr>
        <w:pStyle w:val="1005"/>
        <w:ind w:left="480" w:firstLine="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签字</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t xml:space="preserve">         法定代表人</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签字</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r>
      <w:r/>
    </w:p>
    <w:p>
      <w:pPr>
        <w:pStyle w:val="1005"/>
        <w:ind w:left="480" w:firstLine="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委托代理人</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签字</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t xml:space="preserve">         委托代理人</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签字</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r>
      <w:r/>
    </w:p>
    <w:p>
      <w:pPr>
        <w:pStyle w:val="1005"/>
        <w:ind w:left="480" w:firstLine="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电  话：</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u w:val="single"/>
          <w:lang w:val="en-US" w:eastAsia="zh-CN"/>
        </w:rPr>
        <w:t xml:space="preserve">  </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t xml:space="preserve">         电  话：</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r>
      <w:r/>
    </w:p>
    <w:p>
      <w:pPr>
        <w:pStyle w:val="1005"/>
        <w:ind w:left="480" w:firstLine="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传  真：</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u w:val="single"/>
          <w:lang w:val="en-US" w:eastAsia="zh-CN"/>
        </w:rPr>
        <w:t xml:space="preserve">  </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t xml:space="preserve">         传  真：</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r>
      <w:r/>
    </w:p>
    <w:p>
      <w:pPr>
        <w:pStyle w:val="1005"/>
        <w:ind w:left="480" w:firstLine="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开户银行：</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u w:val="single"/>
          <w:lang w:val="en-US" w:eastAsia="zh-CN"/>
        </w:rPr>
        <w:t xml:space="preserve">  </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t xml:space="preserve">         开户银行：</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r>
      <w:r/>
    </w:p>
    <w:p>
      <w:pPr>
        <w:pStyle w:val="1005"/>
        <w:ind w:left="480" w:firstLine="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账  号：</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u w:val="single"/>
          <w:lang w:val="en-US" w:eastAsia="zh-CN"/>
        </w:rPr>
        <w:t xml:space="preserve">  </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t xml:space="preserve">         账  号：</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r>
      <w:r/>
    </w:p>
    <w:p>
      <w:pPr>
        <w:pStyle w:val="1005"/>
        <w:ind w:left="480" w:firstLine="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邮政编码：</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u w:val="single"/>
          <w:lang w:val="en-US" w:eastAsia="zh-CN"/>
        </w:rPr>
        <w:t xml:space="preserve">  </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t xml:space="preserve">         邮政编码：</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r>
      <w:r/>
    </w:p>
    <w:p>
      <w:pPr>
        <w:pStyle w:val="1005"/>
        <w:ind w:left="0"/>
        <w:jc w:val="center"/>
        <w:pageBreakBefore w:val="0"/>
        <w:spacing w:line="360" w:lineRule="auto"/>
        <w:rPr>
          <w:rFonts w:hint="eastAsia" w:ascii="宋体" w:hAnsi="宋体" w:eastAsia="宋体"/>
          <w:color w:val="000000"/>
          <w:sz w:val="24"/>
          <w:szCs w:val="24"/>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olor w:val="000000"/>
          <w:sz w:val="24"/>
          <w:szCs w:val="24"/>
        </w:rPr>
      </w:r>
      <w:r/>
    </w:p>
    <w:p>
      <w:pPr>
        <w:pStyle w:val="1091"/>
        <w:outlineLvl w:val="0"/>
      </w:pPr>
      <w:r>
        <w:t xml:space="preserve">附件、                             </w:t>
      </w:r>
      <w:r/>
    </w:p>
    <w:p>
      <w:pPr>
        <w:pStyle w:val="1096"/>
      </w:pPr>
      <w:r>
        <w:t xml:space="preserve">廉政协议</w:t>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协议单位：发包人（简称甲方）：</w:t>
      </w:r>
      <w:r>
        <w:rPr>
          <w:rFonts w:ascii="Times New Roman" w:hAnsi="Times New Roman" w:eastAsia="宋体" w:cs="Times New Roman"/>
          <w:color w:val="000000"/>
          <w:sz w:val="24"/>
          <w:u w:val="single"/>
        </w:rPr>
        <w:t xml:space="preserve"> 南通市通州区十总镇人民政府 </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承包人（简称乙方）：</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为加强工程建设中的廉政建设，规范工程建设项目承、发包双方的各项活动，共同维护建设市场的秩序，确保工程质量。经甲乙双方协商，现就</w:t>
      </w:r>
      <w:r>
        <w:rPr>
          <w:rFonts w:ascii="Times New Roman" w:hAnsi="Times New Roman" w:eastAsia="宋体" w:cs="Times New Roman"/>
          <w:color w:val="000000"/>
          <w:sz w:val="24"/>
          <w:u w:val="single"/>
        </w:rPr>
        <w:t xml:space="preserve"> 南通市通州区十总镇2026年一事一议财政奖补项目—道路防渗渠工程</w:t>
      </w:r>
      <w:r>
        <w:rPr>
          <w:rFonts w:ascii="Times New Roman" w:hAnsi="Times New Roman" w:eastAsia="宋体" w:cs="Times New Roman"/>
          <w:color w:val="000000"/>
          <w:sz w:val="24"/>
        </w:rPr>
        <w:t xml:space="preserve">自愿签订廉政协议：</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一、遵守《通州区建设工程廉政管理暂行办法》的规定，乙方同意在签订工程承包合同时，一次性向甲方交纳廉政保证金为合同价的1%。如发生不正当行为，则自愿放弃所交廉政保证金的所有权。</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二、乙方不得以任何形式向甲方管理人员赠送各种贵重物品、礼金礼券和回扣、好处费等。如有违反，将移送有关单位，视情节轻重，给予党纪、政纪处分，构成犯罪的追究刑事责任。</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三、乙方在工程建设中贿赂甲方管理人员，经检举被核实查证的，甲方有权中止工程承包合同，由乙方承担甲方造成的经济损失。</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四、甲方管理人员向乙方索贿，经检举被核实查证的，给予检举人奖励，奖金由甲方承担。</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五、乙方在承建工程中，若违反廉政协议，甲方可拒绝乙方以后参加的由甲方实施的政府项目的建设，直至取消乙方的政府投资项目投标资格。</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六、此协议与建设工程承包合同同时签订，一式捌份，甲乙双方各执肆份。</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七、此协议自双方签字盖章之日起生效。</w:t>
      </w:r>
      <w:r>
        <w:rPr>
          <w:rFonts w:ascii="Times New Roman" w:hAnsi="Times New Roman" w:eastAsia="宋体" w:cs="Times New Roman"/>
          <w:color w:val="000000"/>
          <w:sz w:val="24"/>
        </w:rPr>
      </w:r>
      <w:r/>
    </w:p>
    <w:p>
      <w:pPr>
        <w:pStyle w:val="1005"/>
        <w:ind w:left="480" w:firstLine="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甲方单位：（公章）             乙方单位：（公章）</w:t>
      </w:r>
      <w:r>
        <w:rPr>
          <w:rFonts w:hint="eastAsia" w:ascii="Times New Roman" w:hAnsi="Times New Roman" w:eastAsia="宋体" w:cs="Times New Roman"/>
          <w:color w:val="000000"/>
          <w:sz w:val="24"/>
          <w:szCs w:val="24"/>
        </w:rPr>
      </w:r>
      <w:r/>
    </w:p>
    <w:p>
      <w:pPr>
        <w:pStyle w:val="1005"/>
        <w:ind w:left="480" w:firstLine="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                  </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rPr>
        <w:t xml:space="preserve">法定代表人：</w:t>
      </w:r>
      <w:r>
        <w:rPr>
          <w:rFonts w:hint="eastAsia" w:ascii="Times New Roman" w:hAnsi="Times New Roman" w:eastAsia="宋体" w:cs="Times New Roman"/>
          <w:color w:val="000000"/>
          <w:sz w:val="24"/>
          <w:szCs w:val="24"/>
        </w:rPr>
      </w:r>
      <w:r/>
    </w:p>
    <w:p>
      <w:pPr>
        <w:pStyle w:val="1005"/>
        <w:ind w:left="480" w:firstLine="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委托代理人：                  </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rPr>
        <w:t xml:space="preserve">委托代理人：</w:t>
      </w:r>
      <w:r>
        <w:rPr>
          <w:rFonts w:hint="eastAsia" w:ascii="Times New Roman" w:hAnsi="Times New Roman" w:eastAsia="宋体" w:cs="Times New Roman"/>
          <w:color w:val="000000"/>
          <w:sz w:val="24"/>
          <w:szCs w:val="24"/>
        </w:rPr>
      </w:r>
      <w:r/>
    </w:p>
    <w:p>
      <w:pPr>
        <w:pStyle w:val="1005"/>
        <w:ind w:left="480" w:firstLine="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地址：                       </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rPr>
        <w:t xml:space="preserve"> 地址：</w:t>
      </w:r>
      <w:r>
        <w:rPr>
          <w:rFonts w:hint="eastAsia" w:ascii="Times New Roman" w:hAnsi="Times New Roman" w:eastAsia="宋体" w:cs="Times New Roman"/>
          <w:color w:val="000000"/>
          <w:sz w:val="24"/>
          <w:szCs w:val="24"/>
        </w:rPr>
      </w:r>
      <w:r/>
    </w:p>
    <w:p>
      <w:pPr>
        <w:pStyle w:val="1005"/>
        <w:ind w:left="480" w:firstLine="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电话：                       </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rPr>
        <w:t xml:space="preserve"> 电话：</w:t>
      </w:r>
      <w:r>
        <w:rPr>
          <w:rFonts w:hint="eastAsia" w:ascii="Times New Roman" w:hAnsi="Times New Roman" w:eastAsia="宋体" w:cs="Times New Roman"/>
          <w:color w:val="000000"/>
          <w:sz w:val="24"/>
          <w:szCs w:val="24"/>
        </w:rPr>
      </w:r>
      <w:r/>
    </w:p>
    <w:p>
      <w:pPr>
        <w:pStyle w:val="1005"/>
        <w:ind w:left="0" w:firstLine="48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年    月    日                  年    月    日</w:t>
      </w:r>
      <w:r>
        <w:rPr>
          <w:rFonts w:hint="eastAsia" w:ascii="Times New Roman" w:hAnsi="Times New Roman" w:eastAsia="宋体" w:cs="Times New Roman"/>
          <w:color w:val="000000"/>
          <w:sz w:val="24"/>
          <w:szCs w:val="24"/>
        </w:rPr>
      </w:r>
      <w:r/>
    </w:p>
    <w:p>
      <w:pPr>
        <w:pStyle w:val="1005"/>
        <w:ind w:left="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监督单位（盖章）：</w:t>
      </w:r>
      <w:r>
        <w:rPr>
          <w:rFonts w:hint="eastAsia" w:ascii="Times New Roman" w:hAnsi="Times New Roman" w:eastAsia="宋体" w:cs="Times New Roman"/>
          <w:color w:val="000000"/>
          <w:sz w:val="24"/>
          <w:szCs w:val="24"/>
        </w:rPr>
      </w:r>
      <w:r/>
    </w:p>
    <w:p>
      <w:pPr>
        <w:pStyle w:val="1005"/>
        <w:ind w:left="0" w:firstLine="48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年    月    日</w:t>
      </w:r>
      <w:r>
        <w:rPr>
          <w:rFonts w:hint="eastAsia" w:ascii="Times New Roman" w:hAnsi="Times New Roman" w:eastAsia="宋体" w:cs="Times New Roman"/>
          <w:color w:val="000000"/>
          <w:sz w:val="24"/>
          <w:szCs w:val="24"/>
        </w:rPr>
      </w:r>
      <w:r/>
    </w:p>
    <w:p>
      <w:pPr>
        <w:pStyle w:val="1005"/>
        <w:ind w:left="0"/>
        <w:jc w:val="center"/>
        <w:pageBreakBefore w:val="0"/>
        <w:spacing w:line="360" w:lineRule="auto"/>
        <w:rPr>
          <w:rFonts w:hint="eastAsia" w:ascii="宋体" w:hAnsi="宋体" w:eastAsia="宋体" w:cs="宋体"/>
          <w:color w:val="000000"/>
          <w:sz w:val="24"/>
          <w:szCs w:val="24"/>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s="宋体"/>
          <w:color w:val="000000"/>
          <w:sz w:val="24"/>
          <w:szCs w:val="24"/>
        </w:rPr>
      </w:r>
      <w:r/>
    </w:p>
    <w:p>
      <w:pPr>
        <w:pStyle w:val="1091"/>
        <w:rPr>
          <w:highlight w:val="none"/>
        </w:rPr>
        <w:outlineLvl w:val="0"/>
      </w:pPr>
      <w:r>
        <w:t xml:space="preserve">附件、                        安全生产合同</w:t>
      </w:r>
      <w:r>
        <w:rPr>
          <w:highlight w:val="none"/>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发包人：</w:t>
      </w:r>
      <w:r>
        <w:rPr>
          <w:rFonts w:ascii="Times New Roman" w:hAnsi="Times New Roman" w:eastAsia="宋体" w:cs="Times New Roman"/>
          <w:color w:val="000000"/>
          <w:sz w:val="24"/>
          <w:u w:val="single"/>
        </w:rPr>
        <w:t xml:space="preserve"> 南通市通州区十总镇人民政府 </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承包人：</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 </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为在</w:t>
      </w:r>
      <w:r>
        <w:rPr>
          <w:rFonts w:ascii="Times New Roman" w:hAnsi="Times New Roman" w:eastAsia="宋体" w:cs="Times New Roman"/>
          <w:color w:val="000000"/>
          <w:sz w:val="24"/>
          <w:u w:val="single"/>
        </w:rPr>
        <w:t xml:space="preserve"> 南通市通州区十总镇2026年一事一议财政奖补项目—道路防渗渠工程</w:t>
      </w:r>
      <w:r>
        <w:rPr>
          <w:rFonts w:ascii="Times New Roman" w:hAnsi="Times New Roman" w:eastAsia="宋体" w:cs="Times New Roman"/>
          <w:color w:val="000000"/>
          <w:sz w:val="24"/>
        </w:rPr>
        <w:t xml:space="preserve">施工合同的实施过程中创造安全、整洁的施工环境，切实搞好本项目的安全管理工作，本项目发包人与承包人特此签订安全生产合同：</w:t>
      </w:r>
      <w:r>
        <w:rPr>
          <w:rFonts w:ascii="Times New Roman" w:hAnsi="Times New Roman" w:eastAsia="宋体" w:cs="Times New Roman"/>
          <w:color w:val="000000"/>
          <w:sz w:val="24"/>
        </w:rPr>
      </w:r>
      <w:r/>
    </w:p>
    <w:p>
      <w:pPr>
        <w:pStyle w:val="1006"/>
      </w:pPr>
      <w:r>
        <w:t xml:space="preserve">一、发包人职责 </w:t>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1．严格遵守国家有关安全生产的法律法规、认真执行工程承包合同中的有关安全要求。</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2．按照“安全第一，预防为主”和坚持“管生产必须管安全”的原则进行安全生产管理，做到生产与安全工作同时计划、布置、检查、总结和评比。</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3.重要的安全设施必须坚持与主体工程“三同时”的原则，即：同时设计、审批，同时施工，同时验收，投入使用。</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4.定期召开安全生产调度会，及时传达中央及地方有关安全生产的精神。</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5.组织对承包人施工现场安全生产检查，监督承包人及时处理发现的各项隐患。</w:t>
      </w:r>
      <w:r>
        <w:rPr>
          <w:rFonts w:ascii="Times New Roman" w:hAnsi="Times New Roman" w:eastAsia="宋体" w:cs="Times New Roman"/>
          <w:color w:val="000000"/>
          <w:sz w:val="24"/>
        </w:rPr>
      </w:r>
      <w:r/>
    </w:p>
    <w:p>
      <w:pPr>
        <w:pStyle w:val="1006"/>
      </w:pPr>
      <w:r>
        <w:t xml:space="preserve">二、承包人职责</w:t>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1.严格遵守国家有关安全生产的法律法规和有关安全生产的规定，认真执行工程承包合同中的有关安全要求。</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建立健全安全生产责任制。从派往项目实施的项目经理到生产工人（包括临时雇请的农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4.承包人在任何时候都应采取各种合理的预防措施，防止其员工发生任何违法、违禁、暴力或妨碍治安的行为。</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7．操作人员上岗，必须按规定穿戴防护用品。施工负责人和安全检查员应随时检查劳动防护用品的穿戴情况，不按规定穿戴防护用品的人员不得上岗。</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8.所有施工机具设备和高空作业的设备均应定期检查，并有安全员的签字记录，保证其经常处于完好状态；不合格的机具、设备和劳动保护用品严禁使用。</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9.施工中采用新技术、新工艺、新设备、新材料时，必须制定相应的安全技术措施，施工现场必须具有相关的安全标志牌。</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Times New Roman" w:hAnsi="Times New Roman" w:eastAsia="宋体" w:cs="Times New Roman"/>
          <w:color w:val="000000"/>
          <w:sz w:val="24"/>
        </w:rPr>
      </w:r>
      <w:r/>
    </w:p>
    <w:p>
      <w:pPr>
        <w:pStyle w:val="1006"/>
        <w:numPr>
          <w:ilvl w:val="0"/>
          <w:numId w:val="125"/>
        </w:numPr>
      </w:pPr>
      <w:r>
        <w:t xml:space="preserve">违约责任</w:t>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如因发包人或承包人违约造成安全事故，将依法追究责任。</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本合同正本一式两份，副本八份，合同双方各执正本一份，副本四份。由双方法定代表人或其授权的代理人签署与加盖公章后生效，全部工程竣工验收后失效。</w:t>
      </w:r>
      <w:r>
        <w:rPr>
          <w:rFonts w:ascii="Times New Roman" w:hAnsi="Times New Roman" w:eastAsia="宋体" w:cs="Times New Roman"/>
          <w:color w:val="000000"/>
          <w:sz w:val="24"/>
        </w:rPr>
      </w:r>
      <w:r/>
    </w:p>
    <w:p>
      <w:pPr>
        <w:pStyle w:val="1005"/>
        <w:ind w:left="0" w:firstLine="42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发包人：</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公章</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                     承 包 人：</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公章</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r>
      <w:r/>
    </w:p>
    <w:p>
      <w:pPr>
        <w:pStyle w:val="1005"/>
        <w:ind w:left="0" w:firstLine="42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                 </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rPr>
        <w:t xml:space="preserve">      法定代表人： </w:t>
      </w:r>
      <w:r>
        <w:rPr>
          <w:rFonts w:hint="eastAsia" w:ascii="Times New Roman" w:hAnsi="Times New Roman" w:eastAsia="宋体" w:cs="Times New Roman"/>
          <w:color w:val="000000"/>
          <w:sz w:val="24"/>
          <w:szCs w:val="24"/>
        </w:rPr>
      </w:r>
      <w:r/>
    </w:p>
    <w:p>
      <w:pPr>
        <w:pStyle w:val="1005"/>
        <w:ind w:left="0" w:firstLine="42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委托代表人：                   </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rPr>
        <w:t xml:space="preserve">    委托代表人：</w:t>
      </w:r>
      <w:r>
        <w:rPr>
          <w:rFonts w:hint="eastAsia" w:ascii="Times New Roman" w:hAnsi="Times New Roman" w:eastAsia="宋体" w:cs="Times New Roman"/>
          <w:color w:val="000000"/>
          <w:sz w:val="24"/>
          <w:szCs w:val="24"/>
        </w:rPr>
      </w:r>
      <w:r/>
    </w:p>
    <w:p>
      <w:pPr>
        <w:pStyle w:val="1005"/>
        <w:ind w:left="482" w:firstLine="0"/>
        <w:pageBreakBefore w:val="0"/>
        <w:spacing w:after="120" w:afterAutospacing="0"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                     </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rPr>
        <w:t xml:space="preserve">     年 月 日</w:t>
      </w:r>
      <w:r>
        <w:rPr>
          <w:rFonts w:hint="eastAsia" w:ascii="Times New Roman" w:hAnsi="Times New Roman" w:eastAsia="宋体" w:cs="Times New Roman"/>
          <w:color w:val="000000"/>
          <w:sz w:val="24"/>
          <w:szCs w:val="24"/>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b/>
          <w:color w:val="000000"/>
          <w:sz w:val="24"/>
        </w:rPr>
        <w:t xml:space="preserve">发包人保留对本合同修改的权利</w:t>
      </w:r>
      <w:r>
        <w:rPr>
          <w:rFonts w:ascii="Times New Roman" w:hAnsi="Times New Roman" w:eastAsia="宋体" w:cs="Times New Roman"/>
          <w:color w:val="000000"/>
          <w:sz w:val="24"/>
          <w:highlight w:val="none"/>
        </w:rPr>
      </w:r>
      <w:r/>
    </w:p>
    <w:p>
      <w:pPr>
        <w:pStyle w:val="1093"/>
        <w:numPr>
          <w:ilvl w:val="0"/>
          <w:numId w:val="126"/>
        </w:numPr>
        <w:ind w:left="0" w:firstLine="640"/>
        <w:tabs>
          <w:tab w:val="left" w:pos="880" w:leader="none"/>
        </w:tabs>
        <w:rPr>
          <w:rFonts w:hint="eastAsia" w:ascii="黑体" w:hAnsi="黑体" w:eastAsia="黑体" w:cs="黑体"/>
          <w:b w:val="0"/>
        </w:rPr>
        <w:outlineLvl w:val="0"/>
      </w:pPr>
      <w:r/>
      <w:bookmarkEnd w:id="5"/>
      <w:r/>
      <w:bookmarkEnd w:id="6"/>
      <w:r/>
      <w:bookmarkEnd w:id="7"/>
      <w:r>
        <w:br w:type="page" w:clear="all"/>
      </w:r>
      <w:r>
        <w:t xml:space="preserve">采购需求</w:t>
      </w:r>
      <w:r>
        <w:rPr>
          <w:rFonts w:hint="eastAsia" w:ascii="黑体" w:hAnsi="黑体" w:eastAsia="黑体" w:cs="黑体"/>
          <w:b w:val="0"/>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项目属性：工程类项目</w:t>
      </w:r>
      <w:r>
        <w:rPr>
          <w:rFonts w:ascii="Times New Roman" w:hAnsi="Times New Roman" w:eastAsia="宋体" w:cs="Times New Roman"/>
          <w:sz w:val="24"/>
        </w:rPr>
      </w:r>
      <w:r/>
    </w:p>
    <w:p>
      <w:pPr>
        <w:pStyle w:val="1026"/>
        <w:ind w:left="0" w:firstLine="480"/>
        <w:rPr>
          <w:rFonts w:ascii="Times New Roman" w:hAnsi="Times New Roman" w:eastAsia="宋体" w:cs="Times New Roman"/>
          <w:sz w:val="24"/>
        </w:rPr>
      </w:pPr>
      <w:r>
        <w:rPr>
          <w:rFonts w:ascii="Times New Roman" w:hAnsi="Times New Roman" w:eastAsia="宋体" w:cs="Times New Roman"/>
          <w:sz w:val="24"/>
        </w:rPr>
        <w:t xml:space="preserve">采购需求包括拟采购的标的及其需要满足的技术、商务要求。</w:t>
      </w:r>
      <w:r>
        <w:rPr>
          <w:rFonts w:ascii="Times New Roman" w:hAnsi="Times New Roman" w:eastAsia="宋体" w:cs="Times New Roman"/>
          <w:sz w:val="24"/>
        </w:rPr>
      </w:r>
      <w:r/>
    </w:p>
    <w:p>
      <w:pPr>
        <w:pStyle w:val="1026"/>
        <w:numPr>
          <w:ilvl w:val="0"/>
          <w:numId w:val="127"/>
        </w:numPr>
        <w:ind w:left="0" w:firstLine="480"/>
        <w:tabs>
          <w:tab w:val="left" w:pos="1200" w:leader="none"/>
        </w:tabs>
        <w:rPr>
          <w:rFonts w:hint="eastAsia" w:ascii="宋体" w:hAnsi="宋体" w:eastAsia="宋体" w:cs="宋体"/>
          <w:b w:val="0"/>
          <w:sz w:val="24"/>
        </w:rPr>
      </w:pPr>
      <w:r>
        <w:rPr>
          <w:rFonts w:ascii="Times New Roman" w:hAnsi="Times New Roman" w:eastAsia="宋体" w:cs="Times New Roman"/>
          <w:sz w:val="24"/>
        </w:rPr>
        <w:t xml:space="preserve">技术要求是指对采购标的功能和质量要求，包括性能、材料、结构、外观、安全，或者服务内容和标准等。</w:t>
      </w:r>
      <w:r>
        <w:rPr>
          <w:rFonts w:hint="eastAsia" w:ascii="宋体" w:hAnsi="宋体" w:eastAsia="宋体" w:cs="宋体"/>
          <w:b w:val="0"/>
          <w:sz w:val="24"/>
        </w:rPr>
      </w:r>
      <w:r/>
    </w:p>
    <w:p>
      <w:pPr>
        <w:pStyle w:val="1026"/>
        <w:numPr>
          <w:ilvl w:val="0"/>
          <w:numId w:val="127"/>
        </w:numPr>
        <w:ind w:left="0" w:firstLine="480"/>
        <w:tabs>
          <w:tab w:val="left" w:pos="1200" w:leader="none"/>
        </w:tabs>
        <w:rPr>
          <w:rFonts w:hint="eastAsia" w:ascii="宋体" w:hAnsi="宋体" w:eastAsia="宋体" w:cs="宋体"/>
          <w:b w:val="0"/>
          <w:sz w:val="24"/>
        </w:rPr>
      </w:pPr>
      <w:r>
        <w:rPr>
          <w:rFonts w:ascii="Times New Roman" w:hAnsi="Times New Roman" w:eastAsia="宋体" w:cs="Times New Roman"/>
          <w:sz w:val="24"/>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b w:val="0"/>
          <w:sz w:val="24"/>
        </w:rPr>
      </w:r>
      <w:r/>
    </w:p>
    <w:p>
      <w:pPr>
        <w:pStyle w:val="1026"/>
        <w:numPr>
          <w:ilvl w:val="0"/>
          <w:numId w:val="127"/>
        </w:numPr>
        <w:ind w:left="0" w:firstLine="480"/>
        <w:tabs>
          <w:tab w:val="left" w:pos="1200" w:leader="none"/>
        </w:tabs>
        <w:rPr>
          <w:rFonts w:hint="eastAsia" w:ascii="宋体" w:hAnsi="宋体" w:eastAsia="宋体" w:cs="宋体"/>
          <w:b w:val="0"/>
          <w:i w:val="0"/>
          <w:iCs/>
          <w:sz w:val="24"/>
          <w:u w:val="single"/>
        </w:rPr>
      </w:pPr>
      <w:r>
        <w:rPr>
          <w:rFonts w:ascii="Times New Roman" w:hAnsi="Times New Roman" w:eastAsia="宋体" w:cs="Times New Roman"/>
          <w:i w:val="0"/>
          <w:iCs/>
          <w:sz w:val="24"/>
          <w:u w:val="single"/>
        </w:rPr>
        <w:t xml:space="preserve">采购需求中必须满足的实质性要求。</w:t>
      </w:r>
      <w:r>
        <w:rPr>
          <w:rFonts w:hint="eastAsia" w:ascii="宋体" w:hAnsi="宋体" w:eastAsia="宋体" w:cs="宋体"/>
          <w:b w:val="0"/>
          <w:i w:val="0"/>
          <w:iCs/>
          <w:sz w:val="24"/>
          <w:u w:val="single"/>
        </w:rPr>
      </w:r>
      <w:r/>
    </w:p>
    <w:p>
      <w:pPr>
        <w:pStyle w:val="1096"/>
        <w:ind w:left="0" w:firstLine="0"/>
        <w:outlineLvl w:val="0"/>
      </w:pPr>
      <w:r>
        <w:t xml:space="preserve">采购标的对应的中小企业划分标准所属行业一览表</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1005"/>
              <w:jc w:val="center"/>
              <w:spacing w:line="0" w:lineRule="atLeast"/>
              <w:rPr>
                <w:rFonts w:ascii="宋体" w:hAnsi="宋体"/>
                <w:color w:val="ff0000"/>
                <w:sz w:val="24"/>
                <w:szCs w:val="24"/>
              </w:rPr>
            </w:pPr>
            <w:r>
              <w:rPr>
                <w:rFonts w:hint="eastAsia" w:ascii="宋体" w:hAnsi="宋体"/>
                <w:color w:val="ff0000"/>
                <w:sz w:val="24"/>
                <w:szCs w:val="24"/>
              </w:rPr>
              <w:t xml:space="preserve">序号</w:t>
            </w:r>
            <w:r>
              <w:rPr>
                <w:rFonts w:ascii="宋体" w:hAnsi="宋体"/>
                <w:color w:val="ff0000"/>
                <w:sz w:val="24"/>
                <w:szCs w:val="24"/>
              </w:rPr>
            </w:r>
            <w:r/>
          </w:p>
        </w:tc>
        <w:tc>
          <w:tcPr>
            <w:tcW w:w="3291" w:type="dxa"/>
            <w:vAlign w:val="center"/>
            <w:textDirection w:val="lrTb"/>
            <w:noWrap w:val="false"/>
          </w:tcPr>
          <w:p>
            <w:pPr>
              <w:pStyle w:val="1005"/>
              <w:jc w:val="center"/>
              <w:spacing w:line="0" w:lineRule="atLeast"/>
              <w:rPr>
                <w:rFonts w:ascii="宋体" w:hAnsi="宋体"/>
                <w:color w:val="ff0000"/>
                <w:sz w:val="24"/>
                <w:szCs w:val="24"/>
              </w:rPr>
            </w:pPr>
            <w:r>
              <w:rPr>
                <w:rFonts w:hint="eastAsia" w:ascii="宋体" w:hAnsi="宋体"/>
                <w:color w:val="ff0000"/>
                <w:sz w:val="24"/>
                <w:szCs w:val="24"/>
              </w:rPr>
              <w:t xml:space="preserve">采购</w:t>
            </w:r>
            <w:r>
              <w:rPr>
                <w:rFonts w:ascii="宋体" w:hAnsi="宋体"/>
                <w:color w:val="ff0000"/>
                <w:sz w:val="24"/>
                <w:szCs w:val="24"/>
              </w:rPr>
              <w:t xml:space="preserve">标的</w:t>
            </w:r>
            <w:r>
              <w:rPr>
                <w:rFonts w:ascii="宋体" w:hAnsi="宋体"/>
                <w:color w:val="ff0000"/>
                <w:sz w:val="24"/>
                <w:szCs w:val="24"/>
              </w:rPr>
            </w:r>
            <w:r/>
          </w:p>
        </w:tc>
        <w:tc>
          <w:tcPr>
            <w:tcW w:w="2852" w:type="dxa"/>
            <w:vAlign w:val="center"/>
            <w:textDirection w:val="lrTb"/>
            <w:noWrap w:val="false"/>
          </w:tcPr>
          <w:p>
            <w:pPr>
              <w:pStyle w:val="1005"/>
              <w:jc w:val="center"/>
              <w:spacing w:line="0" w:lineRule="atLeast"/>
              <w:rPr>
                <w:rFonts w:ascii="宋体" w:hAnsi="宋体"/>
                <w:color w:val="ff0000"/>
                <w:sz w:val="24"/>
                <w:szCs w:val="24"/>
              </w:rPr>
            </w:pPr>
            <w:r>
              <w:rPr>
                <w:rFonts w:hint="eastAsia" w:ascii="宋体" w:hAnsi="宋体"/>
                <w:color w:val="ff0000"/>
                <w:sz w:val="24"/>
                <w:szCs w:val="24"/>
              </w:rPr>
              <w:t xml:space="preserve">对应中</w:t>
            </w:r>
            <w:r>
              <w:rPr>
                <w:rFonts w:ascii="宋体" w:hAnsi="宋体"/>
                <w:color w:val="ff0000"/>
                <w:sz w:val="24"/>
                <w:szCs w:val="24"/>
              </w:rPr>
              <w:t xml:space="preserve">小企业划分标准所属行业</w:t>
            </w:r>
            <w:r>
              <w:rPr>
                <w:rFonts w:ascii="宋体" w:hAnsi="宋体"/>
                <w:color w:val="ff0000"/>
                <w:sz w:val="24"/>
                <w:szCs w:val="24"/>
              </w:rPr>
            </w:r>
            <w:r/>
          </w:p>
        </w:tc>
      </w:tr>
      <w:tr>
        <w:trPr>
          <w:cantSplit/>
          <w:trHeight w:val="291"/>
        </w:trPr>
        <w:tc>
          <w:tcPr>
            <w:tcW w:w="545" w:type="dxa"/>
            <w:vAlign w:val="top"/>
            <w:textDirection w:val="lrTb"/>
            <w:noWrap w:val="false"/>
          </w:tcPr>
          <w:p>
            <w:pPr>
              <w:pStyle w:val="1005"/>
              <w:jc w:val="center"/>
              <w:spacing w:line="0" w:lineRule="atLeast"/>
              <w:rPr>
                <w:rFonts w:ascii="宋体" w:hAnsi="宋体"/>
                <w:color w:val="ff0000"/>
                <w:sz w:val="24"/>
                <w:szCs w:val="24"/>
              </w:rPr>
            </w:pPr>
            <w:r>
              <w:rPr>
                <w:rFonts w:hint="eastAsia" w:ascii="宋体" w:hAnsi="宋体"/>
                <w:color w:val="ff0000"/>
                <w:sz w:val="24"/>
                <w:szCs w:val="24"/>
              </w:rPr>
              <w:t xml:space="preserve">1</w:t>
            </w:r>
            <w:r>
              <w:rPr>
                <w:rFonts w:ascii="宋体" w:hAnsi="宋体"/>
                <w:color w:val="ff0000"/>
                <w:sz w:val="24"/>
                <w:szCs w:val="24"/>
              </w:rPr>
            </w:r>
            <w:r/>
          </w:p>
        </w:tc>
        <w:tc>
          <w:tcPr>
            <w:tcW w:w="3291" w:type="dxa"/>
            <w:vAlign w:val="top"/>
            <w:textDirection w:val="lrTb"/>
            <w:noWrap w:val="false"/>
          </w:tcPr>
          <w:p>
            <w:pPr>
              <w:pStyle w:val="1005"/>
              <w:jc w:val="center"/>
              <w:spacing w:line="0" w:lineRule="atLeast"/>
              <w:rPr>
                <w:rFonts w:ascii="宋体" w:hAnsi="宋体"/>
                <w:color w:val="ff0000"/>
                <w:sz w:val="24"/>
                <w:szCs w:val="24"/>
              </w:rPr>
            </w:pPr>
            <w:r>
              <w:rPr>
                <w:rFonts w:hint="eastAsia" w:ascii="宋体" w:hAnsi="宋体"/>
                <w:color w:val="ff0000"/>
                <w:sz w:val="24"/>
                <w:szCs w:val="24"/>
              </w:rPr>
              <w:t xml:space="preserve">2026年度一事一议财政奖补项目-道路防渗渠工程</w:t>
            </w:r>
            <w:r>
              <w:rPr>
                <w:rFonts w:ascii="宋体" w:hAnsi="宋体"/>
                <w:color w:val="ff0000"/>
                <w:sz w:val="24"/>
                <w:szCs w:val="24"/>
              </w:rPr>
            </w:r>
            <w:r/>
          </w:p>
        </w:tc>
        <w:tc>
          <w:tcPr>
            <w:tcW w:w="2852" w:type="dxa"/>
            <w:vAlign w:val="top"/>
            <w:textDirection w:val="lrTb"/>
            <w:noWrap w:val="false"/>
          </w:tcPr>
          <w:p>
            <w:pPr>
              <w:pStyle w:val="1005"/>
              <w:jc w:val="center"/>
              <w:spacing w:line="0" w:lineRule="atLeast"/>
              <w:rPr>
                <w:rFonts w:hint="eastAsia" w:ascii="宋体" w:hAnsi="宋体" w:eastAsia="宋体"/>
                <w:color w:val="ff0000"/>
                <w:sz w:val="24"/>
                <w:szCs w:val="24"/>
                <w:lang w:val="en-US" w:eastAsia="zh-CN"/>
              </w:rPr>
            </w:pPr>
            <w:r>
              <w:rPr>
                <w:rFonts w:hint="eastAsia" w:ascii="宋体" w:hAnsi="宋体"/>
                <w:color w:val="ff0000"/>
                <w:sz w:val="24"/>
                <w:szCs w:val="24"/>
                <w:lang w:val="en-US" w:eastAsia="zh-CN"/>
              </w:rPr>
              <w:t xml:space="preserve">建筑业</w:t>
            </w:r>
            <w:r>
              <w:rPr>
                <w:rFonts w:hint="eastAsia" w:ascii="宋体" w:hAnsi="宋体" w:eastAsia="宋体"/>
                <w:color w:val="ff0000"/>
                <w:sz w:val="24"/>
                <w:szCs w:val="24"/>
                <w:lang w:val="en-US" w:eastAsia="zh-CN"/>
              </w:rPr>
            </w:r>
            <w:r/>
          </w:p>
        </w:tc>
      </w:tr>
    </w:tbl>
    <w:p>
      <w:pPr>
        <w:pStyle w:val="1006"/>
        <w:numPr>
          <w:ilvl w:val="0"/>
          <w:numId w:val="128"/>
        </w:numPr>
        <w:ind w:left="0" w:firstLine="482"/>
        <w:tabs>
          <w:tab w:val="left" w:pos="963" w:leader="none"/>
        </w:tabs>
        <w:rPr>
          <w:b/>
          <w:highlight w:val="none"/>
        </w:rPr>
      </w:pPr>
      <w:r>
        <w:rPr>
          <w:highlight w:val="none"/>
        </w:rPr>
        <w:t xml:space="preserve">项目简介</w:t>
      </w:r>
      <w:r>
        <w:rPr>
          <w:b/>
          <w:highlight w:val="none"/>
        </w:rPr>
      </w:r>
      <w:r/>
    </w:p>
    <w:p>
      <w:pPr>
        <w:pStyle w:val="1026"/>
        <w:numPr>
          <w:ilvl w:val="0"/>
          <w:numId w:val="129"/>
        </w:numPr>
        <w:ind w:left="0" w:firstLine="480"/>
        <w:tabs>
          <w:tab w:val="left" w:pos="7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项目名称：南通市通州区十总镇2026年一事一议财政奖补项目—道路防渗渠工程</w:t>
      </w:r>
      <w:r>
        <w:rPr>
          <w:rFonts w:ascii="Times New Roman" w:hAnsi="Times New Roman" w:eastAsia="宋体" w:cs="Times New Roman"/>
          <w:b w:val="0"/>
          <w:color w:val="000000"/>
          <w:sz w:val="24"/>
          <w:highlight w:val="none"/>
        </w:rPr>
      </w:r>
      <w:r/>
    </w:p>
    <w:p>
      <w:pPr>
        <w:pStyle w:val="1026"/>
        <w:numPr>
          <w:ilvl w:val="0"/>
          <w:numId w:val="129"/>
        </w:numPr>
        <w:ind w:left="0" w:firstLine="480"/>
        <w:tabs>
          <w:tab w:val="left" w:pos="7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项目地点：项目涉及志新村、二爻居、双墩村、十总居、沧南居、五总居、骑北村、新雁村、东场村。</w:t>
      </w:r>
      <w:r>
        <w:rPr>
          <w:rFonts w:ascii="Times New Roman" w:hAnsi="Times New Roman" w:eastAsia="宋体" w:cs="Times New Roman"/>
          <w:b w:val="0"/>
          <w:color w:val="000000"/>
          <w:sz w:val="24"/>
          <w:highlight w:val="none"/>
        </w:rPr>
      </w:r>
      <w:r/>
    </w:p>
    <w:p>
      <w:pPr>
        <w:pStyle w:val="1026"/>
        <w:numPr>
          <w:ilvl w:val="0"/>
          <w:numId w:val="129"/>
        </w:numPr>
        <w:ind w:left="0" w:firstLine="480"/>
        <w:tabs>
          <w:tab w:val="left" w:pos="7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预算金额：</w:t>
      </w:r>
      <w:r>
        <w:rPr>
          <w:rFonts w:ascii="Times New Roman" w:hAnsi="Times New Roman" w:eastAsia="宋体" w:cs="Times New Roman"/>
          <w:sz w:val="24"/>
        </w:rPr>
        <w:t xml:space="preserve">180.5</w:t>
      </w:r>
      <w:r>
        <w:rPr>
          <w:rFonts w:hint="eastAsia" w:cs="Times New Roman"/>
          <w:sz w:val="24"/>
          <w:lang w:val="en-US" w:eastAsia="zh-CN"/>
        </w:rPr>
        <w:t xml:space="preserve">4</w:t>
      </w:r>
      <w:r>
        <w:rPr>
          <w:rFonts w:ascii="Times New Roman" w:hAnsi="Times New Roman" w:eastAsia="宋体" w:cs="Times New Roman"/>
          <w:color w:val="000000"/>
          <w:sz w:val="24"/>
          <w:highlight w:val="none"/>
        </w:rPr>
        <w:t xml:space="preserve">万元。</w:t>
      </w:r>
      <w:r>
        <w:rPr>
          <w:rFonts w:ascii="Times New Roman" w:hAnsi="Times New Roman" w:eastAsia="宋体" w:cs="Times New Roman"/>
          <w:b w:val="0"/>
          <w:color w:val="000000"/>
          <w:sz w:val="24"/>
          <w:highlight w:val="none"/>
        </w:rPr>
      </w:r>
      <w:r/>
    </w:p>
    <w:p>
      <w:pPr>
        <w:pStyle w:val="1026"/>
        <w:numPr>
          <w:ilvl w:val="0"/>
          <w:numId w:val="129"/>
        </w:numPr>
        <w:ind w:left="0" w:firstLine="480"/>
        <w:tabs>
          <w:tab w:val="left" w:pos="7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最高限价：166万元，最终报价超过采购最高限价的为无效响应文件。</w:t>
      </w:r>
      <w:r>
        <w:rPr>
          <w:rFonts w:ascii="Times New Roman" w:hAnsi="Times New Roman" w:eastAsia="宋体" w:cs="Times New Roman"/>
          <w:b w:val="0"/>
          <w:color w:val="000000"/>
          <w:sz w:val="24"/>
          <w:highlight w:val="none"/>
        </w:rPr>
      </w:r>
      <w:r/>
    </w:p>
    <w:p>
      <w:pPr>
        <w:pStyle w:val="1026"/>
        <w:numPr>
          <w:ilvl w:val="0"/>
          <w:numId w:val="129"/>
        </w:numPr>
        <w:ind w:left="0" w:firstLine="480"/>
        <w:tabs>
          <w:tab w:val="left" w:pos="7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采购需求：新道路835米、防渗渠6277米。具体详见工程量清单。</w:t>
      </w:r>
      <w:r>
        <w:rPr>
          <w:rFonts w:ascii="Times New Roman" w:hAnsi="Times New Roman" w:eastAsia="宋体" w:cs="Times New Roman"/>
          <w:b w:val="0"/>
          <w:color w:val="000000"/>
          <w:sz w:val="24"/>
          <w:highlight w:val="none"/>
        </w:rPr>
      </w:r>
      <w:r/>
    </w:p>
    <w:p>
      <w:pPr>
        <w:pStyle w:val="1026"/>
        <w:numPr>
          <w:ilvl w:val="0"/>
          <w:numId w:val="129"/>
        </w:numPr>
        <w:ind w:left="0" w:firstLine="480"/>
        <w:tabs>
          <w:tab w:val="left" w:pos="780" w:leader="none"/>
        </w:tabs>
        <w:rPr>
          <w:rFonts w:ascii="Times New Roman" w:hAnsi="Times New Roman" w:eastAsia="宋体" w:cs="Times New Roman"/>
          <w:b w:val="0"/>
          <w:color w:val="000000"/>
          <w:sz w:val="24"/>
        </w:rPr>
      </w:pPr>
      <w:r>
        <w:rPr>
          <w:rFonts w:ascii="Times New Roman" w:hAnsi="Times New Roman" w:eastAsia="宋体" w:cs="Times New Roman"/>
          <w:b w:val="0"/>
          <w:color w:val="000000"/>
          <w:sz w:val="24"/>
          <w:highlight w:val="none"/>
        </w:rPr>
        <w:t xml:space="preserve">合同履行期限：75日历天</w:t>
      </w:r>
      <w:r>
        <w:rPr>
          <w:rFonts w:ascii="Times New Roman" w:hAnsi="Times New Roman" w:eastAsia="宋体" w:cs="Times New Roman"/>
          <w:b w:val="0"/>
          <w:color w:val="000000"/>
          <w:sz w:val="24"/>
        </w:rPr>
      </w:r>
      <w:r/>
    </w:p>
    <w:p>
      <w:pPr>
        <w:pStyle w:val="1006"/>
        <w:numPr>
          <w:ilvl w:val="0"/>
          <w:numId w:val="128"/>
        </w:numPr>
        <w:ind w:left="0" w:firstLine="482"/>
        <w:tabs>
          <w:tab w:val="left" w:pos="963" w:leader="none"/>
        </w:tabs>
        <w:rPr>
          <w:b/>
          <w:highlight w:val="none"/>
        </w:rPr>
      </w:pPr>
      <w:r>
        <w:rPr>
          <w:highlight w:val="none"/>
        </w:rPr>
        <w:t xml:space="preserve">工程量清单</w:t>
      </w:r>
      <w:r>
        <w:rPr>
          <w:b/>
          <w:highlight w:val="none"/>
        </w:rPr>
      </w:r>
      <w:r/>
    </w:p>
    <w:p>
      <w:pPr>
        <w:pStyle w:val="1007"/>
        <w:numPr>
          <w:ilvl w:val="0"/>
          <w:numId w:val="130"/>
        </w:numPr>
        <w:ind w:left="0" w:firstLine="482"/>
        <w:tabs>
          <w:tab w:val="left" w:pos="783" w:leader="none"/>
        </w:tabs>
        <w:rPr>
          <w:b/>
          <w:highlight w:val="none"/>
        </w:rPr>
      </w:pPr>
      <w:r/>
      <w:bookmarkStart w:id="703" w:name="_Toc498006749"/>
      <w:r/>
      <w:bookmarkStart w:id="704" w:name="_Toc473034406"/>
      <w:r>
        <w:rPr>
          <w:highlight w:val="none"/>
        </w:rPr>
        <w:t xml:space="preserve">工程量清单编制说明</w:t>
      </w:r>
      <w:bookmarkEnd w:id="703"/>
      <w:r/>
      <w:bookmarkEnd w:id="704"/>
      <w:r>
        <w:rPr>
          <w:b/>
          <w:highlight w:val="none"/>
        </w:rPr>
      </w:r>
      <w:r/>
    </w:p>
    <w:p>
      <w:pPr>
        <w:pStyle w:val="1026"/>
        <w:numPr>
          <w:ilvl w:val="0"/>
          <w:numId w:val="131"/>
        </w:numPr>
        <w:ind w:left="0" w:firstLine="480"/>
        <w:tabs>
          <w:tab w:val="left" w:pos="96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本工程量清单应与招标文件中的供应商须知、通用合同条款、专用合同条款、技术标准和要求及图纸等章节内容一起阅读和理解。</w:t>
      </w:r>
      <w:r>
        <w:rPr>
          <w:rFonts w:hint="eastAsia" w:ascii="宋体" w:hAnsi="宋体" w:eastAsia="宋体" w:cs="宋体"/>
          <w:b w:val="0"/>
          <w:color w:val="000000"/>
          <w:sz w:val="24"/>
          <w:highlight w:val="none"/>
        </w:rPr>
      </w:r>
      <w:r/>
    </w:p>
    <w:p>
      <w:pPr>
        <w:pStyle w:val="1026"/>
        <w:numPr>
          <w:ilvl w:val="0"/>
          <w:numId w:val="131"/>
        </w:numPr>
        <w:ind w:left="0" w:firstLine="480"/>
        <w:tabs>
          <w:tab w:val="left" w:pos="96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本工程量清单仅是投标报价的共同基础，竣工结算的工程量按合同约定确定。合同价格的确定以及价款支付应遵循合同条款（包括通用合同条款和专用合同条款）、技术标准和要求以及本章的有关约定。</w:t>
      </w:r>
      <w:r>
        <w:rPr>
          <w:rFonts w:hint="eastAsia" w:ascii="宋体" w:hAnsi="宋体" w:eastAsia="宋体" w:cs="宋体"/>
          <w:b w:val="0"/>
          <w:color w:val="000000"/>
          <w:sz w:val="24"/>
          <w:highlight w:val="none"/>
        </w:rPr>
      </w:r>
      <w:r/>
    </w:p>
    <w:p>
      <w:pPr>
        <w:pStyle w:val="1026"/>
        <w:numPr>
          <w:ilvl w:val="0"/>
          <w:numId w:val="131"/>
        </w:numPr>
        <w:ind w:left="0" w:firstLine="480"/>
        <w:tabs>
          <w:tab w:val="left" w:pos="96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本条第1.1款中约定的计量和计价规则适用于合同履约过程中工程量计量与价款支付、工程变更、索赔和工程结算。</w:t>
      </w:r>
      <w:r>
        <w:rPr>
          <w:rFonts w:hint="eastAsia" w:ascii="宋体" w:hAnsi="宋体" w:eastAsia="宋体" w:cs="宋体"/>
          <w:b w:val="0"/>
          <w:color w:val="000000"/>
          <w:sz w:val="24"/>
          <w:highlight w:val="none"/>
        </w:rPr>
      </w:r>
      <w:r/>
    </w:p>
    <w:p>
      <w:pPr>
        <w:pStyle w:val="1026"/>
        <w:numPr>
          <w:ilvl w:val="0"/>
          <w:numId w:val="131"/>
        </w:numPr>
        <w:ind w:left="0" w:firstLine="480"/>
        <w:tabs>
          <w:tab w:val="left" w:pos="96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本条与本章第2条和第3条的说明内容是构成合同文件的已标价工程量清单的组成部分。</w:t>
      </w:r>
      <w:r>
        <w:rPr>
          <w:rFonts w:hint="eastAsia" w:ascii="宋体" w:hAnsi="宋体" w:eastAsia="宋体" w:cs="宋体"/>
          <w:b w:val="0"/>
          <w:color w:val="000000"/>
          <w:sz w:val="24"/>
          <w:highlight w:val="none"/>
        </w:rPr>
      </w:r>
      <w:r/>
    </w:p>
    <w:p>
      <w:pPr>
        <w:pStyle w:val="1007"/>
        <w:numPr>
          <w:ilvl w:val="0"/>
          <w:numId w:val="130"/>
        </w:numPr>
        <w:ind w:left="0" w:firstLine="482"/>
        <w:tabs>
          <w:tab w:val="left" w:pos="783" w:leader="none"/>
        </w:tabs>
        <w:rPr>
          <w:b/>
          <w:highlight w:val="none"/>
        </w:rPr>
      </w:pPr>
      <w:r/>
      <w:bookmarkStart w:id="705" w:name="_Toc498006750"/>
      <w:r/>
      <w:bookmarkStart w:id="706" w:name="_Toc473034407"/>
      <w:r>
        <w:rPr>
          <w:highlight w:val="none"/>
        </w:rPr>
        <w:t xml:space="preserve">投标报价编制要求</w:t>
      </w:r>
      <w:bookmarkEnd w:id="705"/>
      <w:r/>
      <w:bookmarkEnd w:id="706"/>
      <w:r>
        <w:rPr>
          <w:b/>
          <w:highlight w:val="none"/>
        </w:rPr>
      </w:r>
      <w:r/>
    </w:p>
    <w:p>
      <w:pPr>
        <w:pStyle w:val="1026"/>
        <w:numPr>
          <w:ilvl w:val="0"/>
          <w:numId w:val="132"/>
        </w:numPr>
        <w:ind w:left="0" w:firstLine="480"/>
        <w:tabs>
          <w:tab w:val="left" w:pos="96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投标报价应根据招标文件中的有关计价要求，并按照下列依据自主报价，但不得低于成本。</w:t>
      </w:r>
      <w:r>
        <w:rPr>
          <w:rFonts w:hint="eastAsia" w:ascii="宋体" w:hAnsi="宋体" w:eastAsia="宋体" w:cs="宋体"/>
          <w:b w:val="0"/>
          <w:color w:val="000000"/>
          <w:sz w:val="24"/>
          <w:highlight w:val="none"/>
        </w:rPr>
      </w:r>
      <w:r/>
    </w:p>
    <w:p>
      <w:pPr>
        <w:pStyle w:val="1026"/>
        <w:numPr>
          <w:ilvl w:val="0"/>
          <w:numId w:val="133"/>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本招标文件；</w:t>
      </w:r>
      <w:r>
        <w:rPr>
          <w:rFonts w:ascii="Times New Roman" w:hAnsi="Times New Roman" w:eastAsia="宋体" w:cs="Times New Roman"/>
          <w:b w:val="0"/>
          <w:color w:val="000000"/>
          <w:sz w:val="24"/>
          <w:highlight w:val="none"/>
        </w:rPr>
      </w:r>
      <w:r/>
    </w:p>
    <w:p>
      <w:pPr>
        <w:pStyle w:val="1026"/>
        <w:numPr>
          <w:ilvl w:val="0"/>
          <w:numId w:val="133"/>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相关计算规范；</w:t>
      </w:r>
      <w:r>
        <w:rPr>
          <w:rFonts w:ascii="Times New Roman" w:hAnsi="Times New Roman" w:eastAsia="宋体" w:cs="Times New Roman"/>
          <w:b w:val="0"/>
          <w:color w:val="000000"/>
          <w:sz w:val="24"/>
          <w:highlight w:val="none"/>
        </w:rPr>
      </w:r>
      <w:r/>
    </w:p>
    <w:p>
      <w:pPr>
        <w:pStyle w:val="1026"/>
        <w:numPr>
          <w:ilvl w:val="0"/>
          <w:numId w:val="133"/>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国家或省级、行业建设主管部门颁发的计价办法；</w:t>
      </w:r>
      <w:r>
        <w:rPr>
          <w:rFonts w:ascii="Times New Roman" w:hAnsi="Times New Roman" w:eastAsia="宋体" w:cs="Times New Roman"/>
          <w:b w:val="0"/>
          <w:color w:val="000000"/>
          <w:sz w:val="24"/>
          <w:highlight w:val="none"/>
        </w:rPr>
      </w:r>
      <w:r/>
    </w:p>
    <w:p>
      <w:pPr>
        <w:pStyle w:val="1026"/>
        <w:numPr>
          <w:ilvl w:val="0"/>
          <w:numId w:val="133"/>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企业定额，国家或省级、行业建设主管部门颁发的计价定额；</w:t>
      </w:r>
      <w:r>
        <w:rPr>
          <w:rFonts w:ascii="Times New Roman" w:hAnsi="Times New Roman" w:eastAsia="宋体" w:cs="Times New Roman"/>
          <w:b w:val="0"/>
          <w:color w:val="000000"/>
          <w:sz w:val="24"/>
          <w:highlight w:val="none"/>
        </w:rPr>
      </w:r>
      <w:r/>
    </w:p>
    <w:p>
      <w:pPr>
        <w:pStyle w:val="1026"/>
        <w:numPr>
          <w:ilvl w:val="0"/>
          <w:numId w:val="133"/>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招标文件、招标工程量清单及其补充通知、答疑纪要；</w:t>
      </w:r>
      <w:r>
        <w:rPr>
          <w:rFonts w:ascii="Times New Roman" w:hAnsi="Times New Roman" w:eastAsia="宋体" w:cs="Times New Roman"/>
          <w:b w:val="0"/>
          <w:color w:val="000000"/>
          <w:sz w:val="24"/>
          <w:highlight w:val="none"/>
        </w:rPr>
      </w:r>
      <w:r/>
    </w:p>
    <w:p>
      <w:pPr>
        <w:pStyle w:val="1026"/>
        <w:numPr>
          <w:ilvl w:val="0"/>
          <w:numId w:val="133"/>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设计文件及相关资料；</w:t>
      </w:r>
      <w:r>
        <w:rPr>
          <w:rFonts w:ascii="Times New Roman" w:hAnsi="Times New Roman" w:eastAsia="宋体" w:cs="Times New Roman"/>
          <w:b w:val="0"/>
          <w:color w:val="000000"/>
          <w:sz w:val="24"/>
          <w:highlight w:val="none"/>
        </w:rPr>
      </w:r>
      <w:r/>
    </w:p>
    <w:p>
      <w:pPr>
        <w:pStyle w:val="1026"/>
        <w:numPr>
          <w:ilvl w:val="0"/>
          <w:numId w:val="133"/>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施工现场情况、工程特点及拟定的投标施工组织设计或施工方案；</w:t>
      </w:r>
      <w:r>
        <w:rPr>
          <w:rFonts w:ascii="Times New Roman" w:hAnsi="Times New Roman" w:eastAsia="宋体" w:cs="Times New Roman"/>
          <w:b w:val="0"/>
          <w:color w:val="000000"/>
          <w:sz w:val="24"/>
          <w:highlight w:val="none"/>
        </w:rPr>
      </w:r>
      <w:r/>
    </w:p>
    <w:p>
      <w:pPr>
        <w:pStyle w:val="1026"/>
        <w:numPr>
          <w:ilvl w:val="0"/>
          <w:numId w:val="133"/>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与建设项目相关的标准、规范等技术资料；</w:t>
      </w:r>
      <w:r>
        <w:rPr>
          <w:rFonts w:ascii="Times New Roman" w:hAnsi="Times New Roman" w:eastAsia="宋体" w:cs="Times New Roman"/>
          <w:b w:val="0"/>
          <w:color w:val="000000"/>
          <w:sz w:val="24"/>
          <w:highlight w:val="none"/>
        </w:rPr>
      </w:r>
      <w:r/>
    </w:p>
    <w:p>
      <w:pPr>
        <w:pStyle w:val="1026"/>
        <w:numPr>
          <w:ilvl w:val="0"/>
          <w:numId w:val="133"/>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市场价格信息或工程造价管理机构发布的工程造价信息；</w:t>
      </w:r>
      <w:r>
        <w:rPr>
          <w:rFonts w:ascii="Times New Roman" w:hAnsi="Times New Roman" w:eastAsia="宋体" w:cs="Times New Roman"/>
          <w:b w:val="0"/>
          <w:color w:val="000000"/>
          <w:sz w:val="24"/>
          <w:highlight w:val="none"/>
        </w:rPr>
      </w:r>
      <w:r/>
    </w:p>
    <w:p>
      <w:pPr>
        <w:pStyle w:val="1026"/>
        <w:numPr>
          <w:ilvl w:val="0"/>
          <w:numId w:val="133"/>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其他相关资料。</w:t>
      </w:r>
      <w:r>
        <w:rPr>
          <w:rFonts w:ascii="Times New Roman" w:hAnsi="Times New Roman" w:eastAsia="宋体" w:cs="Times New Roman"/>
          <w:b w:val="0"/>
          <w:color w:val="000000"/>
          <w:sz w:val="24"/>
          <w:highlight w:val="none"/>
        </w:rPr>
      </w:r>
      <w:r/>
    </w:p>
    <w:p>
      <w:pPr>
        <w:pStyle w:val="1026"/>
        <w:numPr>
          <w:ilvl w:val="0"/>
          <w:numId w:val="132"/>
        </w:numPr>
        <w:ind w:left="0" w:firstLine="480"/>
        <w:tabs>
          <w:tab w:val="left" w:pos="96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招标工程量清单与计价表中列明的所有需要填写单价和合价的项目，均应填写且只允许有一个报价。未填写单价和合价的项目，视为此项费用已包含在已标价工程量清单中其他项目的单价和合价之中。</w:t>
      </w:r>
      <w:r>
        <w:rPr>
          <w:rFonts w:hint="eastAsia" w:ascii="宋体" w:hAnsi="宋体" w:eastAsia="宋体" w:cs="宋体"/>
          <w:b w:val="0"/>
          <w:color w:val="000000"/>
          <w:sz w:val="24"/>
          <w:highlight w:val="none"/>
        </w:rPr>
      </w:r>
      <w:r/>
    </w:p>
    <w:p>
      <w:pPr>
        <w:pStyle w:val="1026"/>
        <w:numPr>
          <w:ilvl w:val="0"/>
          <w:numId w:val="132"/>
        </w:numPr>
        <w:ind w:left="0" w:firstLine="480"/>
        <w:tabs>
          <w:tab w:val="left" w:pos="96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工程量清单中标价的单价或金额，应包括所需人工费、材料费、施工机具使用费、管理费、利润，以及一定范围内的风险费用。所谓“一定范围内的风险”是指合同约定的风险。</w:t>
      </w:r>
      <w:r>
        <w:rPr>
          <w:rFonts w:hint="eastAsia" w:ascii="宋体" w:hAnsi="宋体" w:eastAsia="宋体" w:cs="宋体"/>
          <w:b w:val="0"/>
          <w:color w:val="000000"/>
          <w:sz w:val="24"/>
          <w:highlight w:val="none"/>
        </w:rPr>
      </w:r>
      <w:r/>
    </w:p>
    <w:p>
      <w:pPr>
        <w:pStyle w:val="1026"/>
        <w:numPr>
          <w:ilvl w:val="0"/>
          <w:numId w:val="132"/>
        </w:numPr>
        <w:ind w:left="0" w:firstLine="480"/>
        <w:tabs>
          <w:tab w:val="left" w:pos="96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rPr>
          <w:rFonts w:ascii="Times New Roman" w:hAnsi="Times New Roman" w:eastAsia="宋体" w:cs="Times New Roman"/>
          <w:b w:val="0"/>
          <w:color w:val="000000"/>
          <w:sz w:val="24"/>
          <w:highlight w:val="none"/>
        </w:rPr>
      </w:r>
      <w:r/>
    </w:p>
    <w:p>
      <w:pPr>
        <w:pStyle w:val="1026"/>
        <w:numPr>
          <w:ilvl w:val="0"/>
          <w:numId w:val="132"/>
        </w:numPr>
        <w:ind w:left="0" w:firstLine="480"/>
        <w:tabs>
          <w:tab w:val="left" w:pos="96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分部分项工程和措施项目中的单价项目按下列要求报价：</w:t>
      </w:r>
      <w:r>
        <w:rPr>
          <w:rFonts w:hint="eastAsia" w:ascii="宋体" w:hAnsi="宋体" w:eastAsia="宋体" w:cs="宋体"/>
          <w:b w:val="0"/>
          <w:color w:val="000000"/>
          <w:sz w:val="24"/>
          <w:highlight w:val="none"/>
        </w:rPr>
      </w:r>
      <w:r/>
    </w:p>
    <w:p>
      <w:pPr>
        <w:pStyle w:val="1026"/>
        <w:numPr>
          <w:ilvl w:val="0"/>
          <w:numId w:val="134"/>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分部分项工程和措施项目中的单价项目，应根据招标文件和招标工程量清单确定综合单价。</w:t>
      </w:r>
      <w:r>
        <w:rPr>
          <w:rFonts w:hint="eastAsia" w:ascii="宋体" w:hAnsi="宋体" w:eastAsia="宋体" w:cs="宋体"/>
          <w:b w:val="0"/>
          <w:color w:val="000000"/>
          <w:sz w:val="24"/>
          <w:highlight w:val="none"/>
        </w:rPr>
      </w:r>
      <w:r/>
    </w:p>
    <w:p>
      <w:pPr>
        <w:pStyle w:val="1026"/>
        <w:numPr>
          <w:ilvl w:val="0"/>
          <w:numId w:val="134"/>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如果分部分项工程量清单中涉及“材料（工程设备）暂估单价及调整表”中列出的材料和工程设备，将该类材料和工程设备的暂估单价计入对应的工程量清单综合单价。</w:t>
      </w:r>
      <w:r>
        <w:rPr>
          <w:rFonts w:hint="eastAsia" w:ascii="宋体" w:hAnsi="宋体" w:eastAsia="宋体" w:cs="宋体"/>
          <w:b w:val="0"/>
          <w:color w:val="000000"/>
          <w:sz w:val="24"/>
          <w:highlight w:val="none"/>
        </w:rPr>
      </w:r>
      <w:r/>
    </w:p>
    <w:p>
      <w:pPr>
        <w:pStyle w:val="1026"/>
        <w:numPr>
          <w:ilvl w:val="0"/>
          <w:numId w:val="134"/>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如果分部分项工程量清单中涉及“发包人供应材料和工程设备一览表”中列出的材料和工程设备，则该类材料和工程设备供应至现场指定位置的采购供应价（含材料保管费）应计入对应的工程量清单综合单价。</w:t>
      </w:r>
      <w:r>
        <w:rPr>
          <w:rFonts w:hint="eastAsia" w:ascii="宋体" w:hAnsi="宋体" w:eastAsia="宋体" w:cs="宋体"/>
          <w:b w:val="0"/>
          <w:color w:val="000000"/>
          <w:sz w:val="24"/>
          <w:highlight w:val="none"/>
        </w:rPr>
      </w:r>
      <w:r/>
    </w:p>
    <w:p>
      <w:pPr>
        <w:pStyle w:val="1026"/>
        <w:numPr>
          <w:ilvl w:val="0"/>
          <w:numId w:val="134"/>
        </w:numPr>
        <w:ind w:left="0" w:firstLine="480"/>
        <w:tabs>
          <w:tab w:val="left" w:pos="120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“分部分项工程和单价措施项目清单与计价表”所列各项目的综合单价组成中，各项目的人工、材料和机械台班消耗量、管理费费率、利润费率由供应商按照其自身情况做充分的、竞争性考虑。</w:t>
      </w:r>
      <w:r>
        <w:rPr>
          <w:rFonts w:ascii="Times New Roman" w:hAnsi="Times New Roman" w:eastAsia="宋体" w:cs="Times New Roman"/>
          <w:b w:val="0"/>
          <w:color w:val="000000"/>
          <w:sz w:val="24"/>
          <w:highlight w:val="none"/>
        </w:rPr>
      </w:r>
      <w:r/>
    </w:p>
    <w:p>
      <w:pPr>
        <w:pStyle w:val="1026"/>
        <w:numPr>
          <w:ilvl w:val="0"/>
          <w:numId w:val="134"/>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供应商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rPr>
          <w:rFonts w:hint="eastAsia" w:ascii="宋体" w:hAnsi="宋体" w:eastAsia="宋体" w:cs="宋体"/>
          <w:b w:val="0"/>
          <w:color w:val="000000"/>
          <w:sz w:val="24"/>
          <w:highlight w:val="none"/>
        </w:rPr>
      </w:r>
      <w:r/>
    </w:p>
    <w:p>
      <w:pPr>
        <w:pStyle w:val="1026"/>
        <w:numPr>
          <w:ilvl w:val="0"/>
          <w:numId w:val="132"/>
        </w:numPr>
        <w:ind w:left="0" w:firstLine="480"/>
        <w:tabs>
          <w:tab w:val="left" w:pos="96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措施项目中的总价项目按下列要求报价：</w:t>
      </w:r>
      <w:r>
        <w:rPr>
          <w:rFonts w:hint="eastAsia" w:ascii="宋体" w:hAnsi="宋体" w:eastAsia="宋体" w:cs="宋体"/>
          <w:b w:val="0"/>
          <w:color w:val="000000"/>
          <w:sz w:val="24"/>
          <w:highlight w:val="none"/>
        </w:rPr>
      </w:r>
      <w:r/>
    </w:p>
    <w:p>
      <w:pPr>
        <w:pStyle w:val="1026"/>
        <w:numPr>
          <w:ilvl w:val="0"/>
          <w:numId w:val="135"/>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总价措施项目中，以费率计算的，投标单位在投标报价时自主报价；其他总价措施项目，按项计取，综合单价按实际或可能发生的费用进行计算。</w:t>
      </w:r>
      <w:r>
        <w:rPr>
          <w:rFonts w:ascii="Times New Roman" w:hAnsi="Times New Roman" w:eastAsia="宋体" w:cs="Times New Roman"/>
          <w:b w:val="0"/>
          <w:color w:val="000000"/>
          <w:sz w:val="24"/>
          <w:highlight w:val="none"/>
        </w:rPr>
      </w:r>
      <w:r/>
    </w:p>
    <w:p>
      <w:pPr>
        <w:pStyle w:val="1026"/>
        <w:numPr>
          <w:ilvl w:val="0"/>
          <w:numId w:val="135"/>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措施项目清单中的安全文明施工费应按国家、省级或行业建设主管部门的规定计价，不得作为竞争性费用。</w:t>
      </w:r>
      <w:r>
        <w:rPr>
          <w:rFonts w:ascii="Times New Roman" w:hAnsi="Times New Roman" w:eastAsia="宋体" w:cs="Times New Roman"/>
          <w:b w:val="0"/>
          <w:color w:val="000000"/>
          <w:sz w:val="24"/>
          <w:highlight w:val="none"/>
        </w:rPr>
      </w:r>
      <w:r/>
    </w:p>
    <w:p>
      <w:pPr>
        <w:pStyle w:val="1026"/>
        <w:numPr>
          <w:ilvl w:val="0"/>
          <w:numId w:val="135"/>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采购人提供的措施项目清单，供应商在报价时应充分、全面地阅读和理解招标文件的相关内容和约定，包括第七章“技术标准和要求”的相关约定，详实了解工程场地及其周围环境，充分考虑招标工程特点及拟定的施工方案和施工组织设计，供应商可根据工程实际与施工组织设计增补总价措施项目，但不应更改采购人已列措施项目。</w:t>
      </w:r>
      <w:r>
        <w:rPr>
          <w:rFonts w:ascii="Times New Roman" w:hAnsi="Times New Roman" w:eastAsia="宋体" w:cs="Times New Roman"/>
          <w:b w:val="0"/>
          <w:color w:val="000000"/>
          <w:sz w:val="24"/>
          <w:highlight w:val="none"/>
        </w:rPr>
      </w:r>
      <w:r/>
    </w:p>
    <w:p>
      <w:pPr>
        <w:pStyle w:val="1026"/>
        <w:numPr>
          <w:ilvl w:val="0"/>
          <w:numId w:val="135"/>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“总价措施项目清单与计价表”中所填写的报价金额，应全面涵盖招标文件约定的供应商中标后施工、竣工、交付本工程并维修其任何缺陷所需要履行的责任和义务的全部费用。</w:t>
      </w:r>
      <w:r>
        <w:rPr>
          <w:rFonts w:ascii="Times New Roman" w:hAnsi="Times New Roman" w:eastAsia="宋体" w:cs="Times New Roman"/>
          <w:b w:val="0"/>
          <w:color w:val="000000"/>
          <w:sz w:val="24"/>
          <w:highlight w:val="none"/>
        </w:rPr>
      </w:r>
      <w:r/>
    </w:p>
    <w:p>
      <w:pPr>
        <w:pStyle w:val="1026"/>
        <w:numPr>
          <w:ilvl w:val="0"/>
          <w:numId w:val="132"/>
        </w:numPr>
        <w:ind w:left="0" w:firstLine="480"/>
        <w:tabs>
          <w:tab w:val="left" w:pos="96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其他项目清单费应按下列规定报价：</w:t>
      </w:r>
      <w:r>
        <w:rPr>
          <w:rFonts w:hint="eastAsia" w:ascii="宋体" w:hAnsi="宋体" w:eastAsia="宋体" w:cs="宋体"/>
          <w:b w:val="0"/>
          <w:color w:val="000000"/>
          <w:sz w:val="24"/>
          <w:highlight w:val="none"/>
        </w:rPr>
      </w:r>
      <w:r/>
    </w:p>
    <w:p>
      <w:pPr>
        <w:pStyle w:val="1026"/>
        <w:numPr>
          <w:ilvl w:val="0"/>
          <w:numId w:val="136"/>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暂列金额按“暂列金额明细表”中列出的金额报价，此处的暂列金额是采购人在招标文件中统一给定的，并不包括本章的计日工金额。</w:t>
      </w:r>
      <w:r>
        <w:rPr>
          <w:rFonts w:ascii="Times New Roman" w:hAnsi="Times New Roman" w:eastAsia="宋体" w:cs="Times New Roman"/>
          <w:b w:val="0"/>
          <w:color w:val="000000"/>
          <w:sz w:val="24"/>
          <w:highlight w:val="none"/>
        </w:rPr>
      </w:r>
      <w:r/>
    </w:p>
    <w:p>
      <w:pPr>
        <w:pStyle w:val="1026"/>
        <w:numPr>
          <w:ilvl w:val="0"/>
          <w:numId w:val="136"/>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rPr>
          <w:rFonts w:ascii="Times New Roman" w:hAnsi="Times New Roman" w:eastAsia="宋体" w:cs="Times New Roman"/>
          <w:b w:val="0"/>
          <w:color w:val="000000"/>
          <w:sz w:val="24"/>
          <w:highlight w:val="none"/>
        </w:rPr>
      </w:r>
      <w:r/>
    </w:p>
    <w:p>
      <w:pPr>
        <w:pStyle w:val="1026"/>
        <w:numPr>
          <w:ilvl w:val="0"/>
          <w:numId w:val="136"/>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计日工按“计日工表”中列出的项目和估算数量，自主确定综合单价并计算计日工金额。</w:t>
      </w:r>
      <w:r>
        <w:rPr>
          <w:rFonts w:ascii="Times New Roman" w:hAnsi="Times New Roman" w:eastAsia="宋体" w:cs="Times New Roman"/>
          <w:b w:val="0"/>
          <w:color w:val="000000"/>
          <w:sz w:val="24"/>
          <w:highlight w:val="none"/>
        </w:rPr>
      </w:r>
      <w:r/>
    </w:p>
    <w:p>
      <w:pPr>
        <w:pStyle w:val="1026"/>
        <w:numPr>
          <w:ilvl w:val="0"/>
          <w:numId w:val="136"/>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总承包服务费根据招标文件中列出的内容和要求，按“总承包服务费计价表”所列格式自主报价。</w:t>
      </w:r>
      <w:r>
        <w:rPr>
          <w:rFonts w:ascii="Times New Roman" w:hAnsi="Times New Roman" w:eastAsia="宋体" w:cs="Times New Roman"/>
          <w:b w:val="0"/>
          <w:color w:val="000000"/>
          <w:sz w:val="24"/>
          <w:highlight w:val="none"/>
        </w:rPr>
      </w:r>
      <w:r/>
    </w:p>
    <w:p>
      <w:pPr>
        <w:pStyle w:val="1026"/>
        <w:numPr>
          <w:ilvl w:val="0"/>
          <w:numId w:val="132"/>
        </w:numPr>
        <w:ind w:left="0" w:firstLine="480"/>
        <w:tabs>
          <w:tab w:val="left" w:pos="96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规费和税金应按“规费、税金项目计价表”所列项目并根据国家、省级或行业建设主管部门的有关规定列项和计算，不得作为竞争性费用。</w:t>
      </w:r>
      <w:r>
        <w:rPr>
          <w:rFonts w:ascii="Times New Roman" w:hAnsi="Times New Roman" w:eastAsia="宋体" w:cs="Times New Roman"/>
          <w:b w:val="0"/>
          <w:color w:val="000000"/>
          <w:sz w:val="24"/>
          <w:highlight w:val="none"/>
        </w:rPr>
      </w:r>
      <w:r/>
    </w:p>
    <w:p>
      <w:pPr>
        <w:pStyle w:val="1026"/>
        <w:numPr>
          <w:ilvl w:val="0"/>
          <w:numId w:val="132"/>
        </w:numPr>
        <w:ind w:left="0" w:firstLine="480"/>
        <w:tabs>
          <w:tab w:val="left" w:pos="96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除招标文件有强制性规定以及不可竞争部分以外，投标报价由供应商自主确定，但不得低于成本。</w:t>
      </w:r>
      <w:r>
        <w:rPr>
          <w:rFonts w:ascii="Times New Roman" w:hAnsi="Times New Roman" w:eastAsia="宋体" w:cs="Times New Roman"/>
          <w:b w:val="0"/>
          <w:color w:val="000000"/>
          <w:sz w:val="24"/>
          <w:highlight w:val="none"/>
        </w:rPr>
      </w:r>
      <w:r/>
    </w:p>
    <w:p>
      <w:pPr>
        <w:pStyle w:val="1026"/>
        <w:numPr>
          <w:ilvl w:val="0"/>
          <w:numId w:val="132"/>
        </w:numPr>
        <w:ind w:left="0" w:firstLine="480"/>
        <w:tabs>
          <w:tab w:val="left" w:pos="96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rPr>
          <w:rFonts w:ascii="Times New Roman" w:hAnsi="Times New Roman" w:eastAsia="宋体" w:cs="Times New Roman"/>
          <w:b w:val="0"/>
          <w:color w:val="000000"/>
          <w:sz w:val="24"/>
          <w:highlight w:val="none"/>
        </w:rPr>
      </w:r>
      <w:r/>
    </w:p>
    <w:p>
      <w:pPr>
        <w:pStyle w:val="1026"/>
        <w:numPr>
          <w:ilvl w:val="0"/>
          <w:numId w:val="132"/>
        </w:numPr>
        <w:ind w:left="0" w:firstLine="480"/>
        <w:tabs>
          <w:tab w:val="left" w:pos="96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管理费应由供应商在保证不低于其成本的基础上做竞争性考虑；利润由供应商根据自身情况和综合实力做竞争性考虑。</w:t>
      </w:r>
      <w:r>
        <w:rPr>
          <w:rFonts w:ascii="Times New Roman" w:hAnsi="Times New Roman" w:eastAsia="宋体" w:cs="Times New Roman"/>
          <w:b w:val="0"/>
          <w:color w:val="000000"/>
          <w:sz w:val="24"/>
          <w:highlight w:val="none"/>
        </w:rPr>
      </w:r>
      <w:r/>
    </w:p>
    <w:p>
      <w:pPr>
        <w:pStyle w:val="1026"/>
        <w:numPr>
          <w:ilvl w:val="0"/>
          <w:numId w:val="132"/>
        </w:numPr>
        <w:ind w:left="0" w:firstLine="480"/>
        <w:tabs>
          <w:tab w:val="left" w:pos="96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投标报价中应考虑招标文件中要求供应商承担的风险范围以及相关的费用。</w:t>
      </w:r>
      <w:r>
        <w:rPr>
          <w:rFonts w:ascii="Times New Roman" w:hAnsi="Times New Roman" w:eastAsia="宋体" w:cs="Times New Roman"/>
          <w:b w:val="0"/>
          <w:color w:val="000000"/>
          <w:sz w:val="24"/>
          <w:highlight w:val="none"/>
        </w:rPr>
      </w:r>
      <w:r/>
    </w:p>
    <w:p>
      <w:pPr>
        <w:pStyle w:val="1026"/>
        <w:numPr>
          <w:ilvl w:val="0"/>
          <w:numId w:val="132"/>
        </w:numPr>
        <w:ind w:left="0" w:firstLine="480"/>
        <w:tabs>
          <w:tab w:val="left" w:pos="96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投标总价为供应商在投标文件中提出的各项支付金额的总和，为实施、完成招标工程并修补缺陷、进场材料检测以及履行招标文件中约定的风险范围内的所有责任和义务所发生的全部费用。</w:t>
      </w:r>
      <w:r>
        <w:rPr>
          <w:rFonts w:ascii="Times New Roman" w:hAnsi="Times New Roman" w:eastAsia="宋体" w:cs="Times New Roman"/>
          <w:b/>
          <w:color w:val="000000"/>
          <w:sz w:val="24"/>
          <w:highlight w:val="none"/>
        </w:rPr>
        <w:t xml:space="preserve">  </w:t>
      </w:r>
      <w:r>
        <w:rPr>
          <w:rFonts w:ascii="Times New Roman" w:hAnsi="Times New Roman" w:eastAsia="宋体" w:cs="Times New Roman"/>
          <w:color w:val="000000"/>
          <w:sz w:val="24"/>
          <w:highlight w:val="none"/>
        </w:rPr>
        <w:t xml:space="preserve">   </w:t>
      </w:r>
      <w:r>
        <w:rPr>
          <w:rFonts w:ascii="Times New Roman" w:hAnsi="Times New Roman" w:eastAsia="宋体" w:cs="Times New Roman"/>
          <w:b w:val="0"/>
          <w:color w:val="000000"/>
          <w:sz w:val="24"/>
          <w:highlight w:val="none"/>
        </w:rPr>
      </w:r>
      <w:r/>
    </w:p>
    <w:p>
      <w:pPr>
        <w:pStyle w:val="1007"/>
        <w:numPr>
          <w:ilvl w:val="0"/>
          <w:numId w:val="130"/>
        </w:numPr>
        <w:ind w:left="0" w:firstLine="482"/>
        <w:tabs>
          <w:tab w:val="left" w:pos="783" w:leader="none"/>
        </w:tabs>
        <w:rPr>
          <w:b/>
          <w:highlight w:val="none"/>
        </w:rPr>
      </w:pPr>
      <w:r/>
      <w:bookmarkStart w:id="707" w:name="_Toc473034408"/>
      <w:r/>
      <w:bookmarkStart w:id="708" w:name="_Toc498006751"/>
      <w:r>
        <w:rPr>
          <w:highlight w:val="none"/>
        </w:rPr>
        <w:t xml:space="preserve">其他说明</w:t>
      </w:r>
      <w:bookmarkEnd w:id="707"/>
      <w:r/>
      <w:bookmarkEnd w:id="708"/>
      <w:r>
        <w:rPr>
          <w:b/>
          <w:highlight w:val="none"/>
        </w:rPr>
      </w:r>
      <w:r/>
    </w:p>
    <w:p>
      <w:pPr>
        <w:pStyle w:val="1008"/>
        <w:numPr>
          <w:ilvl w:val="0"/>
          <w:numId w:val="137"/>
        </w:numPr>
        <w:ind w:left="0" w:firstLine="482"/>
        <w:tabs>
          <w:tab w:val="left" w:pos="963" w:leader="none"/>
        </w:tabs>
        <w:rPr>
          <w:rFonts w:hint="eastAsia" w:ascii="宋体" w:hAnsi="宋体" w:eastAsia="宋体" w:cs="宋体"/>
          <w:b/>
          <w:highlight w:val="none"/>
        </w:rPr>
      </w:pPr>
      <w:r>
        <w:rPr>
          <w:highlight w:val="none"/>
        </w:rPr>
        <w:t xml:space="preserve">词语和定义</w:t>
      </w:r>
      <w:r>
        <w:rPr>
          <w:rFonts w:hint="eastAsia" w:ascii="宋体" w:hAnsi="宋体" w:eastAsia="宋体" w:cs="宋体"/>
          <w:b/>
          <w:highlight w:val="none"/>
        </w:rPr>
      </w:r>
      <w:r/>
    </w:p>
    <w:p>
      <w:pPr>
        <w:pStyle w:val="1009"/>
        <w:ind w:left="0" w:firstLine="480"/>
        <w:rPr>
          <w:highlight w:val="none"/>
        </w:rPr>
      </w:pPr>
      <w:r>
        <w:rPr>
          <w:highlight w:val="none"/>
        </w:rPr>
        <w:t xml:space="preserve">3.1.1 同义词语</w:t>
      </w:r>
      <w:r>
        <w:rPr>
          <w:highlight w:val="none"/>
        </w:rPr>
      </w:r>
      <w:r/>
    </w:p>
    <w:p>
      <w:pPr>
        <w:pStyle w:val="1026"/>
        <w:ind w:left="0"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本章中使用的词语“采购人”和“供应商”分别与合同条款中定义的“发包人”和“承包人”同义。</w:t>
      </w:r>
      <w:r>
        <w:rPr>
          <w:rFonts w:ascii="Times New Roman" w:hAnsi="Times New Roman" w:eastAsia="宋体" w:cs="Times New Roman"/>
          <w:color w:val="000000"/>
          <w:sz w:val="24"/>
          <w:highlight w:val="none"/>
        </w:rPr>
      </w:r>
      <w:r/>
    </w:p>
    <w:p>
      <w:pPr>
        <w:pStyle w:val="1008"/>
        <w:numPr>
          <w:ilvl w:val="0"/>
          <w:numId w:val="137"/>
        </w:numPr>
        <w:ind w:left="0" w:firstLine="482"/>
        <w:tabs>
          <w:tab w:val="left" w:pos="963" w:leader="none"/>
        </w:tabs>
        <w:rPr>
          <w:rFonts w:hint="eastAsia" w:ascii="宋体" w:hAnsi="宋体" w:eastAsia="宋体" w:cs="宋体"/>
          <w:b/>
          <w:highlight w:val="none"/>
        </w:rPr>
      </w:pPr>
      <w:r>
        <w:rPr>
          <w:highlight w:val="none"/>
        </w:rPr>
        <w:t xml:space="preserve">工程量差异调整</w:t>
      </w:r>
      <w:r>
        <w:rPr>
          <w:rFonts w:hint="eastAsia" w:ascii="宋体" w:hAnsi="宋体" w:eastAsia="宋体" w:cs="宋体"/>
          <w:b/>
          <w:highlight w:val="none"/>
        </w:rPr>
      </w:r>
      <w:r/>
    </w:p>
    <w:p>
      <w:pPr>
        <w:pStyle w:val="1026"/>
        <w:numPr>
          <w:ilvl w:val="0"/>
          <w:numId w:val="138"/>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工程量清单中的项目列项、特征描述、工作内容以及“分部分项工程和单价措施项目清单与计价表”中附带的工程量都不应理解为是对承包（招标）范围以及合同工作内容的唯一的、最终的或全部的定义。</w:t>
      </w:r>
      <w:r>
        <w:rPr>
          <w:rFonts w:ascii="Times New Roman" w:hAnsi="Times New Roman" w:eastAsia="宋体" w:cs="Times New Roman"/>
          <w:b w:val="0"/>
          <w:color w:val="000000"/>
          <w:sz w:val="24"/>
          <w:highlight w:val="none"/>
        </w:rPr>
      </w:r>
      <w:r/>
    </w:p>
    <w:p>
      <w:pPr>
        <w:pStyle w:val="1026"/>
        <w:numPr>
          <w:ilvl w:val="0"/>
          <w:numId w:val="138"/>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供应商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经过检查和复核认为采购人提供的工程量清单存在差异，则供应商按第二章2.4款规定的程序向采购人提出异议。</w:t>
      </w:r>
      <w:r>
        <w:rPr>
          <w:rFonts w:ascii="Times New Roman" w:hAnsi="Times New Roman" w:eastAsia="宋体" w:cs="Times New Roman"/>
          <w:b w:val="0"/>
          <w:color w:val="000000"/>
          <w:sz w:val="24"/>
          <w:highlight w:val="none"/>
        </w:rPr>
      </w:r>
      <w:r/>
    </w:p>
    <w:p>
      <w:pPr>
        <w:pStyle w:val="1026"/>
        <w:numPr>
          <w:ilvl w:val="0"/>
          <w:numId w:val="138"/>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如果采购人在检查供应商根据上文第3.2.2项提交的工程量差异问题后认为没有必要对工程量清单进行补充和（或）修改，或者采购人根据上文第3.2.2项对工程量清单进行了补充和（或）修改，但供应商认为工程量清单中的工程</w:t>
      </w:r>
      <w:r>
        <w:rPr>
          <w:rFonts w:ascii="Times New Roman" w:hAnsi="Times New Roman" w:eastAsia="宋体" w:cs="Times New Roman"/>
          <w:color w:val="000000"/>
          <w:sz w:val="24"/>
          <w:highlight w:val="none"/>
        </w:rPr>
        <w:t xml:space="preserve">量依然存在差异，则此类差异不再提交采购人答疑和修正，而是直接按采购人提供的工程量清单（包括采购人可能的补充和(或)修改）进行投标报价。供应商在按照工程量清单进行报价时，除按照本节2.7.3项要求对采购人提供的措施项目清单项目增补外，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rPr>
          <w:rFonts w:ascii="Times New Roman" w:hAnsi="Times New Roman" w:eastAsia="宋体" w:cs="Times New Roman"/>
          <w:b w:val="0"/>
          <w:color w:val="000000"/>
          <w:sz w:val="24"/>
          <w:highlight w:val="none"/>
        </w:rPr>
      </w:r>
      <w:r/>
    </w:p>
    <w:p>
      <w:pPr>
        <w:pStyle w:val="1008"/>
        <w:numPr>
          <w:ilvl w:val="0"/>
          <w:numId w:val="137"/>
        </w:numPr>
        <w:ind w:left="0" w:firstLine="482"/>
        <w:tabs>
          <w:tab w:val="left" w:pos="963" w:leader="none"/>
        </w:tabs>
        <w:rPr>
          <w:rFonts w:hint="eastAsia" w:ascii="宋体" w:hAnsi="宋体" w:eastAsia="宋体" w:cs="宋体"/>
          <w:b/>
          <w:highlight w:val="none"/>
        </w:rPr>
      </w:pPr>
      <w:r>
        <w:rPr>
          <w:highlight w:val="none"/>
        </w:rPr>
        <w:t xml:space="preserve">暂列金额和暂估价</w:t>
      </w:r>
      <w:r>
        <w:rPr>
          <w:rFonts w:hint="eastAsia" w:ascii="宋体" w:hAnsi="宋体" w:eastAsia="宋体" w:cs="宋体"/>
          <w:b/>
          <w:highlight w:val="none"/>
        </w:rPr>
      </w:r>
      <w:r/>
    </w:p>
    <w:p>
      <w:pPr>
        <w:pStyle w:val="1026"/>
        <w:numPr>
          <w:ilvl w:val="0"/>
          <w:numId w:val="139"/>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“暂列金额明细表”中所列暂列金额（不包括计日工金额）中已经包含与其对应的管理费、利润。供应商应按本招标文件规定将此类暂列金额直接纳入其他项目清单的投标价格中。</w:t>
      </w:r>
      <w:r>
        <w:rPr>
          <w:rFonts w:ascii="Times New Roman" w:hAnsi="Times New Roman" w:eastAsia="宋体" w:cs="Times New Roman"/>
          <w:b w:val="0"/>
          <w:color w:val="000000"/>
          <w:sz w:val="24"/>
          <w:highlight w:val="none"/>
        </w:rPr>
      </w:r>
      <w:r/>
    </w:p>
    <w:p>
      <w:pPr>
        <w:pStyle w:val="1026"/>
        <w:numPr>
          <w:ilvl w:val="0"/>
          <w:numId w:val="139"/>
        </w:numPr>
        <w:ind w:left="0" w:firstLine="480"/>
        <w:tabs>
          <w:tab w:val="left" w:pos="10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专业工程暂估价及结算价表中所列的专业工程暂估价已经包含与其对应的管理费、利润，但不含规费和税金。供应商应按本招标文件规定将此类暂估价直接纳入其他项目清单的投标价格中。</w:t>
      </w:r>
      <w:r>
        <w:rPr>
          <w:rFonts w:ascii="Times New Roman" w:hAnsi="Times New Roman" w:eastAsia="宋体" w:cs="Times New Roman"/>
          <w:b w:val="0"/>
          <w:color w:val="000000"/>
          <w:sz w:val="24"/>
          <w:highlight w:val="none"/>
        </w:rPr>
      </w:r>
      <w:r/>
    </w:p>
    <w:p>
      <w:pPr>
        <w:pStyle w:val="1006"/>
        <w:numPr>
          <w:ilvl w:val="0"/>
          <w:numId w:val="128"/>
        </w:numPr>
        <w:ind w:left="0" w:firstLine="482"/>
        <w:tabs>
          <w:tab w:val="left" w:pos="963" w:leader="none"/>
        </w:tabs>
        <w:rPr>
          <w:b/>
          <w:highlight w:val="none"/>
        </w:rPr>
      </w:pPr>
      <w:r/>
      <w:bookmarkStart w:id="709" w:name="_Toc21910"/>
      <w:r/>
      <w:bookmarkStart w:id="710" w:name="_Toc28804"/>
      <w:r>
        <w:rPr>
          <w:highlight w:val="none"/>
        </w:rPr>
        <w:t xml:space="preserve">技术标准和要求</w:t>
      </w:r>
      <w:bookmarkEnd w:id="709"/>
      <w:r/>
      <w:bookmarkEnd w:id="710"/>
      <w:r/>
      <w:bookmarkStart w:id="711" w:name="_Toc349557651"/>
      <w:r/>
      <w:bookmarkEnd w:id="711"/>
      <w:r/>
      <w:bookmarkStart w:id="712" w:name="_Toc349555826"/>
      <w:r/>
      <w:bookmarkEnd w:id="712"/>
      <w:r>
        <w:rPr>
          <w:b/>
          <w:highlight w:val="none"/>
        </w:rPr>
      </w:r>
      <w:r/>
    </w:p>
    <w:p>
      <w:pPr>
        <w:pStyle w:val="1007"/>
        <w:numPr>
          <w:ilvl w:val="0"/>
          <w:numId w:val="140"/>
        </w:numPr>
        <w:ind w:left="0" w:firstLine="482"/>
        <w:tabs>
          <w:tab w:val="left" w:pos="781" w:leader="none"/>
        </w:tabs>
        <w:rPr>
          <w:b/>
          <w:highlight w:val="none"/>
        </w:rPr>
      </w:pPr>
      <w:r/>
      <w:bookmarkStart w:id="713" w:name="_Toc333498743"/>
      <w:r>
        <w:rPr>
          <w:highlight w:val="none"/>
        </w:rPr>
        <w:t xml:space="preserve">本工程采用的计价规范</w:t>
      </w:r>
      <w:bookmarkEnd w:id="713"/>
      <w:r>
        <w:rPr>
          <w:highlight w:val="none"/>
        </w:rPr>
        <w:t xml:space="preserve">（包括但不限于以下规范、要求）</w:t>
      </w:r>
      <w:r>
        <w:rPr>
          <w:b/>
          <w:highlight w:val="none"/>
        </w:rPr>
      </w:r>
      <w:r/>
    </w:p>
    <w:p>
      <w:pPr>
        <w:pStyle w:val="1026"/>
        <w:ind w:left="0"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（1）江苏省、南通市其他现行的计价文件及补充计价定额             </w:t>
      </w:r>
      <w:r>
        <w:rPr>
          <w:rFonts w:ascii="Times New Roman" w:hAnsi="Times New Roman" w:eastAsia="宋体" w:cs="Times New Roman"/>
          <w:color w:val="000000"/>
          <w:sz w:val="24"/>
          <w:highlight w:val="none"/>
        </w:rPr>
      </w:r>
      <w:r/>
    </w:p>
    <w:p>
      <w:pPr>
        <w:pStyle w:val="1007"/>
        <w:numPr>
          <w:ilvl w:val="0"/>
          <w:numId w:val="140"/>
        </w:numPr>
        <w:ind w:left="0" w:firstLine="482"/>
        <w:tabs>
          <w:tab w:val="left" w:pos="781" w:leader="none"/>
        </w:tabs>
        <w:rPr>
          <w:b/>
          <w:highlight w:val="none"/>
        </w:rPr>
      </w:pPr>
      <w:r/>
      <w:bookmarkStart w:id="714" w:name="_Toc333498744"/>
      <w:r>
        <w:rPr>
          <w:highlight w:val="none"/>
        </w:rPr>
        <w:t xml:space="preserve">本工程采用的技术规范</w:t>
      </w:r>
      <w:bookmarkEnd w:id="714"/>
      <w:r>
        <w:rPr>
          <w:highlight w:val="none"/>
        </w:rPr>
        <w:t xml:space="preserve">（包括但不限于以下规范、要求）</w:t>
      </w:r>
      <w:r>
        <w:rPr>
          <w:b/>
          <w:highlight w:val="none"/>
        </w:rPr>
      </w:r>
      <w:r/>
    </w:p>
    <w:p>
      <w:pPr>
        <w:pStyle w:val="1026"/>
        <w:ind w:left="0"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本工程应执行相关工程施工、检测、验收的相关规范与标准。当相关规范或标准互相矛盾时，以最新和最严格的为准。</w:t>
      </w:r>
      <w:r>
        <w:rPr>
          <w:rFonts w:ascii="Times New Roman" w:hAnsi="Times New Roman" w:eastAsia="宋体" w:cs="Times New Roman"/>
          <w:color w:val="000000"/>
          <w:sz w:val="24"/>
          <w:highlight w:val="none"/>
        </w:rPr>
      </w:r>
      <w:r/>
    </w:p>
    <w:p>
      <w:pPr>
        <w:pStyle w:val="1007"/>
        <w:numPr>
          <w:ilvl w:val="0"/>
          <w:numId w:val="140"/>
        </w:numPr>
        <w:ind w:left="0" w:firstLine="482"/>
        <w:tabs>
          <w:tab w:val="left" w:pos="781" w:leader="none"/>
        </w:tabs>
        <w:rPr>
          <w:b/>
          <w:highlight w:val="none"/>
        </w:rPr>
      </w:pPr>
      <w:r/>
      <w:bookmarkStart w:id="715" w:name="_Toc333498745"/>
      <w:r>
        <w:rPr>
          <w:highlight w:val="none"/>
        </w:rPr>
        <w:t xml:space="preserve">本工程对施工工艺的特殊要求</w:t>
      </w:r>
      <w:bookmarkEnd w:id="715"/>
      <w:r>
        <w:rPr>
          <w:b/>
          <w:highlight w:val="none"/>
        </w:rPr>
      </w:r>
      <w:r/>
    </w:p>
    <w:p>
      <w:pPr>
        <w:pStyle w:val="1026"/>
        <w:numPr>
          <w:ilvl w:val="0"/>
          <w:numId w:val="141"/>
        </w:numPr>
        <w:ind w:left="0" w:firstLine="480"/>
        <w:tabs>
          <w:tab w:val="left" w:pos="108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工程的主要部位和特殊要求由建设、设计、监理三方讨论后以书面形式通知施工单位实施。</w:t>
      </w:r>
      <w:r>
        <w:rPr>
          <w:rFonts w:hint="eastAsia" w:ascii="宋体" w:hAnsi="宋体" w:eastAsia="宋体" w:cs="宋体"/>
          <w:b w:val="0"/>
          <w:color w:val="000000"/>
          <w:sz w:val="24"/>
          <w:highlight w:val="none"/>
        </w:rPr>
      </w:r>
      <w:r/>
    </w:p>
    <w:p>
      <w:pPr>
        <w:pStyle w:val="1026"/>
        <w:numPr>
          <w:ilvl w:val="0"/>
          <w:numId w:val="141"/>
        </w:numPr>
        <w:ind w:left="0" w:firstLine="480"/>
        <w:tabs>
          <w:tab w:val="left" w:pos="108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施工期间要注意周边环境，减少对周围环境的影响（灰尘、噪声等）。</w:t>
      </w:r>
      <w:r>
        <w:rPr>
          <w:rFonts w:hint="eastAsia" w:ascii="宋体" w:hAnsi="宋体" w:eastAsia="宋体" w:cs="宋体"/>
          <w:b w:val="0"/>
          <w:color w:val="000000"/>
          <w:sz w:val="24"/>
          <w:highlight w:val="none"/>
        </w:rPr>
      </w:r>
      <w:r/>
    </w:p>
    <w:p>
      <w:pPr>
        <w:pStyle w:val="1026"/>
        <w:numPr>
          <w:ilvl w:val="0"/>
          <w:numId w:val="141"/>
        </w:numPr>
        <w:ind w:left="0" w:firstLine="480"/>
        <w:tabs>
          <w:tab w:val="left" w:pos="108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施工期间要注意周边环境，尽量避免对周围居民生活的影响。        </w:t>
      </w:r>
      <w:r>
        <w:rPr>
          <w:rFonts w:hint="eastAsia" w:ascii="宋体" w:hAnsi="宋体" w:eastAsia="宋体" w:cs="宋体"/>
          <w:b w:val="0"/>
          <w:color w:val="000000"/>
          <w:sz w:val="24"/>
          <w:highlight w:val="none"/>
        </w:rPr>
      </w:r>
      <w:r/>
    </w:p>
    <w:p>
      <w:pPr>
        <w:pStyle w:val="1026"/>
        <w:numPr>
          <w:ilvl w:val="0"/>
          <w:numId w:val="141"/>
        </w:numPr>
        <w:ind w:left="0" w:firstLine="480"/>
        <w:tabs>
          <w:tab w:val="left" w:pos="108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冬、雨季施工要采取相应的保护措施。  </w:t>
      </w:r>
      <w:r>
        <w:rPr>
          <w:rFonts w:hint="eastAsia" w:ascii="宋体" w:hAnsi="宋体" w:eastAsia="宋体" w:cs="宋体"/>
          <w:b w:val="0"/>
          <w:color w:val="000000"/>
          <w:sz w:val="24"/>
          <w:highlight w:val="none"/>
        </w:rPr>
      </w:r>
      <w:r/>
    </w:p>
    <w:p>
      <w:pPr>
        <w:pStyle w:val="1006"/>
        <w:numPr>
          <w:ilvl w:val="0"/>
          <w:numId w:val="128"/>
        </w:numPr>
        <w:ind w:left="0" w:firstLine="482"/>
        <w:tabs>
          <w:tab w:val="left" w:pos="963" w:leader="none"/>
        </w:tabs>
        <w:rPr>
          <w:b/>
          <w:highlight w:val="none"/>
        </w:rPr>
      </w:pPr>
      <w:r>
        <w:rPr>
          <w:highlight w:val="none"/>
        </w:rPr>
        <w:t xml:space="preserve">需要补充的其他内容：</w:t>
      </w:r>
      <w:r>
        <w:rPr>
          <w:b/>
          <w:highlight w:val="none"/>
        </w:rPr>
      </w:r>
      <w:r/>
    </w:p>
    <w:p>
      <w:pPr>
        <w:pStyle w:val="1007"/>
        <w:ind w:left="0" w:firstLine="482"/>
        <w:rPr>
          <w:highlight w:val="none"/>
        </w:rPr>
      </w:pPr>
      <w:r>
        <w:rPr>
          <w:highlight w:val="none"/>
        </w:rPr>
        <w:t xml:space="preserve">1.现场条件</w:t>
      </w:r>
      <w:r>
        <w:rPr>
          <w:highlight w:val="none"/>
        </w:rPr>
      </w:r>
      <w:r/>
    </w:p>
    <w:p>
      <w:pPr>
        <w:pStyle w:val="1026"/>
        <w:numPr>
          <w:ilvl w:val="0"/>
          <w:numId w:val="142"/>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施工现场情况：本工程现场条件较复杂，请供应商务必自行认真踏勘现场条件并综合考虑到报价中，一旦中标不得对现场条件提出额外要求。</w:t>
      </w:r>
      <w:r>
        <w:rPr>
          <w:rFonts w:hint="eastAsia" w:ascii="宋体" w:hAnsi="宋体" w:eastAsia="宋体" w:cs="宋体"/>
          <w:b w:val="0"/>
          <w:color w:val="000000"/>
          <w:sz w:val="24"/>
        </w:rPr>
      </w:r>
      <w:r/>
    </w:p>
    <w:p>
      <w:pPr>
        <w:pStyle w:val="1026"/>
        <w:numPr>
          <w:ilvl w:val="0"/>
          <w:numId w:val="142"/>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施工用水、电：自行解决。</w:t>
      </w:r>
      <w:r>
        <w:rPr>
          <w:rFonts w:hint="eastAsia" w:ascii="宋体" w:hAnsi="宋体" w:eastAsia="宋体" w:cs="宋体"/>
          <w:b w:val="0"/>
          <w:color w:val="000000"/>
          <w:sz w:val="24"/>
        </w:rPr>
      </w:r>
      <w:r/>
    </w:p>
    <w:p>
      <w:pPr>
        <w:pStyle w:val="1026"/>
        <w:numPr>
          <w:ilvl w:val="0"/>
          <w:numId w:val="142"/>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场内外道路：已通。</w:t>
      </w:r>
      <w:r>
        <w:rPr>
          <w:rFonts w:hint="eastAsia" w:ascii="宋体" w:hAnsi="宋体" w:eastAsia="宋体" w:cs="宋体"/>
          <w:b w:val="0"/>
          <w:color w:val="000000"/>
          <w:sz w:val="24"/>
        </w:rPr>
      </w:r>
      <w:r/>
    </w:p>
    <w:p>
      <w:pPr>
        <w:pStyle w:val="1026"/>
        <w:numPr>
          <w:ilvl w:val="0"/>
          <w:numId w:val="142"/>
        </w:numPr>
        <w:ind w:left="0" w:firstLine="480"/>
        <w:tabs>
          <w:tab w:val="left" w:pos="108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其他：成交供应商应独立、有效地做好该工程周边的有关群众工作，并充分考虑工程实施范围内外的单位、个人和其他可能出现阻挠施工的情况，若因此发生的机械台班停置费、二次机械进退场费、人员窝工、处理周边群众纠纷等费用和损失等，由供应商自行考虑，并列入投标报价，工程结算时不做调整，一旦中标不得对现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rPr>
          <w:rFonts w:hint="eastAsia" w:ascii="宋体" w:hAnsi="宋体" w:eastAsia="宋体" w:cs="宋体"/>
          <w:b w:val="0"/>
          <w:color w:val="000000"/>
          <w:sz w:val="24"/>
        </w:rPr>
      </w:r>
      <w:r/>
    </w:p>
    <w:p>
      <w:pPr>
        <w:pStyle w:val="1005"/>
        <w:pageBreakBefore w:val="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1005"/>
        <w:jc w:val="both"/>
        <w:keepLines/>
        <w:keepNext/>
        <w:pageBreakBefore w:val="0"/>
        <w:spacing w:before="260" w:after="260" w:line="500" w:lineRule="exact"/>
        <w:widowControl w:val="off"/>
        <w:rPr>
          <w:rFonts w:ascii="Times New Roman" w:hAnsi="Times New Roman" w:eastAsia="方正仿宋_GBK" w:cs="Times New Roman"/>
          <w:b/>
          <w:bCs/>
          <w:sz w:val="28"/>
          <w:szCs w:val="28"/>
          <w:lang w:val="en-US" w:eastAsia="zh-CN" w:bidi="ar-SA"/>
        </w:rPr>
        <w:outlineLvl w:val="9"/>
      </w:pPr>
      <w:r>
        <w:rPr>
          <w:rFonts w:ascii="Times New Roman" w:hAnsi="Times New Roman" w:eastAsia="方正仿宋_GBK" w:cs="Times New Roman"/>
          <w:b/>
          <w:bCs/>
          <w:sz w:val="28"/>
          <w:szCs w:val="28"/>
          <w:lang w:val="en-US" w:eastAsia="zh-CN" w:bidi="ar-SA"/>
        </w:rPr>
      </w:r>
      <w:r/>
    </w:p>
    <w:p>
      <w:pPr>
        <w:pStyle w:val="1005"/>
      </w:pPr>
      <w:r/>
      <w:r/>
    </w:p>
    <w:p>
      <w:pPr>
        <w:pStyle w:val="1005"/>
        <w:pageBreakBefore w:val="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1005"/>
        <w:pageBreakBefore w:val="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1005"/>
        <w:pageBreakBefore w:val="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1005"/>
        <w:pageBreakBefore w:val="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1005"/>
        <w:pageBreakBefore w:val="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1093"/>
        <w:numPr>
          <w:ilvl w:val="0"/>
          <w:numId w:val="126"/>
        </w:numPr>
        <w:ind w:left="0" w:firstLine="640"/>
        <w:tabs>
          <w:tab w:val="left" w:pos="880" w:leader="none"/>
        </w:tabs>
        <w:rPr>
          <w:b w:val="0"/>
          <w:highlight w:val="none"/>
        </w:rPr>
        <w:outlineLvl w:val="0"/>
      </w:pPr>
      <w:r>
        <w:br w:type="page" w:clear="all"/>
      </w:r>
      <w:r>
        <w:rPr>
          <w:highlight w:val="none"/>
        </w:rPr>
        <w:t xml:space="preserve">评审方法与评审标准</w:t>
      </w:r>
      <w:r>
        <w:rPr>
          <w:b w:val="0"/>
          <w:highlight w:val="none"/>
        </w:rPr>
      </w:r>
      <w:r/>
    </w:p>
    <w:p>
      <w:pPr>
        <w:pStyle w:val="1096"/>
        <w:ind w:left="0" w:firstLine="482"/>
        <w:rPr>
          <w:highlight w:val="none"/>
        </w:rPr>
        <w:outlineLvl w:val="0"/>
      </w:pPr>
      <w:r>
        <w:rPr>
          <w:highlight w:val="none"/>
        </w:rPr>
        <w:t xml:space="preserve">评审程序及评审标准</w:t>
      </w:r>
      <w:r>
        <w:rPr>
          <w:highlight w:val="none"/>
        </w:rPr>
      </w:r>
      <w:r/>
    </w:p>
    <w:p>
      <w:pPr>
        <w:pStyle w:val="1026"/>
        <w:numPr>
          <w:ilvl w:val="0"/>
          <w:numId w:val="143"/>
        </w:numPr>
        <w:ind w:left="0" w:firstLine="482"/>
        <w:tabs>
          <w:tab w:val="left" w:pos="1204" w:leader="none"/>
        </w:tabs>
        <w:rPr>
          <w:rFonts w:hint="eastAsia" w:ascii="宋体" w:hAnsi="宋体" w:eastAsia="宋体" w:cs="宋体"/>
          <w:b/>
          <w:color w:val="000000"/>
          <w:sz w:val="24"/>
          <w:highlight w:val="none"/>
        </w:rPr>
      </w:pPr>
      <w:r>
        <w:rPr>
          <w:rFonts w:ascii="Times New Roman" w:hAnsi="Times New Roman" w:eastAsia="宋体" w:cs="Times New Roman"/>
          <w:b/>
          <w:color w:val="000000"/>
          <w:sz w:val="24"/>
          <w:highlight w:val="none"/>
        </w:rPr>
        <w:t xml:space="preserve">磋商小组对供应商资格进行审查。</w:t>
      </w:r>
      <w:r>
        <w:rPr>
          <w:rFonts w:hint="eastAsia" w:ascii="宋体" w:hAnsi="宋体" w:eastAsia="宋体" w:cs="宋体"/>
          <w:b/>
          <w:color w:val="000000"/>
          <w:sz w:val="24"/>
          <w:highlight w:val="none"/>
        </w:rPr>
      </w:r>
      <w:r/>
    </w:p>
    <w:p>
      <w:pPr>
        <w:pStyle w:val="1026"/>
        <w:ind w:left="0"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资格性审查必要合格条件标准如下：</w:t>
      </w:r>
      <w:r>
        <w:rPr>
          <w:rFonts w:ascii="Times New Roman" w:hAnsi="Times New Roman" w:eastAsia="宋体" w:cs="Times New Roman"/>
          <w:color w:val="000000"/>
          <w:sz w:val="24"/>
          <w:highlight w:val="none"/>
        </w:rPr>
      </w:r>
      <w:r/>
    </w:p>
    <w:p>
      <w:pPr>
        <w:pStyle w:val="1026"/>
        <w:numPr>
          <w:ilvl w:val="0"/>
          <w:numId w:val="0"/>
        </w:numPr>
        <w:ind w:left="0" w:firstLine="480"/>
        <w:tabs>
          <w:tab w:val="left" w:pos="1080" w:leader="none"/>
        </w:tabs>
        <w:rPr>
          <w:rFonts w:hint="eastAsia" w:ascii="宋体" w:hAnsi="宋体" w:eastAsia="宋体" w:cs="宋体"/>
          <w:b w:val="0"/>
          <w:color w:val="000000"/>
          <w:sz w:val="24"/>
          <w:highlight w:val="none"/>
        </w:rPr>
      </w:pPr>
      <w:r>
        <w:rPr>
          <w:rFonts w:ascii="宋体" w:hAnsi="宋体" w:eastAsia="宋体" w:cs="宋体"/>
          <w:b w:val="0"/>
          <w:color w:val="000000"/>
          <w:sz w:val="24"/>
        </w:rPr>
        <w:t xml:space="preserve">（1）</w:t>
      </w:r>
      <w:r>
        <w:rPr>
          <w:rFonts w:ascii="Times New Roman" w:hAnsi="Times New Roman" w:eastAsia="宋体" w:cs="Times New Roman"/>
          <w:color w:val="000000"/>
          <w:sz w:val="24"/>
          <w:highlight w:val="none"/>
        </w:rPr>
        <w:t xml:space="preserve">供应商符合《中华人民共和国政府采购法》第二十二条规定条件的承诺函（格式见附件）；</w:t>
      </w:r>
      <w:r>
        <w:rPr>
          <w:rFonts w:hint="eastAsia" w:ascii="宋体" w:hAnsi="宋体" w:eastAsia="宋体" w:cs="宋体"/>
          <w:b w:val="0"/>
          <w:color w:val="000000"/>
          <w:sz w:val="24"/>
          <w:highlight w:val="none"/>
        </w:rPr>
      </w:r>
      <w:r/>
    </w:p>
    <w:p>
      <w:pPr>
        <w:pStyle w:val="1026"/>
        <w:numPr>
          <w:ilvl w:val="0"/>
          <w:numId w:val="0"/>
        </w:numPr>
        <w:ind w:left="0" w:firstLine="480"/>
        <w:tabs>
          <w:tab w:val="left" w:pos="1080" w:leader="none"/>
        </w:tabs>
        <w:rPr>
          <w:rFonts w:hint="eastAsia" w:ascii="宋体" w:hAnsi="宋体" w:eastAsia="宋体" w:cs="宋体"/>
          <w:b w:val="0"/>
          <w:color w:val="000000"/>
          <w:sz w:val="24"/>
          <w:highlight w:val="none"/>
        </w:rPr>
      </w:pPr>
      <w:r>
        <w:rPr>
          <w:rFonts w:ascii="宋体" w:hAnsi="宋体" w:eastAsia="宋体" w:cs="宋体"/>
          <w:b w:val="0"/>
          <w:color w:val="000000"/>
          <w:sz w:val="24"/>
        </w:rPr>
        <w:t xml:space="preserve">（2）</w:t>
      </w:r>
      <w:r>
        <w:rPr>
          <w:rFonts w:ascii="Times New Roman" w:hAnsi="Times New Roman" w:eastAsia="宋体" w:cs="Times New Roman"/>
          <w:b w:val="0"/>
          <w:color w:val="000000"/>
          <w:sz w:val="24"/>
          <w:highlight w:val="none"/>
        </w:rPr>
        <w:t xml:space="preserve">法人或者其他组织的营业执照等证明文件；</w:t>
      </w:r>
      <w:r>
        <w:rPr>
          <w:rFonts w:hint="eastAsia" w:ascii="宋体" w:hAnsi="宋体" w:eastAsia="宋体" w:cs="宋体"/>
          <w:b w:val="0"/>
          <w:color w:val="000000"/>
          <w:sz w:val="24"/>
          <w:highlight w:val="none"/>
        </w:rPr>
      </w:r>
      <w:r/>
    </w:p>
    <w:p>
      <w:pPr>
        <w:pStyle w:val="1026"/>
        <w:numPr>
          <w:ilvl w:val="0"/>
          <w:numId w:val="0"/>
        </w:numPr>
        <w:ind w:left="0" w:firstLine="480"/>
        <w:widowControl/>
        <w:tabs>
          <w:tab w:val="left" w:pos="1080" w:leader="none"/>
        </w:tabs>
        <w:rPr>
          <w:rFonts w:hint="eastAsia" w:ascii="宋体" w:hAnsi="宋体" w:eastAsia="宋体" w:cs="宋体"/>
          <w:b w:val="0"/>
          <w:color w:val="000000"/>
          <w:sz w:val="24"/>
          <w:highlight w:val="none"/>
        </w:rPr>
      </w:pPr>
      <w:r>
        <w:rPr>
          <w:rFonts w:ascii="宋体" w:hAnsi="宋体" w:eastAsia="宋体" w:cs="宋体"/>
          <w:b w:val="0"/>
          <w:color w:val="000000"/>
          <w:sz w:val="24"/>
        </w:rPr>
        <w:t xml:space="preserve">（3）</w:t>
      </w:r>
      <w:r>
        <w:rPr>
          <w:rFonts w:ascii="Times New Roman" w:hAnsi="Times New Roman" w:eastAsia="宋体" w:cs="Times New Roman"/>
          <w:b w:val="0"/>
          <w:color w:val="000000"/>
          <w:sz w:val="24"/>
          <w:highlight w:val="none"/>
        </w:rPr>
        <w:t xml:space="preserve">法定代表人身份证明书及法定代表人身份证复印件</w:t>
      </w:r>
      <w:r>
        <w:rPr>
          <w:rFonts w:ascii="Times New Roman" w:hAnsi="Times New Roman" w:eastAsia="宋体" w:cs="Times New Roman"/>
          <w:color w:val="000000"/>
          <w:sz w:val="24"/>
          <w:highlight w:val="none"/>
        </w:rPr>
        <w:t xml:space="preserve">（格式见附件）</w:t>
      </w:r>
      <w:r>
        <w:rPr>
          <w:rFonts w:ascii="Times New Roman" w:hAnsi="Times New Roman" w:eastAsia="宋体" w:cs="Times New Roman"/>
          <w:b w:val="0"/>
          <w:color w:val="000000"/>
          <w:sz w:val="24"/>
          <w:highlight w:val="none"/>
        </w:rPr>
        <w:t xml:space="preserve">；</w:t>
      </w:r>
      <w:r>
        <w:rPr>
          <w:rFonts w:hint="eastAsia" w:ascii="宋体" w:hAnsi="宋体" w:eastAsia="宋体" w:cs="宋体"/>
          <w:b w:val="0"/>
          <w:color w:val="000000"/>
          <w:sz w:val="24"/>
          <w:highlight w:val="none"/>
        </w:rPr>
      </w:r>
      <w:r/>
    </w:p>
    <w:p>
      <w:pPr>
        <w:pStyle w:val="1026"/>
        <w:numPr>
          <w:ilvl w:val="0"/>
          <w:numId w:val="0"/>
        </w:numPr>
        <w:ind w:left="0" w:firstLine="480"/>
        <w:widowControl/>
        <w:tabs>
          <w:tab w:val="left" w:pos="1080" w:leader="none"/>
        </w:tabs>
        <w:rPr>
          <w:rFonts w:hint="eastAsia" w:ascii="宋体" w:hAnsi="宋体" w:eastAsia="宋体" w:cs="宋体"/>
          <w:b w:val="0"/>
          <w:color w:val="000000"/>
          <w:sz w:val="24"/>
          <w:highlight w:val="none"/>
        </w:rPr>
      </w:pPr>
      <w:r>
        <w:rPr>
          <w:rFonts w:ascii="宋体" w:hAnsi="宋体" w:eastAsia="宋体" w:cs="宋体"/>
          <w:b w:val="0"/>
          <w:color w:val="000000"/>
          <w:sz w:val="24"/>
        </w:rPr>
        <w:t xml:space="preserve">（4）</w:t>
      </w:r>
      <w:r>
        <w:rPr>
          <w:rFonts w:ascii="Times New Roman" w:hAnsi="Times New Roman" w:eastAsia="宋体" w:cs="Times New Roman"/>
          <w:b w:val="0"/>
          <w:color w:val="000000"/>
          <w:sz w:val="24"/>
          <w:highlight w:val="none"/>
        </w:rPr>
        <w:t xml:space="preserve">法定代表人授权委托书及委托代理人身份证复印件（如有授权）</w:t>
      </w:r>
      <w:r>
        <w:rPr>
          <w:rFonts w:ascii="Times New Roman" w:hAnsi="Times New Roman" w:eastAsia="宋体" w:cs="Times New Roman"/>
          <w:color w:val="000000"/>
          <w:sz w:val="24"/>
          <w:highlight w:val="none"/>
        </w:rPr>
        <w:t xml:space="preserve">（格式见附件）</w:t>
      </w:r>
      <w:r>
        <w:rPr>
          <w:rFonts w:ascii="Times New Roman" w:hAnsi="Times New Roman" w:eastAsia="宋体" w:cs="Times New Roman"/>
          <w:b w:val="0"/>
          <w:color w:val="000000"/>
          <w:sz w:val="24"/>
          <w:highlight w:val="none"/>
        </w:rPr>
        <w:t xml:space="preserve">； </w:t>
      </w:r>
      <w:r>
        <w:rPr>
          <w:rFonts w:hint="eastAsia" w:ascii="宋体" w:hAnsi="宋体" w:eastAsia="宋体" w:cs="宋体"/>
          <w:b w:val="0"/>
          <w:color w:val="000000"/>
          <w:sz w:val="24"/>
          <w:highlight w:val="none"/>
        </w:rPr>
      </w:r>
      <w:r/>
    </w:p>
    <w:p>
      <w:pPr>
        <w:pStyle w:val="1026"/>
        <w:numPr>
          <w:ilvl w:val="0"/>
          <w:numId w:val="0"/>
        </w:numPr>
        <w:ind w:left="0" w:firstLine="480"/>
        <w:widowControl/>
        <w:tabs>
          <w:tab w:val="left" w:pos="1080" w:leader="none"/>
        </w:tabs>
        <w:rPr>
          <w:rFonts w:hint="eastAsia" w:ascii="宋体" w:hAnsi="宋体" w:eastAsia="宋体" w:cs="宋体"/>
          <w:b w:val="0"/>
          <w:color w:val="000000"/>
          <w:sz w:val="24"/>
          <w:highlight w:val="none"/>
        </w:rPr>
      </w:pPr>
      <w:r>
        <w:rPr>
          <w:rFonts w:ascii="宋体" w:hAnsi="宋体" w:eastAsia="宋体" w:cs="宋体"/>
          <w:b w:val="0"/>
          <w:color w:val="000000"/>
          <w:sz w:val="24"/>
        </w:rPr>
        <w:t xml:space="preserve">（5）</w:t>
      </w:r>
      <w:r>
        <w:rPr>
          <w:rFonts w:ascii="Times New Roman" w:hAnsi="Times New Roman" w:eastAsia="宋体" w:cs="Times New Roman"/>
          <w:b w:val="0"/>
          <w:color w:val="000000"/>
          <w:sz w:val="24"/>
          <w:highlight w:val="none"/>
        </w:rPr>
        <w:t xml:space="preserve">供应商提供</w:t>
      </w:r>
      <w:r>
        <w:rPr>
          <w:rFonts w:ascii="Times New Roman" w:hAnsi="Times New Roman" w:eastAsia="宋体" w:cs="Times New Roman"/>
          <w:b w:val="0"/>
          <w:color w:val="000000"/>
          <w:sz w:val="24"/>
          <w:highlight w:val="none"/>
          <w:u w:val="single"/>
        </w:rPr>
        <w:t xml:space="preserve">2024</w:t>
      </w:r>
      <w:r>
        <w:rPr>
          <w:rFonts w:ascii="Times New Roman" w:hAnsi="Times New Roman" w:eastAsia="宋体" w:cs="Times New Roman"/>
          <w:b w:val="0"/>
          <w:color w:val="000000"/>
          <w:sz w:val="24"/>
          <w:highlight w:val="none"/>
        </w:rPr>
        <w:t xml:space="preserve">年度由会计师事务所（或者审计机构）出具的完整的财务报告</w:t>
      </w:r>
      <w:r>
        <w:rPr>
          <w:rFonts w:ascii="Times New Roman" w:hAnsi="Times New Roman" w:eastAsia="宋体" w:cs="Times New Roman"/>
          <w:color w:val="000000"/>
          <w:sz w:val="24"/>
          <w:highlight w:val="none"/>
        </w:rPr>
        <w:t xml:space="preserve">或投标截止时间前三个月（不含投标截止时间当月）中至少一个月的银行资信证明；（成立不满一年不需提供）</w:t>
      </w:r>
      <w:r>
        <w:rPr>
          <w:rFonts w:hint="eastAsia" w:ascii="宋体" w:hAnsi="宋体" w:eastAsia="宋体" w:cs="宋体"/>
          <w:b w:val="0"/>
          <w:color w:val="000000"/>
          <w:sz w:val="24"/>
          <w:highlight w:val="none"/>
        </w:rPr>
      </w:r>
      <w:r/>
    </w:p>
    <w:p>
      <w:pPr>
        <w:pStyle w:val="1026"/>
        <w:numPr>
          <w:ilvl w:val="0"/>
          <w:numId w:val="0"/>
        </w:numPr>
        <w:ind w:left="0" w:firstLine="480"/>
        <w:widowControl/>
        <w:tabs>
          <w:tab w:val="left" w:pos="1080" w:leader="none"/>
        </w:tabs>
        <w:rPr>
          <w:rFonts w:hint="eastAsia" w:ascii="宋体" w:hAnsi="宋体" w:eastAsia="宋体" w:cs="宋体"/>
          <w:b w:val="0"/>
          <w:color w:val="000000"/>
          <w:sz w:val="24"/>
          <w:highlight w:val="none"/>
        </w:rPr>
      </w:pPr>
      <w:r>
        <w:rPr>
          <w:rFonts w:ascii="宋体" w:hAnsi="宋体" w:eastAsia="宋体" w:cs="宋体"/>
          <w:b w:val="0"/>
          <w:color w:val="000000"/>
          <w:sz w:val="24"/>
        </w:rPr>
        <w:t xml:space="preserve">（6）</w:t>
      </w:r>
      <w:r>
        <w:rPr>
          <w:rFonts w:ascii="Times New Roman" w:hAnsi="Times New Roman" w:eastAsia="宋体" w:cs="Times New Roman"/>
          <w:b w:val="0"/>
          <w:color w:val="000000"/>
          <w:sz w:val="24"/>
          <w:highlight w:val="none"/>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eastAsia="宋体" w:cs="宋体"/>
          <w:b w:val="0"/>
          <w:color w:val="000000"/>
          <w:sz w:val="24"/>
          <w:highlight w:val="none"/>
        </w:rPr>
      </w:r>
      <w:r/>
    </w:p>
    <w:p>
      <w:pPr>
        <w:pStyle w:val="1026"/>
        <w:numPr>
          <w:ilvl w:val="0"/>
          <w:numId w:val="0"/>
        </w:numPr>
        <w:ind w:left="0" w:firstLine="480"/>
        <w:widowControl/>
        <w:tabs>
          <w:tab w:val="left" w:pos="1080" w:leader="none"/>
        </w:tabs>
        <w:rPr>
          <w:rFonts w:hint="eastAsia" w:ascii="宋体" w:hAnsi="宋体" w:eastAsia="宋体" w:cs="宋体"/>
          <w:b w:val="0"/>
          <w:color w:val="000000"/>
          <w:sz w:val="24"/>
          <w:highlight w:val="none"/>
        </w:rPr>
      </w:pPr>
      <w:r>
        <w:rPr>
          <w:rFonts w:ascii="宋体" w:hAnsi="宋体" w:eastAsia="宋体" w:cs="宋体"/>
          <w:b w:val="0"/>
          <w:color w:val="000000"/>
          <w:sz w:val="24"/>
        </w:rPr>
        <w:t xml:space="preserve">（7）</w:t>
      </w:r>
      <w:r>
        <w:rPr>
          <w:rFonts w:ascii="Times New Roman" w:hAnsi="Times New Roman" w:eastAsia="宋体" w:cs="Times New Roman"/>
          <w:b w:val="0"/>
          <w:color w:val="000000"/>
          <w:sz w:val="24"/>
          <w:highlight w:val="none"/>
        </w:rPr>
        <w:t xml:space="preserve">具备履行合同所必需的设备和专业技术能力的书面声明</w:t>
      </w:r>
      <w:r>
        <w:rPr>
          <w:rFonts w:ascii="Times New Roman" w:hAnsi="Times New Roman" w:eastAsia="宋体" w:cs="Times New Roman"/>
          <w:color w:val="000000"/>
          <w:sz w:val="24"/>
          <w:highlight w:val="none"/>
        </w:rPr>
        <w:t xml:space="preserve">（格式见附件）</w:t>
      </w:r>
      <w:r>
        <w:rPr>
          <w:rFonts w:ascii="Times New Roman" w:hAnsi="Times New Roman" w:eastAsia="宋体" w:cs="Times New Roman"/>
          <w:b w:val="0"/>
          <w:color w:val="000000"/>
          <w:sz w:val="24"/>
          <w:highlight w:val="none"/>
        </w:rPr>
        <w:t xml:space="preserve">；</w:t>
      </w:r>
      <w:r>
        <w:rPr>
          <w:rFonts w:hint="eastAsia" w:ascii="宋体" w:hAnsi="宋体" w:eastAsia="宋体" w:cs="宋体"/>
          <w:b w:val="0"/>
          <w:color w:val="000000"/>
          <w:sz w:val="24"/>
          <w:highlight w:val="none"/>
        </w:rPr>
      </w:r>
      <w:r/>
    </w:p>
    <w:p>
      <w:pPr>
        <w:pStyle w:val="1026"/>
        <w:numPr>
          <w:ilvl w:val="0"/>
          <w:numId w:val="0"/>
        </w:numPr>
        <w:ind w:left="0" w:firstLine="480"/>
        <w:widowControl/>
        <w:tabs>
          <w:tab w:val="left" w:pos="1080" w:leader="none"/>
        </w:tabs>
        <w:rPr>
          <w:rFonts w:hint="eastAsia" w:ascii="宋体" w:hAnsi="宋体" w:eastAsia="宋体" w:cs="宋体"/>
          <w:b w:val="0"/>
          <w:color w:val="000000"/>
          <w:sz w:val="24"/>
          <w:highlight w:val="none"/>
        </w:rPr>
      </w:pPr>
      <w:r>
        <w:rPr>
          <w:rFonts w:ascii="宋体" w:hAnsi="宋体" w:eastAsia="宋体" w:cs="宋体"/>
          <w:b w:val="0"/>
          <w:color w:val="000000"/>
          <w:sz w:val="24"/>
        </w:rPr>
        <w:t xml:space="preserve">（8）</w:t>
      </w:r>
      <w:r>
        <w:rPr>
          <w:rFonts w:ascii="Times New Roman" w:hAnsi="Times New Roman" w:eastAsia="宋体" w:cs="Times New Roman"/>
          <w:b w:val="0"/>
          <w:color w:val="000000"/>
          <w:sz w:val="24"/>
          <w:highlight w:val="none"/>
        </w:rPr>
        <w:t xml:space="preserve">参加政府采购活动前 3 年内在经营活动中没有重大违法记录的书面声明</w:t>
      </w:r>
      <w:r>
        <w:rPr>
          <w:rFonts w:ascii="Times New Roman" w:hAnsi="Times New Roman" w:eastAsia="宋体" w:cs="Times New Roman"/>
          <w:color w:val="000000"/>
          <w:sz w:val="24"/>
          <w:highlight w:val="none"/>
        </w:rPr>
        <w:t xml:space="preserve">（格</w:t>
      </w:r>
      <w:r>
        <w:rPr>
          <w:rFonts w:ascii="Times New Roman" w:hAnsi="Times New Roman" w:eastAsia="宋体" w:cs="Times New Roman"/>
          <w:b w:val="0"/>
          <w:color w:val="000000"/>
          <w:sz w:val="24"/>
          <w:highlight w:val="none"/>
        </w:rPr>
        <w:t xml:space="preserve">式见附件）；</w:t>
      </w:r>
      <w:r>
        <w:rPr>
          <w:rFonts w:hint="eastAsia" w:ascii="宋体" w:hAnsi="宋体" w:eastAsia="宋体" w:cs="宋体"/>
          <w:b w:val="0"/>
          <w:color w:val="000000"/>
          <w:sz w:val="24"/>
          <w:highlight w:val="none"/>
        </w:rPr>
      </w:r>
      <w:r/>
    </w:p>
    <w:p>
      <w:pPr>
        <w:pStyle w:val="1026"/>
        <w:numPr>
          <w:ilvl w:val="0"/>
          <w:numId w:val="0"/>
        </w:numPr>
        <w:ind w:left="0" w:firstLine="480"/>
        <w:widowControl/>
        <w:tabs>
          <w:tab w:val="left" w:pos="1080" w:leader="none"/>
        </w:tabs>
        <w:rPr>
          <w:rFonts w:hint="eastAsia" w:ascii="宋体" w:hAnsi="宋体" w:eastAsia="宋体" w:cs="宋体"/>
          <w:b w:val="0"/>
          <w:color w:val="000000"/>
          <w:sz w:val="24"/>
          <w:highlight w:val="none"/>
        </w:rPr>
      </w:pPr>
      <w:r>
        <w:rPr>
          <w:rFonts w:ascii="宋体" w:hAnsi="宋体" w:eastAsia="宋体" w:cs="宋体"/>
          <w:b w:val="0"/>
          <w:color w:val="000000"/>
          <w:sz w:val="24"/>
        </w:rPr>
        <w:t xml:space="preserve">（9）</w:t>
      </w:r>
      <w:r>
        <w:rPr>
          <w:rFonts w:ascii="Times New Roman" w:hAnsi="Times New Roman" w:eastAsia="宋体" w:cs="Times New Roman"/>
          <w:color w:val="000000"/>
          <w:sz w:val="24"/>
          <w:highlight w:val="none"/>
        </w:rPr>
        <w:t xml:space="preserve">企业资质证书（专业：水利水电施工总承包工程</w:t>
      </w:r>
      <w:r>
        <w:rPr>
          <w:rFonts w:ascii="Times New Roman" w:hAnsi="Times New Roman" w:eastAsia="宋体" w:cs="Times New Roman"/>
          <w:color w:val="000000"/>
          <w:sz w:val="24"/>
          <w:highlight w:val="none"/>
          <w:u w:val="none"/>
        </w:rPr>
        <w:t xml:space="preserve">；等级：三级及以上资质</w:t>
      </w:r>
      <w:r>
        <w:rPr>
          <w:rFonts w:ascii="Times New Roman" w:hAnsi="Times New Roman" w:eastAsia="宋体" w:cs="Times New Roman"/>
          <w:color w:val="000000"/>
          <w:sz w:val="24"/>
          <w:highlight w:val="none"/>
        </w:rPr>
        <w:t xml:space="preserve">）及安全生产许可证</w:t>
      </w:r>
      <w:r>
        <w:rPr>
          <w:rFonts w:ascii="Times New Roman" w:hAnsi="Times New Roman" w:eastAsia="宋体" w:cs="Times New Roman"/>
          <w:b w:val="0"/>
          <w:color w:val="000000"/>
          <w:sz w:val="24"/>
          <w:highlight w:val="none"/>
        </w:rPr>
        <w:t xml:space="preserve">；</w:t>
      </w:r>
      <w:r>
        <w:rPr>
          <w:rFonts w:hint="eastAsia" w:ascii="宋体" w:hAnsi="宋体" w:eastAsia="宋体" w:cs="宋体"/>
          <w:b w:val="0"/>
          <w:color w:val="000000"/>
          <w:sz w:val="24"/>
          <w:highlight w:val="none"/>
        </w:rPr>
      </w:r>
      <w:r/>
    </w:p>
    <w:p>
      <w:pPr>
        <w:pStyle w:val="1026"/>
        <w:numPr>
          <w:ilvl w:val="0"/>
          <w:numId w:val="0"/>
        </w:numPr>
        <w:ind w:left="0" w:firstLine="480"/>
        <w:widowControl/>
        <w:tabs>
          <w:tab w:val="left" w:pos="1080" w:leader="none"/>
        </w:tabs>
        <w:rPr>
          <w:rFonts w:hint="eastAsia" w:ascii="宋体" w:hAnsi="宋体" w:eastAsia="宋体" w:cs="宋体"/>
          <w:b w:val="0"/>
          <w:color w:val="000000"/>
          <w:sz w:val="24"/>
          <w:highlight w:val="none"/>
        </w:rPr>
      </w:pPr>
      <w:r>
        <w:rPr>
          <w:rFonts w:ascii="宋体" w:hAnsi="宋体" w:eastAsia="宋体" w:cs="宋体"/>
          <w:b w:val="0"/>
          <w:color w:val="000000"/>
          <w:sz w:val="24"/>
        </w:rPr>
        <w:t xml:space="preserve">（10）</w:t>
      </w:r>
      <w:r>
        <w:rPr>
          <w:rFonts w:ascii="Times New Roman" w:hAnsi="Times New Roman" w:eastAsia="宋体" w:cs="Times New Roman"/>
          <w:color w:val="000000"/>
          <w:sz w:val="24"/>
          <w:highlight w:val="none"/>
        </w:rPr>
        <w:t xml:space="preserve">拟派项目负责人资格证书（专业：水利水电工程</w:t>
      </w:r>
      <w:r>
        <w:rPr>
          <w:rFonts w:ascii="Times New Roman" w:hAnsi="Times New Roman" w:eastAsia="宋体" w:cs="Times New Roman"/>
          <w:color w:val="000000"/>
          <w:sz w:val="24"/>
          <w:highlight w:val="none"/>
          <w:u w:val="none"/>
        </w:rPr>
        <w:t xml:space="preserve">；等级：</w:t>
      </w:r>
      <w:r>
        <w:rPr>
          <w:rFonts w:ascii="Times New Roman" w:hAnsi="Times New Roman" w:eastAsia="宋体" w:cs="Times New Roman"/>
          <w:color w:val="000000"/>
          <w:sz w:val="24"/>
          <w:highlight w:val="none"/>
          <w:u w:val="single"/>
        </w:rPr>
        <w:t xml:space="preserve">二级及以上</w:t>
      </w:r>
      <w:r>
        <w:rPr>
          <w:rFonts w:ascii="Times New Roman" w:hAnsi="Times New Roman" w:eastAsia="宋体" w:cs="Times New Roman"/>
          <w:color w:val="000000"/>
          <w:sz w:val="24"/>
          <w:highlight w:val="none"/>
        </w:rPr>
        <w:t xml:space="preserve">）及安全B证</w:t>
      </w:r>
      <w:r>
        <w:rPr>
          <w:rFonts w:ascii="Times New Roman" w:hAnsi="Times New Roman" w:eastAsia="宋体" w:cs="Times New Roman"/>
          <w:b w:val="0"/>
          <w:color w:val="000000"/>
          <w:sz w:val="24"/>
          <w:highlight w:val="none"/>
        </w:rPr>
        <w:t xml:space="preserve">；</w:t>
      </w:r>
      <w:r>
        <w:rPr>
          <w:rFonts w:ascii="Times New Roman" w:hAnsi="Times New Roman" w:eastAsia="宋体" w:cs="Times New Roman"/>
          <w:color w:val="000000"/>
          <w:sz w:val="24"/>
          <w:highlight w:val="none"/>
        </w:rPr>
        <w:t xml:space="preserve">拟派项目负责人无在建工程承诺书（详见磋商文件格式附件）；</w:t>
      </w:r>
      <w:r>
        <w:rPr>
          <w:rFonts w:hint="eastAsia" w:ascii="宋体" w:hAnsi="宋体" w:eastAsia="宋体" w:cs="宋体"/>
          <w:b w:val="0"/>
          <w:color w:val="000000"/>
          <w:sz w:val="24"/>
          <w:highlight w:val="none"/>
        </w:rPr>
      </w:r>
      <w:r/>
    </w:p>
    <w:p>
      <w:pPr>
        <w:pStyle w:val="1026"/>
        <w:numPr>
          <w:ilvl w:val="0"/>
          <w:numId w:val="0"/>
        </w:numPr>
        <w:ind w:left="0" w:firstLine="480"/>
        <w:widowControl/>
        <w:tabs>
          <w:tab w:val="left" w:pos="1080" w:leader="none"/>
        </w:tabs>
        <w:rPr>
          <w:rFonts w:hint="eastAsia" w:ascii="宋体" w:hAnsi="宋体" w:eastAsia="宋体" w:cs="宋体"/>
          <w:b w:val="0"/>
          <w:color w:val="000000"/>
          <w:sz w:val="24"/>
          <w:highlight w:val="none"/>
        </w:rPr>
      </w:pPr>
      <w:r>
        <w:rPr>
          <w:rFonts w:ascii="宋体" w:hAnsi="宋体" w:eastAsia="宋体" w:cs="宋体"/>
          <w:b w:val="0"/>
          <w:color w:val="000000"/>
          <w:sz w:val="24"/>
        </w:rPr>
        <w:t xml:space="preserve">（11）</w:t>
      </w:r>
      <w:r>
        <w:rPr>
          <w:rFonts w:ascii="Times New Roman" w:hAnsi="Times New Roman" w:eastAsia="宋体" w:cs="Times New Roman"/>
          <w:color w:val="000000"/>
          <w:sz w:val="24"/>
          <w:highlight w:val="none"/>
        </w:rPr>
        <w:t xml:space="preserve">拟派授权委托人、拟派项目负责人和企业签订的有效劳动合同，投标企业所在地社保机构出具的由企业为授权委托人、拟派项目负责人缴纳的投标截止时间前</w:t>
      </w:r>
      <w:r>
        <w:rPr>
          <w:rFonts w:hint="eastAsia" w:cs="Times New Roman"/>
          <w:color w:val="000000"/>
          <w:sz w:val="24"/>
          <w:highlight w:val="none"/>
          <w:u w:val="single"/>
          <w:lang w:val="en-US" w:eastAsia="zh-CN"/>
        </w:rPr>
        <w:t xml:space="preserve">3</w:t>
      </w:r>
      <w:r>
        <w:rPr>
          <w:rFonts w:hint="eastAsia" w:cs="Times New Roman"/>
          <w:color w:val="000000"/>
          <w:sz w:val="24"/>
          <w:highlight w:val="none"/>
          <w:u w:val="none"/>
          <w:lang w:val="en-US" w:eastAsia="zh-CN"/>
        </w:rPr>
        <w:t xml:space="preserve">个</w:t>
      </w:r>
      <w:r>
        <w:rPr>
          <w:rFonts w:ascii="Times New Roman" w:hAnsi="Times New Roman" w:eastAsia="宋体" w:cs="Times New Roman"/>
          <w:color w:val="000000"/>
          <w:sz w:val="24"/>
          <w:highlight w:val="none"/>
        </w:rPr>
        <w:t xml:space="preserve">月（不含投标截止时间当月）中至少一个月的养老保险缴纳证明材料</w:t>
      </w:r>
      <w:r>
        <w:rPr>
          <w:rFonts w:ascii="Times New Roman" w:hAnsi="Times New Roman" w:eastAsia="宋体" w:cs="Times New Roman"/>
          <w:b w:val="0"/>
          <w:color w:val="000000"/>
          <w:sz w:val="24"/>
          <w:highlight w:val="none"/>
        </w:rPr>
        <w:t xml:space="preserve">；（注 ：委托代理人为法定代表人的，无需提供养老保险缴费证明）</w:t>
      </w:r>
      <w:r>
        <w:rPr>
          <w:rFonts w:hint="eastAsia" w:ascii="宋体" w:hAnsi="宋体" w:eastAsia="宋体" w:cs="宋体"/>
          <w:b w:val="0"/>
          <w:color w:val="000000"/>
          <w:sz w:val="24"/>
          <w:highlight w:val="none"/>
        </w:rPr>
      </w:r>
      <w:r/>
    </w:p>
    <w:p>
      <w:pPr>
        <w:pStyle w:val="1026"/>
        <w:numPr>
          <w:ilvl w:val="0"/>
          <w:numId w:val="0"/>
        </w:numPr>
        <w:ind w:left="0" w:firstLine="480"/>
        <w:widowControl/>
        <w:tabs>
          <w:tab w:val="left" w:pos="1080" w:leader="none"/>
        </w:tabs>
        <w:rPr>
          <w:rFonts w:hint="eastAsia" w:ascii="宋体" w:hAnsi="宋体" w:eastAsia="宋体" w:cs="宋体"/>
          <w:b w:val="0"/>
          <w:color w:val="000000"/>
          <w:sz w:val="24"/>
          <w:highlight w:val="none"/>
        </w:rPr>
      </w:pPr>
      <w:r>
        <w:rPr>
          <w:rFonts w:ascii="宋体" w:hAnsi="宋体" w:eastAsia="宋体" w:cs="宋体"/>
          <w:b w:val="0"/>
          <w:color w:val="000000"/>
          <w:sz w:val="24"/>
        </w:rPr>
        <w:t xml:space="preserve">（12）</w:t>
      </w:r>
      <w:r>
        <w:rPr>
          <w:rFonts w:ascii="Times New Roman" w:hAnsi="Times New Roman" w:eastAsia="宋体" w:cs="Times New Roman"/>
          <w:b w:val="0"/>
          <w:color w:val="000000"/>
          <w:sz w:val="24"/>
          <w:highlight w:val="none"/>
        </w:rPr>
        <w:t xml:space="preserve">供应商信用承诺书；（格式见附件）</w:t>
      </w:r>
      <w:r>
        <w:rPr>
          <w:rFonts w:hint="eastAsia" w:ascii="宋体" w:hAnsi="宋体" w:eastAsia="宋体" w:cs="宋体"/>
          <w:b w:val="0"/>
          <w:color w:val="000000"/>
          <w:sz w:val="24"/>
          <w:highlight w:val="none"/>
        </w:rPr>
      </w:r>
      <w:r/>
    </w:p>
    <w:p>
      <w:pPr>
        <w:pStyle w:val="1026"/>
        <w:numPr>
          <w:ilvl w:val="0"/>
          <w:numId w:val="0"/>
        </w:numPr>
        <w:ind w:left="0" w:firstLine="480"/>
        <w:widowControl/>
        <w:tabs>
          <w:tab w:val="left" w:pos="1080" w:leader="none"/>
        </w:tabs>
        <w:rPr>
          <w:rFonts w:hint="eastAsia" w:ascii="宋体" w:hAnsi="宋体" w:eastAsia="宋体" w:cs="宋体"/>
          <w:b w:val="0"/>
          <w:color w:val="000000"/>
          <w:sz w:val="24"/>
          <w:highlight w:val="none"/>
        </w:rPr>
      </w:pPr>
      <w:r>
        <w:rPr>
          <w:rFonts w:ascii="宋体" w:hAnsi="宋体" w:eastAsia="宋体" w:cs="宋体"/>
          <w:b w:val="0"/>
          <w:color w:val="000000"/>
          <w:sz w:val="24"/>
        </w:rPr>
        <w:t xml:space="preserve">（13）</w:t>
      </w:r>
      <w:r>
        <w:rPr>
          <w:rFonts w:ascii="Times New Roman" w:hAnsi="Times New Roman" w:eastAsia="宋体" w:cs="Times New Roman"/>
          <w:b w:val="0"/>
          <w:color w:val="000000"/>
          <w:sz w:val="24"/>
          <w:highlight w:val="none"/>
        </w:rPr>
        <w:t xml:space="preserve">其他证明材料（本项目专门面向中小企业采购）</w:t>
      </w:r>
      <w:r>
        <w:rPr>
          <w:rFonts w:hint="eastAsia" w:ascii="宋体" w:hAnsi="宋体" w:eastAsia="宋体" w:cs="宋体"/>
          <w:b w:val="0"/>
          <w:color w:val="000000"/>
          <w:sz w:val="24"/>
          <w:highlight w:val="none"/>
        </w:rPr>
      </w:r>
      <w:r/>
    </w:p>
    <w:p>
      <w:pPr>
        <w:pStyle w:val="1026"/>
        <w:numPr>
          <w:ilvl w:val="0"/>
          <w:numId w:val="144"/>
        </w:numPr>
        <w:ind w:left="0" w:firstLine="480"/>
        <w:widowControl/>
        <w:tabs>
          <w:tab w:val="left" w:pos="840" w:leader="none"/>
        </w:tabs>
        <w:rPr>
          <w:rFonts w:hint="eastAsia" w:ascii="宋体" w:hAnsi="宋体" w:eastAsia="宋体" w:cs="宋体"/>
          <w:b w:val="0"/>
          <w:color w:val="000000"/>
          <w:sz w:val="24"/>
          <w:highlight w:val="none"/>
        </w:rPr>
      </w:pPr>
      <w:r>
        <w:rPr>
          <w:rFonts w:ascii="Times New Roman" w:hAnsi="Times New Roman" w:eastAsia="宋体" w:cs="Times New Roman"/>
          <w:b w:val="0"/>
          <w:color w:val="000000"/>
          <w:sz w:val="24"/>
          <w:highlight w:val="none"/>
        </w:rPr>
        <w:t xml:space="preserve">中小企业声明函；</w:t>
      </w:r>
      <w:r>
        <w:rPr>
          <w:rFonts w:hint="eastAsia" w:ascii="宋体" w:hAnsi="宋体" w:eastAsia="宋体" w:cs="宋体"/>
          <w:b w:val="0"/>
          <w:color w:val="000000"/>
          <w:sz w:val="24"/>
          <w:highlight w:val="none"/>
        </w:rPr>
      </w:r>
      <w:r/>
    </w:p>
    <w:p>
      <w:pPr>
        <w:pStyle w:val="1026"/>
        <w:numPr>
          <w:ilvl w:val="0"/>
          <w:numId w:val="144"/>
        </w:numPr>
        <w:ind w:left="0" w:firstLine="480"/>
        <w:widowControl/>
        <w:tabs>
          <w:tab w:val="left" w:pos="840" w:leader="none"/>
        </w:tabs>
        <w:rPr>
          <w:rFonts w:hint="eastAsia" w:ascii="宋体" w:hAnsi="宋体" w:eastAsia="宋体" w:cs="宋体"/>
          <w:b w:val="0"/>
          <w:color w:val="000000"/>
          <w:sz w:val="24"/>
          <w:highlight w:val="none"/>
        </w:rPr>
      </w:pPr>
      <w:r>
        <w:rPr>
          <w:rFonts w:ascii="Times New Roman" w:hAnsi="Times New Roman" w:eastAsia="宋体" w:cs="Times New Roman"/>
          <w:b w:val="0"/>
          <w:color w:val="000000"/>
          <w:sz w:val="24"/>
          <w:highlight w:val="none"/>
        </w:rPr>
        <w:t xml:space="preserve">监狱企业证明函（如符合监狱企业的需提供）；</w:t>
      </w:r>
      <w:r>
        <w:rPr>
          <w:rFonts w:hint="eastAsia" w:ascii="宋体" w:hAnsi="宋体" w:eastAsia="宋体" w:cs="宋体"/>
          <w:b w:val="0"/>
          <w:color w:val="000000"/>
          <w:sz w:val="24"/>
          <w:highlight w:val="none"/>
        </w:rPr>
      </w:r>
      <w:r/>
    </w:p>
    <w:p>
      <w:pPr>
        <w:pStyle w:val="1026"/>
        <w:numPr>
          <w:ilvl w:val="0"/>
          <w:numId w:val="144"/>
        </w:numPr>
        <w:ind w:left="0" w:firstLine="480"/>
        <w:widowControl/>
        <w:tabs>
          <w:tab w:val="left" w:pos="840" w:leader="none"/>
        </w:tabs>
        <w:rPr>
          <w:rFonts w:hint="eastAsia" w:ascii="宋体" w:hAnsi="宋体" w:eastAsia="宋体" w:cs="宋体"/>
          <w:b w:val="0"/>
          <w:color w:val="000000"/>
          <w:sz w:val="24"/>
          <w:highlight w:val="none"/>
        </w:rPr>
      </w:pPr>
      <w:r>
        <w:rPr>
          <w:rFonts w:ascii="Times New Roman" w:hAnsi="Times New Roman" w:eastAsia="宋体" w:cs="Times New Roman"/>
          <w:b w:val="0"/>
          <w:color w:val="000000"/>
          <w:sz w:val="24"/>
          <w:highlight w:val="none"/>
        </w:rPr>
        <w:t xml:space="preserve">残疾人福利性单位声明函（如符合残疾人福利性单位的需提供）；</w:t>
      </w:r>
      <w:r>
        <w:rPr>
          <w:rFonts w:hint="eastAsia" w:ascii="宋体" w:hAnsi="宋体" w:eastAsia="宋体" w:cs="宋体"/>
          <w:b w:val="0"/>
          <w:color w:val="000000"/>
          <w:sz w:val="24"/>
          <w:highlight w:val="none"/>
        </w:rPr>
      </w:r>
      <w:r/>
    </w:p>
    <w:p>
      <w:pPr>
        <w:pStyle w:val="1026"/>
        <w:ind w:left="0" w:firstLine="480"/>
        <w:widowControl/>
        <w:rPr>
          <w:rFonts w:ascii="Times New Roman" w:hAnsi="Times New Roman" w:eastAsia="宋体" w:cs="Times New Roman"/>
          <w:b w:val="0"/>
          <w:color w:val="000000"/>
          <w:sz w:val="24"/>
        </w:rPr>
      </w:pPr>
      <w:r>
        <w:rPr>
          <w:rFonts w:ascii="Times New Roman" w:hAnsi="Times New Roman" w:eastAsia="宋体" w:cs="Times New Roman"/>
          <w:b w:val="0"/>
          <w:color w:val="000000"/>
          <w:sz w:val="24"/>
        </w:rPr>
        <w:t xml:space="preserve">上述（1）—（13）中，供应商资格不合格的，其响应文件判定为无效投标文件。</w:t>
      </w:r>
      <w:r>
        <w:rPr>
          <w:rFonts w:ascii="Times New Roman" w:hAnsi="Times New Roman" w:eastAsia="宋体" w:cs="Times New Roman"/>
          <w:b w:val="0"/>
          <w:color w:val="000000"/>
          <w:sz w:val="24"/>
        </w:rPr>
      </w:r>
      <w:r/>
    </w:p>
    <w:p>
      <w:pPr>
        <w:pStyle w:val="1026"/>
        <w:numPr>
          <w:ilvl w:val="0"/>
          <w:numId w:val="143"/>
        </w:numPr>
        <w:ind w:left="0" w:firstLine="482"/>
        <w:widowControl/>
        <w:tabs>
          <w:tab w:val="left" w:pos="1204" w:leader="none"/>
        </w:tabs>
        <w:rPr>
          <w:rFonts w:hint="eastAsia" w:ascii="宋体" w:hAnsi="宋体" w:eastAsia="宋体" w:cs="宋体"/>
          <w:b/>
          <w:color w:val="000000"/>
          <w:sz w:val="24"/>
        </w:rPr>
      </w:pPr>
      <w:r>
        <w:rPr>
          <w:rFonts w:ascii="Times New Roman" w:hAnsi="Times New Roman" w:eastAsia="宋体" w:cs="Times New Roman"/>
          <w:b/>
          <w:color w:val="000000"/>
          <w:sz w:val="24"/>
        </w:rPr>
        <w:t xml:space="preserve">磋商小组对符合资格供应商的响应文件进行符合性审查。</w:t>
      </w:r>
      <w:r>
        <w:rPr>
          <w:rFonts w:hint="eastAsia" w:ascii="宋体" w:hAnsi="宋体" w:eastAsia="宋体" w:cs="宋体"/>
          <w:b/>
          <w:color w:val="000000"/>
          <w:sz w:val="24"/>
        </w:rPr>
      </w:r>
      <w:r/>
    </w:p>
    <w:p>
      <w:pPr>
        <w:pStyle w:val="1026"/>
        <w:ind w:left="0" w:firstLine="480"/>
        <w:widowControl/>
        <w:rPr>
          <w:rFonts w:ascii="Times New Roman" w:hAnsi="Times New Roman" w:eastAsia="宋体" w:cs="Times New Roman"/>
          <w:b/>
          <w:color w:val="000000"/>
          <w:sz w:val="24"/>
          <w:highlight w:val="none"/>
        </w:rPr>
      </w:pPr>
      <w:r>
        <w:rPr>
          <w:rFonts w:ascii="Times New Roman" w:hAnsi="Times New Roman" w:eastAsia="宋体" w:cs="Times New Roman"/>
          <w:b w:val="0"/>
          <w:color w:val="000000"/>
          <w:sz w:val="24"/>
        </w:rPr>
        <w:t xml:space="preserve">未通过符合性审查的响应文件，将被判为不满足磋商文件实质性要求。</w:t>
      </w:r>
      <w:r>
        <w:rPr>
          <w:rFonts w:ascii="Times New Roman" w:hAnsi="Times New Roman" w:eastAsia="宋体" w:cs="Times New Roman"/>
          <w:b/>
          <w:color w:val="000000"/>
          <w:sz w:val="24"/>
          <w:highlight w:val="none"/>
        </w:rPr>
      </w:r>
      <w:r/>
    </w:p>
    <w:p>
      <w:pPr>
        <w:pStyle w:val="1026"/>
        <w:numPr>
          <w:ilvl w:val="0"/>
          <w:numId w:val="143"/>
        </w:numPr>
        <w:ind w:left="0" w:firstLine="482"/>
        <w:tabs>
          <w:tab w:val="left" w:pos="1204" w:leader="none"/>
        </w:tabs>
        <w:rPr>
          <w:rFonts w:hint="eastAsia" w:ascii="宋体" w:hAnsi="宋体" w:eastAsia="宋体" w:cs="宋体"/>
          <w:b/>
          <w:color w:val="000000"/>
          <w:sz w:val="24"/>
          <w:highlight w:val="none"/>
        </w:rPr>
      </w:pPr>
      <w:r>
        <w:rPr>
          <w:rFonts w:ascii="Times New Roman" w:hAnsi="Times New Roman" w:eastAsia="宋体" w:cs="Times New Roman"/>
          <w:b/>
          <w:color w:val="000000"/>
          <w:sz w:val="24"/>
        </w:rPr>
        <w:t xml:space="preserve">商务技术标及价格标评审标准（100分</w:t>
      </w:r>
      <w:r>
        <w:rPr>
          <w:rFonts w:ascii="Times New Roman" w:hAnsi="Times New Roman" w:eastAsia="宋体" w:cs="Times New Roman"/>
          <w:b/>
          <w:color w:val="000000"/>
          <w:sz w:val="24"/>
          <w:highlight w:val="none"/>
        </w:rPr>
        <w:t xml:space="preserve">）</w:t>
      </w:r>
      <w:r>
        <w:rPr>
          <w:rFonts w:hint="eastAsia" w:ascii="宋体" w:hAnsi="宋体" w:eastAsia="宋体" w:cs="宋体"/>
          <w:b/>
          <w:color w:val="000000"/>
          <w:sz w:val="24"/>
          <w:highlight w:val="none"/>
        </w:rPr>
      </w:r>
      <w:r/>
    </w:p>
    <w:p>
      <w:pPr>
        <w:pStyle w:val="1026"/>
        <w:ind w:left="0" w:firstLine="480"/>
        <w:widowControl/>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本项目总分值为100分，其中商务技术部分40分，价格部分60分；投标得分=商务技术部分得分+价</w:t>
      </w:r>
      <w:r>
        <w:rPr>
          <w:rFonts w:ascii="Times New Roman" w:hAnsi="Times New Roman" w:eastAsia="宋体" w:cs="Times New Roman"/>
          <w:b w:val="0"/>
          <w:color w:val="000000"/>
          <w:sz w:val="24"/>
        </w:rPr>
        <w:t xml:space="preserve">格部分得分。</w:t>
      </w:r>
      <w:bookmarkStart w:id="716" w:name="_Toc474229428"/>
      <w:r/>
      <w:bookmarkEnd w:id="716"/>
      <w:r/>
      <w:bookmarkStart w:id="717" w:name="_Toc184635088"/>
      <w:r/>
      <w:bookmarkEnd w:id="717"/>
      <w:r/>
      <w:bookmarkStart w:id="718" w:name="_Toc12009"/>
      <w:r/>
      <w:bookmarkEnd w:id="718"/>
      <w:r>
        <w:rPr>
          <w:rFonts w:ascii="Times New Roman" w:hAnsi="Times New Roman" w:eastAsia="宋体" w:cs="Times New Roman"/>
          <w:b w:val="0"/>
          <w:color w:val="000000"/>
          <w:sz w:val="24"/>
        </w:rPr>
      </w:r>
      <w:r/>
    </w:p>
    <w:p>
      <w:pPr>
        <w:pStyle w:val="1026"/>
        <w:ind w:left="0" w:firstLine="480"/>
        <w:widowControl/>
        <w:rPr>
          <w:rFonts w:ascii="Times New Roman" w:hAnsi="Times New Roman" w:eastAsia="宋体" w:cs="Times New Roman"/>
          <w:b w:val="0"/>
          <w:color w:val="000000"/>
          <w:sz w:val="24"/>
        </w:rPr>
      </w:pPr>
      <w:r>
        <w:rPr>
          <w:rFonts w:ascii="Times New Roman" w:hAnsi="Times New Roman" w:eastAsia="宋体" w:cs="Times New Roman"/>
          <w:b w:val="0"/>
          <w:color w:val="000000"/>
          <w:sz w:val="24"/>
        </w:rPr>
        <w:t xml:space="preserve">商务技术标部分（40分）</w:t>
      </w:r>
      <w:r>
        <w:rPr>
          <w:rFonts w:ascii="Times New Roman" w:hAnsi="Times New Roman" w:eastAsia="宋体" w:cs="Times New Roman"/>
          <w:b w:val="0"/>
          <w:color w:val="000000"/>
          <w:sz w:val="24"/>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524"/>
        <w:gridCol w:w="1883"/>
        <w:gridCol w:w="5632"/>
      </w:tblGrid>
      <w:tr>
        <w:trPr>
          <w:trHeight w:val="285"/>
        </w:trPr>
        <w:tc>
          <w:tcPr>
            <w:tcW w:w="615" w:type="dxa"/>
            <w:vAlign w:val="top"/>
            <w:textDirection w:val="lrTb"/>
            <w:noWrap w:val="false"/>
          </w:tcPr>
          <w:p>
            <w:pPr>
              <w:pStyle w:val="1005"/>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条款号</w:t>
            </w:r>
            <w:r>
              <w:rPr>
                <w:rFonts w:hint="eastAsia" w:ascii="宋体" w:hAnsi="宋体" w:eastAsia="宋体" w:cs="Times New Roman"/>
                <w:color w:val="000000"/>
                <w:sz w:val="24"/>
                <w:szCs w:val="24"/>
              </w:rPr>
            </w:r>
            <w:r/>
          </w:p>
        </w:tc>
        <w:tc>
          <w:tcPr>
            <w:gridSpan w:val="2"/>
            <w:tcW w:w="2407" w:type="dxa"/>
            <w:vAlign w:val="top"/>
            <w:textDirection w:val="lrTb"/>
            <w:noWrap w:val="false"/>
          </w:tcPr>
          <w:p>
            <w:pPr>
              <w:pStyle w:val="1005"/>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评分因素</w:t>
            </w:r>
            <w:r>
              <w:rPr>
                <w:rFonts w:hint="eastAsia" w:ascii="宋体" w:hAnsi="宋体" w:eastAsia="宋体" w:cs="Times New Roman"/>
                <w:color w:val="000000"/>
                <w:sz w:val="24"/>
                <w:szCs w:val="24"/>
              </w:rPr>
            </w:r>
            <w:r/>
          </w:p>
        </w:tc>
        <w:tc>
          <w:tcPr>
            <w:tcW w:w="3070" w:type="dxa"/>
            <w:vAlign w:val="top"/>
            <w:textDirection w:val="lrTb"/>
            <w:noWrap w:val="false"/>
          </w:tcPr>
          <w:p>
            <w:pPr>
              <w:pStyle w:val="1005"/>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评分标准</w:t>
            </w:r>
            <w:r>
              <w:rPr>
                <w:rFonts w:hint="eastAsia" w:ascii="宋体" w:hAnsi="宋体" w:eastAsia="宋体" w:cs="Times New Roman"/>
                <w:color w:val="000000"/>
                <w:sz w:val="24"/>
                <w:szCs w:val="24"/>
              </w:rPr>
            </w:r>
            <w:r/>
          </w:p>
        </w:tc>
      </w:tr>
      <w:tr>
        <w:trPr>
          <w:trHeight w:val="720"/>
        </w:trPr>
        <w:tc>
          <w:tcPr>
            <w:tcW w:w="615" w:type="dxa"/>
            <w:vAlign w:val="center"/>
            <w:vMerge w:val="restart"/>
            <w:textDirection w:val="lrTb"/>
            <w:noWrap w:val="false"/>
          </w:tcPr>
          <w:p>
            <w:pPr>
              <w:pStyle w:val="1005"/>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施工组织设计</w:t>
            </w:r>
            <w:r>
              <w:rPr>
                <w:rFonts w:hint="eastAsia" w:ascii="宋体" w:hAnsi="宋体" w:eastAsia="宋体" w:cs="Times New Roman"/>
                <w:color w:val="000000"/>
                <w:sz w:val="24"/>
                <w:szCs w:val="24"/>
              </w:rPr>
              <w:t xml:space="preserve">（满分</w:t>
            </w:r>
            <w:r>
              <w:rPr>
                <w:rFonts w:hint="eastAsia" w:ascii="宋体" w:hAnsi="宋体" w:eastAsia="宋体" w:cs="Times New Roman"/>
                <w:color w:val="000000"/>
                <w:sz w:val="24"/>
                <w:szCs w:val="24"/>
                <w:lang w:val="en-US" w:eastAsia="zh-CN"/>
              </w:rPr>
              <w:t xml:space="preserve">40</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rPr>
            </w:r>
            <w:r/>
          </w:p>
        </w:tc>
        <w:tc>
          <w:tcPr>
            <w:tcW w:w="286" w:type="dxa"/>
            <w:vAlign w:val="center"/>
            <w:textDirection w:val="lrTb"/>
            <w:noWrap w:val="false"/>
          </w:tcPr>
          <w:p>
            <w:pPr>
              <w:pStyle w:val="1005"/>
              <w:jc w:val="center"/>
              <w:rPr>
                <w:rFonts w:hint="eastAsia" w:ascii="宋体" w:hAnsi="宋体" w:eastAsia="宋体" w:cs="Times New Roman"/>
                <w:color w:val="000000"/>
                <w:sz w:val="24"/>
                <w:lang w:val="en-US" w:eastAsia="zh-CN"/>
              </w:rPr>
            </w:pPr>
            <w:r>
              <w:rPr>
                <w:rFonts w:ascii="宋体" w:hAnsi="宋体" w:eastAsia="宋体" w:cs="Times New Roman"/>
                <w:color w:val="000000"/>
                <w:sz w:val="24"/>
              </w:rPr>
              <w:t xml:space="preserve">1</w:t>
            </w:r>
            <w:r>
              <w:rPr>
                <w:rFonts w:hint="eastAsia" w:ascii="宋体" w:hAnsi="宋体" w:eastAsia="宋体" w:cs="Times New Roman"/>
                <w:color w:val="000000"/>
                <w:sz w:val="24"/>
                <w:lang w:val="en-US" w:eastAsia="zh-CN"/>
              </w:rPr>
            </w:r>
            <w:r/>
          </w:p>
        </w:tc>
        <w:tc>
          <w:tcPr>
            <w:tcW w:w="1027" w:type="dxa"/>
            <w:vAlign w:val="center"/>
            <w:textDirection w:val="lrTb"/>
            <w:noWrap w:val="false"/>
          </w:tcPr>
          <w:p>
            <w:pPr>
              <w:pStyle w:val="1005"/>
              <w:rPr>
                <w:rFonts w:hint="eastAsia" w:ascii="宋体" w:hAnsi="宋体" w:eastAsia="宋体" w:cs="Times New Roman"/>
                <w:color w:val="000000"/>
                <w:sz w:val="24"/>
                <w:szCs w:val="24"/>
              </w:rPr>
            </w:pPr>
            <w:r>
              <w:rPr>
                <w:rFonts w:hint="eastAsia" w:ascii="宋体" w:hAnsi="宋体" w:eastAsia="宋体" w:cs="Times New Roman"/>
                <w:color w:val="000000"/>
                <w:sz w:val="24"/>
              </w:rPr>
              <w:t xml:space="preserve">内容完整性和编制水平</w:t>
            </w:r>
            <w:r>
              <w:rPr>
                <w:rFonts w:hint="eastAsia" w:ascii="宋体" w:hAnsi="宋体" w:eastAsia="宋体" w:cs="Times New Roman"/>
                <w:color w:val="000000"/>
                <w:sz w:val="24"/>
                <w:szCs w:val="24"/>
              </w:rPr>
            </w:r>
            <w:r/>
          </w:p>
        </w:tc>
        <w:tc>
          <w:tcPr>
            <w:tcW w:w="3070" w:type="dxa"/>
            <w:vAlign w:val="center"/>
            <w:textDirection w:val="lrTb"/>
            <w:noWrap w:val="false"/>
          </w:tcPr>
          <w:p>
            <w:pPr>
              <w:pStyle w:val="1005"/>
              <w:rPr>
                <w:rFonts w:hint="eastAsia" w:ascii="宋体" w:hAnsi="宋体" w:eastAsia="宋体" w:cs="Times New Roman"/>
                <w:color w:val="000000"/>
                <w:sz w:val="24"/>
                <w:szCs w:val="24"/>
              </w:rPr>
            </w:pPr>
            <w:r>
              <w:rPr>
                <w:rFonts w:hint="eastAsia" w:ascii="宋体" w:hAnsi="宋体" w:eastAsia="宋体" w:cs="Times New Roman"/>
                <w:color w:val="000000"/>
                <w:sz w:val="24"/>
              </w:rPr>
              <w:t xml:space="preserve">施工组织设计主要内容具有完整性，符合磋商文件要求</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szCs w:val="24"/>
              </w:rPr>
            </w:r>
            <w:r/>
          </w:p>
        </w:tc>
      </w:tr>
      <w:tr>
        <w:trPr>
          <w:trHeight w:val="90"/>
        </w:trPr>
        <w:tc>
          <w:tcPr>
            <w:tcW w:w="615" w:type="dxa"/>
            <w:vAlign w:val="top"/>
            <w:vMerge w:val="continue"/>
            <w:textDirection w:val="lrTb"/>
            <w:noWrap w:val="false"/>
          </w:tcPr>
          <w:p>
            <w:pPr>
              <w:pStyle w:val="1005"/>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86" w:type="dxa"/>
            <w:vAlign w:val="center"/>
            <w:textDirection w:val="lrTb"/>
            <w:noWrap w:val="false"/>
          </w:tcPr>
          <w:p>
            <w:pPr>
              <w:pStyle w:val="1005"/>
              <w:jc w:val="center"/>
              <w:rPr>
                <w:rFonts w:hint="eastAsia" w:ascii="宋体" w:hAnsi="宋体" w:eastAsia="宋体" w:cs="Times New Roman"/>
                <w:color w:val="000000"/>
                <w:sz w:val="24"/>
                <w:lang w:val="en-US" w:eastAsia="zh-CN"/>
              </w:rPr>
            </w:pPr>
            <w:r>
              <w:rPr>
                <w:rFonts w:ascii="宋体" w:hAnsi="宋体" w:eastAsia="宋体" w:cs="Times New Roman"/>
                <w:color w:val="000000"/>
                <w:sz w:val="24"/>
              </w:rPr>
              <w:t xml:space="preserve">2</w:t>
            </w:r>
            <w:r>
              <w:rPr>
                <w:rFonts w:hint="eastAsia" w:ascii="宋体" w:hAnsi="宋体" w:eastAsia="宋体" w:cs="Times New Roman"/>
                <w:color w:val="000000"/>
                <w:sz w:val="24"/>
                <w:lang w:val="en-US" w:eastAsia="zh-CN"/>
              </w:rPr>
            </w:r>
            <w:r/>
          </w:p>
        </w:tc>
        <w:tc>
          <w:tcPr>
            <w:tcW w:w="1027" w:type="dxa"/>
            <w:vAlign w:val="center"/>
            <w:textDirection w:val="lrTb"/>
            <w:noWrap w:val="false"/>
          </w:tcPr>
          <w:p>
            <w:pPr>
              <w:pStyle w:val="1005"/>
              <w:rPr>
                <w:rFonts w:hint="eastAsia" w:ascii="宋体" w:hAnsi="宋体" w:eastAsia="宋体" w:cs="Times New Roman"/>
                <w:color w:val="000000"/>
                <w:sz w:val="24"/>
                <w:szCs w:val="24"/>
              </w:rPr>
            </w:pPr>
            <w:r>
              <w:rPr>
                <w:rFonts w:hint="eastAsia" w:ascii="宋体" w:hAnsi="宋体" w:eastAsia="宋体" w:cs="Times New Roman"/>
                <w:color w:val="000000"/>
                <w:sz w:val="24"/>
              </w:rPr>
              <w:t xml:space="preserve">施工方案与技术措施</w:t>
            </w:r>
            <w:r>
              <w:rPr>
                <w:rFonts w:hint="eastAsia" w:ascii="宋体" w:hAnsi="宋体" w:eastAsia="宋体" w:cs="Times New Roman"/>
                <w:color w:val="000000"/>
                <w:sz w:val="24"/>
                <w:szCs w:val="24"/>
              </w:rPr>
            </w:r>
            <w:r/>
          </w:p>
        </w:tc>
        <w:tc>
          <w:tcPr>
            <w:tcW w:w="3070" w:type="dxa"/>
            <w:vAlign w:val="center"/>
            <w:textDirection w:val="lrTb"/>
            <w:noWrap w:val="false"/>
          </w:tcPr>
          <w:p>
            <w:pPr>
              <w:pStyle w:val="1005"/>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rPr>
              <w:t xml:space="preserve">对执行计划、组织实施方案、控制措施、施工现场平面布置等内容进行评分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szCs w:val="24"/>
                <w:lang w:eastAsia="zh-CN"/>
              </w:rPr>
            </w:r>
            <w:r/>
          </w:p>
        </w:tc>
      </w:tr>
      <w:tr>
        <w:trPr>
          <w:trHeight w:val="765"/>
        </w:trPr>
        <w:tc>
          <w:tcPr>
            <w:tcW w:w="615" w:type="dxa"/>
            <w:vAlign w:val="top"/>
            <w:vMerge w:val="continue"/>
            <w:textDirection w:val="lrTb"/>
            <w:noWrap w:val="false"/>
          </w:tcPr>
          <w:p>
            <w:pPr>
              <w:pStyle w:val="1005"/>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86" w:type="dxa"/>
            <w:vAlign w:val="center"/>
            <w:textDirection w:val="lrTb"/>
            <w:noWrap w:val="false"/>
          </w:tcPr>
          <w:p>
            <w:pPr>
              <w:pStyle w:val="1005"/>
              <w:jc w:val="center"/>
              <w:rPr>
                <w:rFonts w:hint="eastAsia" w:ascii="宋体" w:hAnsi="宋体" w:eastAsia="宋体" w:cs="Times New Roman"/>
                <w:color w:val="000000"/>
                <w:sz w:val="24"/>
                <w:lang w:val="en-US" w:eastAsia="zh-CN"/>
              </w:rPr>
            </w:pPr>
            <w:r>
              <w:rPr>
                <w:rFonts w:ascii="宋体" w:hAnsi="宋体" w:eastAsia="宋体" w:cs="Times New Roman"/>
                <w:color w:val="000000"/>
                <w:sz w:val="24"/>
              </w:rPr>
              <w:t xml:space="preserve">3</w:t>
            </w:r>
            <w:r>
              <w:rPr>
                <w:rFonts w:hint="eastAsia" w:ascii="宋体" w:hAnsi="宋体" w:eastAsia="宋体" w:cs="Times New Roman"/>
                <w:color w:val="000000"/>
                <w:sz w:val="24"/>
                <w:lang w:val="en-US" w:eastAsia="zh-CN"/>
              </w:rPr>
            </w:r>
            <w:r/>
          </w:p>
        </w:tc>
        <w:tc>
          <w:tcPr>
            <w:tcW w:w="1027" w:type="dxa"/>
            <w:vAlign w:val="center"/>
            <w:textDirection w:val="lrTb"/>
            <w:noWrap w:val="false"/>
          </w:tcPr>
          <w:p>
            <w:pPr>
              <w:pStyle w:val="1005"/>
              <w:rPr>
                <w:rFonts w:hint="eastAsia" w:ascii="宋体" w:hAnsi="宋体" w:eastAsia="宋体" w:cs="Times New Roman"/>
                <w:color w:val="000000"/>
                <w:sz w:val="24"/>
                <w:szCs w:val="24"/>
              </w:rPr>
            </w:pPr>
            <w:r>
              <w:rPr>
                <w:rFonts w:hint="eastAsia" w:ascii="宋体" w:hAnsi="宋体" w:eastAsia="宋体" w:cs="Times New Roman"/>
                <w:color w:val="000000"/>
                <w:sz w:val="24"/>
              </w:rPr>
              <w:t xml:space="preserve">施工重点难点解决方案</w:t>
            </w:r>
            <w:r>
              <w:rPr>
                <w:rFonts w:hint="eastAsia" w:ascii="宋体" w:hAnsi="宋体" w:eastAsia="宋体" w:cs="Times New Roman"/>
                <w:color w:val="000000"/>
                <w:sz w:val="24"/>
                <w:szCs w:val="24"/>
              </w:rPr>
            </w:r>
            <w:r/>
          </w:p>
        </w:tc>
        <w:tc>
          <w:tcPr>
            <w:tcW w:w="3070" w:type="dxa"/>
            <w:vAlign w:val="center"/>
            <w:textDirection w:val="lrTb"/>
            <w:noWrap w:val="false"/>
          </w:tcPr>
          <w:p>
            <w:pPr>
              <w:pStyle w:val="1005"/>
              <w:rPr>
                <w:rFonts w:hint="eastAsia" w:ascii="宋体" w:hAnsi="宋体" w:eastAsia="宋体" w:cs="Times New Roman"/>
                <w:color w:val="000000"/>
                <w:sz w:val="24"/>
                <w:szCs w:val="24"/>
              </w:rPr>
            </w:pPr>
            <w:r>
              <w:rPr>
                <w:rFonts w:hint="eastAsia" w:ascii="宋体" w:hAnsi="宋体" w:eastAsia="宋体" w:cs="Times New Roman"/>
                <w:color w:val="000000"/>
                <w:sz w:val="24"/>
              </w:rPr>
              <w:t xml:space="preserve">关键施工技术、工艺及工程项目实施重点、难点、解决方案。</w:t>
            </w:r>
            <w:r>
              <w:rPr>
                <w:rFonts w:hint="eastAsia" w:ascii="宋体" w:hAnsi="宋体" w:eastAsia="宋体" w:cs="Times New Roman"/>
                <w:color w:val="000000"/>
                <w:sz w:val="24"/>
                <w:szCs w:val="24"/>
              </w:rPr>
            </w:r>
            <w:r/>
          </w:p>
        </w:tc>
      </w:tr>
      <w:tr>
        <w:trPr>
          <w:trHeight w:val="855"/>
        </w:trPr>
        <w:tc>
          <w:tcPr>
            <w:tcW w:w="615" w:type="dxa"/>
            <w:vAlign w:val="top"/>
            <w:vMerge w:val="continue"/>
            <w:textDirection w:val="lrTb"/>
            <w:noWrap w:val="false"/>
          </w:tcPr>
          <w:p>
            <w:pPr>
              <w:pStyle w:val="1005"/>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86" w:type="dxa"/>
            <w:vAlign w:val="center"/>
            <w:textDirection w:val="lrTb"/>
            <w:noWrap w:val="false"/>
          </w:tcPr>
          <w:p>
            <w:pPr>
              <w:pStyle w:val="1005"/>
              <w:jc w:val="center"/>
              <w:rPr>
                <w:rFonts w:hint="eastAsia" w:ascii="宋体" w:hAnsi="宋体" w:eastAsia="宋体" w:cs="Times New Roman"/>
                <w:color w:val="000000"/>
                <w:sz w:val="24"/>
              </w:rPr>
            </w:pPr>
            <w:r>
              <w:rPr>
                <w:rFonts w:ascii="宋体" w:hAnsi="宋体" w:eastAsia="宋体" w:cs="Times New Roman"/>
                <w:color w:val="000000"/>
                <w:sz w:val="24"/>
              </w:rPr>
              <w:t xml:space="preserve">4</w:t>
            </w:r>
            <w:r>
              <w:rPr>
                <w:rFonts w:hint="eastAsia" w:ascii="宋体" w:hAnsi="宋体" w:eastAsia="宋体" w:cs="Times New Roman"/>
                <w:color w:val="000000"/>
                <w:sz w:val="24"/>
              </w:rPr>
            </w:r>
            <w:r/>
          </w:p>
        </w:tc>
        <w:tc>
          <w:tcPr>
            <w:tcW w:w="1027" w:type="dxa"/>
            <w:vAlign w:val="center"/>
            <w:textDirection w:val="lrTb"/>
            <w:noWrap w:val="false"/>
          </w:tcPr>
          <w:p>
            <w:pPr>
              <w:pStyle w:val="1005"/>
              <w:rPr>
                <w:rFonts w:hint="eastAsia" w:ascii="宋体" w:hAnsi="宋体" w:eastAsia="宋体" w:cs="Times New Roman"/>
                <w:color w:val="000000"/>
                <w:sz w:val="24"/>
                <w:szCs w:val="24"/>
              </w:rPr>
            </w:pPr>
            <w:r>
              <w:rPr>
                <w:rFonts w:hint="eastAsia" w:ascii="宋体" w:hAnsi="宋体" w:eastAsia="宋体" w:cs="Times New Roman"/>
                <w:color w:val="000000"/>
                <w:sz w:val="24"/>
              </w:rPr>
              <w:t xml:space="preserve">工程进度计划与措施</w:t>
            </w:r>
            <w:r>
              <w:rPr>
                <w:rFonts w:hint="eastAsia" w:ascii="宋体" w:hAnsi="宋体" w:eastAsia="宋体" w:cs="Times New Roman"/>
                <w:color w:val="000000"/>
                <w:sz w:val="24"/>
                <w:szCs w:val="24"/>
              </w:rPr>
            </w:r>
            <w:r/>
          </w:p>
        </w:tc>
        <w:tc>
          <w:tcPr>
            <w:tcW w:w="3070" w:type="dxa"/>
            <w:vAlign w:val="center"/>
            <w:textDirection w:val="lrTb"/>
            <w:noWrap w:val="false"/>
          </w:tcPr>
          <w:p>
            <w:pPr>
              <w:pStyle w:val="1005"/>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rPr>
              <w:t xml:space="preserve">进度安排具体、合理、可行，解决措施先进、合理有效、完全满足项目要求</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szCs w:val="24"/>
                <w:lang w:eastAsia="zh-CN"/>
              </w:rPr>
            </w:r>
            <w:r/>
          </w:p>
        </w:tc>
      </w:tr>
      <w:tr>
        <w:trPr>
          <w:trHeight w:val="570"/>
        </w:trPr>
        <w:tc>
          <w:tcPr>
            <w:tcW w:w="615" w:type="dxa"/>
            <w:vAlign w:val="top"/>
            <w:vMerge w:val="continue"/>
            <w:textDirection w:val="lrTb"/>
            <w:noWrap w:val="false"/>
          </w:tcPr>
          <w:p>
            <w:pPr>
              <w:pStyle w:val="1005"/>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86" w:type="dxa"/>
            <w:vAlign w:val="center"/>
            <w:textDirection w:val="lrTb"/>
            <w:noWrap w:val="false"/>
          </w:tcPr>
          <w:p>
            <w:pPr>
              <w:pStyle w:val="1005"/>
              <w:jc w:val="center"/>
              <w:rPr>
                <w:rFonts w:hint="eastAsia" w:ascii="宋体" w:hAnsi="宋体" w:eastAsia="宋体" w:cs="Times New Roman"/>
                <w:color w:val="000000"/>
                <w:sz w:val="24"/>
              </w:rPr>
            </w:pPr>
            <w:r>
              <w:rPr>
                <w:rFonts w:ascii="宋体" w:hAnsi="宋体" w:eastAsia="宋体" w:cs="Times New Roman"/>
                <w:color w:val="000000"/>
                <w:sz w:val="24"/>
              </w:rPr>
              <w:t xml:space="preserve">5</w:t>
            </w:r>
            <w:r>
              <w:rPr>
                <w:rFonts w:hint="eastAsia" w:ascii="宋体" w:hAnsi="宋体" w:eastAsia="宋体" w:cs="Times New Roman"/>
                <w:color w:val="000000"/>
                <w:sz w:val="24"/>
              </w:rPr>
            </w:r>
            <w:r/>
          </w:p>
        </w:tc>
        <w:tc>
          <w:tcPr>
            <w:tcW w:w="1027" w:type="dxa"/>
            <w:vAlign w:val="center"/>
            <w:textDirection w:val="lrTb"/>
            <w:noWrap w:val="false"/>
          </w:tcPr>
          <w:p>
            <w:pPr>
              <w:pStyle w:val="1005"/>
              <w:rPr>
                <w:rFonts w:hint="eastAsia" w:ascii="宋体" w:hAnsi="宋体" w:eastAsia="宋体" w:cs="Times New Roman"/>
                <w:color w:val="000000"/>
                <w:sz w:val="24"/>
                <w:szCs w:val="24"/>
              </w:rPr>
            </w:pPr>
            <w:r>
              <w:rPr>
                <w:rFonts w:hint="eastAsia" w:ascii="宋体" w:hAnsi="宋体" w:eastAsia="宋体" w:cs="Times New Roman"/>
                <w:color w:val="000000"/>
                <w:sz w:val="24"/>
              </w:rPr>
              <w:t xml:space="preserve">质量管理体系与措施</w:t>
            </w:r>
            <w:r>
              <w:rPr>
                <w:rFonts w:hint="eastAsia" w:ascii="宋体" w:hAnsi="宋体" w:eastAsia="宋体" w:cs="Times New Roman"/>
                <w:color w:val="000000"/>
                <w:sz w:val="24"/>
                <w:szCs w:val="24"/>
              </w:rPr>
            </w:r>
            <w:r/>
          </w:p>
        </w:tc>
        <w:tc>
          <w:tcPr>
            <w:tcW w:w="3070" w:type="dxa"/>
            <w:vAlign w:val="center"/>
            <w:textDirection w:val="lrTb"/>
            <w:noWrap w:val="false"/>
          </w:tcPr>
          <w:p>
            <w:pPr>
              <w:pStyle w:val="1005"/>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rPr>
              <w:t xml:space="preserve">对整个项目质量管理有具体的保障制度和措施</w:t>
            </w:r>
            <w:r>
              <w:rPr>
                <w:rFonts w:hint="eastAsia" w:ascii="宋体" w:hAnsi="宋体" w:eastAsia="宋体" w:cs="Times New Roman"/>
                <w:color w:val="000000"/>
                <w:sz w:val="24"/>
                <w:lang w:eastAsia="zh-CN"/>
              </w:rPr>
              <w:t xml:space="preserve">，具</w:t>
            </w:r>
            <w:r>
              <w:rPr>
                <w:rFonts w:hint="eastAsia" w:ascii="宋体" w:hAnsi="宋体" w:eastAsia="宋体" w:cs="Times New Roman"/>
                <w:color w:val="000000"/>
                <w:sz w:val="24"/>
              </w:rPr>
              <w:t xml:space="preserve">有明确的内部质量管理措施，明确了投标人向采购人提供的各项服务</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szCs w:val="24"/>
                <w:lang w:eastAsia="zh-CN"/>
              </w:rPr>
            </w:r>
            <w:r/>
          </w:p>
        </w:tc>
      </w:tr>
      <w:tr>
        <w:trPr>
          <w:trHeight w:val="570"/>
        </w:trPr>
        <w:tc>
          <w:tcPr>
            <w:tcW w:w="615" w:type="dxa"/>
            <w:vAlign w:val="top"/>
            <w:vMerge w:val="continue"/>
            <w:textDirection w:val="lrTb"/>
            <w:noWrap w:val="false"/>
          </w:tcPr>
          <w:p>
            <w:pPr>
              <w:pStyle w:val="1005"/>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86" w:type="dxa"/>
            <w:vAlign w:val="center"/>
            <w:textDirection w:val="lrTb"/>
            <w:noWrap w:val="false"/>
          </w:tcPr>
          <w:p>
            <w:pPr>
              <w:pStyle w:val="1005"/>
              <w:jc w:val="center"/>
              <w:rPr>
                <w:rFonts w:hint="eastAsia" w:ascii="宋体" w:hAnsi="宋体" w:eastAsia="宋体" w:cs="Times New Roman"/>
                <w:color w:val="000000"/>
                <w:sz w:val="24"/>
              </w:rPr>
            </w:pPr>
            <w:r>
              <w:rPr>
                <w:rFonts w:ascii="宋体" w:hAnsi="宋体" w:eastAsia="宋体" w:cs="Times New Roman"/>
                <w:color w:val="000000"/>
                <w:sz w:val="24"/>
              </w:rPr>
              <w:t xml:space="preserve">6</w:t>
            </w:r>
            <w:r>
              <w:rPr>
                <w:rFonts w:hint="eastAsia" w:ascii="宋体" w:hAnsi="宋体" w:eastAsia="宋体" w:cs="Times New Roman"/>
                <w:color w:val="000000"/>
                <w:sz w:val="24"/>
              </w:rPr>
            </w:r>
            <w:r/>
          </w:p>
        </w:tc>
        <w:tc>
          <w:tcPr>
            <w:tcW w:w="1027" w:type="dxa"/>
            <w:vAlign w:val="center"/>
            <w:textDirection w:val="lrTb"/>
            <w:noWrap w:val="false"/>
          </w:tcPr>
          <w:p>
            <w:pPr>
              <w:pStyle w:val="1005"/>
              <w:rPr>
                <w:rFonts w:hint="eastAsia" w:ascii="宋体" w:hAnsi="宋体" w:eastAsia="宋体" w:cs="Times New Roman"/>
                <w:color w:val="000000"/>
                <w:sz w:val="24"/>
                <w:szCs w:val="24"/>
              </w:rPr>
            </w:pPr>
            <w:r>
              <w:rPr>
                <w:rFonts w:hint="eastAsia" w:ascii="宋体" w:hAnsi="宋体" w:eastAsia="宋体" w:cs="Times New Roman"/>
                <w:color w:val="000000"/>
                <w:sz w:val="24"/>
              </w:rPr>
              <w:t xml:space="preserve">确保完成工程建设的技术和管理措施</w:t>
            </w:r>
            <w:r>
              <w:rPr>
                <w:rFonts w:hint="eastAsia" w:ascii="宋体" w:hAnsi="宋体" w:eastAsia="宋体" w:cs="Times New Roman"/>
                <w:color w:val="000000"/>
                <w:sz w:val="24"/>
                <w:szCs w:val="24"/>
              </w:rPr>
            </w:r>
            <w:r/>
          </w:p>
        </w:tc>
        <w:tc>
          <w:tcPr>
            <w:tcW w:w="3070" w:type="dxa"/>
            <w:vAlign w:val="center"/>
            <w:textDirection w:val="lrTb"/>
            <w:noWrap w:val="false"/>
          </w:tcPr>
          <w:p>
            <w:pPr>
              <w:pStyle w:val="1005"/>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rPr>
              <w:t xml:space="preserve">技术方案合理、完善、实用性强、有针对性，对本</w:t>
            </w:r>
            <w:r>
              <w:rPr>
                <w:rFonts w:hint="eastAsia" w:ascii="宋体" w:hAnsi="宋体" w:eastAsia="宋体" w:cs="Times New Roman"/>
                <w:color w:val="000000"/>
                <w:sz w:val="24"/>
                <w:lang w:eastAsia="zh-CN"/>
              </w:rPr>
              <w:t xml:space="preserve">项目的</w:t>
            </w:r>
            <w:r>
              <w:rPr>
                <w:rFonts w:hint="eastAsia" w:ascii="宋体" w:hAnsi="宋体" w:eastAsia="宋体" w:cs="Times New Roman"/>
                <w:color w:val="000000"/>
                <w:sz w:val="24"/>
              </w:rPr>
              <w:t xml:space="preserve">概况理解较深、工作方案切实可行</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szCs w:val="24"/>
                <w:lang w:eastAsia="zh-CN"/>
              </w:rPr>
            </w:r>
            <w:r/>
          </w:p>
        </w:tc>
      </w:tr>
      <w:tr>
        <w:trPr>
          <w:trHeight w:val="570"/>
        </w:trPr>
        <w:tc>
          <w:tcPr>
            <w:tcW w:w="615" w:type="dxa"/>
            <w:vAlign w:val="top"/>
            <w:vMerge w:val="continue"/>
            <w:textDirection w:val="lrTb"/>
            <w:noWrap w:val="false"/>
          </w:tcPr>
          <w:p>
            <w:pPr>
              <w:pStyle w:val="1005"/>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86" w:type="dxa"/>
            <w:vAlign w:val="center"/>
            <w:textDirection w:val="lrTb"/>
            <w:noWrap w:val="false"/>
          </w:tcPr>
          <w:p>
            <w:pPr>
              <w:pStyle w:val="1005"/>
              <w:jc w:val="center"/>
              <w:rPr>
                <w:rFonts w:hint="eastAsia" w:ascii="宋体" w:hAnsi="宋体" w:eastAsia="宋体" w:cs="Times New Roman"/>
                <w:color w:val="000000"/>
                <w:sz w:val="24"/>
              </w:rPr>
            </w:pPr>
            <w:r>
              <w:rPr>
                <w:rFonts w:ascii="宋体" w:hAnsi="宋体" w:eastAsia="宋体" w:cs="Times New Roman"/>
                <w:color w:val="000000"/>
                <w:sz w:val="24"/>
              </w:rPr>
              <w:t xml:space="preserve">7</w:t>
            </w:r>
            <w:r>
              <w:rPr>
                <w:rFonts w:hint="eastAsia" w:ascii="宋体" w:hAnsi="宋体" w:eastAsia="宋体" w:cs="Times New Roman"/>
                <w:color w:val="000000"/>
                <w:sz w:val="24"/>
              </w:rPr>
            </w:r>
            <w:r/>
          </w:p>
        </w:tc>
        <w:tc>
          <w:tcPr>
            <w:tcW w:w="1027" w:type="dxa"/>
            <w:vAlign w:val="center"/>
            <w:textDirection w:val="lrTb"/>
            <w:noWrap w:val="false"/>
          </w:tcPr>
          <w:p>
            <w:pPr>
              <w:pStyle w:val="1005"/>
              <w:rPr>
                <w:rFonts w:hint="eastAsia" w:ascii="宋体" w:hAnsi="宋体" w:eastAsia="宋体" w:cs="Times New Roman"/>
                <w:color w:val="000000"/>
                <w:sz w:val="24"/>
                <w:szCs w:val="24"/>
              </w:rPr>
            </w:pPr>
            <w:r>
              <w:rPr>
                <w:rFonts w:hint="eastAsia" w:ascii="宋体" w:hAnsi="宋体" w:eastAsia="宋体" w:cs="Times New Roman"/>
                <w:color w:val="000000"/>
                <w:sz w:val="24"/>
              </w:rPr>
              <w:t xml:space="preserve">安全生产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文明施工体系与措施</w:t>
            </w:r>
            <w:r>
              <w:rPr>
                <w:rFonts w:hint="eastAsia" w:ascii="宋体" w:hAnsi="宋体" w:eastAsia="宋体" w:cs="Times New Roman"/>
                <w:color w:val="000000"/>
                <w:sz w:val="24"/>
                <w:szCs w:val="24"/>
              </w:rPr>
            </w:r>
            <w:r/>
          </w:p>
        </w:tc>
        <w:tc>
          <w:tcPr>
            <w:tcW w:w="3070" w:type="dxa"/>
            <w:vAlign w:val="center"/>
            <w:textDirection w:val="lrTb"/>
            <w:noWrap w:val="false"/>
          </w:tcPr>
          <w:p>
            <w:pPr>
              <w:pStyle w:val="1005"/>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rPr>
              <w:t xml:space="preserve">安全生产管理体系及保证措施合理详细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szCs w:val="24"/>
                <w:lang w:eastAsia="zh-CN"/>
              </w:rPr>
            </w:r>
            <w:r/>
          </w:p>
        </w:tc>
      </w:tr>
      <w:tr>
        <w:trPr>
          <w:trHeight w:val="570"/>
        </w:trPr>
        <w:tc>
          <w:tcPr>
            <w:tcW w:w="615" w:type="dxa"/>
            <w:vAlign w:val="top"/>
            <w:vMerge w:val="continue"/>
            <w:textDirection w:val="lrTb"/>
            <w:noWrap w:val="false"/>
          </w:tcPr>
          <w:p>
            <w:pPr>
              <w:pStyle w:val="1005"/>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86" w:type="dxa"/>
            <w:vAlign w:val="center"/>
            <w:textDirection w:val="lrTb"/>
            <w:noWrap w:val="false"/>
          </w:tcPr>
          <w:p>
            <w:pPr>
              <w:pStyle w:val="1005"/>
              <w:jc w:val="center"/>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eastAsia="zh-CN"/>
              </w:rPr>
            </w:r>
            <w:r/>
          </w:p>
        </w:tc>
        <w:tc>
          <w:tcPr>
            <w:tcW w:w="1027" w:type="dxa"/>
            <w:vAlign w:val="center"/>
            <w:textDirection w:val="lrTb"/>
            <w:noWrap w:val="false"/>
          </w:tcPr>
          <w:p>
            <w:pPr>
              <w:pStyle w:val="1005"/>
              <w:rPr>
                <w:rFonts w:hint="eastAsia" w:ascii="宋体" w:hAnsi="宋体" w:eastAsia="宋体" w:cs="Times New Roman"/>
                <w:color w:val="000000"/>
                <w:sz w:val="24"/>
                <w:szCs w:val="24"/>
              </w:rPr>
            </w:pPr>
            <w:r>
              <w:rPr>
                <w:rFonts w:hint="eastAsia" w:ascii="宋体" w:hAnsi="宋体" w:eastAsia="宋体" w:cs="Times New Roman"/>
                <w:color w:val="000000"/>
                <w:sz w:val="24"/>
              </w:rPr>
              <w:t xml:space="preserve">环境保护体系与措施</w:t>
            </w:r>
            <w:r>
              <w:rPr>
                <w:rFonts w:hint="eastAsia" w:ascii="宋体" w:hAnsi="宋体" w:eastAsia="宋体" w:cs="Times New Roman"/>
                <w:color w:val="000000"/>
                <w:sz w:val="24"/>
                <w:szCs w:val="24"/>
              </w:rPr>
            </w:r>
            <w:r/>
          </w:p>
        </w:tc>
        <w:tc>
          <w:tcPr>
            <w:tcW w:w="3070" w:type="dxa"/>
            <w:vAlign w:val="center"/>
            <w:textDirection w:val="lrTb"/>
            <w:noWrap w:val="false"/>
          </w:tcPr>
          <w:p>
            <w:pPr>
              <w:pStyle w:val="1005"/>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rPr>
              <w:t xml:space="preserve">环境保护管理体系及保证措施合理详细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szCs w:val="24"/>
                <w:lang w:eastAsia="zh-CN"/>
              </w:rPr>
            </w:r>
            <w:r/>
          </w:p>
        </w:tc>
      </w:tr>
      <w:tr>
        <w:trPr>
          <w:trHeight w:val="720"/>
        </w:trPr>
        <w:tc>
          <w:tcPr>
            <w:tcW w:w="615" w:type="dxa"/>
            <w:vAlign w:val="top"/>
            <w:vMerge w:val="continue"/>
            <w:textDirection w:val="lrTb"/>
            <w:noWrap w:val="false"/>
          </w:tcPr>
          <w:p>
            <w:pPr>
              <w:pStyle w:val="1005"/>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86" w:type="dxa"/>
            <w:vAlign w:val="center"/>
            <w:textDirection w:val="lrTb"/>
            <w:noWrap w:val="false"/>
          </w:tcPr>
          <w:p>
            <w:pPr>
              <w:pStyle w:val="1005"/>
              <w:jc w:val="center"/>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lang w:eastAsia="zh-CN"/>
              </w:rPr>
            </w:r>
            <w:r/>
          </w:p>
        </w:tc>
        <w:tc>
          <w:tcPr>
            <w:tcW w:w="1027" w:type="dxa"/>
            <w:vAlign w:val="center"/>
            <w:textDirection w:val="lrTb"/>
            <w:noWrap w:val="false"/>
          </w:tcPr>
          <w:p>
            <w:pPr>
              <w:pStyle w:val="1005"/>
              <w:rPr>
                <w:rFonts w:hint="eastAsia" w:ascii="Times New Roman" w:hAnsi="Times New Roman" w:eastAsia="宋体" w:cs="Times New Roman"/>
                <w:color w:val="000000"/>
                <w:sz w:val="24"/>
                <w:szCs w:val="24"/>
                <w:lang w:val="en-US" w:eastAsia="zh-CN"/>
              </w:rPr>
            </w:pPr>
            <w:r>
              <w:rPr>
                <w:rFonts w:hint="eastAsia" w:ascii="宋体" w:hAnsi="宋体" w:eastAsia="宋体" w:cs="Times New Roman"/>
                <w:color w:val="000000"/>
                <w:sz w:val="24"/>
              </w:rPr>
              <w:t xml:space="preserve">质量通病的防治措施</w:t>
            </w:r>
            <w:r>
              <w:rPr>
                <w:rFonts w:hint="eastAsia" w:ascii="Times New Roman" w:hAnsi="Times New Roman" w:eastAsia="宋体" w:cs="Times New Roman"/>
                <w:color w:val="000000"/>
                <w:sz w:val="24"/>
                <w:szCs w:val="24"/>
                <w:lang w:val="en-US" w:eastAsia="zh-CN"/>
              </w:rPr>
            </w:r>
            <w:r/>
          </w:p>
        </w:tc>
        <w:tc>
          <w:tcPr>
            <w:tcW w:w="3070" w:type="dxa"/>
            <w:vAlign w:val="center"/>
            <w:textDirection w:val="lrTb"/>
            <w:noWrap w:val="false"/>
          </w:tcPr>
          <w:p>
            <w:pPr>
              <w:pStyle w:val="1005"/>
              <w:rPr>
                <w:rFonts w:hint="eastAsia" w:ascii="Times New Roman" w:hAnsi="Times New Roman" w:eastAsia="宋体" w:cs="Times New Roman"/>
                <w:color w:val="000000"/>
                <w:sz w:val="24"/>
                <w:szCs w:val="24"/>
                <w:lang w:val="en-US" w:eastAsia="zh-CN"/>
              </w:rPr>
            </w:pPr>
            <w:r>
              <w:rPr>
                <w:rFonts w:hint="eastAsia" w:ascii="宋体" w:hAnsi="宋体" w:eastAsia="宋体" w:cs="Times New Roman"/>
                <w:color w:val="000000"/>
                <w:sz w:val="24"/>
              </w:rPr>
              <w:t xml:space="preserve">质量通病分析及防治措施</w:t>
            </w:r>
            <w:r>
              <w:rPr>
                <w:rFonts w:hint="eastAsia" w:ascii="宋体" w:hAnsi="宋体" w:eastAsia="宋体" w:cs="Times New Roman"/>
                <w:color w:val="000000"/>
                <w:sz w:val="24"/>
                <w:lang w:eastAsia="zh-CN"/>
              </w:rPr>
              <w:t xml:space="preserve">。</w:t>
            </w:r>
            <w:r>
              <w:rPr>
                <w:rFonts w:hint="eastAsia" w:ascii="Times New Roman" w:hAnsi="Times New Roman" w:eastAsia="宋体" w:cs="Times New Roman"/>
                <w:color w:val="000000"/>
                <w:sz w:val="24"/>
                <w:szCs w:val="24"/>
                <w:lang w:val="en-US" w:eastAsia="zh-CN"/>
              </w:rPr>
            </w:r>
            <w:r/>
          </w:p>
        </w:tc>
      </w:tr>
      <w:tr>
        <w:trPr>
          <w:trHeight w:val="600"/>
        </w:trPr>
        <w:tc>
          <w:tcPr>
            <w:tcW w:w="615" w:type="dxa"/>
            <w:vAlign w:val="top"/>
            <w:vMerge w:val="continue"/>
            <w:textDirection w:val="lrTb"/>
            <w:noWrap w:val="false"/>
          </w:tcPr>
          <w:p>
            <w:pPr>
              <w:pStyle w:val="1005"/>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86" w:type="dxa"/>
            <w:vAlign w:val="center"/>
            <w:textDirection w:val="lrTb"/>
            <w:noWrap w:val="false"/>
          </w:tcPr>
          <w:p>
            <w:pPr>
              <w:pStyle w:val="1005"/>
              <w:jc w:val="center"/>
              <w:rPr>
                <w:rFonts w:hint="eastAsia" w:ascii="宋体" w:hAnsi="宋体" w:eastAsia="宋体" w:cs="Times New Roman"/>
                <w:color w:val="000000"/>
                <w:sz w:val="24"/>
                <w:lang w:eastAsia="zh-CN"/>
              </w:rPr>
            </w:pPr>
            <w:r>
              <w:rPr>
                <w:rFonts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eastAsia="zh-CN"/>
              </w:rPr>
            </w:r>
            <w:r/>
          </w:p>
        </w:tc>
        <w:tc>
          <w:tcPr>
            <w:tcW w:w="1027" w:type="dxa"/>
            <w:vAlign w:val="center"/>
            <w:textDirection w:val="lrTb"/>
            <w:noWrap w:val="false"/>
          </w:tcPr>
          <w:p>
            <w:pPr>
              <w:pStyle w:val="1005"/>
              <w:rPr>
                <w:rFonts w:hint="eastAsia" w:ascii="Times New Roman" w:hAnsi="Times New Roman" w:eastAsia="宋体" w:cs="Times New Roman"/>
                <w:color w:val="000000"/>
                <w:sz w:val="24"/>
                <w:szCs w:val="24"/>
                <w:lang w:val="en-US" w:eastAsia="zh-CN"/>
              </w:rPr>
            </w:pPr>
            <w:r>
              <w:rPr>
                <w:rFonts w:hint="eastAsia" w:ascii="宋体" w:hAnsi="宋体" w:eastAsia="宋体" w:cs="Times New Roman"/>
                <w:color w:val="000000"/>
                <w:sz w:val="24"/>
              </w:rPr>
              <w:t xml:space="preserve">劳动力</w:t>
            </w:r>
            <w:r>
              <w:rPr>
                <w:rFonts w:hint="eastAsia" w:ascii="Times New Roman" w:hAnsi="Times New Roman" w:eastAsia="宋体" w:cs="Times New Roman"/>
                <w:color w:val="000000"/>
                <w:sz w:val="24"/>
                <w:szCs w:val="24"/>
                <w:lang w:val="en-US" w:eastAsia="zh-CN"/>
              </w:rPr>
            </w:r>
            <w:r/>
          </w:p>
        </w:tc>
        <w:tc>
          <w:tcPr>
            <w:tcW w:w="3070" w:type="dxa"/>
            <w:vAlign w:val="center"/>
            <w:textDirection w:val="lrTb"/>
            <w:noWrap w:val="false"/>
          </w:tcPr>
          <w:p>
            <w:pPr>
              <w:pStyle w:val="1005"/>
              <w:rPr>
                <w:rFonts w:hint="eastAsia" w:ascii="Times New Roman" w:hAnsi="Times New Roman" w:eastAsia="宋体" w:cs="Times New Roman"/>
                <w:color w:val="000000"/>
                <w:sz w:val="24"/>
                <w:szCs w:val="24"/>
                <w:lang w:val="en-US" w:eastAsia="zh-CN"/>
              </w:rPr>
            </w:pPr>
            <w:r>
              <w:rPr>
                <w:rFonts w:hint="eastAsia" w:ascii="宋体" w:hAnsi="宋体" w:eastAsia="宋体" w:cs="Times New Roman"/>
                <w:color w:val="000000"/>
                <w:sz w:val="24"/>
              </w:rPr>
              <w:t xml:space="preserve">劳动力组织及计划表</w:t>
            </w:r>
            <w:r>
              <w:rPr>
                <w:rFonts w:hint="eastAsia" w:ascii="宋体" w:hAnsi="宋体" w:eastAsia="宋体" w:cs="Times New Roman"/>
                <w:color w:val="000000"/>
                <w:sz w:val="24"/>
                <w:lang w:eastAsia="zh-CN"/>
              </w:rPr>
              <w:t xml:space="preserve">。</w:t>
            </w:r>
            <w:r>
              <w:rPr>
                <w:rFonts w:hint="eastAsia" w:ascii="Times New Roman" w:hAnsi="Times New Roman" w:eastAsia="宋体" w:cs="Times New Roman"/>
                <w:color w:val="000000"/>
                <w:sz w:val="24"/>
                <w:szCs w:val="24"/>
                <w:lang w:val="en-US" w:eastAsia="zh-CN"/>
              </w:rPr>
            </w:r>
            <w:r/>
          </w:p>
        </w:tc>
      </w:tr>
      <w:tr>
        <w:trPr>
          <w:trHeight w:val="720"/>
        </w:trPr>
        <w:tc>
          <w:tcPr>
            <w:tcW w:w="615" w:type="dxa"/>
            <w:vAlign w:val="top"/>
            <w:vMerge w:val="continue"/>
            <w:textDirection w:val="lrTb"/>
            <w:noWrap w:val="false"/>
          </w:tcPr>
          <w:p>
            <w:pPr>
              <w:pStyle w:val="1005"/>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gridSpan w:val="3"/>
            <w:tcW w:w="8039" w:type="dxa"/>
            <w:vAlign w:val="center"/>
            <w:textDirection w:val="lrTb"/>
            <w:noWrap w:val="false"/>
          </w:tcPr>
          <w:p>
            <w:pPr>
              <w:pStyle w:val="1005"/>
              <w:rPr>
                <w:rFonts w:hint="eastAsia" w:ascii="宋体" w:hAnsi="宋体" w:eastAsia="宋体" w:cs="Times New Roman"/>
                <w:color w:val="000000"/>
                <w:sz w:val="24"/>
                <w:szCs w:val="24"/>
              </w:rPr>
            </w:pPr>
            <w:r>
              <w:rPr>
                <w:rFonts w:hint="eastAsia" w:ascii="宋体" w:hAnsi="宋体" w:eastAsia="宋体" w:cs="宋体"/>
                <w:color w:val="000000"/>
                <w:sz w:val="24"/>
                <w:lang w:val="en-US" w:eastAsia="zh-CN" w:bidi="ar"/>
              </w:rPr>
              <w:t xml:space="preserve">第1-10项，单项</w:t>
            </w:r>
            <w:r>
              <w:rPr>
                <w:rFonts w:hint="eastAsia" w:ascii="宋体" w:hAnsi="宋体" w:eastAsia="宋体" w:cs="宋体"/>
                <w:color w:val="000000"/>
                <w:sz w:val="24"/>
                <w:lang w:bidi="ar"/>
              </w:rPr>
              <w:t xml:space="preserve">方案完全满足项目</w:t>
            </w:r>
            <w:r>
              <w:rPr>
                <w:rFonts w:hint="eastAsia" w:ascii="宋体" w:hAnsi="宋体" w:eastAsia="宋体" w:cs="宋体"/>
                <w:color w:val="000000"/>
                <w:sz w:val="24"/>
                <w:lang w:val="en-US" w:eastAsia="zh-CN" w:bidi="ar"/>
              </w:rPr>
              <w:t xml:space="preserve">实际</w:t>
            </w:r>
            <w:r>
              <w:rPr>
                <w:rFonts w:hint="eastAsia" w:ascii="宋体" w:hAnsi="宋体" w:eastAsia="宋体" w:cs="宋体"/>
                <w:color w:val="000000"/>
                <w:sz w:val="24"/>
                <w:lang w:bidi="ar"/>
              </w:rPr>
              <w:t xml:space="preserve">需求的</w:t>
            </w:r>
            <w:r>
              <w:rPr>
                <w:rFonts w:hint="eastAsia" w:ascii="宋体" w:hAnsi="宋体" w:eastAsia="宋体" w:cs="宋体"/>
                <w:color w:val="000000"/>
                <w:sz w:val="24"/>
                <w:lang w:val="en-US" w:eastAsia="zh-CN" w:bidi="ar"/>
              </w:rPr>
              <w:t xml:space="preserve">每项</w:t>
            </w:r>
            <w:r>
              <w:rPr>
                <w:rFonts w:hint="eastAsia" w:ascii="宋体" w:hAnsi="宋体" w:eastAsia="宋体" w:cs="宋体"/>
                <w:color w:val="000000"/>
                <w:sz w:val="24"/>
                <w:lang w:bidi="ar"/>
              </w:rPr>
              <w:t xml:space="preserve">得</w:t>
            </w:r>
            <w:r>
              <w:rPr>
                <w:rFonts w:hint="eastAsia" w:ascii="宋体" w:hAnsi="宋体" w:eastAsia="宋体" w:cs="宋体"/>
                <w:color w:val="000000"/>
                <w:sz w:val="24"/>
                <w:lang w:val="en-US" w:eastAsia="zh-CN" w:bidi="ar"/>
              </w:rPr>
              <w:t xml:space="preserve">4</w:t>
            </w:r>
            <w:r>
              <w:rPr>
                <w:rFonts w:hint="eastAsia" w:ascii="宋体" w:hAnsi="宋体" w:eastAsia="宋体" w:cs="宋体"/>
                <w:color w:val="000000"/>
                <w:sz w:val="24"/>
                <w:lang w:bidi="ar"/>
              </w:rPr>
              <w:t xml:space="preserve">分，</w:t>
            </w:r>
            <w:r>
              <w:rPr>
                <w:rFonts w:hint="eastAsia" w:ascii="宋体" w:hAnsi="宋体" w:eastAsia="宋体" w:cs="宋体"/>
                <w:color w:val="000000"/>
                <w:sz w:val="24"/>
                <w:lang w:val="en-US" w:eastAsia="zh-CN" w:bidi="ar"/>
              </w:rPr>
              <w:t xml:space="preserve">欠合理</w:t>
            </w:r>
            <w:r>
              <w:rPr>
                <w:rFonts w:hint="eastAsia" w:ascii="宋体" w:hAnsi="宋体" w:eastAsia="宋体" w:cs="宋体"/>
                <w:color w:val="000000"/>
                <w:sz w:val="24"/>
                <w:lang w:bidi="ar"/>
              </w:rPr>
              <w:t xml:space="preserve">得</w:t>
            </w:r>
            <w:r>
              <w:rPr>
                <w:rFonts w:hint="eastAsia" w:ascii="宋体" w:hAnsi="宋体" w:eastAsia="宋体" w:cs="宋体"/>
                <w:color w:val="000000"/>
                <w:sz w:val="24"/>
                <w:lang w:val="en-US" w:eastAsia="zh-CN" w:bidi="ar"/>
              </w:rPr>
              <w:t xml:space="preserve">3</w:t>
            </w:r>
            <w:r>
              <w:rPr>
                <w:rFonts w:hint="eastAsia" w:ascii="宋体" w:hAnsi="宋体" w:eastAsia="宋体" w:cs="宋体"/>
                <w:color w:val="000000"/>
                <w:sz w:val="24"/>
                <w:lang w:bidi="ar"/>
              </w:rPr>
              <w:t xml:space="preserve">分，</w:t>
            </w:r>
            <w:r>
              <w:rPr>
                <w:rFonts w:hint="eastAsia" w:ascii="宋体" w:hAnsi="宋体" w:eastAsia="宋体" w:cs="宋体"/>
                <w:color w:val="000000"/>
                <w:sz w:val="24"/>
                <w:lang w:val="en-US" w:eastAsia="zh-CN" w:bidi="ar"/>
              </w:rPr>
              <w:t xml:space="preserve">不合理、</w:t>
            </w:r>
            <w:r>
              <w:rPr>
                <w:rFonts w:hint="eastAsia" w:ascii="宋体" w:hAnsi="宋体" w:eastAsia="宋体" w:cs="宋体"/>
                <w:color w:val="000000"/>
                <w:sz w:val="24"/>
                <w:lang w:bidi="ar"/>
              </w:rPr>
              <w:t xml:space="preserve">不提供不得分。</w:t>
            </w:r>
            <w:r>
              <w:rPr>
                <w:rFonts w:hint="eastAsia" w:ascii="宋体" w:hAnsi="宋体" w:eastAsia="宋体" w:cs="Times New Roman"/>
                <w:color w:val="000000"/>
                <w:sz w:val="24"/>
                <w:szCs w:val="24"/>
              </w:rPr>
            </w:r>
            <w:r/>
          </w:p>
        </w:tc>
      </w:tr>
    </w:tbl>
    <w:p>
      <w:pPr>
        <w:pStyle w:val="1026"/>
        <w:numPr>
          <w:ilvl w:val="0"/>
          <w:numId w:val="145"/>
        </w:numPr>
        <w:ind w:left="0" w:firstLine="480"/>
        <w:widowControl/>
        <w:tabs>
          <w:tab w:val="left" w:pos="840" w:leader="none"/>
        </w:tabs>
        <w:rPr>
          <w:rFonts w:hint="eastAsia" w:ascii="宋体" w:hAnsi="宋体" w:eastAsia="宋体" w:cs="宋体"/>
          <w:b w:val="0"/>
          <w:color w:val="000000"/>
          <w:sz w:val="24"/>
        </w:rPr>
      </w:pPr>
      <w:r>
        <w:rPr>
          <w:rFonts w:ascii="Times New Roman" w:hAnsi="Times New Roman" w:eastAsia="宋体" w:cs="Times New Roman"/>
          <w:color w:val="000000"/>
          <w:sz w:val="24"/>
        </w:rPr>
        <w:t xml:space="preserve">商务技术标评审时，磋商小组分别对每个有效供应商的响应文件进行评价、打分。技术分按算术平均值计算。分值四舍五入，保留小数点后两位。</w:t>
      </w:r>
      <w:r>
        <w:rPr>
          <w:rFonts w:ascii="Times New Roman" w:hAnsi="Times New Roman" w:eastAsia="宋体" w:cs="Times New Roman"/>
          <w:b/>
          <w:color w:val="000000"/>
          <w:sz w:val="24"/>
        </w:rPr>
        <w:t xml:space="preserve">施工组织设计中除缺少相应内容的评审要点不得分外，其他各项评审要点得分不应低于该评审要点满分的70%。</w:t>
      </w:r>
      <w:r>
        <w:rPr>
          <w:rFonts w:hint="eastAsia" w:ascii="宋体" w:hAnsi="宋体" w:eastAsia="宋体" w:cs="宋体"/>
          <w:b w:val="0"/>
          <w:color w:val="000000"/>
          <w:sz w:val="24"/>
        </w:rPr>
      </w:r>
      <w:r/>
    </w:p>
    <w:p>
      <w:pPr>
        <w:pStyle w:val="1026"/>
        <w:numPr>
          <w:ilvl w:val="0"/>
          <w:numId w:val="145"/>
        </w:numPr>
        <w:ind w:left="0" w:firstLine="482"/>
        <w:widowControl/>
        <w:tabs>
          <w:tab w:val="left" w:pos="840" w:leader="none"/>
        </w:tabs>
        <w:rPr>
          <w:rFonts w:hint="eastAsia" w:ascii="宋体" w:hAnsi="宋体" w:eastAsia="宋体" w:cs="宋体"/>
          <w:b/>
          <w:color w:val="000000"/>
          <w:sz w:val="24"/>
        </w:rPr>
      </w:pPr>
      <w:r>
        <w:rPr>
          <w:rFonts w:ascii="Times New Roman" w:hAnsi="Times New Roman" w:eastAsia="宋体" w:cs="Times New Roman"/>
          <w:b/>
          <w:color w:val="000000"/>
          <w:sz w:val="24"/>
        </w:rPr>
        <w:t xml:space="preserve">请供应商制作磋商响应文件的同时保证图片、文字材料的完整、清晰可辨，任何原因导致评委看不清楚或无法查看，后果由供应商自负。</w:t>
      </w:r>
      <w:r>
        <w:rPr>
          <w:rFonts w:hint="eastAsia" w:ascii="宋体" w:hAnsi="宋体" w:eastAsia="宋体" w:cs="宋体"/>
          <w:b/>
          <w:color w:val="000000"/>
          <w:sz w:val="24"/>
        </w:rPr>
      </w:r>
      <w:r/>
    </w:p>
    <w:p>
      <w:pPr>
        <w:pStyle w:val="1026"/>
        <w:numPr>
          <w:ilvl w:val="0"/>
          <w:numId w:val="145"/>
        </w:numPr>
        <w:ind w:left="0" w:firstLine="482"/>
        <w:widowControl/>
        <w:tabs>
          <w:tab w:val="left" w:pos="840" w:leader="none"/>
        </w:tabs>
        <w:rPr>
          <w:rFonts w:hint="eastAsia" w:ascii="宋体" w:hAnsi="宋体" w:eastAsia="宋体" w:cs="宋体"/>
          <w:b/>
          <w:color w:val="000000"/>
          <w:sz w:val="24"/>
        </w:rPr>
      </w:pPr>
      <w:r>
        <w:rPr>
          <w:rFonts w:ascii="Times New Roman" w:hAnsi="Times New Roman" w:eastAsia="宋体" w:cs="Times New Roman"/>
          <w:b/>
          <w:color w:val="000000"/>
          <w:sz w:val="24"/>
        </w:rPr>
        <w:t xml:space="preserve">供应商应依照规定提交各类声明函、承诺函等，不要求提供原件备查或有关部门出具的相关证明文件，但成交供应商应做好提交声明函、承诺函等响应原件的核查准备，核查后发现虚假应标或违背承诺的，将上报政府采购监管部门，依照相关法律法规规定处理。</w:t>
      </w:r>
      <w:r>
        <w:rPr>
          <w:rFonts w:hint="eastAsia" w:ascii="宋体" w:hAnsi="宋体" w:eastAsia="宋体" w:cs="宋体"/>
          <w:b/>
          <w:color w:val="000000"/>
          <w:sz w:val="24"/>
        </w:rPr>
      </w:r>
      <w:r/>
    </w:p>
    <w:p>
      <w:pPr>
        <w:pStyle w:val="1026"/>
        <w:numPr>
          <w:ilvl w:val="0"/>
          <w:numId w:val="143"/>
        </w:numPr>
        <w:ind w:left="0" w:firstLine="482"/>
        <w:tabs>
          <w:tab w:val="left" w:pos="1204" w:leader="none"/>
        </w:tabs>
        <w:rPr>
          <w:rFonts w:hint="eastAsia" w:ascii="宋体" w:hAnsi="宋体" w:eastAsia="宋体" w:cs="宋体"/>
          <w:b/>
          <w:color w:val="000000"/>
          <w:sz w:val="24"/>
        </w:rPr>
      </w:pPr>
      <w:r>
        <w:rPr>
          <w:rFonts w:ascii="Times New Roman" w:hAnsi="Times New Roman" w:eastAsia="宋体" w:cs="Times New Roman"/>
          <w:b/>
          <w:color w:val="000000"/>
          <w:sz w:val="24"/>
        </w:rPr>
        <w:t xml:space="preserve">价格标部分（60分）</w:t>
      </w:r>
      <w:r>
        <w:rPr>
          <w:rFonts w:hint="eastAsia" w:ascii="宋体" w:hAnsi="宋体" w:eastAsia="宋体" w:cs="宋体"/>
          <w:b/>
          <w:color w:val="000000"/>
          <w:sz w:val="24"/>
        </w:rPr>
      </w:r>
      <w:r/>
    </w:p>
    <w:tbl>
      <w:tblPr>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pStyle w:val="1005"/>
              <w:jc w:val="center"/>
              <w:keepLines w:val="0"/>
              <w:keepNext w:val="0"/>
              <w:pageBreakBefore w:val="0"/>
              <w:spacing w:line="460" w:lineRule="exact"/>
              <w:rPr>
                <w:rFonts w:hint="eastAsia" w:ascii="宋体" w:hAnsi="宋体" w:eastAsia="宋体" w:cs="宋体"/>
                <w:color w:val="000000"/>
                <w:sz w:val="24"/>
                <w:szCs w:val="24"/>
              </w:rPr>
              <w:framePr w:vAnchor="text" w:hAnchor="page" w:x="1280" w:y="250"/>
            </w:pPr>
            <w:r>
              <w:rPr>
                <w:rFonts w:hint="eastAsia" w:ascii="宋体" w:hAnsi="宋体" w:eastAsia="宋体" w:cs="宋体"/>
                <w:color w:val="000000"/>
                <w:sz w:val="24"/>
                <w:szCs w:val="24"/>
              </w:rPr>
              <w:t xml:space="preserve">评标内容</w:t>
            </w:r>
            <w:r>
              <w:rPr>
                <w:rFonts w:hint="eastAsia" w:ascii="宋体" w:hAnsi="宋体" w:eastAsia="宋体" w:cs="宋体"/>
                <w:color w:val="000000"/>
                <w:sz w:val="24"/>
                <w:szCs w:val="24"/>
              </w:rPr>
            </w:r>
            <w:r/>
          </w:p>
        </w:tc>
        <w:tc>
          <w:tcPr>
            <w:tcW w:w="690" w:type="dxa"/>
            <w:vAlign w:val="center"/>
            <w:textDirection w:val="lrTb"/>
            <w:noWrap w:val="false"/>
          </w:tcPr>
          <w:p>
            <w:pPr>
              <w:pStyle w:val="1005"/>
              <w:jc w:val="center"/>
              <w:keepLines w:val="0"/>
              <w:keepNext w:val="0"/>
              <w:pageBreakBefore w:val="0"/>
              <w:spacing w:line="460" w:lineRule="exact"/>
              <w:rPr>
                <w:rFonts w:hint="eastAsia" w:ascii="宋体" w:hAnsi="宋体" w:eastAsia="宋体" w:cs="宋体"/>
                <w:color w:val="000000"/>
                <w:sz w:val="24"/>
                <w:szCs w:val="24"/>
              </w:rPr>
              <w:framePr w:vAnchor="text" w:hAnchor="page" w:x="1280" w:y="250"/>
            </w:pPr>
            <w:r>
              <w:rPr>
                <w:rFonts w:hint="eastAsia" w:ascii="宋体" w:hAnsi="宋体" w:eastAsia="宋体" w:cs="宋体"/>
                <w:color w:val="000000"/>
                <w:sz w:val="24"/>
                <w:szCs w:val="24"/>
              </w:rPr>
              <w:t xml:space="preserve">分值</w:t>
            </w:r>
            <w:r>
              <w:rPr>
                <w:rFonts w:hint="eastAsia" w:ascii="宋体" w:hAnsi="宋体" w:eastAsia="宋体" w:cs="宋体"/>
                <w:color w:val="000000"/>
                <w:sz w:val="24"/>
                <w:szCs w:val="24"/>
              </w:rPr>
            </w:r>
            <w:r/>
          </w:p>
        </w:tc>
        <w:tc>
          <w:tcPr>
            <w:tcW w:w="7800" w:type="dxa"/>
            <w:vAlign w:val="center"/>
            <w:textDirection w:val="lrTb"/>
            <w:noWrap w:val="false"/>
          </w:tcPr>
          <w:p>
            <w:pPr>
              <w:pStyle w:val="1005"/>
              <w:jc w:val="center"/>
              <w:keepLines w:val="0"/>
              <w:keepNext w:val="0"/>
              <w:pageBreakBefore w:val="0"/>
              <w:spacing w:line="460" w:lineRule="exact"/>
              <w:rPr>
                <w:rFonts w:hint="eastAsia" w:ascii="宋体" w:hAnsi="宋体" w:eastAsia="宋体" w:cs="宋体"/>
                <w:color w:val="000000"/>
                <w:sz w:val="24"/>
                <w:szCs w:val="24"/>
              </w:rPr>
              <w:framePr w:vAnchor="text" w:hAnchor="page" w:x="1280" w:y="250"/>
            </w:pPr>
            <w:r>
              <w:rPr>
                <w:rFonts w:hint="eastAsia" w:ascii="宋体" w:hAnsi="宋体" w:eastAsia="宋体" w:cs="宋体"/>
                <w:color w:val="000000"/>
                <w:sz w:val="24"/>
                <w:szCs w:val="24"/>
              </w:rPr>
              <w:t xml:space="preserve">评分细则</w:t>
            </w:r>
            <w:r>
              <w:rPr>
                <w:rFonts w:hint="eastAsia" w:ascii="宋体" w:hAnsi="宋体" w:eastAsia="宋体" w:cs="宋体"/>
                <w:color w:val="000000"/>
                <w:sz w:val="24"/>
                <w:szCs w:val="24"/>
              </w:rPr>
            </w:r>
            <w:r/>
          </w:p>
        </w:tc>
      </w:tr>
      <w:tr>
        <w:trPr>
          <w:trHeight w:val="649"/>
        </w:trPr>
        <w:tc>
          <w:tcPr>
            <w:tcW w:w="1115" w:type="dxa"/>
            <w:vAlign w:val="center"/>
            <w:textDirection w:val="lrTb"/>
            <w:noWrap w:val="false"/>
          </w:tcPr>
          <w:p>
            <w:pPr>
              <w:pStyle w:val="1005"/>
              <w:keepLines w:val="0"/>
              <w:keepNext w:val="0"/>
              <w:pageBreakBefore w:val="0"/>
              <w:spacing w:line="460" w:lineRule="exact"/>
              <w:rPr>
                <w:rFonts w:hint="eastAsia" w:ascii="宋体" w:hAnsi="宋体" w:eastAsia="宋体" w:cs="宋体"/>
                <w:color w:val="000000"/>
                <w:sz w:val="24"/>
                <w:szCs w:val="24"/>
                <w:lang w:eastAsia="zh-CN"/>
              </w:rPr>
              <w:framePr w:vAnchor="text" w:hAnchor="page" w:x="1280" w:y="250"/>
            </w:pPr>
            <w:r>
              <w:rPr>
                <w:rFonts w:hint="eastAsia" w:ascii="宋体" w:hAnsi="宋体" w:eastAsia="宋体" w:cs="宋体"/>
                <w:color w:val="000000"/>
                <w:sz w:val="24"/>
                <w:szCs w:val="24"/>
                <w:lang w:eastAsia="zh-CN"/>
              </w:rPr>
              <w:t xml:space="preserve">价格</w:t>
            </w:r>
            <w:r>
              <w:rPr>
                <w:rFonts w:hint="eastAsia" w:ascii="宋体" w:hAnsi="宋体" w:eastAsia="宋体" w:cs="宋体"/>
                <w:color w:val="000000"/>
                <w:sz w:val="24"/>
                <w:szCs w:val="24"/>
              </w:rPr>
              <w:t xml:space="preserve">标得分</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r>
            <w:r/>
          </w:p>
        </w:tc>
        <w:tc>
          <w:tcPr>
            <w:tcW w:w="690" w:type="dxa"/>
            <w:vAlign w:val="center"/>
            <w:textDirection w:val="lrTb"/>
            <w:noWrap w:val="false"/>
          </w:tcPr>
          <w:p>
            <w:pPr>
              <w:pStyle w:val="1005"/>
              <w:jc w:val="center"/>
              <w:keepLines w:val="0"/>
              <w:keepNext w:val="0"/>
              <w:pageBreakBefore w:val="0"/>
              <w:spacing w:line="460" w:lineRule="exact"/>
              <w:rPr>
                <w:rFonts w:ascii="宋体" w:hAnsi="宋体" w:eastAsia="宋体" w:cs="宋体"/>
                <w:color w:val="000000"/>
                <w:sz w:val="24"/>
                <w:szCs w:val="24"/>
                <w:lang w:val="en-US" w:eastAsia="zh-CN"/>
              </w:rPr>
              <w:framePr w:vAnchor="text" w:hAnchor="page" w:x="1280" w:y="250"/>
            </w:pPr>
            <w:r>
              <w:rPr>
                <w:rFonts w:hint="eastAsia" w:ascii="宋体" w:hAnsi="宋体" w:eastAsia="宋体" w:cs="宋体"/>
                <w:color w:val="000000"/>
                <w:sz w:val="24"/>
                <w:szCs w:val="24"/>
                <w:lang w:val="en-US" w:eastAsia="zh-CN"/>
              </w:rPr>
              <w:t xml:space="preserve">60</w:t>
            </w:r>
            <w:r>
              <w:rPr>
                <w:rFonts w:ascii="宋体" w:hAnsi="宋体" w:eastAsia="宋体" w:cs="宋体"/>
                <w:color w:val="000000"/>
                <w:sz w:val="24"/>
                <w:szCs w:val="24"/>
                <w:lang w:val="en-US" w:eastAsia="zh-CN"/>
              </w:rPr>
            </w:r>
            <w:r/>
          </w:p>
        </w:tc>
        <w:tc>
          <w:tcPr>
            <w:tcW w:w="7800" w:type="dxa"/>
            <w:vAlign w:val="center"/>
            <w:textDirection w:val="lrTb"/>
            <w:noWrap w:val="false"/>
          </w:tcPr>
          <w:p>
            <w:pPr>
              <w:pStyle w:val="1005"/>
              <w:keepLines w:val="0"/>
              <w:keepNext w:val="0"/>
              <w:pageBreakBefore w:val="0"/>
              <w:spacing w:line="460" w:lineRule="exact"/>
              <w:rPr>
                <w:rFonts w:hint="eastAsia" w:ascii="宋体" w:hAnsi="宋体" w:eastAsia="宋体" w:cs="宋体"/>
                <w:color w:val="000000"/>
                <w:sz w:val="24"/>
                <w:szCs w:val="24"/>
              </w:rPr>
              <w:framePr w:vAnchor="text" w:hAnchor="page" w:x="1280" w:y="250"/>
            </w:pPr>
            <w:r>
              <w:rPr>
                <w:rFonts w:hint="eastAsia" w:ascii="宋体" w:hAnsi="宋体" w:eastAsia="宋体" w:cs="宋体"/>
                <w:color w:val="000000"/>
                <w:sz w:val="24"/>
                <w:szCs w:val="24"/>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color w:val="000000"/>
                <w:sz w:val="24"/>
                <w:szCs w:val="24"/>
              </w:rPr>
            </w:r>
            <w:r/>
          </w:p>
          <w:p>
            <w:pPr>
              <w:pStyle w:val="1005"/>
              <w:keepLines w:val="0"/>
              <w:keepNext w:val="0"/>
              <w:pageBreakBefore w:val="0"/>
              <w:spacing w:line="460" w:lineRule="exact"/>
              <w:rPr>
                <w:rFonts w:hint="eastAsia" w:ascii="宋体" w:hAnsi="宋体" w:eastAsia="宋体" w:cs="宋体"/>
                <w:color w:val="000000"/>
                <w:sz w:val="24"/>
                <w:szCs w:val="24"/>
              </w:rPr>
              <w:framePr w:vAnchor="text" w:hAnchor="page" w:x="1280" w:y="250"/>
            </w:pPr>
            <w:r>
              <w:rPr>
                <w:rFonts w:hint="eastAsia" w:ascii="宋体" w:hAnsi="宋体" w:eastAsia="宋体" w:cs="宋体"/>
                <w:color w:val="000000"/>
                <w:sz w:val="24"/>
                <w:szCs w:val="24"/>
              </w:rPr>
              <w:t xml:space="preserve">磋商报价得分=（磋商基准价/最后磋商报价）×</w:t>
            </w:r>
            <w:r>
              <w:rPr>
                <w:rFonts w:hint="eastAsia" w:ascii="宋体" w:hAnsi="宋体" w:eastAsia="宋体" w:cs="宋体"/>
                <w:color w:val="000000"/>
                <w:sz w:val="24"/>
                <w:szCs w:val="24"/>
                <w:lang w:val="en-US" w:eastAsia="zh-CN"/>
              </w:rPr>
              <w:t xml:space="preserve">价格权值</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100</w:t>
            </w:r>
            <w:r>
              <w:rPr>
                <w:rFonts w:hint="eastAsia" w:ascii="宋体" w:hAnsi="宋体" w:eastAsia="宋体" w:cs="宋体"/>
                <w:color w:val="000000"/>
                <w:sz w:val="24"/>
                <w:szCs w:val="24"/>
              </w:rPr>
              <w:t xml:space="preserve">（分值四舍五入，保留小数点后两位）</w:t>
            </w:r>
            <w:r>
              <w:rPr>
                <w:rFonts w:hint="eastAsia" w:ascii="宋体" w:hAnsi="宋体" w:eastAsia="宋体" w:cs="宋体"/>
                <w:color w:val="000000"/>
                <w:sz w:val="24"/>
                <w:szCs w:val="24"/>
              </w:rPr>
            </w:r>
            <w:r/>
          </w:p>
        </w:tc>
      </w:tr>
    </w:tbl>
    <w:p>
      <w:pPr>
        <w:pStyle w:val="1026"/>
        <w:ind w:left="0"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注：政府采购异常低价审查</w:t>
      </w:r>
      <w:r>
        <w:rPr>
          <w:rFonts w:ascii="Times New Roman" w:hAnsi="Times New Roman" w:eastAsia="宋体" w:cs="Times New Roman"/>
          <w:color w:val="000000"/>
          <w:sz w:val="24"/>
          <w:highlight w:val="none"/>
        </w:rPr>
      </w:r>
      <w:r/>
    </w:p>
    <w:p>
      <w:pPr>
        <w:pStyle w:val="1026"/>
        <w:numPr>
          <w:ilvl w:val="0"/>
          <w:numId w:val="146"/>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评审中出现下列情形之一的，评审委员会应当启动异常低价投标（响应）审查程序： </w:t>
      </w:r>
      <w:r>
        <w:rPr>
          <w:rFonts w:hint="eastAsia" w:ascii="宋体" w:hAnsi="宋体" w:eastAsia="宋体" w:cs="宋体"/>
          <w:b w:val="0"/>
          <w:color w:val="000000"/>
          <w:sz w:val="24"/>
          <w:highlight w:val="none"/>
        </w:rPr>
      </w:r>
      <w:r/>
    </w:p>
    <w:p>
      <w:pPr>
        <w:pStyle w:val="1026"/>
        <w:numPr>
          <w:ilvl w:val="0"/>
          <w:numId w:val="147"/>
        </w:numPr>
        <w:ind w:left="0" w:firstLine="480"/>
        <w:tabs>
          <w:tab w:val="left" w:pos="7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投标（响应）报价低于全部通过符合性审查供应商投标（响应）报价平均值50%的，即投标（响应）报价&lt;全部通过符合性审查供应商投标（响应）报价平均值×50%； </w:t>
      </w:r>
      <w:r>
        <w:rPr>
          <w:rFonts w:ascii="Times New Roman" w:hAnsi="Times New Roman" w:eastAsia="宋体" w:cs="Times New Roman"/>
          <w:b w:val="0"/>
          <w:color w:val="000000"/>
          <w:sz w:val="24"/>
          <w:highlight w:val="none"/>
        </w:rPr>
      </w:r>
      <w:r/>
    </w:p>
    <w:p>
      <w:pPr>
        <w:pStyle w:val="1026"/>
        <w:numPr>
          <w:ilvl w:val="0"/>
          <w:numId w:val="147"/>
        </w:numPr>
        <w:ind w:left="0" w:firstLine="480"/>
        <w:tabs>
          <w:tab w:val="left" w:pos="7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投标（响应）报价低于通过符合性审查的次低报价供应商投标（响应）报价50%的，即投标（响应）报价&lt;通过符合性审查的次低报价供应商投标（响应）报价×50%； </w:t>
      </w:r>
      <w:r>
        <w:rPr>
          <w:rFonts w:ascii="Times New Roman" w:hAnsi="Times New Roman" w:eastAsia="宋体" w:cs="Times New Roman"/>
          <w:b w:val="0"/>
          <w:color w:val="000000"/>
          <w:sz w:val="24"/>
          <w:highlight w:val="none"/>
        </w:rPr>
      </w:r>
      <w:r/>
    </w:p>
    <w:p>
      <w:pPr>
        <w:pStyle w:val="1026"/>
        <w:numPr>
          <w:ilvl w:val="0"/>
          <w:numId w:val="147"/>
        </w:numPr>
        <w:ind w:left="0" w:firstLine="480"/>
        <w:tabs>
          <w:tab w:val="left" w:pos="7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投标（响应）报价低于采购项目最高限价45%的，即投标（响应）报价&lt;采购项目最高限价×45%； </w:t>
      </w:r>
      <w:r>
        <w:rPr>
          <w:rFonts w:ascii="Times New Roman" w:hAnsi="Times New Roman" w:eastAsia="宋体" w:cs="Times New Roman"/>
          <w:b w:val="0"/>
          <w:color w:val="000000"/>
          <w:sz w:val="24"/>
          <w:highlight w:val="none"/>
        </w:rPr>
      </w:r>
      <w:r/>
    </w:p>
    <w:p>
      <w:pPr>
        <w:pStyle w:val="1026"/>
        <w:numPr>
          <w:ilvl w:val="0"/>
          <w:numId w:val="147"/>
        </w:numPr>
        <w:ind w:left="0" w:firstLine="480"/>
        <w:tabs>
          <w:tab w:val="left" w:pos="7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评审委员会基于专业判断，认为供应商报价过低，有可能影响产品质量或者不能诚信履约的其他情形。 </w:t>
      </w:r>
      <w:r>
        <w:rPr>
          <w:rFonts w:ascii="Times New Roman" w:hAnsi="Times New Roman" w:eastAsia="宋体" w:cs="Times New Roman"/>
          <w:b w:val="0"/>
          <w:color w:val="000000"/>
          <w:sz w:val="24"/>
          <w:highlight w:val="none"/>
        </w:rPr>
      </w:r>
      <w:r/>
    </w:p>
    <w:p>
      <w:pPr>
        <w:pStyle w:val="1026"/>
        <w:numPr>
          <w:ilvl w:val="0"/>
          <w:numId w:val="146"/>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b w:val="0"/>
          <w:color w:val="000000"/>
          <w:sz w:val="24"/>
          <w:highlight w:val="none"/>
        </w:rPr>
      </w:r>
      <w:r/>
    </w:p>
    <w:p>
      <w:pPr>
        <w:pStyle w:val="1026"/>
        <w:ind w:left="0"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Times New Roman" w:hAnsi="Times New Roman" w:eastAsia="宋体" w:cs="Times New Roman"/>
          <w:color w:val="000000"/>
          <w:sz w:val="24"/>
          <w:highlight w:val="none"/>
        </w:rPr>
      </w:r>
      <w:r/>
    </w:p>
    <w:p>
      <w:pPr>
        <w:pStyle w:val="1026"/>
        <w:ind w:left="0" w:firstLine="482"/>
        <w:widowControl/>
        <w:tabs>
          <w:tab w:val="left" w:pos="482" w:leader="none"/>
        </w:tabs>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二、政府采购政策功能落实</w:t>
      </w:r>
      <w:r>
        <w:rPr>
          <w:rFonts w:ascii="Times New Roman" w:hAnsi="Times New Roman" w:eastAsia="宋体" w:cs="Times New Roman"/>
          <w:b/>
          <w:color w:val="000000"/>
          <w:sz w:val="24"/>
        </w:rPr>
      </w:r>
      <w:r/>
    </w:p>
    <w:p>
      <w:pPr>
        <w:pStyle w:val="1026"/>
        <w:ind w:left="0" w:firstLine="482"/>
        <w:rPr>
          <w:rFonts w:ascii="Times New Roman" w:hAnsi="Times New Roman" w:eastAsia="宋体" w:cs="Times New Roman"/>
          <w:color w:val="000000"/>
          <w:sz w:val="24"/>
          <w:highlight w:val="none"/>
        </w:rPr>
      </w:pPr>
      <w:r>
        <w:rPr>
          <w:rFonts w:ascii="Times New Roman" w:hAnsi="Times New Roman" w:eastAsia="宋体" w:cs="Times New Roman"/>
          <w:b/>
          <w:color w:val="000000"/>
          <w:sz w:val="24"/>
          <w:highlight w:val="none"/>
        </w:rPr>
        <w:t xml:space="preserve">本项目专门面向中小企业采购，不再执行价格评审优惠的扶持政策。</w:t>
      </w:r>
      <w:r>
        <w:rPr>
          <w:rFonts w:ascii="Times New Roman" w:hAnsi="Times New Roman" w:eastAsia="宋体" w:cs="Times New Roman"/>
          <w:color w:val="000000"/>
          <w:sz w:val="24"/>
          <w:highlight w:val="none"/>
        </w:rPr>
      </w:r>
      <w:r/>
    </w:p>
    <w:p>
      <w:pPr>
        <w:pStyle w:val="1026"/>
        <w:ind w:left="0" w:firstLine="480"/>
        <w:rPr>
          <w:rFonts w:ascii="Times New Roman" w:hAnsi="Times New Roman" w:eastAsia="宋体" w:cs="Times New Roman"/>
          <w:b/>
          <w:color w:val="000000"/>
          <w:sz w:val="24"/>
          <w:highlight w:val="none"/>
        </w:rPr>
      </w:pPr>
      <w:r>
        <w:rPr>
          <w:rFonts w:ascii="Times New Roman" w:hAnsi="Times New Roman" w:eastAsia="宋体" w:cs="Times New Roman"/>
          <w:color w:val="000000"/>
          <w:sz w:val="24"/>
          <w:highlight w:val="none"/>
        </w:rPr>
        <w:t xml:space="preserve">本次采购标的对应的中小企业划分标准所属行业为：</w:t>
      </w:r>
      <w:r>
        <w:rPr>
          <w:rFonts w:ascii="Times New Roman" w:hAnsi="Times New Roman" w:eastAsia="宋体" w:cs="Times New Roman"/>
          <w:b/>
          <w:color w:val="000000"/>
          <w:sz w:val="24"/>
          <w:highlight w:val="none"/>
        </w:rPr>
        <w:t xml:space="preserve">建筑业。</w:t>
      </w:r>
      <w:r>
        <w:rPr>
          <w:rFonts w:ascii="Times New Roman" w:hAnsi="Times New Roman" w:eastAsia="宋体" w:cs="Times New Roman"/>
          <w:b/>
          <w:color w:val="000000"/>
          <w:sz w:val="24"/>
          <w:highlight w:val="none"/>
        </w:rPr>
      </w:r>
      <w:r/>
    </w:p>
    <w:p>
      <w:pPr>
        <w:pStyle w:val="1026"/>
        <w:ind w:left="0" w:firstLine="480"/>
        <w:rPr>
          <w:rFonts w:ascii="Times New Roman" w:hAnsi="Times New Roman" w:eastAsia="宋体" w:cs="Times New Roman"/>
          <w:sz w:val="24"/>
          <w:u w:val="none"/>
        </w:rPr>
      </w:pPr>
      <w:r>
        <w:rPr>
          <w:rFonts w:ascii="Times New Roman" w:hAnsi="Times New Roman" w:eastAsia="宋体" w:cs="Times New Roman"/>
          <w:sz w:val="24"/>
          <w:u w:val="none"/>
        </w:rPr>
        <w:t xml:space="preserve">供应商应为中小微企业、监狱企业或残疾人福利性单位，并按照采购文件要求提供《中小企业声明函》、《残疾人福利性单位声明函》或监狱和戒毒企业证明材料。 </w:t>
      </w:r>
      <w:r>
        <w:rPr>
          <w:rFonts w:ascii="Times New Roman" w:hAnsi="Times New Roman" w:eastAsia="宋体" w:cs="Times New Roman"/>
          <w:sz w:val="24"/>
          <w:u w:val="none"/>
        </w:rPr>
      </w:r>
      <w:r/>
    </w:p>
    <w:p>
      <w:pPr>
        <w:pStyle w:val="1026"/>
        <w:ind w:left="0"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以联合体形式参加政府采购活动，联合体各方均为中小企业的，联合体视同中小企业。其中，联合体各方均为小微企业的，联合体视同小微企业。</w:t>
      </w:r>
      <w:r>
        <w:rPr>
          <w:rFonts w:ascii="Times New Roman" w:hAnsi="Times New Roman" w:eastAsia="宋体" w:cs="Times New Roman"/>
          <w:color w:val="000000"/>
          <w:sz w:val="24"/>
          <w:highlight w:val="none"/>
        </w:rPr>
      </w:r>
      <w:r/>
    </w:p>
    <w:p>
      <w:pPr>
        <w:pStyle w:val="1026"/>
        <w:ind w:left="0" w:firstLine="482"/>
        <w:tabs>
          <w:tab w:val="left" w:pos="482" w:leader="none"/>
        </w:tabs>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三、成交供应商的确定</w:t>
      </w:r>
      <w:r>
        <w:rPr>
          <w:rFonts w:ascii="Times New Roman" w:hAnsi="Times New Roman" w:eastAsia="宋体" w:cs="Times New Roman"/>
          <w:b/>
          <w:color w:val="000000"/>
          <w:sz w:val="24"/>
          <w:highlight w:val="none"/>
        </w:rPr>
      </w:r>
      <w:r/>
    </w:p>
    <w:p>
      <w:pPr>
        <w:pStyle w:val="1026"/>
        <w:ind w:left="0" w:firstLine="480"/>
        <w:rPr>
          <w:rFonts w:ascii="Times New Roman" w:hAnsi="Times New Roman" w:eastAsia="宋体" w:cs="Times New Roman"/>
          <w:b w:val="0"/>
          <w:color w:val="000000"/>
          <w:sz w:val="24"/>
          <w:highlight w:val="none"/>
          <w:u w:val="none"/>
        </w:rPr>
      </w:pPr>
      <w:r>
        <w:rPr>
          <w:rFonts w:ascii="Times New Roman" w:hAnsi="Times New Roman" w:eastAsia="宋体" w:cs="Times New Roman"/>
          <w:color w:val="000000"/>
          <w:sz w:val="24"/>
          <w:highlight w:val="none"/>
        </w:rPr>
        <w:t xml:space="preserve">磋商小组根据综合评分</w:t>
      </w:r>
      <w:r>
        <w:rPr>
          <w:rFonts w:ascii="Times New Roman" w:hAnsi="Times New Roman" w:eastAsia="宋体" w:cs="Times New Roman"/>
          <w:b w:val="0"/>
          <w:color w:val="000000"/>
          <w:sz w:val="24"/>
          <w:highlight w:val="none"/>
          <w:u w:val="none"/>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ascii="Times New Roman" w:hAnsi="Times New Roman" w:eastAsia="宋体" w:cs="Times New Roman"/>
          <w:b w:val="0"/>
          <w:color w:val="000000"/>
          <w:sz w:val="24"/>
          <w:highlight w:val="none"/>
          <w:u w:val="none"/>
        </w:rPr>
      </w:r>
      <w:r/>
    </w:p>
    <w:p>
      <w:pPr>
        <w:pStyle w:val="1026"/>
        <w:ind w:left="0" w:firstLine="480"/>
        <w:rPr>
          <w:rFonts w:ascii="Times New Roman" w:hAnsi="Times New Roman" w:eastAsia="宋体" w:cs="Times New Roman"/>
          <w:b w:val="0"/>
          <w:color w:val="000000"/>
          <w:sz w:val="24"/>
          <w:highlight w:val="none"/>
          <w:u w:val="none"/>
        </w:rPr>
      </w:pPr>
      <w:r>
        <w:rPr>
          <w:rFonts w:ascii="Times New Roman" w:hAnsi="Times New Roman" w:eastAsia="宋体" w:cs="Times New Roman"/>
          <w:b w:val="0"/>
          <w:color w:val="000000"/>
          <w:sz w:val="24"/>
          <w:highlight w:val="none"/>
          <w:u w:val="none"/>
        </w:rPr>
        <w:t xml:space="preserve">采购人委托磋商小组直接确定排名第一的成交候选人为成交供应商。</w:t>
      </w:r>
      <w:r>
        <w:rPr>
          <w:rFonts w:ascii="Times New Roman" w:hAnsi="Times New Roman" w:eastAsia="宋体" w:cs="Times New Roman"/>
          <w:b w:val="0"/>
          <w:color w:val="000000"/>
          <w:sz w:val="24"/>
          <w:highlight w:val="none"/>
          <w:u w:val="none"/>
        </w:rPr>
      </w:r>
      <w:r/>
    </w:p>
    <w:p>
      <w:pPr>
        <w:pStyle w:val="1026"/>
        <w:ind w:left="0" w:firstLine="482"/>
        <w:tabs>
          <w:tab w:val="left" w:pos="482" w:leader="none"/>
        </w:tabs>
        <w:rPr>
          <w:rFonts w:ascii="Times New Roman" w:hAnsi="Times New Roman" w:eastAsia="宋体" w:cs="Times New Roman"/>
          <w:b/>
          <w:color w:val="000000"/>
          <w:sz w:val="24"/>
          <w:highlight w:val="none"/>
          <w:u w:val="none"/>
        </w:rPr>
      </w:pPr>
      <w:r>
        <w:rPr>
          <w:rFonts w:ascii="Times New Roman" w:hAnsi="Times New Roman" w:eastAsia="宋体" w:cs="Times New Roman"/>
          <w:b/>
          <w:color w:val="000000"/>
          <w:sz w:val="24"/>
          <w:highlight w:val="none"/>
          <w:u w:val="none"/>
        </w:rPr>
        <w:t xml:space="preserve">四、公告成交结果</w:t>
      </w:r>
      <w:r>
        <w:rPr>
          <w:rFonts w:ascii="Times New Roman" w:hAnsi="Times New Roman" w:eastAsia="宋体" w:cs="Times New Roman"/>
          <w:b/>
          <w:color w:val="000000"/>
          <w:sz w:val="24"/>
          <w:highlight w:val="none"/>
          <w:u w:val="none"/>
        </w:rPr>
      </w:r>
      <w:r/>
    </w:p>
    <w:p>
      <w:pPr>
        <w:pStyle w:val="1026"/>
        <w:ind w:left="0" w:firstLine="480"/>
        <w:rPr>
          <w:rFonts w:ascii="Times New Roman" w:hAnsi="Times New Roman" w:eastAsia="宋体" w:cs="Times New Roman"/>
          <w:b w:val="0"/>
          <w:color w:val="000000"/>
          <w:sz w:val="24"/>
          <w:highlight w:val="none"/>
          <w:u w:val="none"/>
        </w:rPr>
      </w:pPr>
      <w:r>
        <w:rPr>
          <w:rFonts w:ascii="Times New Roman" w:hAnsi="Times New Roman" w:eastAsia="宋体" w:cs="Times New Roman"/>
          <w:b w:val="0"/>
          <w:color w:val="000000"/>
          <w:sz w:val="24"/>
          <w:highlight w:val="none"/>
          <w:u w:val="none"/>
        </w:rPr>
        <w:t xml:space="preserve">自确定成交供应商之日起2个工作日内，在江苏政府采购网公告成交结果，公告期限为1个工作日。</w:t>
      </w:r>
      <w:r>
        <w:rPr>
          <w:rFonts w:ascii="Times New Roman" w:hAnsi="Times New Roman" w:eastAsia="宋体" w:cs="Times New Roman"/>
          <w:b w:val="0"/>
          <w:color w:val="000000"/>
          <w:sz w:val="24"/>
          <w:highlight w:val="none"/>
          <w:u w:val="none"/>
        </w:rPr>
      </w:r>
      <w:r/>
    </w:p>
    <w:p>
      <w:pPr>
        <w:pStyle w:val="1026"/>
        <w:ind w:left="0" w:firstLine="482"/>
        <w:tabs>
          <w:tab w:val="left" w:pos="482" w:leader="none"/>
        </w:tabs>
        <w:rPr>
          <w:rFonts w:ascii="Times New Roman" w:hAnsi="Times New Roman" w:eastAsia="宋体" w:cs="Times New Roman"/>
          <w:b/>
          <w:color w:val="000000"/>
          <w:sz w:val="24"/>
          <w:highlight w:val="none"/>
          <w:u w:val="none"/>
        </w:rPr>
      </w:pPr>
      <w:r>
        <w:rPr>
          <w:rFonts w:ascii="Times New Roman" w:hAnsi="Times New Roman" w:eastAsia="宋体" w:cs="Times New Roman"/>
          <w:b/>
          <w:color w:val="000000"/>
          <w:sz w:val="24"/>
          <w:highlight w:val="none"/>
          <w:u w:val="none"/>
        </w:rPr>
        <w:t xml:space="preserve">五、发放成交通知书</w:t>
      </w:r>
      <w:r>
        <w:rPr>
          <w:rFonts w:ascii="Times New Roman" w:hAnsi="Times New Roman" w:eastAsia="宋体" w:cs="Times New Roman"/>
          <w:b/>
          <w:color w:val="000000"/>
          <w:sz w:val="24"/>
          <w:highlight w:val="none"/>
          <w:u w:val="none"/>
        </w:rPr>
      </w:r>
      <w:r/>
    </w:p>
    <w:p>
      <w:pPr>
        <w:pStyle w:val="1026"/>
        <w:ind w:left="0" w:firstLine="480"/>
        <w:rPr>
          <w:rFonts w:ascii="Times New Roman" w:hAnsi="Times New Roman" w:eastAsia="宋体" w:cs="Times New Roman"/>
          <w:b w:val="0"/>
          <w:color w:val="000000"/>
          <w:sz w:val="24"/>
          <w:highlight w:val="none"/>
          <w:u w:val="none"/>
        </w:rPr>
      </w:pPr>
      <w:r>
        <w:rPr>
          <w:rFonts w:ascii="Times New Roman" w:hAnsi="Times New Roman" w:eastAsia="宋体" w:cs="Times New Roman"/>
          <w:b w:val="0"/>
          <w:color w:val="000000"/>
          <w:sz w:val="24"/>
          <w:highlight w:val="none"/>
          <w:u w:val="none"/>
        </w:rPr>
        <w:t xml:space="preserve">公告成交结果的同时，采购人向成交供应商发放成交通知书。</w:t>
      </w:r>
      <w:r>
        <w:rPr>
          <w:rFonts w:ascii="Times New Roman" w:hAnsi="Times New Roman" w:eastAsia="宋体" w:cs="Times New Roman"/>
          <w:b w:val="0"/>
          <w:color w:val="000000"/>
          <w:sz w:val="24"/>
          <w:highlight w:val="none"/>
          <w:u w:val="none"/>
        </w:rPr>
      </w:r>
      <w:r/>
    </w:p>
    <w:p>
      <w:pPr>
        <w:pStyle w:val="1026"/>
        <w:ind w:left="0" w:firstLine="480"/>
        <w:rPr>
          <w:rFonts w:ascii="Times New Roman" w:hAnsi="Times New Roman" w:eastAsia="宋体" w:cs="Times New Roman"/>
          <w:b/>
          <w:color w:val="000000"/>
          <w:sz w:val="24"/>
          <w:highlight w:val="none"/>
          <w:u w:val="none"/>
        </w:rPr>
      </w:pPr>
      <w:r>
        <w:rPr>
          <w:rFonts w:ascii="Times New Roman" w:hAnsi="Times New Roman" w:eastAsia="宋体" w:cs="Times New Roman"/>
          <w:b w:val="0"/>
          <w:color w:val="000000"/>
          <w:sz w:val="24"/>
          <w:highlight w:val="none"/>
          <w:u w:val="none"/>
        </w:rPr>
        <w:t xml:space="preserve">成交通知书发出后，采购人不得违法改变成交结果，成交供应商无正当理由不得放弃成交。</w:t>
      </w:r>
      <w:r>
        <w:rPr>
          <w:rFonts w:ascii="Times New Roman" w:hAnsi="Times New Roman" w:eastAsia="宋体" w:cs="Times New Roman"/>
          <w:b/>
          <w:color w:val="000000"/>
          <w:sz w:val="24"/>
          <w:highlight w:val="none"/>
          <w:u w:val="none"/>
        </w:rPr>
      </w:r>
      <w:r/>
    </w:p>
    <w:p>
      <w:pPr>
        <w:pStyle w:val="1093"/>
        <w:numPr>
          <w:ilvl w:val="0"/>
          <w:numId w:val="51"/>
        </w:numPr>
        <w:ind w:left="0" w:firstLine="640"/>
        <w:tabs>
          <w:tab w:val="left" w:pos="640" w:leader="none"/>
        </w:tabs>
        <w:rPr>
          <w:b w:val="0"/>
          <w:highlight w:val="none"/>
        </w:rPr>
        <w:outlineLvl w:val="0"/>
      </w:pPr>
      <w:r>
        <w:br w:type="page" w:clear="all"/>
      </w:r>
      <w:r>
        <w:rPr>
          <w:highlight w:val="none"/>
        </w:rPr>
        <w:t xml:space="preserve">响应文件格式 </w:t>
      </w:r>
      <w:r>
        <w:rPr>
          <w:b w:val="0"/>
          <w:highlight w:val="none"/>
        </w:rPr>
      </w:r>
      <w:r/>
    </w:p>
    <w:p>
      <w:pPr>
        <w:pStyle w:val="1005"/>
        <w:jc w:val="center"/>
        <w:widowControl w:val="off"/>
        <w:rPr>
          <w:rFonts w:hint="eastAsia" w:ascii="宋体" w:hAnsi="宋体"/>
          <w:b/>
          <w:color w:val="000000"/>
          <w:sz w:val="72"/>
          <w:szCs w:val="21"/>
          <w:highlight w:val="none"/>
          <w:lang w:val="en-US" w:eastAsia="zh-CN" w:bidi="ar-SA"/>
        </w:rPr>
        <w:outlineLvl w:val="9"/>
      </w:pPr>
      <w:r/>
      <w:bookmarkStart w:id="719" w:name="_Hlt26671244"/>
      <w:r/>
      <w:bookmarkEnd w:id="719"/>
      <w:r/>
      <w:bookmarkStart w:id="720" w:name="_Hlt26955039"/>
      <w:r/>
      <w:bookmarkEnd w:id="720"/>
      <w:r/>
      <w:bookmarkStart w:id="721" w:name="_Toc120614282"/>
      <w:r/>
      <w:bookmarkStart w:id="722" w:name="_Toc26554094"/>
      <w:r/>
      <w:bookmarkStart w:id="723" w:name="_Toc49090576"/>
      <w:r>
        <w:rPr>
          <w:rFonts w:hint="eastAsia" w:ascii="宋体" w:hAnsi="宋体"/>
          <w:b/>
          <w:color w:val="000000"/>
          <w:sz w:val="72"/>
          <w:szCs w:val="21"/>
          <w:highlight w:val="none"/>
          <w:lang w:val="en-US" w:eastAsia="zh-CN" w:bidi="ar-SA"/>
        </w:rPr>
      </w:r>
      <w:r/>
    </w:p>
    <w:p>
      <w:pPr>
        <w:pStyle w:val="1005"/>
        <w:jc w:val="center"/>
        <w:widowControl w:val="off"/>
        <w:rPr>
          <w:rFonts w:hint="eastAsia" w:ascii="宋体" w:hAnsi="宋体"/>
          <w:b/>
          <w:color w:val="000000"/>
          <w:sz w:val="72"/>
          <w:szCs w:val="21"/>
          <w:highlight w:val="none"/>
          <w:lang w:val="en-US" w:eastAsia="zh-CN" w:bidi="ar-SA"/>
        </w:rPr>
        <w:outlineLvl w:val="0"/>
      </w:pPr>
      <w:r>
        <w:rPr>
          <w:rFonts w:hint="eastAsia" w:ascii="宋体" w:hAnsi="宋体"/>
          <w:b/>
          <w:color w:val="000000"/>
          <w:sz w:val="72"/>
          <w:szCs w:val="21"/>
          <w:highlight w:val="none"/>
          <w:lang w:val="en-US" w:eastAsia="zh-CN" w:bidi="ar-SA"/>
        </w:rPr>
        <w:t xml:space="preserve">响  应  文  件</w:t>
      </w:r>
      <w:r>
        <w:rPr>
          <w:rFonts w:hint="eastAsia" w:ascii="宋体" w:hAnsi="宋体"/>
          <w:b/>
          <w:color w:val="000000"/>
          <w:sz w:val="72"/>
          <w:szCs w:val="21"/>
          <w:highlight w:val="none"/>
          <w:lang w:val="en-US" w:eastAsia="zh-CN" w:bidi="ar-SA"/>
        </w:rPr>
      </w:r>
      <w:r/>
    </w:p>
    <w:p>
      <w:pPr>
        <w:pStyle w:val="1005"/>
        <w:jc w:val="center"/>
        <w:widowControl w:val="off"/>
        <w:rPr>
          <w:rFonts w:hint="eastAsia" w:ascii="宋体" w:hAnsi="宋体"/>
          <w:b/>
          <w:color w:val="000000"/>
          <w:sz w:val="72"/>
          <w:szCs w:val="21"/>
          <w:highlight w:val="none"/>
          <w:lang w:val="en-US" w:eastAsia="zh-CN" w:bidi="ar-SA"/>
        </w:rPr>
        <w:outlineLvl w:val="9"/>
      </w:pPr>
      <w:r>
        <w:rPr>
          <w:rFonts w:hint="eastAsia" w:ascii="宋体" w:hAnsi="宋体"/>
          <w:b/>
          <w:color w:val="000000"/>
          <w:sz w:val="72"/>
          <w:szCs w:val="21"/>
          <w:highlight w:val="none"/>
          <w:lang w:val="en-US" w:eastAsia="zh-CN" w:bidi="ar-SA"/>
        </w:rPr>
      </w:r>
      <w:r/>
    </w:p>
    <w:p>
      <w:pPr>
        <w:pStyle w:val="1005"/>
        <w:jc w:val="center"/>
        <w:widowControl w:val="off"/>
        <w:rPr>
          <w:rFonts w:hint="eastAsia" w:ascii="宋体" w:hAnsi="宋体"/>
          <w:b/>
          <w:color w:val="000000"/>
          <w:sz w:val="36"/>
          <w:szCs w:val="21"/>
          <w:highlight w:val="none"/>
          <w:lang w:val="en-US" w:eastAsia="zh-CN" w:bidi="ar-SA"/>
        </w:rPr>
        <w:outlineLvl w:val="9"/>
      </w:pPr>
      <w:r>
        <w:rPr>
          <w:rFonts w:hint="eastAsia" w:ascii="宋体" w:hAnsi="宋体"/>
          <w:b/>
          <w:color w:val="000000"/>
          <w:sz w:val="36"/>
          <w:szCs w:val="21"/>
          <w:highlight w:val="none"/>
          <w:lang w:val="en-US" w:eastAsia="zh-CN" w:bidi="ar-SA"/>
        </w:rPr>
      </w:r>
      <w:r/>
    </w:p>
    <w:p>
      <w:pPr>
        <w:pStyle w:val="1005"/>
        <w:jc w:val="center"/>
        <w:widowControl w:val="off"/>
        <w:rPr>
          <w:rFonts w:hint="eastAsia" w:ascii="宋体" w:hAnsi="宋体"/>
          <w:b/>
          <w:color w:val="000000"/>
          <w:sz w:val="36"/>
          <w:szCs w:val="21"/>
          <w:highlight w:val="none"/>
          <w:lang w:val="en-US" w:eastAsia="zh-CN" w:bidi="ar-SA"/>
        </w:rPr>
        <w:outlineLvl w:val="9"/>
      </w:pPr>
      <w:r>
        <w:rPr>
          <w:rFonts w:hint="eastAsia" w:ascii="宋体" w:hAnsi="宋体"/>
          <w:b/>
          <w:color w:val="000000"/>
          <w:sz w:val="36"/>
          <w:szCs w:val="21"/>
          <w:highlight w:val="none"/>
          <w:lang w:val="en-US" w:eastAsia="zh-CN" w:bidi="ar-SA"/>
        </w:rPr>
      </w:r>
      <w:r/>
    </w:p>
    <w:p>
      <w:pPr>
        <w:pStyle w:val="1005"/>
        <w:jc w:val="center"/>
        <w:widowControl w:val="off"/>
        <w:rPr>
          <w:rFonts w:hint="eastAsia" w:ascii="宋体" w:hAnsi="宋体"/>
          <w:b/>
          <w:color w:val="000000"/>
          <w:sz w:val="36"/>
          <w:szCs w:val="21"/>
          <w:highlight w:val="none"/>
          <w:lang w:val="en-US" w:eastAsia="zh-CN" w:bidi="ar-SA"/>
        </w:rPr>
        <w:outlineLvl w:val="9"/>
      </w:pPr>
      <w:r>
        <w:rPr>
          <w:rFonts w:hint="eastAsia" w:ascii="宋体" w:hAnsi="宋体"/>
          <w:b/>
          <w:color w:val="000000"/>
          <w:sz w:val="36"/>
          <w:szCs w:val="21"/>
          <w:highlight w:val="none"/>
          <w:lang w:val="en-US" w:eastAsia="zh-CN" w:bidi="ar-SA"/>
        </w:rPr>
      </w:r>
      <w:r/>
    </w:p>
    <w:p>
      <w:pPr>
        <w:pStyle w:val="1005"/>
        <w:ind w:firstLine="1084"/>
        <w:jc w:val="both"/>
        <w:widowControl w:val="off"/>
        <w:rPr>
          <w:rFonts w:hint="eastAsia" w:ascii="宋体" w:hAnsi="宋体"/>
          <w:b/>
          <w:color w:val="000000"/>
          <w:sz w:val="36"/>
          <w:szCs w:val="21"/>
          <w:highlight w:val="none"/>
          <w:lang w:val="en-US" w:eastAsia="zh-CN" w:bidi="ar-SA"/>
        </w:rPr>
        <w:outlineLvl w:val="9"/>
      </w:pPr>
      <w:r>
        <w:rPr>
          <w:rFonts w:hint="eastAsia" w:ascii="宋体" w:hAnsi="宋体"/>
          <w:b/>
          <w:color w:val="000000"/>
          <w:sz w:val="36"/>
          <w:szCs w:val="21"/>
          <w:highlight w:val="none"/>
          <w:lang w:val="en-US" w:eastAsia="zh-CN" w:bidi="ar-SA"/>
        </w:rPr>
        <w:t xml:space="preserve">项 目 名 称：</w:t>
      </w:r>
      <w:r>
        <w:rPr>
          <w:rFonts w:hint="eastAsia" w:ascii="宋体" w:hAnsi="宋体"/>
          <w:b/>
          <w:color w:val="000000"/>
          <w:sz w:val="36"/>
          <w:szCs w:val="21"/>
          <w:highlight w:val="none"/>
          <w:u w:val="single"/>
          <w:lang w:val="en-US" w:eastAsia="zh-CN" w:bidi="ar-SA"/>
        </w:rPr>
        <w:t xml:space="preserve">               </w:t>
      </w:r>
      <w:r>
        <w:rPr>
          <w:rFonts w:hint="eastAsia" w:ascii="宋体" w:hAnsi="宋体"/>
          <w:b/>
          <w:color w:val="000000"/>
          <w:sz w:val="36"/>
          <w:szCs w:val="21"/>
          <w:highlight w:val="none"/>
          <w:lang w:val="en-US" w:eastAsia="zh-CN" w:bidi="ar-SA"/>
        </w:rPr>
      </w:r>
      <w:r/>
    </w:p>
    <w:p>
      <w:pPr>
        <w:pStyle w:val="1005"/>
        <w:ind w:firstLine="1084"/>
        <w:jc w:val="both"/>
        <w:widowControl w:val="off"/>
        <w:rPr>
          <w:rFonts w:hint="eastAsia" w:ascii="宋体" w:hAnsi="宋体"/>
          <w:b/>
          <w:color w:val="000000"/>
          <w:sz w:val="36"/>
          <w:szCs w:val="21"/>
          <w:highlight w:val="none"/>
          <w:u w:val="single"/>
          <w:lang w:val="en-US" w:eastAsia="zh-CN" w:bidi="ar-SA"/>
        </w:rPr>
        <w:outlineLvl w:val="9"/>
      </w:pPr>
      <w:r>
        <w:rPr>
          <w:rFonts w:hint="eastAsia" w:ascii="宋体" w:hAnsi="宋体"/>
          <w:b/>
          <w:color w:val="000000"/>
          <w:sz w:val="36"/>
          <w:szCs w:val="21"/>
          <w:highlight w:val="none"/>
          <w:lang w:val="en-US" w:eastAsia="zh-CN" w:bidi="ar-SA"/>
        </w:rPr>
        <w:t xml:space="preserve">项 目 编 号：</w:t>
      </w:r>
      <w:r>
        <w:rPr>
          <w:rFonts w:hint="eastAsia" w:ascii="宋体" w:hAnsi="宋体"/>
          <w:b/>
          <w:color w:val="000000"/>
          <w:sz w:val="36"/>
          <w:szCs w:val="21"/>
          <w:highlight w:val="none"/>
          <w:u w:val="single"/>
          <w:lang w:val="en-US" w:eastAsia="zh-CN" w:bidi="ar-SA"/>
        </w:rPr>
        <w:t xml:space="preserve">               </w:t>
      </w:r>
      <w:r>
        <w:rPr>
          <w:rFonts w:hint="eastAsia" w:ascii="宋体" w:hAnsi="宋体"/>
          <w:b/>
          <w:color w:val="000000"/>
          <w:sz w:val="36"/>
          <w:szCs w:val="21"/>
          <w:highlight w:val="none"/>
          <w:u w:val="single"/>
          <w:lang w:val="en-US" w:eastAsia="zh-CN" w:bidi="ar-SA"/>
        </w:rPr>
      </w:r>
      <w:r/>
    </w:p>
    <w:p>
      <w:pPr>
        <w:pStyle w:val="1005"/>
        <w:jc w:val="both"/>
        <w:widowControl w:val="off"/>
        <w:rPr>
          <w:rFonts w:hint="eastAsia" w:ascii="宋体" w:hAnsi="宋体"/>
          <w:b/>
          <w:color w:val="000000"/>
          <w:sz w:val="36"/>
          <w:szCs w:val="21"/>
          <w:highlight w:val="none"/>
          <w:u w:val="single"/>
          <w:lang w:val="en-US" w:eastAsia="zh-CN" w:bidi="ar-SA"/>
        </w:rPr>
        <w:outlineLvl w:val="9"/>
      </w:pPr>
      <w:r>
        <w:rPr>
          <w:rFonts w:hint="eastAsia" w:ascii="宋体" w:hAnsi="宋体"/>
          <w:b/>
          <w:color w:val="000000"/>
          <w:sz w:val="36"/>
          <w:szCs w:val="21"/>
          <w:highlight w:val="none"/>
          <w:lang w:val="en-US" w:eastAsia="zh-CN" w:bidi="ar-SA"/>
        </w:rPr>
        <w:t xml:space="preserve">      供应商名称 ：</w:t>
      </w:r>
      <w:r>
        <w:rPr>
          <w:rFonts w:hint="eastAsia" w:ascii="宋体" w:hAnsi="宋体"/>
          <w:b/>
          <w:color w:val="000000"/>
          <w:sz w:val="36"/>
          <w:szCs w:val="21"/>
          <w:highlight w:val="none"/>
          <w:u w:val="single"/>
          <w:lang w:val="en-US" w:eastAsia="zh-CN" w:bidi="ar-SA"/>
        </w:rPr>
        <w:t xml:space="preserve">（加盖CA电子公章）</w:t>
      </w:r>
      <w:r>
        <w:rPr>
          <w:rFonts w:hint="eastAsia" w:ascii="宋体" w:hAnsi="宋体"/>
          <w:b/>
          <w:color w:val="000000"/>
          <w:sz w:val="36"/>
          <w:szCs w:val="21"/>
          <w:highlight w:val="none"/>
          <w:u w:val="single"/>
          <w:lang w:val="en-US" w:eastAsia="zh-CN" w:bidi="ar-SA"/>
        </w:rPr>
      </w:r>
      <w:r/>
    </w:p>
    <w:p>
      <w:pPr>
        <w:pStyle w:val="1005"/>
        <w:jc w:val="both"/>
        <w:widowControl w:val="off"/>
        <w:rPr>
          <w:rFonts w:hint="eastAsia" w:ascii="宋体" w:hAnsi="宋体"/>
          <w:b/>
          <w:color w:val="000000"/>
          <w:sz w:val="36"/>
          <w:szCs w:val="21"/>
          <w:highlight w:val="none"/>
          <w:u w:val="single"/>
          <w:lang w:val="en-US" w:eastAsia="zh-CN" w:bidi="ar-SA"/>
        </w:rPr>
        <w:outlineLvl w:val="9"/>
      </w:pPr>
      <w:r>
        <w:rPr>
          <w:rFonts w:hint="eastAsia" w:ascii="宋体" w:hAnsi="宋体"/>
          <w:b/>
          <w:color w:val="000000"/>
          <w:sz w:val="36"/>
          <w:szCs w:val="21"/>
          <w:highlight w:val="none"/>
          <w:lang w:val="en-US" w:eastAsia="zh-CN" w:bidi="ar-SA"/>
        </w:rPr>
        <w:t xml:space="preserve">      日      期 ：</w:t>
      </w:r>
      <w:r>
        <w:rPr>
          <w:rFonts w:hint="eastAsia" w:ascii="宋体" w:hAnsi="宋体"/>
          <w:b/>
          <w:color w:val="000000"/>
          <w:sz w:val="36"/>
          <w:szCs w:val="21"/>
          <w:highlight w:val="none"/>
          <w:u w:val="single"/>
          <w:lang w:val="en-US" w:eastAsia="zh-CN" w:bidi="ar-SA"/>
        </w:rPr>
        <w:t xml:space="preserve">               </w:t>
      </w:r>
      <w:r>
        <w:rPr>
          <w:rFonts w:hint="eastAsia" w:ascii="宋体" w:hAnsi="宋体"/>
          <w:b/>
          <w:color w:val="000000"/>
          <w:sz w:val="36"/>
          <w:szCs w:val="21"/>
          <w:highlight w:val="none"/>
          <w:u w:val="single"/>
          <w:lang w:val="en-US" w:eastAsia="zh-CN" w:bidi="ar-SA"/>
        </w:rPr>
      </w:r>
      <w:r/>
    </w:p>
    <w:p>
      <w:pPr>
        <w:pStyle w:val="1005"/>
        <w:jc w:val="both"/>
        <w:spacing w:line="440" w:lineRule="exact"/>
        <w:widowControl w:val="off"/>
        <w:rPr>
          <w:rFonts w:ascii="宋体" w:hAnsi="宋体"/>
          <w:color w:val="000000"/>
          <w:sz w:val="21"/>
          <w:szCs w:val="21"/>
          <w:highlight w:val="none"/>
          <w:lang w:val="en-US" w:eastAsia="zh-CN" w:bidi="ar-SA"/>
        </w:rPr>
        <w:outlineLvl w:val="9"/>
      </w:pPr>
      <w:r>
        <w:rPr>
          <w:rFonts w:ascii="宋体" w:hAnsi="宋体"/>
          <w:color w:val="000000"/>
          <w:sz w:val="21"/>
          <w:szCs w:val="21"/>
          <w:highlight w:val="none"/>
          <w:lang w:val="en-US" w:eastAsia="zh-CN" w:bidi="ar-SA"/>
        </w:rPr>
      </w:r>
      <w:r/>
    </w:p>
    <w:p>
      <w:pPr>
        <w:pStyle w:val="1005"/>
        <w:jc w:val="both"/>
        <w:widowControl w:val="off"/>
        <w:rPr>
          <w:rFonts w:ascii="宋体" w:hAnsi="宋体"/>
          <w:b/>
          <w:bCs/>
          <w:color w:val="000000"/>
          <w:sz w:val="32"/>
          <w:szCs w:val="32"/>
          <w:highlight w:val="none"/>
          <w:lang w:val="en-US" w:eastAsia="zh-CN" w:bidi="ar-SA"/>
        </w:rPr>
        <w:outlineLvl w:val="9"/>
      </w:pPr>
      <w:r>
        <w:rPr>
          <w:rFonts w:ascii="宋体" w:hAnsi="宋体"/>
          <w:b/>
          <w:bCs/>
          <w:color w:val="000000"/>
          <w:sz w:val="32"/>
          <w:szCs w:val="32"/>
          <w:highlight w:val="none"/>
          <w:lang w:val="en-US" w:eastAsia="zh-CN" w:bidi="ar-SA"/>
        </w:rPr>
      </w:r>
      <w:r/>
    </w:p>
    <w:p>
      <w:pPr>
        <w:pStyle w:val="1005"/>
        <w:jc w:val="center"/>
        <w:spacing w:line="440" w:lineRule="exact"/>
        <w:widowControl w:val="off"/>
        <w:rPr>
          <w:rFonts w:hint="eastAsia" w:ascii="宋体" w:hAnsi="宋体"/>
          <w:b/>
          <w:bCs/>
          <w:color w:val="000000"/>
          <w:sz w:val="32"/>
          <w:szCs w:val="32"/>
          <w:highlight w:val="none"/>
          <w:lang w:val="en-US" w:eastAsia="zh-CN" w:bidi="ar-SA"/>
        </w:rPr>
        <w:outlineLvl w:val="9"/>
      </w:pPr>
      <w:r>
        <w:rPr>
          <w:rFonts w:hint="eastAsia" w:ascii="宋体" w:hAnsi="宋体"/>
          <w:b/>
          <w:bCs/>
          <w:color w:val="000000"/>
          <w:sz w:val="32"/>
          <w:szCs w:val="32"/>
          <w:highlight w:val="none"/>
          <w:lang w:val="en-US" w:eastAsia="zh-CN" w:bidi="ar-SA"/>
        </w:rPr>
      </w:r>
      <w:r/>
    </w:p>
    <w:p>
      <w:pPr>
        <w:pStyle w:val="1005"/>
        <w:jc w:val="center"/>
        <w:spacing w:line="440" w:lineRule="exact"/>
        <w:widowControl w:val="off"/>
        <w:rPr>
          <w:rFonts w:hint="eastAsia" w:ascii="宋体" w:hAnsi="宋体"/>
          <w:b/>
          <w:bCs/>
          <w:color w:val="000000"/>
          <w:sz w:val="32"/>
          <w:szCs w:val="32"/>
          <w:highlight w:val="none"/>
          <w:lang w:val="en-US" w:eastAsia="zh-CN" w:bidi="ar-SA"/>
        </w:rPr>
        <w:outlineLvl w:val="9"/>
      </w:pPr>
      <w:r>
        <w:rPr>
          <w:rFonts w:hint="eastAsia" w:ascii="宋体" w:hAnsi="宋体"/>
          <w:b/>
          <w:bCs/>
          <w:color w:val="000000"/>
          <w:sz w:val="32"/>
          <w:szCs w:val="32"/>
          <w:highlight w:val="none"/>
          <w:lang w:val="en-US" w:eastAsia="zh-CN" w:bidi="ar-SA"/>
        </w:rPr>
      </w:r>
      <w:r/>
    </w:p>
    <w:p>
      <w:pPr>
        <w:pStyle w:val="1005"/>
        <w:jc w:val="center"/>
        <w:spacing w:line="440" w:lineRule="exact"/>
        <w:widowControl w:val="off"/>
        <w:rPr>
          <w:rFonts w:hint="eastAsia" w:ascii="宋体" w:hAnsi="宋体"/>
          <w:b/>
          <w:bCs/>
          <w:color w:val="000000"/>
          <w:sz w:val="32"/>
          <w:szCs w:val="32"/>
          <w:highlight w:val="none"/>
          <w:lang w:val="en-US" w:eastAsia="zh-CN" w:bidi="ar-SA"/>
        </w:rPr>
        <w:outlineLvl w:val="9"/>
      </w:pPr>
      <w:r>
        <w:rPr>
          <w:rFonts w:hint="eastAsia" w:ascii="宋体" w:hAnsi="宋体"/>
          <w:b/>
          <w:bCs/>
          <w:color w:val="000000"/>
          <w:sz w:val="32"/>
          <w:szCs w:val="32"/>
          <w:highlight w:val="none"/>
          <w:lang w:val="en-US" w:eastAsia="zh-CN" w:bidi="ar-SA"/>
        </w:rPr>
      </w:r>
      <w:r/>
    </w:p>
    <w:p>
      <w:pPr>
        <w:pStyle w:val="1005"/>
        <w:jc w:val="both"/>
        <w:widowControl w:val="off"/>
        <w:rPr>
          <w:rFonts w:hint="eastAsia" w:ascii="宋体" w:hAnsi="宋体" w:eastAsia="楷体_GB2312" w:cs="Times New Roman"/>
          <w:b/>
          <w:bCs/>
          <w:color w:val="000000"/>
          <w:sz w:val="32"/>
          <w:szCs w:val="32"/>
          <w:highlight w:val="none"/>
          <w:lang w:val="en-US" w:eastAsia="zh-CN" w:bidi="ar-SA"/>
        </w:rPr>
        <w:outlineLvl w:val="9"/>
      </w:pPr>
      <w:r>
        <w:rPr>
          <w:rFonts w:hint="eastAsia" w:ascii="宋体" w:hAnsi="宋体" w:eastAsia="楷体_GB2312" w:cs="Times New Roman"/>
          <w:b/>
          <w:bCs/>
          <w:color w:val="000000"/>
          <w:sz w:val="32"/>
          <w:szCs w:val="32"/>
          <w:highlight w:val="none"/>
          <w:lang w:val="en-US" w:eastAsia="zh-CN" w:bidi="ar-SA"/>
        </w:rPr>
      </w:r>
      <w:r/>
    </w:p>
    <w:p>
      <w:pPr>
        <w:pStyle w:val="1005"/>
        <w:jc w:val="both"/>
        <w:widowControl w:val="off"/>
        <w:rPr>
          <w:rFonts w:hint="eastAsia" w:ascii="宋体" w:hAnsi="宋体"/>
          <w:b/>
          <w:bCs/>
          <w:color w:val="000000"/>
          <w:sz w:val="32"/>
          <w:szCs w:val="32"/>
          <w:highlight w:val="none"/>
          <w:lang w:val="en-US" w:eastAsia="zh-CN" w:bidi="ar-SA"/>
        </w:rPr>
        <w:outlineLvl w:val="9"/>
      </w:pPr>
      <w:r>
        <w:rPr>
          <w:rFonts w:hint="eastAsia" w:ascii="宋体" w:hAnsi="宋体"/>
          <w:b/>
          <w:bCs/>
          <w:color w:val="000000"/>
          <w:sz w:val="32"/>
          <w:szCs w:val="32"/>
          <w:highlight w:val="none"/>
          <w:lang w:val="en-US" w:eastAsia="zh-CN" w:bidi="ar-SA"/>
        </w:rPr>
      </w:r>
      <w:r/>
    </w:p>
    <w:p>
      <w:pPr>
        <w:pStyle w:val="1005"/>
        <w:jc w:val="both"/>
        <w:widowControl w:val="off"/>
        <w:rPr>
          <w:rFonts w:hint="eastAsia" w:ascii="楷体_GB2312" w:hAnsi="Arial" w:eastAsia="楷体_GB2312" w:cs="Times New Roman"/>
          <w:color w:val="000000"/>
          <w:sz w:val="28"/>
          <w:szCs w:val="28"/>
          <w:highlight w:val="none"/>
          <w:lang w:val="en-US" w:eastAsia="zh-CN" w:bidi="ar-SA"/>
        </w:rPr>
        <w:outlineLvl w:val="9"/>
      </w:pPr>
      <w:r>
        <w:rPr>
          <w:rFonts w:hint="eastAsia" w:ascii="楷体_GB2312" w:hAnsi="Arial" w:eastAsia="楷体_GB2312" w:cs="Times New Roman"/>
          <w:color w:val="000000"/>
          <w:sz w:val="28"/>
          <w:szCs w:val="28"/>
          <w:highlight w:val="none"/>
          <w:lang w:val="en-US" w:eastAsia="zh-CN" w:bidi="ar-SA"/>
        </w:rPr>
      </w:r>
      <w:r/>
    </w:p>
    <w:p>
      <w:pPr>
        <w:pStyle w:val="1005"/>
        <w:jc w:val="center"/>
        <w:spacing w:line="440" w:lineRule="exact"/>
        <w:widowControl w:val="off"/>
        <w:rPr>
          <w:rFonts w:hint="eastAsia" w:ascii="宋体" w:hAnsi="宋体"/>
          <w:b/>
          <w:bCs/>
          <w:color w:val="000000"/>
          <w:sz w:val="32"/>
          <w:szCs w:val="32"/>
          <w:highlight w:val="none"/>
          <w:lang w:val="en-US" w:eastAsia="zh-CN" w:bidi="ar-SA"/>
        </w:rPr>
        <w:sectPr>
          <w:footnotePr/>
          <w:endnotePr/>
          <w:type w:val="nextPage"/>
          <w:pgSz w:w="11906" w:h="16838" w:orient="portrait"/>
          <w:pgMar w:top="1418" w:right="1588" w:bottom="1418" w:left="1365" w:header="851" w:footer="907" w:gutter="0"/>
          <w:cols w:num="1" w:sep="0" w:space="1701" w:equalWidth="1"/>
          <w:docGrid w:linePitch="360"/>
          <w:titlePg/>
        </w:sectPr>
        <w:outlineLvl w:val="9"/>
      </w:pPr>
      <w:r>
        <w:rPr>
          <w:rFonts w:hint="eastAsia" w:ascii="宋体" w:hAnsi="宋体"/>
          <w:b/>
          <w:bCs/>
          <w:color w:val="000000"/>
          <w:sz w:val="32"/>
          <w:szCs w:val="32"/>
          <w:highlight w:val="none"/>
          <w:lang w:val="en-US" w:eastAsia="zh-CN" w:bidi="ar-SA"/>
        </w:rPr>
      </w:r>
      <w:r/>
    </w:p>
    <w:p>
      <w:pPr>
        <w:pStyle w:val="1092"/>
        <w:rPr>
          <w:highlight w:val="none"/>
        </w:rPr>
      </w:pPr>
      <w:r>
        <w:rPr>
          <w:highlight w:val="none"/>
        </w:rPr>
        <w:t xml:space="preserve">响应文件目录</w:t>
      </w:r>
      <w:bookmarkEnd w:id="721"/>
      <w:r/>
      <w:bookmarkEnd w:id="722"/>
      <w:r/>
      <w:bookmarkEnd w:id="723"/>
      <w:r>
        <w:rPr>
          <w:highlight w:val="none"/>
        </w:rPr>
      </w:r>
      <w:r/>
    </w:p>
    <w:p>
      <w:pPr>
        <w:pStyle w:val="1005"/>
        <w:keepLines w:val="0"/>
        <w:keepNext w:val="0"/>
        <w:pageBreakBefore w:val="0"/>
        <w:spacing w:line="360" w:lineRule="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一、资格审查</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lang w:val="zh-CN"/>
        </w:rPr>
      </w:r>
      <w:r/>
    </w:p>
    <w:p>
      <w:pPr>
        <w:pStyle w:val="1005"/>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符合</w:t>
      </w:r>
      <w:r>
        <w:rPr>
          <w:rFonts w:hint="eastAsia" w:ascii="宋体" w:hAnsi="宋体" w:cs="宋体"/>
          <w:color w:val="000000"/>
          <w:sz w:val="24"/>
          <w:highlight w:val="none"/>
          <w:lang w:eastAsia="zh-CN"/>
        </w:rPr>
        <w:t xml:space="preserve">《中华人民共和国政府采购法》</w:t>
      </w:r>
      <w:r>
        <w:rPr>
          <w:rFonts w:hint="eastAsia" w:ascii="宋体" w:hAnsi="宋体" w:cs="宋体"/>
          <w:color w:val="000000"/>
          <w:sz w:val="24"/>
          <w:highlight w:val="none"/>
        </w:rPr>
        <w:t xml:space="preserve">第二十二条规定条件的承诺函</w:t>
      </w:r>
      <w:r>
        <w:rPr>
          <w:rFonts w:hint="eastAsia" w:ascii="宋体" w:hAnsi="宋体" w:cs="宋体"/>
          <w:color w:val="000000"/>
          <w:sz w:val="24"/>
          <w:highlight w:val="none"/>
          <w:lang w:val="zh-CN"/>
        </w:rPr>
        <w:t xml:space="preserve">（格式见附件）；</w:t>
      </w:r>
      <w:r>
        <w:rPr>
          <w:rFonts w:hint="eastAsia" w:ascii="宋体" w:hAnsi="宋体" w:cs="宋体"/>
          <w:color w:val="000000"/>
          <w:sz w:val="24"/>
          <w:highlight w:val="none"/>
          <w:lang w:val="zh-CN"/>
        </w:rPr>
      </w:r>
      <w:r/>
    </w:p>
    <w:p>
      <w:pPr>
        <w:pStyle w:val="1026"/>
        <w:ind w:left="0" w:firstLine="480"/>
        <w:tabs>
          <w:tab w:val="left" w:pos="480" w:leader="none"/>
        </w:tabs>
        <w:rPr>
          <w:rFonts w:ascii="Times New Roman" w:hAnsi="Times New Roman" w:eastAsia="宋体" w:cs="Times New Roman"/>
          <w:color w:val="000000"/>
          <w:sz w:val="24"/>
          <w:highlight w:val="none"/>
        </w:rPr>
      </w:pPr>
      <w:r>
        <w:rPr>
          <w:rFonts w:ascii="Times New Roman" w:hAnsi="Times New Roman" w:eastAsia="宋体" w:cs="Times New Roman"/>
          <w:b w:val="0"/>
          <w:color w:val="000000"/>
          <w:sz w:val="24"/>
          <w:highlight w:val="none"/>
        </w:rPr>
        <w:t xml:space="preserve">（2）法人或者其他组织的营业执照等证明文件；</w:t>
      </w:r>
      <w:r>
        <w:rPr>
          <w:rFonts w:ascii="Times New Roman" w:hAnsi="Times New Roman" w:eastAsia="宋体" w:cs="Times New Roman"/>
          <w:color w:val="000000"/>
          <w:sz w:val="24"/>
          <w:highlight w:val="none"/>
        </w:rPr>
      </w:r>
      <w:r/>
    </w:p>
    <w:p>
      <w:pPr>
        <w:pStyle w:val="1026"/>
        <w:ind w:left="0" w:firstLine="480"/>
        <w:widowControl/>
        <w:tabs>
          <w:tab w:val="left" w:pos="480" w:leader="none"/>
        </w:tabs>
        <w:rPr>
          <w:rFonts w:ascii="Times New Roman" w:hAnsi="Times New Roman" w:eastAsia="宋体" w:cs="Times New Roman"/>
          <w:b w:val="0"/>
          <w:color w:val="000000"/>
          <w:sz w:val="24"/>
          <w:highlight w:val="none"/>
        </w:rPr>
      </w:pPr>
      <w:r>
        <w:rPr>
          <w:rFonts w:ascii="Times New Roman" w:hAnsi="Times New Roman" w:eastAsia="宋体" w:cs="Times New Roman"/>
          <w:b w:val="0"/>
          <w:color w:val="000000"/>
          <w:sz w:val="24"/>
          <w:highlight w:val="none"/>
        </w:rPr>
        <w:t xml:space="preserve">（3）法定代表人身份证明书及法定代表人身份证复印件</w:t>
      </w:r>
      <w:r>
        <w:rPr>
          <w:rFonts w:ascii="Times New Roman" w:hAnsi="Times New Roman" w:eastAsia="宋体" w:cs="Times New Roman"/>
          <w:color w:val="000000"/>
          <w:sz w:val="24"/>
          <w:highlight w:val="none"/>
        </w:rPr>
        <w:t xml:space="preserve">（格式见附件）</w:t>
      </w:r>
      <w:r>
        <w:rPr>
          <w:rFonts w:ascii="Times New Roman" w:hAnsi="Times New Roman" w:eastAsia="宋体" w:cs="Times New Roman"/>
          <w:b w:val="0"/>
          <w:color w:val="000000"/>
          <w:sz w:val="24"/>
          <w:highlight w:val="none"/>
        </w:rPr>
        <w:t xml:space="preserve">；</w:t>
      </w:r>
      <w:r>
        <w:rPr>
          <w:rFonts w:ascii="Times New Roman" w:hAnsi="Times New Roman" w:eastAsia="宋体" w:cs="Times New Roman"/>
          <w:b w:val="0"/>
          <w:color w:val="000000"/>
          <w:sz w:val="24"/>
          <w:highlight w:val="none"/>
        </w:rPr>
      </w:r>
      <w:r/>
    </w:p>
    <w:p>
      <w:pPr>
        <w:pStyle w:val="1026"/>
        <w:ind w:left="0" w:firstLine="480"/>
        <w:widowControl/>
        <w:tabs>
          <w:tab w:val="left" w:pos="480" w:leader="none"/>
        </w:tabs>
        <w:rPr>
          <w:rFonts w:ascii="Times New Roman" w:hAnsi="Times New Roman" w:eastAsia="宋体" w:cs="Times New Roman"/>
          <w:b w:val="0"/>
          <w:color w:val="000000"/>
          <w:sz w:val="24"/>
          <w:highlight w:val="none"/>
        </w:rPr>
      </w:pPr>
      <w:r>
        <w:rPr>
          <w:rFonts w:ascii="Times New Roman" w:hAnsi="Times New Roman" w:eastAsia="宋体" w:cs="Times New Roman"/>
          <w:b w:val="0"/>
          <w:color w:val="000000"/>
          <w:sz w:val="24"/>
          <w:highlight w:val="none"/>
        </w:rPr>
        <w:t xml:space="preserve">（4）法定代表人授权委托书及委托代理人身份证复印件（如有授权）</w:t>
      </w:r>
      <w:r>
        <w:rPr>
          <w:rFonts w:ascii="Times New Roman" w:hAnsi="Times New Roman" w:eastAsia="宋体" w:cs="Times New Roman"/>
          <w:color w:val="000000"/>
          <w:sz w:val="24"/>
          <w:highlight w:val="none"/>
        </w:rPr>
        <w:t xml:space="preserve">（格式见附件）</w:t>
      </w:r>
      <w:r>
        <w:rPr>
          <w:rFonts w:ascii="Times New Roman" w:hAnsi="Times New Roman" w:eastAsia="宋体" w:cs="Times New Roman"/>
          <w:b w:val="0"/>
          <w:color w:val="000000"/>
          <w:sz w:val="24"/>
          <w:highlight w:val="none"/>
        </w:rPr>
        <w:t xml:space="preserve">； </w:t>
      </w:r>
      <w:r>
        <w:rPr>
          <w:rFonts w:ascii="Times New Roman" w:hAnsi="Times New Roman" w:eastAsia="宋体" w:cs="Times New Roman"/>
          <w:b w:val="0"/>
          <w:color w:val="000000"/>
          <w:sz w:val="24"/>
          <w:highlight w:val="none"/>
        </w:rPr>
      </w:r>
      <w:r/>
    </w:p>
    <w:p>
      <w:pPr>
        <w:pStyle w:val="1026"/>
        <w:ind w:left="0" w:firstLine="480"/>
        <w:widowControl/>
        <w:tabs>
          <w:tab w:val="left" w:pos="480" w:leader="none"/>
        </w:tabs>
        <w:rPr>
          <w:rFonts w:ascii="Times New Roman" w:hAnsi="Times New Roman" w:eastAsia="宋体" w:cs="Times New Roman"/>
          <w:b w:val="0"/>
          <w:color w:val="000000"/>
          <w:sz w:val="24"/>
          <w:highlight w:val="none"/>
        </w:rPr>
      </w:pPr>
      <w:r>
        <w:rPr>
          <w:rFonts w:ascii="Times New Roman" w:hAnsi="Times New Roman" w:eastAsia="宋体" w:cs="Times New Roman"/>
          <w:b w:val="0"/>
          <w:color w:val="000000"/>
          <w:sz w:val="24"/>
          <w:highlight w:val="none"/>
        </w:rPr>
        <w:t xml:space="preserve">（5）供应商提供</w:t>
      </w:r>
      <w:r>
        <w:rPr>
          <w:rFonts w:ascii="Times New Roman" w:hAnsi="Times New Roman" w:eastAsia="宋体" w:cs="Times New Roman"/>
          <w:b w:val="0"/>
          <w:color w:val="000000"/>
          <w:sz w:val="24"/>
          <w:highlight w:val="none"/>
          <w:u w:val="single"/>
        </w:rPr>
        <w:t xml:space="preserve">2024</w:t>
      </w:r>
      <w:r>
        <w:rPr>
          <w:rFonts w:ascii="Times New Roman" w:hAnsi="Times New Roman" w:eastAsia="宋体" w:cs="Times New Roman"/>
          <w:b w:val="0"/>
          <w:color w:val="000000"/>
          <w:sz w:val="24"/>
          <w:highlight w:val="none"/>
        </w:rPr>
        <w:t xml:space="preserve">年度由会计师事务所（或者审计机构）出具的完整的财务报告</w:t>
      </w:r>
      <w:r>
        <w:rPr>
          <w:rFonts w:ascii="Times New Roman" w:hAnsi="Times New Roman" w:eastAsia="宋体" w:cs="Times New Roman"/>
          <w:color w:val="000000"/>
          <w:sz w:val="24"/>
          <w:highlight w:val="none"/>
        </w:rPr>
        <w:t xml:space="preserve">或投标截止时间前三个月（不含投标截止时间当月）中至少一个月的银行资信证明；（成立不满一年不需提供）</w:t>
      </w:r>
      <w:r>
        <w:rPr>
          <w:rFonts w:ascii="Times New Roman" w:hAnsi="Times New Roman" w:eastAsia="宋体" w:cs="Times New Roman"/>
          <w:b w:val="0"/>
          <w:color w:val="000000"/>
          <w:sz w:val="24"/>
          <w:highlight w:val="none"/>
        </w:rPr>
      </w:r>
      <w:r/>
    </w:p>
    <w:p>
      <w:pPr>
        <w:pStyle w:val="1026"/>
        <w:ind w:left="0" w:firstLine="480"/>
        <w:widowControl/>
        <w:tabs>
          <w:tab w:val="left" w:pos="480" w:leader="none"/>
        </w:tabs>
        <w:rPr>
          <w:rFonts w:ascii="Times New Roman" w:hAnsi="Times New Roman" w:eastAsia="宋体" w:cs="Times New Roman"/>
          <w:b w:val="0"/>
          <w:color w:val="000000"/>
          <w:sz w:val="24"/>
          <w:highlight w:val="none"/>
        </w:rPr>
      </w:pPr>
      <w:r>
        <w:rPr>
          <w:rFonts w:ascii="Times New Roman" w:hAnsi="Times New Roman" w:eastAsia="宋体" w:cs="Times New Roman"/>
          <w:b w:val="0"/>
          <w:color w:val="000000"/>
          <w:sz w:val="24"/>
          <w:highlight w:val="none"/>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ascii="Times New Roman" w:hAnsi="Times New Roman" w:eastAsia="宋体" w:cs="Times New Roman"/>
          <w:b w:val="0"/>
          <w:color w:val="000000"/>
          <w:sz w:val="24"/>
          <w:highlight w:val="none"/>
        </w:rPr>
      </w:r>
      <w:r/>
    </w:p>
    <w:p>
      <w:pPr>
        <w:pStyle w:val="1026"/>
        <w:ind w:left="0" w:firstLine="480"/>
        <w:widowControl/>
        <w:tabs>
          <w:tab w:val="left" w:pos="480" w:leader="none"/>
        </w:tabs>
        <w:rPr>
          <w:rFonts w:ascii="Times New Roman" w:hAnsi="Times New Roman" w:eastAsia="宋体" w:cs="Times New Roman"/>
          <w:b w:val="0"/>
          <w:color w:val="000000"/>
          <w:sz w:val="24"/>
          <w:highlight w:val="none"/>
        </w:rPr>
      </w:pPr>
      <w:r>
        <w:rPr>
          <w:rFonts w:ascii="Times New Roman" w:hAnsi="Times New Roman" w:eastAsia="宋体" w:cs="Times New Roman"/>
          <w:b w:val="0"/>
          <w:color w:val="000000"/>
          <w:sz w:val="24"/>
          <w:highlight w:val="none"/>
        </w:rPr>
        <w:t xml:space="preserve">（7）具备履行合同所必需的设备和专业技术能力的书面声明</w:t>
      </w:r>
      <w:r>
        <w:rPr>
          <w:rFonts w:ascii="Times New Roman" w:hAnsi="Times New Roman" w:eastAsia="宋体" w:cs="Times New Roman"/>
          <w:color w:val="000000"/>
          <w:sz w:val="24"/>
          <w:highlight w:val="none"/>
        </w:rPr>
        <w:t xml:space="preserve">（格式见附件）</w:t>
      </w:r>
      <w:r>
        <w:rPr>
          <w:rFonts w:ascii="Times New Roman" w:hAnsi="Times New Roman" w:eastAsia="宋体" w:cs="Times New Roman"/>
          <w:b w:val="0"/>
          <w:color w:val="000000"/>
          <w:sz w:val="24"/>
          <w:highlight w:val="none"/>
        </w:rPr>
        <w:t xml:space="preserve">；</w:t>
      </w:r>
      <w:r>
        <w:rPr>
          <w:rFonts w:ascii="Times New Roman" w:hAnsi="Times New Roman" w:eastAsia="宋体" w:cs="Times New Roman"/>
          <w:b w:val="0"/>
          <w:color w:val="000000"/>
          <w:sz w:val="24"/>
          <w:highlight w:val="none"/>
        </w:rPr>
      </w:r>
      <w:r/>
    </w:p>
    <w:p>
      <w:pPr>
        <w:pStyle w:val="1026"/>
        <w:ind w:left="0" w:firstLine="480"/>
        <w:widowControl/>
        <w:tabs>
          <w:tab w:val="left" w:pos="480" w:leader="none"/>
        </w:tabs>
        <w:rPr>
          <w:rFonts w:ascii="Times New Roman" w:hAnsi="Times New Roman" w:eastAsia="宋体" w:cs="Times New Roman"/>
          <w:b w:val="0"/>
          <w:color w:val="000000"/>
          <w:sz w:val="24"/>
          <w:highlight w:val="none"/>
        </w:rPr>
      </w:pPr>
      <w:r>
        <w:rPr>
          <w:rFonts w:ascii="Times New Roman" w:hAnsi="Times New Roman" w:eastAsia="宋体" w:cs="Times New Roman"/>
          <w:b w:val="0"/>
          <w:color w:val="000000"/>
          <w:sz w:val="24"/>
          <w:highlight w:val="none"/>
        </w:rPr>
        <w:t xml:space="preserve">（8）参加政府采购活动前 3 年内在经营活动中没有重大违法记录的书面声明</w:t>
      </w:r>
      <w:r>
        <w:rPr>
          <w:rFonts w:ascii="Times New Roman" w:hAnsi="Times New Roman" w:eastAsia="宋体" w:cs="Times New Roman"/>
          <w:color w:val="000000"/>
          <w:sz w:val="24"/>
          <w:highlight w:val="none"/>
        </w:rPr>
        <w:t xml:space="preserve">（格</w:t>
      </w:r>
      <w:r>
        <w:rPr>
          <w:rFonts w:ascii="Times New Roman" w:hAnsi="Times New Roman" w:eastAsia="宋体" w:cs="Times New Roman"/>
          <w:b w:val="0"/>
          <w:color w:val="000000"/>
          <w:sz w:val="24"/>
          <w:highlight w:val="none"/>
        </w:rPr>
        <w:t xml:space="preserve">式见附件）；</w:t>
      </w:r>
      <w:r>
        <w:rPr>
          <w:rFonts w:ascii="Times New Roman" w:hAnsi="Times New Roman" w:eastAsia="宋体" w:cs="Times New Roman"/>
          <w:b w:val="0"/>
          <w:color w:val="000000"/>
          <w:sz w:val="24"/>
          <w:highlight w:val="none"/>
        </w:rPr>
      </w:r>
      <w:r/>
    </w:p>
    <w:p>
      <w:pPr>
        <w:pStyle w:val="1026"/>
        <w:ind w:left="0" w:firstLine="480"/>
        <w:widowControl/>
        <w:tabs>
          <w:tab w:val="left" w:pos="480" w:leader="none"/>
        </w:tabs>
        <w:rPr>
          <w:rFonts w:ascii="Times New Roman" w:hAnsi="Times New Roman" w:eastAsia="宋体" w:cs="Times New Roman"/>
          <w:b w:val="0"/>
          <w:color w:val="000000"/>
          <w:sz w:val="24"/>
          <w:highlight w:val="none"/>
        </w:rPr>
      </w:pPr>
      <w:r>
        <w:rPr>
          <w:rFonts w:ascii="Times New Roman" w:hAnsi="Times New Roman" w:eastAsia="宋体" w:cs="Times New Roman"/>
          <w:b w:val="0"/>
          <w:color w:val="000000"/>
          <w:sz w:val="24"/>
          <w:highlight w:val="none"/>
        </w:rPr>
        <w:t xml:space="preserve">（9）</w:t>
      </w:r>
      <w:r>
        <w:rPr>
          <w:rFonts w:ascii="Times New Roman" w:hAnsi="Times New Roman" w:eastAsia="宋体" w:cs="Times New Roman"/>
          <w:color w:val="000000"/>
          <w:sz w:val="24"/>
          <w:highlight w:val="none"/>
        </w:rPr>
        <w:t xml:space="preserve">企业资质证书（专业：水利水电施工总承包工程</w:t>
      </w:r>
      <w:r>
        <w:rPr>
          <w:rFonts w:ascii="Times New Roman" w:hAnsi="Times New Roman" w:eastAsia="宋体" w:cs="Times New Roman"/>
          <w:color w:val="000000"/>
          <w:sz w:val="24"/>
          <w:highlight w:val="none"/>
          <w:u w:val="none"/>
        </w:rPr>
        <w:t xml:space="preserve">；等级：三级及以上资质</w:t>
      </w:r>
      <w:r>
        <w:rPr>
          <w:rFonts w:ascii="Times New Roman" w:hAnsi="Times New Roman" w:eastAsia="宋体" w:cs="Times New Roman"/>
          <w:color w:val="000000"/>
          <w:sz w:val="24"/>
          <w:highlight w:val="none"/>
        </w:rPr>
        <w:t xml:space="preserve">）及安全生产许可证</w:t>
      </w:r>
      <w:r>
        <w:rPr>
          <w:rFonts w:ascii="Times New Roman" w:hAnsi="Times New Roman" w:eastAsia="宋体" w:cs="Times New Roman"/>
          <w:b w:val="0"/>
          <w:color w:val="000000"/>
          <w:sz w:val="24"/>
          <w:highlight w:val="none"/>
        </w:rPr>
        <w:t xml:space="preserve">；</w:t>
      </w:r>
      <w:r>
        <w:rPr>
          <w:rFonts w:ascii="Times New Roman" w:hAnsi="Times New Roman" w:eastAsia="宋体" w:cs="Times New Roman"/>
          <w:b w:val="0"/>
          <w:color w:val="000000"/>
          <w:sz w:val="24"/>
          <w:highlight w:val="none"/>
        </w:rPr>
      </w:r>
      <w:r/>
    </w:p>
    <w:p>
      <w:pPr>
        <w:pStyle w:val="1026"/>
        <w:ind w:left="0" w:firstLine="480"/>
        <w:widowControl/>
        <w:tabs>
          <w:tab w:val="left" w:pos="480" w:leader="none"/>
        </w:tabs>
        <w:rPr>
          <w:rFonts w:ascii="Times New Roman" w:hAnsi="Times New Roman" w:eastAsia="宋体" w:cs="Times New Roman"/>
          <w:b w:val="0"/>
          <w:color w:val="000000"/>
          <w:sz w:val="24"/>
          <w:highlight w:val="none"/>
        </w:rPr>
      </w:pPr>
      <w:r>
        <w:rPr>
          <w:rFonts w:ascii="Times New Roman" w:hAnsi="Times New Roman" w:eastAsia="宋体" w:cs="Times New Roman"/>
          <w:b w:val="0"/>
          <w:color w:val="000000"/>
          <w:sz w:val="24"/>
          <w:highlight w:val="none"/>
        </w:rPr>
        <w:t xml:space="preserve">（10）</w:t>
      </w:r>
      <w:r>
        <w:rPr>
          <w:rFonts w:ascii="Times New Roman" w:hAnsi="Times New Roman" w:eastAsia="宋体" w:cs="Times New Roman"/>
          <w:color w:val="000000"/>
          <w:sz w:val="24"/>
          <w:highlight w:val="none"/>
        </w:rPr>
        <w:t xml:space="preserve">拟派项目负责人资格证书（专业：水利水电工程</w:t>
      </w:r>
      <w:r>
        <w:rPr>
          <w:rFonts w:ascii="Times New Roman" w:hAnsi="Times New Roman" w:eastAsia="宋体" w:cs="Times New Roman"/>
          <w:color w:val="000000"/>
          <w:sz w:val="24"/>
          <w:highlight w:val="none"/>
          <w:u w:val="none"/>
        </w:rPr>
        <w:t xml:space="preserve">；等级：</w:t>
      </w:r>
      <w:r>
        <w:rPr>
          <w:rFonts w:ascii="Times New Roman" w:hAnsi="Times New Roman" w:eastAsia="宋体" w:cs="Times New Roman"/>
          <w:color w:val="000000"/>
          <w:sz w:val="24"/>
          <w:highlight w:val="none"/>
          <w:u w:val="single"/>
        </w:rPr>
        <w:t xml:space="preserve">二级及以上</w:t>
      </w:r>
      <w:r>
        <w:rPr>
          <w:rFonts w:ascii="Times New Roman" w:hAnsi="Times New Roman" w:eastAsia="宋体" w:cs="Times New Roman"/>
          <w:color w:val="000000"/>
          <w:sz w:val="24"/>
          <w:highlight w:val="none"/>
        </w:rPr>
        <w:t xml:space="preserve">）及安全B证</w:t>
      </w:r>
      <w:r>
        <w:rPr>
          <w:rFonts w:ascii="Times New Roman" w:hAnsi="Times New Roman" w:eastAsia="宋体" w:cs="Times New Roman"/>
          <w:b w:val="0"/>
          <w:color w:val="000000"/>
          <w:sz w:val="24"/>
          <w:highlight w:val="none"/>
        </w:rPr>
        <w:t xml:space="preserve">；</w:t>
      </w:r>
      <w:r>
        <w:rPr>
          <w:rFonts w:ascii="Times New Roman" w:hAnsi="Times New Roman" w:eastAsia="宋体" w:cs="Times New Roman"/>
          <w:color w:val="000000"/>
          <w:sz w:val="24"/>
          <w:highlight w:val="none"/>
        </w:rPr>
        <w:t xml:space="preserve">拟派项目负责人无在建工程承诺书（详见磋商文件格式附件）；</w:t>
      </w:r>
      <w:r>
        <w:rPr>
          <w:rFonts w:ascii="Times New Roman" w:hAnsi="Times New Roman" w:eastAsia="宋体" w:cs="Times New Roman"/>
          <w:b w:val="0"/>
          <w:color w:val="000000"/>
          <w:sz w:val="24"/>
          <w:highlight w:val="none"/>
        </w:rPr>
      </w:r>
      <w:r/>
    </w:p>
    <w:p>
      <w:pPr>
        <w:pStyle w:val="1026"/>
        <w:ind w:left="0" w:firstLine="480"/>
        <w:widowControl/>
        <w:tabs>
          <w:tab w:val="left" w:pos="480" w:leader="none"/>
        </w:tabs>
        <w:rPr>
          <w:rFonts w:ascii="Times New Roman" w:hAnsi="Times New Roman" w:eastAsia="宋体" w:cs="Times New Roman"/>
          <w:b w:val="0"/>
          <w:color w:val="000000"/>
          <w:sz w:val="24"/>
          <w:highlight w:val="none"/>
        </w:rPr>
      </w:pPr>
      <w:r>
        <w:rPr>
          <w:rFonts w:ascii="Times New Roman" w:hAnsi="Times New Roman" w:eastAsia="宋体" w:cs="Times New Roman"/>
          <w:b w:val="0"/>
          <w:color w:val="000000"/>
          <w:sz w:val="24"/>
          <w:highlight w:val="none"/>
        </w:rPr>
        <w:t xml:space="preserve">（11）</w:t>
      </w:r>
      <w:r>
        <w:rPr>
          <w:rFonts w:ascii="Times New Roman" w:hAnsi="Times New Roman" w:eastAsia="宋体" w:cs="Times New Roman"/>
          <w:color w:val="000000"/>
          <w:sz w:val="24"/>
          <w:highlight w:val="none"/>
        </w:rPr>
        <w:t xml:space="preserve">拟派授权委托人、拟派项目负责人和企业签订的有效劳动合同，投标企业所在地社保机构出具的由企业为授权委托人、拟派项目负责人缴纳的投标截止时间前</w:t>
      </w:r>
      <w:r>
        <w:rPr>
          <w:rFonts w:hint="eastAsia" w:cs="Times New Roman"/>
          <w:color w:val="000000"/>
          <w:sz w:val="24"/>
          <w:highlight w:val="none"/>
          <w:u w:val="single"/>
          <w:lang w:val="en-US" w:eastAsia="zh-CN"/>
        </w:rPr>
        <w:t xml:space="preserve">3</w:t>
      </w:r>
      <w:r>
        <w:rPr>
          <w:rFonts w:ascii="Times New Roman" w:hAnsi="Times New Roman" w:eastAsia="宋体" w:cs="Times New Roman"/>
          <w:color w:val="000000"/>
          <w:sz w:val="24"/>
          <w:highlight w:val="none"/>
        </w:rPr>
        <w:t xml:space="preserve">月（不含投标截止时间当月）中至少一个月的养老保险缴纳证明材料</w:t>
      </w:r>
      <w:r>
        <w:rPr>
          <w:rFonts w:ascii="Times New Roman" w:hAnsi="Times New Roman" w:eastAsia="宋体" w:cs="Times New Roman"/>
          <w:b w:val="0"/>
          <w:color w:val="000000"/>
          <w:sz w:val="24"/>
          <w:highlight w:val="none"/>
        </w:rPr>
        <w:t xml:space="preserve">；（注 ：委托代理人为法定代表人的，无需提供养老保险缴费证明）</w:t>
      </w:r>
      <w:r>
        <w:rPr>
          <w:rFonts w:ascii="Times New Roman" w:hAnsi="Times New Roman" w:eastAsia="宋体" w:cs="Times New Roman"/>
          <w:b w:val="0"/>
          <w:color w:val="000000"/>
          <w:sz w:val="24"/>
          <w:highlight w:val="none"/>
        </w:rPr>
      </w:r>
      <w:r/>
    </w:p>
    <w:p>
      <w:pPr>
        <w:pStyle w:val="1026"/>
        <w:ind w:left="0" w:firstLine="480"/>
        <w:widowControl/>
        <w:tabs>
          <w:tab w:val="left" w:pos="480" w:leader="none"/>
        </w:tabs>
        <w:rPr>
          <w:rFonts w:ascii="Times New Roman" w:hAnsi="Times New Roman" w:eastAsia="宋体" w:cs="Times New Roman"/>
          <w:b w:val="0"/>
          <w:color w:val="000000"/>
          <w:sz w:val="24"/>
          <w:highlight w:val="none"/>
        </w:rPr>
      </w:pPr>
      <w:r>
        <w:rPr>
          <w:rFonts w:ascii="Times New Roman" w:hAnsi="Times New Roman" w:eastAsia="宋体" w:cs="Times New Roman"/>
          <w:b w:val="0"/>
          <w:color w:val="000000"/>
          <w:sz w:val="24"/>
          <w:highlight w:val="none"/>
        </w:rPr>
        <w:t xml:space="preserve">（12）供应商信用承诺书；（格式见附件）</w:t>
      </w:r>
      <w:r>
        <w:rPr>
          <w:rFonts w:ascii="Times New Roman" w:hAnsi="Times New Roman" w:eastAsia="宋体" w:cs="Times New Roman"/>
          <w:b w:val="0"/>
          <w:color w:val="000000"/>
          <w:sz w:val="24"/>
          <w:highlight w:val="none"/>
        </w:rPr>
      </w:r>
      <w:r/>
    </w:p>
    <w:p>
      <w:pPr>
        <w:pStyle w:val="1007"/>
        <w:ind w:left="0" w:firstLine="482"/>
        <w:widowControl/>
        <w:tabs>
          <w:tab w:val="left" w:pos="482" w:leader="none"/>
        </w:tabs>
        <w:rPr>
          <w:highlight w:val="none"/>
        </w:rPr>
      </w:pPr>
      <w:r>
        <w:rPr>
          <w:highlight w:val="none"/>
        </w:rPr>
        <w:t xml:space="preserve">（13）其他证明材料（本项目专门面向中小企业采购）</w:t>
      </w:r>
      <w:r>
        <w:rPr>
          <w:highlight w:val="none"/>
        </w:rPr>
      </w:r>
      <w:r/>
    </w:p>
    <w:p>
      <w:pPr>
        <w:pStyle w:val="1026"/>
        <w:numPr>
          <w:ilvl w:val="0"/>
          <w:numId w:val="148"/>
        </w:numPr>
        <w:ind w:left="0" w:firstLine="480"/>
        <w:widowControl/>
        <w:tabs>
          <w:tab w:val="left" w:pos="840" w:leader="none"/>
        </w:tabs>
        <w:rPr>
          <w:rFonts w:hint="eastAsia" w:ascii="宋体" w:hAnsi="宋体" w:eastAsia="宋体" w:cs="宋体"/>
          <w:b w:val="0"/>
          <w:color w:val="000000"/>
          <w:sz w:val="24"/>
          <w:highlight w:val="none"/>
        </w:rPr>
      </w:pPr>
      <w:r>
        <w:rPr>
          <w:rFonts w:ascii="Times New Roman" w:hAnsi="Times New Roman" w:eastAsia="宋体" w:cs="Times New Roman"/>
          <w:b w:val="0"/>
          <w:color w:val="000000"/>
          <w:sz w:val="24"/>
          <w:highlight w:val="none"/>
        </w:rPr>
        <w:t xml:space="preserve">中小企业声明函；</w:t>
      </w:r>
      <w:r>
        <w:rPr>
          <w:rFonts w:hint="eastAsia" w:ascii="宋体" w:hAnsi="宋体" w:eastAsia="宋体" w:cs="宋体"/>
          <w:b w:val="0"/>
          <w:color w:val="000000"/>
          <w:sz w:val="24"/>
          <w:highlight w:val="none"/>
        </w:rPr>
      </w:r>
      <w:r/>
    </w:p>
    <w:p>
      <w:pPr>
        <w:pStyle w:val="1026"/>
        <w:numPr>
          <w:ilvl w:val="0"/>
          <w:numId w:val="148"/>
        </w:numPr>
        <w:ind w:left="0" w:firstLine="480"/>
        <w:widowControl/>
        <w:tabs>
          <w:tab w:val="left" w:pos="840" w:leader="none"/>
        </w:tabs>
        <w:rPr>
          <w:rFonts w:hint="eastAsia" w:ascii="宋体" w:hAnsi="宋体" w:eastAsia="宋体" w:cs="宋体"/>
          <w:b w:val="0"/>
          <w:color w:val="000000"/>
          <w:sz w:val="24"/>
          <w:highlight w:val="none"/>
        </w:rPr>
      </w:pPr>
      <w:r>
        <w:rPr>
          <w:rFonts w:ascii="Times New Roman" w:hAnsi="Times New Roman" w:eastAsia="宋体" w:cs="Times New Roman"/>
          <w:b w:val="0"/>
          <w:color w:val="000000"/>
          <w:sz w:val="24"/>
          <w:highlight w:val="none"/>
        </w:rPr>
        <w:t xml:space="preserve">监狱企业证明函（如符合监狱企业的需提供）；</w:t>
      </w:r>
      <w:r>
        <w:rPr>
          <w:rFonts w:hint="eastAsia" w:ascii="宋体" w:hAnsi="宋体" w:eastAsia="宋体" w:cs="宋体"/>
          <w:b w:val="0"/>
          <w:color w:val="000000"/>
          <w:sz w:val="24"/>
          <w:highlight w:val="none"/>
        </w:rPr>
      </w:r>
      <w:r/>
    </w:p>
    <w:p>
      <w:pPr>
        <w:pStyle w:val="1026"/>
        <w:numPr>
          <w:ilvl w:val="0"/>
          <w:numId w:val="148"/>
        </w:numPr>
        <w:ind w:left="0" w:firstLine="480"/>
        <w:widowControl/>
        <w:tabs>
          <w:tab w:val="left" w:pos="840" w:leader="none"/>
        </w:tabs>
        <w:rPr>
          <w:rFonts w:hint="eastAsia" w:ascii="宋体" w:hAnsi="宋体" w:eastAsia="宋体" w:cs="宋体"/>
          <w:b w:val="0"/>
          <w:color w:val="000000"/>
          <w:sz w:val="24"/>
          <w:highlight w:val="none"/>
        </w:rPr>
      </w:pPr>
      <w:r>
        <w:rPr>
          <w:rFonts w:ascii="Times New Roman" w:hAnsi="Times New Roman" w:eastAsia="宋体" w:cs="Times New Roman"/>
          <w:b w:val="0"/>
          <w:color w:val="000000"/>
          <w:sz w:val="24"/>
          <w:highlight w:val="none"/>
        </w:rPr>
        <w:t xml:space="preserve">残疾人福利性单位声明函（如符合残疾人福利性单位的需提供）；</w:t>
      </w:r>
      <w:r>
        <w:rPr>
          <w:rFonts w:hint="eastAsia" w:ascii="宋体" w:hAnsi="宋体" w:eastAsia="宋体" w:cs="宋体"/>
          <w:b w:val="0"/>
          <w:color w:val="000000"/>
          <w:sz w:val="24"/>
          <w:highlight w:val="none"/>
        </w:rPr>
      </w:r>
      <w:r/>
    </w:p>
    <w:p>
      <w:pPr>
        <w:pStyle w:val="1006"/>
        <w:numPr>
          <w:ilvl w:val="0"/>
          <w:numId w:val="149"/>
        </w:numPr>
        <w:ind w:left="0" w:firstLine="482"/>
        <w:tabs>
          <w:tab w:val="left" w:pos="0" w:leader="none"/>
        </w:tabs>
        <w:rPr>
          <w:highlight w:val="none"/>
        </w:rPr>
      </w:pPr>
      <w:r>
        <w:rPr>
          <w:highlight w:val="none"/>
        </w:rPr>
        <w:t xml:space="preserve">符合性条件材料</w:t>
      </w:r>
      <w:r>
        <w:rPr>
          <w:highlight w:val="none"/>
        </w:rPr>
      </w:r>
      <w:r/>
    </w:p>
    <w:p>
      <w:pPr>
        <w:pStyle w:val="1026"/>
        <w:numPr>
          <w:ilvl w:val="0"/>
          <w:numId w:val="150"/>
        </w:numPr>
        <w:ind w:left="0" w:firstLine="480"/>
        <w:tabs>
          <w:tab w:val="left" w:pos="780" w:leader="none"/>
        </w:tabs>
        <w:rPr>
          <w:rFonts w:ascii="Times New Roman" w:hAnsi="Times New Roman" w:eastAsia="宋体" w:cs="Times New Roman"/>
          <w:b w:val="0"/>
          <w:color w:val="000000"/>
          <w:sz w:val="24"/>
          <w:highlight w:val="none"/>
        </w:rPr>
      </w:pPr>
      <w:r>
        <w:rPr>
          <w:rFonts w:ascii="Times New Roman" w:hAnsi="Times New Roman" w:eastAsia="宋体" w:cs="Times New Roman"/>
          <w:b w:val="0"/>
          <w:color w:val="000000"/>
          <w:sz w:val="24"/>
          <w:highlight w:val="none"/>
        </w:rPr>
        <w:t xml:space="preserve">磋商响应函；（格式见附件）；</w:t>
      </w:r>
      <w:r>
        <w:rPr>
          <w:rFonts w:ascii="Times New Roman" w:hAnsi="Times New Roman" w:eastAsia="宋体" w:cs="Times New Roman"/>
          <w:b w:val="0"/>
          <w:color w:val="000000"/>
          <w:sz w:val="24"/>
          <w:highlight w:val="none"/>
        </w:rPr>
      </w:r>
      <w:r/>
    </w:p>
    <w:p>
      <w:pPr>
        <w:pStyle w:val="1026"/>
        <w:numPr>
          <w:ilvl w:val="0"/>
          <w:numId w:val="150"/>
        </w:numPr>
        <w:ind w:left="0" w:firstLine="480"/>
        <w:tabs>
          <w:tab w:val="left" w:pos="780" w:leader="none"/>
        </w:tabs>
        <w:rPr>
          <w:rFonts w:ascii="Times New Roman" w:hAnsi="Times New Roman" w:eastAsia="宋体" w:cs="Times New Roman"/>
          <w:b w:val="0"/>
          <w:sz w:val="24"/>
        </w:rPr>
      </w:pPr>
      <w:r>
        <w:rPr>
          <w:rFonts w:ascii="Times New Roman" w:hAnsi="Times New Roman" w:eastAsia="宋体" w:cs="Times New Roman"/>
          <w:sz w:val="24"/>
        </w:rPr>
        <w:t xml:space="preserve">技术要求响应及偏离表</w:t>
      </w:r>
      <w:r>
        <w:rPr>
          <w:rFonts w:ascii="Times New Roman" w:hAnsi="Times New Roman" w:eastAsia="宋体" w:cs="Times New Roman"/>
          <w:b w:val="0"/>
          <w:sz w:val="24"/>
        </w:rPr>
      </w:r>
      <w:r/>
    </w:p>
    <w:p>
      <w:pPr>
        <w:pStyle w:val="1026"/>
        <w:numPr>
          <w:ilvl w:val="0"/>
          <w:numId w:val="150"/>
        </w:numPr>
        <w:ind w:left="0" w:firstLine="480"/>
        <w:tabs>
          <w:tab w:val="left" w:pos="780" w:leader="none"/>
        </w:tabs>
        <w:rPr>
          <w:rFonts w:ascii="Times New Roman" w:hAnsi="Times New Roman" w:eastAsia="宋体" w:cs="Times New Roman"/>
          <w:b w:val="0"/>
          <w:sz w:val="24"/>
        </w:rPr>
      </w:pPr>
      <w:r>
        <w:rPr>
          <w:rFonts w:ascii="Times New Roman" w:hAnsi="Times New Roman" w:eastAsia="宋体" w:cs="Times New Roman"/>
          <w:sz w:val="24"/>
        </w:rPr>
        <w:t xml:space="preserve">商务要求响应及偏离表</w:t>
      </w:r>
      <w:r>
        <w:rPr>
          <w:rFonts w:ascii="Times New Roman" w:hAnsi="Times New Roman" w:eastAsia="宋体" w:cs="Times New Roman"/>
          <w:b w:val="0"/>
          <w:sz w:val="24"/>
        </w:rPr>
      </w:r>
      <w:r/>
    </w:p>
    <w:p>
      <w:pPr>
        <w:pStyle w:val="1006"/>
        <w:ind w:left="0" w:firstLine="0"/>
        <w:tabs>
          <w:tab w:val="left" w:pos="0" w:leader="none"/>
        </w:tabs>
        <w:rPr>
          <w:highlight w:val="none"/>
        </w:rPr>
      </w:pPr>
      <w:r>
        <w:rPr>
          <w:highlight w:val="none"/>
        </w:rPr>
        <w:t xml:space="preserve">三、商务技术文件</w:t>
      </w:r>
      <w:r>
        <w:rPr>
          <w:highlight w:val="none"/>
        </w:rPr>
      </w:r>
      <w:r/>
    </w:p>
    <w:p>
      <w:pPr>
        <w:pStyle w:val="1026"/>
        <w:numPr>
          <w:ilvl w:val="0"/>
          <w:numId w:val="151"/>
        </w:numPr>
        <w:ind w:left="0" w:firstLine="480"/>
        <w:tabs>
          <w:tab w:val="left" w:pos="7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商务技术评分标准中需提供的相关得分佐证材料；</w:t>
      </w:r>
      <w:r>
        <w:rPr>
          <w:rFonts w:ascii="Times New Roman" w:hAnsi="Times New Roman" w:eastAsia="宋体" w:cs="Times New Roman"/>
          <w:b w:val="0"/>
          <w:color w:val="000000"/>
          <w:sz w:val="24"/>
          <w:highlight w:val="none"/>
        </w:rPr>
      </w:r>
      <w:r/>
    </w:p>
    <w:p>
      <w:pPr>
        <w:pStyle w:val="1026"/>
        <w:numPr>
          <w:ilvl w:val="0"/>
          <w:numId w:val="151"/>
        </w:numPr>
        <w:ind w:left="0" w:firstLine="480"/>
        <w:tabs>
          <w:tab w:val="left" w:pos="7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供应商认为需要提交的其他商务技术材料。</w:t>
      </w:r>
      <w:r>
        <w:rPr>
          <w:rFonts w:ascii="Times New Roman" w:hAnsi="Times New Roman" w:eastAsia="宋体" w:cs="Times New Roman"/>
          <w:b w:val="0"/>
          <w:color w:val="000000"/>
          <w:sz w:val="24"/>
          <w:highlight w:val="none"/>
        </w:rPr>
      </w:r>
      <w:r/>
    </w:p>
    <w:p>
      <w:pPr>
        <w:pStyle w:val="1006"/>
        <w:ind w:left="0" w:firstLine="0"/>
        <w:tabs>
          <w:tab w:val="left" w:pos="0" w:leader="none"/>
        </w:tabs>
        <w:rPr>
          <w:highlight w:val="none"/>
        </w:rPr>
      </w:pPr>
      <w:r>
        <w:rPr>
          <w:highlight w:val="none"/>
        </w:rPr>
        <w:t xml:space="preserve">四、价格文件</w:t>
      </w:r>
      <w:r>
        <w:rPr>
          <w:highlight w:val="none"/>
        </w:rPr>
      </w:r>
      <w:r/>
    </w:p>
    <w:p>
      <w:pPr>
        <w:pStyle w:val="1026"/>
        <w:numPr>
          <w:ilvl w:val="0"/>
          <w:numId w:val="152"/>
        </w:numPr>
        <w:ind w:left="0" w:firstLine="480"/>
        <w:tabs>
          <w:tab w:val="left" w:pos="7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磋商报价表（首轮）（格式见附件）；</w:t>
      </w:r>
      <w:r>
        <w:rPr>
          <w:rFonts w:ascii="Times New Roman" w:hAnsi="Times New Roman" w:eastAsia="宋体" w:cs="Times New Roman"/>
          <w:b w:val="0"/>
          <w:color w:val="000000"/>
          <w:sz w:val="24"/>
          <w:highlight w:val="none"/>
        </w:rPr>
      </w:r>
      <w:r/>
    </w:p>
    <w:p>
      <w:pPr>
        <w:pStyle w:val="1026"/>
        <w:numPr>
          <w:ilvl w:val="0"/>
          <w:numId w:val="152"/>
        </w:numPr>
        <w:ind w:left="0" w:firstLine="480"/>
        <w:tabs>
          <w:tab w:val="left" w:pos="780" w:leader="none"/>
        </w:tabs>
        <w:rPr>
          <w:rFonts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已标价的工程量清单；</w:t>
      </w:r>
      <w:r>
        <w:rPr>
          <w:rFonts w:ascii="Times New Roman" w:hAnsi="Times New Roman" w:eastAsia="宋体" w:cs="Times New Roman"/>
          <w:b w:val="0"/>
          <w:color w:val="000000"/>
          <w:sz w:val="24"/>
          <w:highlight w:val="none"/>
        </w:rPr>
      </w:r>
      <w:r/>
    </w:p>
    <w:p>
      <w:pPr>
        <w:pStyle w:val="1026"/>
        <w:numPr>
          <w:ilvl w:val="0"/>
          <w:numId w:val="152"/>
        </w:numPr>
        <w:ind w:left="0" w:firstLine="480"/>
        <w:tabs>
          <w:tab w:val="left" w:pos="780" w:leader="none"/>
        </w:tabs>
        <w:rPr>
          <w:rFonts w:ascii="Times New Roman" w:hAnsi="Times New Roman" w:eastAsia="宋体" w:cs="Times New Roman"/>
          <w:b w:val="0"/>
          <w:sz w:val="24"/>
        </w:rPr>
      </w:pPr>
      <w:r>
        <w:rPr>
          <w:rFonts w:ascii="Times New Roman" w:hAnsi="Times New Roman" w:eastAsia="宋体" w:cs="Times New Roman"/>
          <w:color w:val="000000"/>
          <w:sz w:val="24"/>
          <w:highlight w:val="none"/>
        </w:rPr>
        <w:t xml:space="preserve">计划投入的主要施工机械设备表、主要施工人员表。</w:t>
      </w:r>
      <w:r>
        <w:rPr>
          <w:rFonts w:ascii="Times New Roman" w:hAnsi="Times New Roman" w:eastAsia="宋体" w:cs="Times New Roman"/>
          <w:b w:val="0"/>
          <w:sz w:val="24"/>
        </w:rPr>
      </w:r>
      <w:r/>
    </w:p>
    <w:p>
      <w:pPr>
        <w:pStyle w:val="1005"/>
        <w:ind w:firstLine="643"/>
        <w:keepLines w:val="0"/>
        <w:keepNext w:val="0"/>
        <w:pageBreakBefore w:val="0"/>
        <w:spacing w:line="440" w:lineRule="exact"/>
        <w:rPr>
          <w:rFonts w:hint="eastAsia" w:ascii="宋体" w:hAnsi="宋体" w:eastAsia="宋体" w:cs="宋体"/>
          <w:color w:val="000000"/>
          <w:sz w:val="24"/>
          <w:szCs w:val="21"/>
          <w:highlight w:val="none"/>
          <w:u w:val="none"/>
        </w:rPr>
      </w:pPr>
      <w:r>
        <w:rPr>
          <w:rFonts w:hint="eastAsia" w:ascii="宋体" w:hAnsi="宋体" w:eastAsia="宋体" w:cs="Times New Roman"/>
          <w:b/>
          <w:bCs/>
          <w:color w:val="000000"/>
          <w:sz w:val="32"/>
          <w:szCs w:val="32"/>
          <w:highlight w:val="none"/>
          <w:lang w:val="zh-CN" w:eastAsia="zh-CN"/>
        </w:rPr>
        <w:t xml:space="preserve">　</w:t>
      </w:r>
      <w:r>
        <w:rPr>
          <w:rFonts w:hint="eastAsia" w:ascii="宋体" w:hAnsi="宋体" w:eastAsia="宋体" w:cs="宋体"/>
          <w:color w:val="000000"/>
          <w:sz w:val="24"/>
          <w:szCs w:val="21"/>
          <w:highlight w:val="none"/>
          <w:u w:val="none"/>
        </w:rPr>
      </w:r>
      <w:r/>
    </w:p>
    <w:p>
      <w:pPr>
        <w:pStyle w:val="100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100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100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100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100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100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100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100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1005"/>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1026"/>
        <w:ind w:left="0" w:firstLine="482"/>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格式附件如下：</w:t>
      </w:r>
      <w:r>
        <w:rPr>
          <w:rFonts w:ascii="Times New Roman" w:hAnsi="Times New Roman" w:eastAsia="宋体" w:cs="Times New Roman"/>
          <w:b/>
          <w:color w:val="000000"/>
          <w:sz w:val="24"/>
          <w:highlight w:val="none"/>
        </w:rPr>
      </w:r>
      <w:r/>
    </w:p>
    <w:p>
      <w:pPr>
        <w:pStyle w:val="1091"/>
        <w:outlineLvl w:val="0"/>
      </w:pPr>
      <w:r>
        <w:br w:type="page" w:clear="all"/>
      </w:r>
      <w:r>
        <w:t xml:space="preserve">附件1：</w:t>
      </w:r>
      <w:r/>
    </w:p>
    <w:p>
      <w:pPr>
        <w:pStyle w:val="1096"/>
      </w:pPr>
      <w:r>
        <w:t xml:space="preserve">磋商报价表</w:t>
      </w:r>
      <w:r/>
    </w:p>
    <w:p>
      <w:pPr>
        <w:pStyle w:val="1026"/>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rPr>
        <w:t xml:space="preserve">本次为首次报价                 货币单位：人民币元</w:t>
      </w:r>
      <w:r>
        <w:rPr>
          <w:rFonts w:ascii="Times New Roman" w:hAnsi="Times New Roman" w:eastAsia="宋体" w:cs="Times New Roman"/>
          <w:sz w:val="24"/>
        </w:rPr>
      </w:r>
      <w:r/>
    </w:p>
    <w:p>
      <w:pPr>
        <w:pStyle w:val="1026"/>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rPr>
        <w:t xml:space="preserve">项目编号：项目编号  </w:t>
      </w:r>
      <w:r>
        <w:rPr>
          <w:rFonts w:ascii="Times New Roman" w:hAnsi="Times New Roman" w:eastAsia="宋体" w:cs="Times New Roman"/>
          <w:sz w:val="24"/>
        </w:rPr>
      </w:r>
      <w:r/>
    </w:p>
    <w:tbl>
      <w:tblPr>
        <w:tblStyle w:val="1045"/>
        <w:tblW w:w="5000" w:type="pct"/>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419"/>
        <w:gridCol w:w="2372"/>
        <w:gridCol w:w="3546"/>
      </w:tblGrid>
      <w:tr>
        <w:trPr/>
        <w:tc>
          <w:tcPr>
            <w:tcMar>
              <w:left w:w="15" w:type="dxa"/>
              <w:top w:w="15" w:type="dxa"/>
              <w:right w:w="15" w:type="dxa"/>
              <w:bottom w:w="15" w:type="dxa"/>
            </w:tcMar>
            <w:tcW w:w="1451" w:type="dxa"/>
            <w:vAlign w:val="center"/>
            <w:textDirection w:val="lrTb"/>
            <w:noWrap w:val="false"/>
          </w:tcPr>
          <w:p>
            <w:pPr>
              <w:pStyle w:val="1005"/>
              <w:ind w:left="0" w:right="0" w:firstLine="0"/>
              <w:spacing w:before="240" w:after="24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rPr>
                <w:rFonts w:hint="eastAsia" w:ascii="宋体" w:hAnsi="宋体" w:eastAsia="宋体" w:cs="宋体"/>
                <w:sz w:val="24"/>
                <w:szCs w:val="24"/>
              </w:rPr>
            </w:r>
            <w:r/>
          </w:p>
        </w:tc>
        <w:tc>
          <w:tcPr>
            <w:tcMar>
              <w:left w:w="15" w:type="dxa"/>
              <w:top w:w="15" w:type="dxa"/>
              <w:right w:w="15" w:type="dxa"/>
              <w:bottom w:w="15" w:type="dxa"/>
            </w:tcMar>
            <w:tcW w:w="1422" w:type="dxa"/>
            <w:vAlign w:val="center"/>
            <w:textDirection w:val="lrTb"/>
            <w:noWrap w:val="false"/>
          </w:tcPr>
          <w:p>
            <w:pPr>
              <w:pStyle w:val="1005"/>
              <w:ind w:left="0" w:right="0" w:firstLine="0"/>
              <w:spacing w:before="240" w:after="24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项目内容</w:t>
            </w:r>
            <w:r>
              <w:rPr>
                <w:rFonts w:hint="eastAsia" w:ascii="宋体" w:hAnsi="宋体" w:eastAsia="宋体" w:cs="宋体"/>
                <w:sz w:val="24"/>
                <w:szCs w:val="24"/>
              </w:rPr>
            </w:r>
            <w:r/>
          </w:p>
        </w:tc>
        <w:tc>
          <w:tcPr>
            <w:tcMar>
              <w:left w:w="15" w:type="dxa"/>
              <w:top w:w="15" w:type="dxa"/>
              <w:right w:w="15" w:type="dxa"/>
              <w:bottom w:w="15" w:type="dxa"/>
            </w:tcMar>
            <w:tcW w:w="2126" w:type="dxa"/>
            <w:vAlign w:val="center"/>
            <w:textDirection w:val="lrTb"/>
            <w:noWrap w:val="false"/>
          </w:tcPr>
          <w:p>
            <w:pPr>
              <w:pStyle w:val="1005"/>
              <w:ind w:left="0" w:right="0" w:firstLine="0"/>
              <w:spacing w:before="240" w:after="24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总价（小写）</w:t>
            </w:r>
            <w:r>
              <w:rPr>
                <w:rFonts w:hint="eastAsia" w:ascii="宋体" w:hAnsi="宋体" w:eastAsia="宋体" w:cs="宋体"/>
                <w:sz w:val="24"/>
                <w:szCs w:val="24"/>
              </w:rPr>
            </w:r>
            <w:r/>
          </w:p>
        </w:tc>
      </w:tr>
      <w:tr>
        <w:trPr/>
        <w:tc>
          <w:tcPr>
            <w:tcMar>
              <w:left w:w="15" w:type="dxa"/>
              <w:top w:w="15" w:type="dxa"/>
              <w:right w:w="15" w:type="dxa"/>
              <w:bottom w:w="15" w:type="dxa"/>
            </w:tcMar>
            <w:tcW w:w="1451" w:type="dxa"/>
            <w:vAlign w:val="center"/>
            <w:textDirection w:val="lrTb"/>
            <w:noWrap w:val="false"/>
          </w:tcPr>
          <w:p>
            <w:pPr>
              <w:pStyle w:val="1005"/>
              <w:ind w:left="0" w:right="0" w:firstLine="0"/>
              <w:spacing w:before="240" w:after="24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  </w:t>
            </w:r>
            <w:r>
              <w:rPr>
                <w:rFonts w:hint="eastAsia" w:ascii="宋体" w:hAnsi="宋体" w:eastAsia="宋体" w:cs="宋体"/>
                <w:sz w:val="24"/>
                <w:szCs w:val="24"/>
              </w:rPr>
            </w:r>
            <w:r/>
          </w:p>
        </w:tc>
        <w:tc>
          <w:tcPr>
            <w:tcMar>
              <w:left w:w="15" w:type="dxa"/>
              <w:top w:w="15" w:type="dxa"/>
              <w:right w:w="15" w:type="dxa"/>
              <w:bottom w:w="15" w:type="dxa"/>
            </w:tcMar>
            <w:tcW w:w="1422" w:type="dxa"/>
            <w:vAlign w:val="center"/>
            <w:textDirection w:val="lrTb"/>
            <w:noWrap w:val="false"/>
          </w:tcPr>
          <w:p>
            <w:pPr>
              <w:pStyle w:val="1005"/>
              <w:ind w:left="0" w:right="0" w:firstLine="0"/>
              <w:spacing w:before="240" w:after="24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详见响应文件</w:t>
            </w:r>
            <w:r>
              <w:rPr>
                <w:rFonts w:hint="eastAsia" w:ascii="宋体" w:hAnsi="宋体" w:eastAsia="宋体" w:cs="宋体"/>
                <w:sz w:val="24"/>
                <w:szCs w:val="24"/>
              </w:rPr>
            </w:r>
            <w:r/>
          </w:p>
        </w:tc>
        <w:tc>
          <w:tcPr>
            <w:tcMar>
              <w:left w:w="15" w:type="dxa"/>
              <w:top w:w="15" w:type="dxa"/>
              <w:right w:w="15" w:type="dxa"/>
              <w:bottom w:w="15" w:type="dxa"/>
            </w:tcMar>
            <w:tcW w:w="2126" w:type="dxa"/>
            <w:vAlign w:val="center"/>
            <w:textDirection w:val="lrTb"/>
            <w:noWrap w:val="false"/>
          </w:tcPr>
          <w:p>
            <w:pPr>
              <w:pStyle w:val="1005"/>
              <w:ind w:left="0" w:right="0" w:firstLine="0"/>
              <w:spacing w:before="240" w:after="24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元</w:t>
            </w:r>
            <w:r>
              <w:rPr>
                <w:rFonts w:hint="eastAsia" w:ascii="宋体" w:hAnsi="宋体" w:eastAsia="宋体" w:cs="宋体"/>
                <w:sz w:val="24"/>
                <w:szCs w:val="24"/>
              </w:rPr>
            </w:r>
            <w:r/>
          </w:p>
        </w:tc>
      </w:tr>
      <w:tr>
        <w:trPr/>
        <w:tc>
          <w:tcPr>
            <w:tcMar>
              <w:left w:w="15" w:type="dxa"/>
              <w:top w:w="15" w:type="dxa"/>
              <w:right w:w="15" w:type="dxa"/>
              <w:bottom w:w="15" w:type="dxa"/>
            </w:tcMar>
            <w:tcW w:w="1451" w:type="dxa"/>
            <w:vAlign w:val="center"/>
            <w:textDirection w:val="lrTb"/>
            <w:noWrap w:val="false"/>
          </w:tcPr>
          <w:p>
            <w:pPr>
              <w:pStyle w:val="1005"/>
              <w:ind w:left="0" w:right="0" w:firstLine="0"/>
              <w:spacing w:before="240" w:after="24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总价（大写）：</w:t>
            </w:r>
            <w:r>
              <w:rPr>
                <w:rFonts w:hint="eastAsia" w:ascii="宋体" w:hAnsi="宋体" w:eastAsia="宋体" w:cs="宋体"/>
                <w:sz w:val="24"/>
                <w:szCs w:val="24"/>
              </w:rPr>
            </w:r>
            <w:r/>
          </w:p>
        </w:tc>
        <w:tc>
          <w:tcPr>
            <w:gridSpan w:val="2"/>
            <w:tcMar>
              <w:left w:w="15" w:type="dxa"/>
              <w:top w:w="15" w:type="dxa"/>
              <w:right w:w="15" w:type="dxa"/>
              <w:bottom w:w="15" w:type="dxa"/>
            </w:tcMar>
            <w:tcW w:w="5918" w:type="dxa"/>
            <w:vAlign w:val="center"/>
            <w:textDirection w:val="lrTb"/>
            <w:noWrap w:val="false"/>
          </w:tcPr>
          <w:p>
            <w:pPr>
              <w:pStyle w:val="1005"/>
              <w:ind w:left="0" w:right="0" w:firstLine="0"/>
              <w:spacing w:before="240" w:after="24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金额大写 </w:t>
            </w:r>
            <w:r>
              <w:rPr>
                <w:rFonts w:hint="eastAsia" w:ascii="宋体" w:hAnsi="宋体" w:eastAsia="宋体" w:cs="宋体"/>
                <w:sz w:val="24"/>
                <w:szCs w:val="24"/>
              </w:rPr>
            </w:r>
            <w:r/>
          </w:p>
        </w:tc>
      </w:tr>
    </w:tbl>
    <w:p>
      <w:pPr>
        <w:pStyle w:val="1026"/>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rPr>
        <w:t xml:space="preserve">报价说明：</w:t>
      </w:r>
      <w:r>
        <w:rPr>
          <w:rFonts w:ascii="Times New Roman" w:hAnsi="Times New Roman" w:eastAsia="宋体" w:cs="Times New Roman"/>
          <w:sz w:val="24"/>
        </w:rPr>
      </w:r>
      <w:r/>
    </w:p>
    <w:p>
      <w:pPr>
        <w:pStyle w:val="1026"/>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rPr>
        <w:t xml:space="preserve">1.报价包括完成项目的所有费用。采购人不再支付报价以外的任何费用。</w:t>
      </w:r>
      <w:r>
        <w:rPr>
          <w:rFonts w:ascii="Times New Roman" w:hAnsi="Times New Roman" w:eastAsia="宋体" w:cs="Times New Roman"/>
          <w:sz w:val="24"/>
        </w:rPr>
      </w:r>
      <w:r/>
    </w:p>
    <w:p>
      <w:pPr>
        <w:pStyle w:val="1026"/>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rPr>
        <w:t xml:space="preserve">2.报价以总价为准，大小写不一致以大写为准；</w:t>
      </w:r>
      <w:r>
        <w:rPr>
          <w:rFonts w:ascii="Times New Roman" w:hAnsi="Times New Roman" w:eastAsia="宋体" w:cs="Times New Roman"/>
          <w:sz w:val="24"/>
        </w:rPr>
      </w:r>
      <w:r/>
    </w:p>
    <w:p>
      <w:pPr>
        <w:pStyle w:val="1026"/>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rPr>
        <w:t xml:space="preserve">3.偏离说明：详见《偏离表》；</w:t>
      </w:r>
      <w:r>
        <w:rPr>
          <w:rFonts w:ascii="Times New Roman" w:hAnsi="Times New Roman" w:eastAsia="宋体" w:cs="Times New Roman"/>
          <w:sz w:val="24"/>
        </w:rPr>
      </w:r>
      <w:r/>
    </w:p>
    <w:p>
      <w:pPr>
        <w:pStyle w:val="1026"/>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rPr>
        <w:t xml:space="preserve">4.如最后报价未列明单价，则最后所报各项单价计算方法为：（最后报价/ 最初报价）* 各项最初报价的单价。</w:t>
      </w:r>
      <w:r>
        <w:rPr>
          <w:rFonts w:ascii="Times New Roman" w:hAnsi="Times New Roman" w:eastAsia="宋体" w:cs="Times New Roman"/>
          <w:sz w:val="24"/>
        </w:rPr>
      </w:r>
      <w:r/>
    </w:p>
    <w:p>
      <w:pPr>
        <w:pStyle w:val="1005"/>
        <w:ind w:left="480" w:right="0" w:firstLine="0"/>
        <w:spacing w:before="240" w:after="120" w:afterAutospacing="0" w:line="360" w:lineRule="auto"/>
        <w:rPr>
          <w:rFonts w:hint="eastAsia"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4"/>
        </w:rPr>
        <w:t xml:space="preserve">响应单位（公章）：</w:t>
      </w:r>
      <w:r>
        <w:rPr>
          <w:rFonts w:hint="eastAsia" w:ascii="Times New Roman" w:hAnsi="Times New Roman" w:eastAsia="宋体" w:cs="Times New Roman"/>
          <w:sz w:val="24"/>
          <w:szCs w:val="24"/>
        </w:rPr>
      </w:r>
      <w:r/>
    </w:p>
    <w:p>
      <w:pPr>
        <w:pStyle w:val="1085"/>
        <w:rPr>
          <w:rFonts w:hint="eastAsia"/>
          <w:color w:val="000000"/>
          <w:lang w:eastAsia="zh-CN"/>
        </w:rPr>
      </w:pPr>
      <w:r>
        <w:rPr>
          <w:rFonts w:hint="eastAsia"/>
          <w:color w:val="000000"/>
          <w:lang w:eastAsia="zh-CN"/>
        </w:rPr>
      </w:r>
      <w:r/>
    </w:p>
    <w:p>
      <w:pPr>
        <w:pStyle w:val="1005"/>
        <w:jc w:val="center"/>
        <w:rPr>
          <w:rFonts w:hint="eastAsia" w:ascii="宋体" w:hAnsi="宋体"/>
          <w:b/>
          <w:color w:val="000000"/>
          <w:sz w:val="30"/>
          <w:szCs w:val="30"/>
          <w:lang w:eastAsia="zh-CN"/>
        </w:rPr>
      </w:pPr>
      <w:r>
        <w:rPr>
          <w:rFonts w:hint="eastAsia" w:ascii="宋体" w:hAnsi="宋体"/>
          <w:b/>
          <w:color w:val="000000"/>
          <w:sz w:val="30"/>
          <w:szCs w:val="30"/>
          <w:lang w:eastAsia="zh-CN"/>
        </w:rPr>
      </w:r>
      <w:r/>
    </w:p>
    <w:p>
      <w:pPr>
        <w:pStyle w:val="1005"/>
        <w:jc w:val="center"/>
        <w:rPr>
          <w:rFonts w:hint="eastAsia" w:ascii="宋体" w:hAnsi="宋体"/>
          <w:b/>
          <w:color w:val="000000"/>
          <w:sz w:val="30"/>
          <w:szCs w:val="30"/>
          <w:lang w:eastAsia="zh-CN"/>
        </w:rPr>
      </w:pPr>
      <w:r>
        <w:rPr>
          <w:rFonts w:hint="eastAsia" w:ascii="宋体" w:hAnsi="宋体"/>
          <w:b/>
          <w:color w:val="000000"/>
          <w:sz w:val="30"/>
          <w:szCs w:val="30"/>
          <w:lang w:eastAsia="zh-CN"/>
        </w:rPr>
      </w:r>
      <w:r/>
    </w:p>
    <w:p>
      <w:pPr>
        <w:pStyle w:val="1005"/>
        <w:jc w:val="center"/>
        <w:rPr>
          <w:rFonts w:hint="eastAsia" w:ascii="宋体" w:hAnsi="宋体"/>
          <w:b/>
          <w:color w:val="000000"/>
          <w:sz w:val="30"/>
          <w:szCs w:val="30"/>
          <w:lang w:eastAsia="zh-CN"/>
        </w:rPr>
      </w:pPr>
      <w:r>
        <w:rPr>
          <w:rFonts w:hint="eastAsia" w:ascii="宋体" w:hAnsi="宋体"/>
          <w:b/>
          <w:color w:val="000000"/>
          <w:sz w:val="30"/>
          <w:szCs w:val="30"/>
          <w:lang w:eastAsia="zh-CN"/>
        </w:rPr>
      </w:r>
      <w:r/>
    </w:p>
    <w:p>
      <w:pPr>
        <w:pStyle w:val="1085"/>
        <w:spacing w:line="360" w:lineRule="auto"/>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85"/>
        <w:spacing w:line="360" w:lineRule="auto"/>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91"/>
        <w:rPr>
          <w:highlight w:val="none"/>
        </w:rPr>
        <w:outlineLvl w:val="0"/>
      </w:pPr>
      <w:r>
        <w:rPr>
          <w:highlight w:val="none"/>
        </w:rPr>
        <w:br w:type="page" w:clear="all"/>
      </w:r>
      <w:r>
        <w:rPr>
          <w:highlight w:val="none"/>
        </w:rPr>
        <w:t xml:space="preserve">附件1：</w:t>
      </w:r>
      <w:r>
        <w:rPr>
          <w:highlight w:val="none"/>
        </w:rPr>
      </w:r>
      <w:r/>
    </w:p>
    <w:p>
      <w:pPr>
        <w:pStyle w:val="1096"/>
        <w:rPr>
          <w:highlight w:val="none"/>
        </w:rPr>
      </w:pPr>
      <w:r>
        <w:rPr>
          <w:highlight w:val="none"/>
        </w:rPr>
        <w:t xml:space="preserve">磋商人符合《中华人民共和国政府采购法》第二十二条规定条件的声明函</w:t>
      </w:r>
      <w:r>
        <w:rPr>
          <w:highlight w:val="none"/>
        </w:rPr>
      </w:r>
      <w:r/>
    </w:p>
    <w:p>
      <w:pPr>
        <w:pStyle w:val="1005"/>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1026"/>
        <w:rPr>
          <w:rFonts w:ascii="Times New Roman" w:hAnsi="Times New Roman" w:eastAsia="宋体" w:cs="Times New Roman"/>
          <w:b/>
          <w:color w:val="000000"/>
          <w:sz w:val="24"/>
          <w:highlight w:val="none"/>
        </w:rPr>
      </w:pPr>
      <w:r>
        <w:rPr>
          <w:rFonts w:ascii="Times New Roman" w:hAnsi="Times New Roman" w:eastAsia="宋体" w:cs="Times New Roman"/>
          <w:color w:val="000000"/>
          <w:sz w:val="24"/>
          <w:highlight w:val="none"/>
        </w:rPr>
        <w:t xml:space="preserve">我单位参加</w:t>
      </w:r>
      <w:r>
        <w:rPr>
          <w:rFonts w:ascii="Times New Roman" w:hAnsi="Times New Roman" w:eastAsia="宋体" w:cs="Times New Roman"/>
          <w:color w:val="000000"/>
          <w:sz w:val="24"/>
          <w:highlight w:val="none"/>
          <w:u w:val="single"/>
        </w:rPr>
        <w:t xml:space="preserve">________________ _</w:t>
      </w:r>
      <w:r>
        <w:rPr>
          <w:rFonts w:ascii="Times New Roman" w:hAnsi="Times New Roman" w:eastAsia="宋体" w:cs="Times New Roman"/>
          <w:color w:val="000000"/>
          <w:sz w:val="24"/>
          <w:highlight w:val="none"/>
        </w:rPr>
        <w:t xml:space="preserve">（项目名称），</w:t>
      </w:r>
      <w:r>
        <w:rPr>
          <w:rFonts w:ascii="Times New Roman" w:hAnsi="Times New Roman" w:eastAsia="宋体" w:cs="Times New Roman"/>
          <w:color w:val="000000"/>
          <w:sz w:val="24"/>
          <w:highlight w:val="none"/>
          <w:u w:val="single"/>
        </w:rPr>
        <w:t xml:space="preserve">_______ __________</w:t>
      </w:r>
      <w:r>
        <w:rPr>
          <w:rFonts w:ascii="Times New Roman" w:hAnsi="Times New Roman" w:eastAsia="宋体" w:cs="Times New Roman"/>
          <w:color w:val="000000"/>
          <w:sz w:val="24"/>
          <w:highlight w:val="none"/>
        </w:rPr>
        <w:t xml:space="preserve">（项目编号）投标活动。针对《中华人民共和国政府采购法》第二十二条规定做出如下声明：</w:t>
      </w:r>
      <w:r>
        <w:rPr>
          <w:rFonts w:ascii="Times New Roman" w:hAnsi="Times New Roman" w:eastAsia="宋体" w:cs="Times New Roman"/>
          <w:b/>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1.我单位具有独立承担民事责任的能力；</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2.我单位具有良好的商业信誉和健全的财务会计制度；</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3.我单位具有履行合同所必需的设备和专业技术能力；</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4.我单位有依法缴纳税收和社会保障资金的良好记录；</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6.我单位满足法律、行政法规规定的其他条件。</w:t>
      </w:r>
      <w:r>
        <w:rPr>
          <w:rFonts w:ascii="Times New Roman" w:hAnsi="Times New Roman" w:eastAsia="宋体" w:cs="Times New Roman"/>
          <w:color w:val="000000"/>
          <w:sz w:val="24"/>
          <w:highlight w:val="none"/>
        </w:rPr>
      </w:r>
      <w:r/>
    </w:p>
    <w:p>
      <w:pPr>
        <w:pStyle w:val="1005"/>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05"/>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05"/>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05"/>
        <w:jc w:val="center"/>
        <w:spacing w:after="120" w:afterAutospacing="0" w:line="360" w:lineRule="auto"/>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t xml:space="preserve">                                             承诺人名称（公章）：</w:t>
      </w:r>
      <w:r>
        <w:rPr>
          <w:rFonts w:hint="eastAsia" w:ascii="Times New Roman" w:hAnsi="Times New Roman" w:eastAsia="宋体" w:cs="Times New Roman"/>
          <w:bCs/>
          <w:color w:val="000000"/>
          <w:sz w:val="24"/>
          <w:szCs w:val="21"/>
          <w:highlight w:val="none"/>
        </w:rPr>
      </w:r>
      <w:r/>
    </w:p>
    <w:p>
      <w:pPr>
        <w:pStyle w:val="1005"/>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05"/>
        <w:jc w:val="right"/>
        <w:spacing w:after="120" w:afterAutospacing="0" w:line="360" w:lineRule="auto"/>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t xml:space="preserve">                                 日期：</w:t>
      </w:r>
      <w:r>
        <w:rPr>
          <w:rFonts w:hint="eastAsia" w:ascii="Times New Roman" w:hAnsi="Times New Roman" w:eastAsia="宋体" w:cs="Times New Roman"/>
          <w:bCs/>
          <w:color w:val="000000"/>
          <w:sz w:val="24"/>
          <w:szCs w:val="21"/>
          <w:highlight w:val="none"/>
          <w:u w:val="single"/>
        </w:rPr>
        <w:t xml:space="preserve">______</w:t>
      </w:r>
      <w:r>
        <w:rPr>
          <w:rFonts w:hint="eastAsia" w:ascii="Times New Roman" w:hAnsi="Times New Roman" w:eastAsia="宋体" w:cs="Times New Roman"/>
          <w:bCs/>
          <w:color w:val="000000"/>
          <w:sz w:val="24"/>
          <w:szCs w:val="21"/>
          <w:highlight w:val="none"/>
        </w:rPr>
        <w:t xml:space="preserve">年</w:t>
      </w:r>
      <w:r>
        <w:rPr>
          <w:rFonts w:hint="eastAsia" w:ascii="Times New Roman" w:hAnsi="Times New Roman" w:eastAsia="宋体" w:cs="Times New Roman"/>
          <w:bCs/>
          <w:color w:val="000000"/>
          <w:sz w:val="24"/>
          <w:szCs w:val="21"/>
          <w:highlight w:val="none"/>
          <w:u w:val="single"/>
        </w:rPr>
        <w:t xml:space="preserve">    </w:t>
      </w:r>
      <w:r>
        <w:rPr>
          <w:rFonts w:hint="eastAsia" w:ascii="Times New Roman" w:hAnsi="Times New Roman" w:eastAsia="宋体" w:cs="Times New Roman"/>
          <w:bCs/>
          <w:color w:val="000000"/>
          <w:sz w:val="24"/>
          <w:szCs w:val="21"/>
          <w:highlight w:val="none"/>
        </w:rPr>
        <w:t xml:space="preserve">月</w:t>
      </w:r>
      <w:r>
        <w:rPr>
          <w:rFonts w:hint="eastAsia" w:ascii="Times New Roman" w:hAnsi="Times New Roman" w:eastAsia="宋体" w:cs="Times New Roman"/>
          <w:bCs/>
          <w:color w:val="000000"/>
          <w:sz w:val="24"/>
          <w:szCs w:val="21"/>
          <w:highlight w:val="none"/>
          <w:u w:val="single"/>
        </w:rPr>
        <w:t xml:space="preserve">    </w:t>
      </w:r>
      <w:r>
        <w:rPr>
          <w:rFonts w:hint="eastAsia" w:ascii="Times New Roman" w:hAnsi="Times New Roman" w:eastAsia="宋体" w:cs="Times New Roman"/>
          <w:bCs/>
          <w:color w:val="000000"/>
          <w:sz w:val="24"/>
          <w:szCs w:val="21"/>
          <w:highlight w:val="none"/>
        </w:rPr>
        <w:t xml:space="preserve">日</w:t>
      </w:r>
      <w:r>
        <w:rPr>
          <w:rFonts w:hint="eastAsia" w:ascii="Times New Roman" w:hAnsi="Times New Roman" w:eastAsia="宋体" w:cs="Times New Roman"/>
          <w:bCs/>
          <w:color w:val="000000"/>
          <w:sz w:val="24"/>
          <w:szCs w:val="21"/>
          <w:highlight w:val="none"/>
        </w:rPr>
      </w:r>
      <w:r/>
    </w:p>
    <w:p>
      <w:pPr>
        <w:pStyle w:val="1005"/>
        <w:rPr>
          <w:rFonts w:hint="eastAsia" w:ascii="宋体" w:hAnsi="宋体"/>
          <w:bCs/>
          <w:color w:val="000000"/>
          <w:sz w:val="24"/>
          <w:szCs w:val="21"/>
          <w:highlight w:val="none"/>
        </w:rPr>
      </w:pPr>
      <w:r>
        <w:rPr>
          <w:rFonts w:eastAsia="方正黑体_GBK"/>
          <w:color w:val="000000"/>
          <w:sz w:val="32"/>
          <w:szCs w:val="32"/>
          <w:highlight w:val="none"/>
        </w:rPr>
        <w:br w:type="page" w:clear="all"/>
      </w:r>
      <w:r>
        <w:rPr>
          <w:rFonts w:hint="eastAsia" w:ascii="宋体" w:hAnsi="宋体"/>
          <w:bCs/>
          <w:color w:val="000000"/>
          <w:sz w:val="24"/>
          <w:szCs w:val="21"/>
          <w:highlight w:val="none"/>
        </w:rPr>
      </w:r>
      <w:r/>
    </w:p>
    <w:p>
      <w:pPr>
        <w:pStyle w:val="1091"/>
        <w:rPr>
          <w:highlight w:val="none"/>
        </w:rPr>
        <w:outlineLvl w:val="0"/>
      </w:pPr>
      <w:r>
        <w:rPr>
          <w:highlight w:val="none"/>
        </w:rPr>
        <w:t xml:space="preserve">附件2</w:t>
      </w:r>
      <w:r>
        <w:rPr>
          <w:highlight w:val="none"/>
        </w:rPr>
      </w:r>
      <w:r/>
    </w:p>
    <w:p>
      <w:pPr>
        <w:pStyle w:val="1096"/>
        <w:rPr>
          <w:highlight w:val="none"/>
        </w:rPr>
      </w:pPr>
      <w:r>
        <w:rPr>
          <w:highlight w:val="none"/>
        </w:rPr>
        <w:t xml:space="preserve">法定代表人身份证明</w:t>
      </w:r>
      <w:r>
        <w:rPr>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t xml:space="preserve">先生/女士： 现任我单位</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t xml:space="preserve">职务，为法定代表人，特此证明。</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rPr>
        <w:t xml:space="preserve">身份证号码：</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u w:val="single"/>
        </w:rPr>
      </w:r>
      <w:r/>
    </w:p>
    <w:p>
      <w:pPr>
        <w:pStyle w:val="1026"/>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注：提供法定代表人的身份证扫描件盖公章</w:t>
      </w:r>
      <w:r>
        <w:rPr>
          <w:rFonts w:ascii="Times New Roman" w:hAnsi="Times New Roman" w:eastAsia="宋体" w:cs="Times New Roman"/>
          <w:b/>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特此证明</w:t>
      </w:r>
      <w:r>
        <w:rPr>
          <w:rFonts w:ascii="Times New Roman" w:hAnsi="Times New Roman" w:eastAsia="宋体" w:cs="Times New Roman"/>
          <w:color w:val="000000"/>
          <w:sz w:val="24"/>
          <w:highlight w:val="none"/>
        </w:rPr>
      </w:r>
      <w:r/>
    </w:p>
    <w:p>
      <w:pPr>
        <w:pStyle w:val="1005"/>
        <w:spacing w:line="560" w:lineRule="exact"/>
        <w:rPr>
          <w:rFonts w:ascii="宋体" w:hAnsi="宋体"/>
          <w:color w:val="000000"/>
          <w:sz w:val="24"/>
          <w:szCs w:val="24"/>
          <w:highlight w:val="none"/>
        </w:rPr>
      </w:pP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349885</wp:posOffset>
                </wp:positionH>
                <wp:positionV relativeFrom="paragraph">
                  <wp:posOffset>71755</wp:posOffset>
                </wp:positionV>
                <wp:extent cx="2240915" cy="11258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1005"/>
                              <w:jc w:val="center"/>
                              <w:rPr>
                                <w:rFonts w:ascii="宋体"/>
                              </w:rPr>
                            </w:pPr>
                            <w:r>
                              <w:rPr>
                                <w:rFonts w:ascii="宋体"/>
                              </w:rPr>
                            </w:r>
                            <w:r/>
                          </w:p>
                          <w:p>
                            <w:pPr>
                              <w:pStyle w:val="1005"/>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1005"/>
                              <w:jc w:val="center"/>
                              <w:rPr>
                                <w:sz w:val="28"/>
                                <w:szCs w:val="28"/>
                              </w:rPr>
                            </w:pPr>
                            <w:r>
                              <w:rPr>
                                <w:rFonts w:hint="eastAsia" w:ascii="宋体" w:hAnsi="宋体"/>
                                <w:sz w:val="28"/>
                                <w:szCs w:val="28"/>
                              </w:rPr>
                              <w:t xml:space="preserve">（正面）</w:t>
                            </w:r>
                            <w:r>
                              <w:rPr>
                                <w:sz w:val="28"/>
                                <w:szCs w:val="28"/>
                              </w:rPr>
                            </w:r>
                            <w:r/>
                          </w:p>
                          <w:p>
                            <w:pPr>
                              <w:pStyle w:val="1005"/>
                            </w:pPr>
                            <w:r/>
                            <w:r/>
                          </w:p>
                          <w:p>
                            <w:pPr>
                              <w:pStyle w:val="1005"/>
                            </w:pPr>
                            <w:r/>
                            <w:r/>
                          </w:p>
                        </w:txbxContent>
                      </wps:txbx>
                      <wps:bodyPr wrap="square" anchor="ctr" upright="1"/>
                    </wps:wsp>
                  </a:graphicData>
                </a:graphic>
              </wp:anchor>
            </w:drawing>
          </mc:Choice>
          <mc:Fallback>
            <w:pict>
              <v:shape id="shape 3" o:spid="_x0000_s3" o:spt="202" type="#_x0000_t202" style="position:absolute;z-index:524288;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1005"/>
                        <w:jc w:val="center"/>
                        <w:rPr>
                          <w:rFonts w:ascii="宋体"/>
                        </w:rPr>
                      </w:pPr>
                      <w:r>
                        <w:rPr>
                          <w:rFonts w:ascii="宋体"/>
                        </w:rPr>
                      </w:r>
                      <w:r/>
                    </w:p>
                    <w:p>
                      <w:pPr>
                        <w:pStyle w:val="1005"/>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1005"/>
                        <w:jc w:val="center"/>
                        <w:rPr>
                          <w:sz w:val="28"/>
                          <w:szCs w:val="28"/>
                        </w:rPr>
                      </w:pPr>
                      <w:r>
                        <w:rPr>
                          <w:rFonts w:hint="eastAsia" w:ascii="宋体" w:hAnsi="宋体"/>
                          <w:sz w:val="28"/>
                          <w:szCs w:val="28"/>
                        </w:rPr>
                        <w:t xml:space="preserve">（正面）</w:t>
                      </w:r>
                      <w:r>
                        <w:rPr>
                          <w:sz w:val="28"/>
                          <w:szCs w:val="28"/>
                        </w:rPr>
                      </w:r>
                      <w:r/>
                    </w:p>
                    <w:p>
                      <w:pPr>
                        <w:pStyle w:val="1005"/>
                      </w:pPr>
                      <w:r/>
                      <w:r/>
                    </w:p>
                    <w:p>
                      <w:pPr>
                        <w:pStyle w:val="1005"/>
                      </w:pPr>
                      <w:r/>
                      <w:r/>
                    </w:p>
                  </w:txbxContent>
                </v:textbox>
              </v:shape>
            </w:pict>
          </mc:Fallback>
        </mc:AlternateContent>
      </w: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2895600</wp:posOffset>
                </wp:positionH>
                <wp:positionV relativeFrom="paragraph">
                  <wp:posOffset>63500</wp:posOffset>
                </wp:positionV>
                <wp:extent cx="2240915" cy="11258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1005"/>
                              <w:jc w:val="center"/>
                              <w:rPr>
                                <w:rFonts w:ascii="宋体"/>
                              </w:rPr>
                            </w:pPr>
                            <w:r>
                              <w:rPr>
                                <w:rFonts w:ascii="宋体"/>
                              </w:rPr>
                            </w:r>
                            <w:r/>
                          </w:p>
                          <w:p>
                            <w:pPr>
                              <w:pStyle w:val="1005"/>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1005"/>
                              <w:jc w:val="center"/>
                              <w:rPr>
                                <w:sz w:val="28"/>
                                <w:szCs w:val="28"/>
                              </w:rPr>
                            </w:pPr>
                            <w:r>
                              <w:rPr>
                                <w:rFonts w:hint="eastAsia" w:ascii="宋体" w:hAnsi="宋体"/>
                                <w:sz w:val="28"/>
                                <w:szCs w:val="28"/>
                              </w:rPr>
                              <w:t xml:space="preserve">（反面）</w:t>
                            </w:r>
                            <w:r>
                              <w:rPr>
                                <w:sz w:val="28"/>
                                <w:szCs w:val="28"/>
                              </w:rPr>
                            </w:r>
                            <w:r/>
                          </w:p>
                          <w:p>
                            <w:pPr>
                              <w:pStyle w:val="1005"/>
                            </w:pPr>
                            <w:r/>
                            <w:r/>
                          </w:p>
                          <w:p>
                            <w:pPr>
                              <w:pStyle w:val="1005"/>
                            </w:pPr>
                            <w:r/>
                            <w:r/>
                          </w:p>
                        </w:txbxContent>
                      </wps:txbx>
                      <wps:bodyPr wrap="square" anchor="ctr" upright="1"/>
                    </wps:wsp>
                  </a:graphicData>
                </a:graphic>
              </wp:anchor>
            </w:drawing>
          </mc:Choice>
          <mc:Fallback>
            <w:pict>
              <v:shape id="shape 4" o:spid="_x0000_s4" o:spt="202" type="#_x0000_t202" style="position:absolute;z-index:251658241;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1005"/>
                        <w:jc w:val="center"/>
                        <w:rPr>
                          <w:rFonts w:ascii="宋体"/>
                        </w:rPr>
                      </w:pPr>
                      <w:r>
                        <w:rPr>
                          <w:rFonts w:ascii="宋体"/>
                        </w:rPr>
                      </w:r>
                      <w:r/>
                    </w:p>
                    <w:p>
                      <w:pPr>
                        <w:pStyle w:val="1005"/>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1005"/>
                        <w:jc w:val="center"/>
                        <w:rPr>
                          <w:sz w:val="28"/>
                          <w:szCs w:val="28"/>
                        </w:rPr>
                      </w:pPr>
                      <w:r>
                        <w:rPr>
                          <w:rFonts w:hint="eastAsia" w:ascii="宋体" w:hAnsi="宋体"/>
                          <w:sz w:val="28"/>
                          <w:szCs w:val="28"/>
                        </w:rPr>
                        <w:t xml:space="preserve">（反面）</w:t>
                      </w:r>
                      <w:r>
                        <w:rPr>
                          <w:sz w:val="28"/>
                          <w:szCs w:val="28"/>
                        </w:rPr>
                      </w:r>
                      <w:r/>
                    </w:p>
                    <w:p>
                      <w:pPr>
                        <w:pStyle w:val="1005"/>
                      </w:pPr>
                      <w:r/>
                      <w:r/>
                    </w:p>
                    <w:p>
                      <w:pPr>
                        <w:pStyle w:val="1005"/>
                      </w:pPr>
                      <w:r/>
                      <w:r/>
                    </w:p>
                  </w:txbxContent>
                </v:textbox>
              </v:shape>
            </w:pict>
          </mc:Fallback>
        </mc:AlternateContent>
      </w:r>
      <w:r>
        <w:rPr>
          <w:rFonts w:ascii="宋体" w:hAnsi="宋体"/>
          <w:color w:val="000000"/>
          <w:sz w:val="24"/>
          <w:szCs w:val="24"/>
          <w:highlight w:val="none"/>
        </w:rPr>
      </w:r>
      <w:r/>
    </w:p>
    <w:p>
      <w:pPr>
        <w:pStyle w:val="1005"/>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1005"/>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1005"/>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1005"/>
        <w:jc w:val="center"/>
        <w:spacing w:after="120" w:afterAutospacing="0"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磋商响应人全称：（盖章）</w:t>
      </w:r>
      <w:r>
        <w:rPr>
          <w:rFonts w:ascii="Times New Roman" w:hAnsi="Times New Roman" w:eastAsia="宋体" w:cs="Times New Roman"/>
          <w:color w:val="000000"/>
          <w:sz w:val="24"/>
          <w:szCs w:val="24"/>
          <w:highlight w:val="none"/>
        </w:rPr>
      </w:r>
      <w:r/>
    </w:p>
    <w:p>
      <w:pPr>
        <w:pStyle w:val="1005"/>
        <w:jc w:val="center"/>
        <w:spacing w:after="120" w:afterAutospacing="0"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年  月  日</w:t>
      </w:r>
      <w:r>
        <w:rPr>
          <w:rFonts w:ascii="Times New Roman" w:hAnsi="Times New Roman" w:eastAsia="宋体" w:cs="Times New Roman"/>
          <w:color w:val="000000"/>
          <w:sz w:val="24"/>
          <w:szCs w:val="24"/>
          <w:highlight w:val="none"/>
        </w:rPr>
      </w:r>
      <w:r/>
    </w:p>
    <w:p>
      <w:pPr>
        <w:pStyle w:val="1091"/>
        <w:rPr>
          <w:highlight w:val="none"/>
        </w:rPr>
        <w:outlineLvl w:val="0"/>
      </w:pPr>
      <w:r>
        <w:rPr>
          <w:highlight w:val="none"/>
        </w:rPr>
        <w:br w:type="page" w:clear="all"/>
      </w:r>
      <w:r>
        <w:rPr>
          <w:highlight w:val="none"/>
        </w:rPr>
        <w:t xml:space="preserve">附件3</w:t>
      </w:r>
      <w:r>
        <w:rPr>
          <w:highlight w:val="none"/>
        </w:rPr>
      </w:r>
      <w:r/>
    </w:p>
    <w:p>
      <w:pPr>
        <w:pStyle w:val="1096"/>
        <w:rPr>
          <w:highlight w:val="none"/>
        </w:rPr>
      </w:pPr>
      <w:r>
        <w:rPr>
          <w:highlight w:val="none"/>
        </w:rPr>
        <w:t xml:space="preserve">法定代表人授权委托书</w:t>
      </w:r>
      <w:r>
        <w:rPr>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本人------（姓名）系————（授权单位名称）的法定代表人，现委托-------（姓名）（身份证号——————）为我方代理人，以我方名义全权处理与本次采购项目（编号：----------）有关的一切事务，其法律后果由我方承担。</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本授权书于---年---月---日起生效。代理人无转委托权。</w:t>
      </w:r>
      <w:r>
        <w:rPr>
          <w:rFonts w:ascii="Times New Roman" w:hAnsi="Times New Roman" w:eastAsia="宋体" w:cs="Times New Roman"/>
          <w:color w:val="000000"/>
          <w:sz w:val="24"/>
          <w:highlight w:val="none"/>
        </w:rPr>
      </w:r>
      <w:r/>
    </w:p>
    <w:p>
      <w:pPr>
        <w:pStyle w:val="1005"/>
        <w:ind w:firstLine="360"/>
        <w:spacing w:after="120" w:afterAutospacing="0"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代理人</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被授权人</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r>
      <w:r/>
    </w:p>
    <w:p>
      <w:pPr>
        <w:pStyle w:val="1005"/>
        <w:ind w:firstLine="360"/>
        <w:spacing w:after="120" w:afterAutospacing="0"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授权单位名称（盖章）：-----</w:t>
      </w:r>
      <w:r>
        <w:rPr>
          <w:rFonts w:hint="eastAsia" w:ascii="Times New Roman" w:hAnsi="Times New Roman" w:eastAsia="宋体" w:cs="Times New Roman"/>
          <w:color w:val="000000"/>
          <w:sz w:val="24"/>
          <w:highlight w:val="none"/>
        </w:rPr>
      </w:r>
      <w:r/>
    </w:p>
    <w:p>
      <w:pPr>
        <w:pStyle w:val="1005"/>
        <w:ind w:firstLine="360"/>
        <w:spacing w:after="120" w:afterAutospacing="0"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授权单位法定代表人（签字或盖章）：-----</w:t>
      </w:r>
      <w:r>
        <w:rPr>
          <w:rFonts w:hint="eastAsia" w:ascii="Times New Roman" w:hAnsi="Times New Roman" w:eastAsia="宋体" w:cs="Times New Roman"/>
          <w:color w:val="000000"/>
          <w:sz w:val="24"/>
          <w:highlight w:val="none"/>
        </w:rPr>
      </w:r>
      <w:r/>
    </w:p>
    <w:p>
      <w:pPr>
        <w:pStyle w:val="108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05"/>
        <w:jc w:val="right"/>
        <w:spacing w:after="120" w:afterAutospacing="0"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年   月   日</w:t>
      </w:r>
      <w:r>
        <w:rPr>
          <w:rFonts w:hint="eastAsia" w:ascii="Times New Roman" w:hAnsi="Times New Roman" w:eastAsia="宋体" w:cs="Times New Roman"/>
          <w:color w:val="000000"/>
          <w:sz w:val="24"/>
          <w:highlight w:val="none"/>
        </w:rPr>
      </w:r>
      <w:r/>
    </w:p>
    <w:p>
      <w:pPr>
        <w:pStyle w:val="1026"/>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注：提供磋商代表本人身份证扫描件盖公章</w:t>
      </w:r>
      <w:r>
        <w:rPr>
          <w:rFonts w:ascii="Times New Roman" w:hAnsi="Times New Roman" w:eastAsia="宋体" w:cs="Times New Roman"/>
          <w:b/>
          <w:color w:val="000000"/>
          <w:sz w:val="24"/>
          <w:highlight w:val="none"/>
        </w:rPr>
      </w:r>
      <w:r/>
    </w:p>
    <w:p>
      <w:pPr>
        <w:pStyle w:val="1005"/>
        <w:ind w:firstLine="573"/>
        <w:spacing w:line="560" w:lineRule="exact"/>
        <w:rPr>
          <w:rFonts w:ascii="宋体" w:hAnsi="宋体"/>
          <w:color w:val="000000"/>
          <w:sz w:val="24"/>
          <w:szCs w:val="24"/>
          <w:highlight w:val="none"/>
        </w:rPr>
      </w:pP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1005"/>
                              <w:jc w:val="center"/>
                              <w:rPr>
                                <w:rFonts w:ascii="宋体"/>
                              </w:rPr>
                            </w:pPr>
                            <w:r>
                              <w:rPr>
                                <w:rFonts w:ascii="宋体"/>
                              </w:rPr>
                            </w:r>
                            <w:r/>
                          </w:p>
                          <w:p>
                            <w:pPr>
                              <w:pStyle w:val="1005"/>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1005"/>
                              <w:jc w:val="center"/>
                              <w:rPr>
                                <w:sz w:val="28"/>
                                <w:szCs w:val="28"/>
                              </w:rPr>
                            </w:pPr>
                            <w:r>
                              <w:rPr>
                                <w:rFonts w:hint="eastAsia" w:ascii="宋体" w:hAnsi="宋体"/>
                                <w:sz w:val="28"/>
                                <w:szCs w:val="28"/>
                              </w:rPr>
                              <w:t xml:space="preserve">（反面）</w:t>
                            </w:r>
                            <w:r>
                              <w:rPr>
                                <w:sz w:val="28"/>
                                <w:szCs w:val="28"/>
                              </w:rPr>
                            </w:r>
                            <w:r/>
                          </w:p>
                          <w:p>
                            <w:pPr>
                              <w:pStyle w:val="1005"/>
                            </w:pPr>
                            <w:r/>
                            <w:r/>
                          </w:p>
                          <w:p>
                            <w:pPr>
                              <w:pStyle w:val="1005"/>
                            </w:pPr>
                            <w:r/>
                            <w:r/>
                          </w:p>
                        </w:txbxContent>
                      </wps:txbx>
                      <wps:bodyPr wrap="square" anchor="ctr" upright="1"/>
                    </wps:wsp>
                  </a:graphicData>
                </a:graphic>
              </wp:anchor>
            </w:drawing>
          </mc:Choice>
          <mc:Fallback>
            <w:pict>
              <v:shape id="shape 5" o:spid="_x0000_s5" o:spt="202" type="#_x0000_t202" style="position:absolute;z-index:251658242;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1005"/>
                        <w:jc w:val="center"/>
                        <w:rPr>
                          <w:rFonts w:ascii="宋体"/>
                        </w:rPr>
                      </w:pPr>
                      <w:r>
                        <w:rPr>
                          <w:rFonts w:ascii="宋体"/>
                        </w:rPr>
                      </w:r>
                      <w:r/>
                    </w:p>
                    <w:p>
                      <w:pPr>
                        <w:pStyle w:val="1005"/>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1005"/>
                        <w:jc w:val="center"/>
                        <w:rPr>
                          <w:sz w:val="28"/>
                          <w:szCs w:val="28"/>
                        </w:rPr>
                      </w:pPr>
                      <w:r>
                        <w:rPr>
                          <w:rFonts w:hint="eastAsia" w:ascii="宋体" w:hAnsi="宋体"/>
                          <w:sz w:val="28"/>
                          <w:szCs w:val="28"/>
                        </w:rPr>
                        <w:t xml:space="preserve">（反面）</w:t>
                      </w:r>
                      <w:r>
                        <w:rPr>
                          <w:sz w:val="28"/>
                          <w:szCs w:val="28"/>
                        </w:rPr>
                      </w:r>
                      <w:r/>
                    </w:p>
                    <w:p>
                      <w:pPr>
                        <w:pStyle w:val="1005"/>
                      </w:pPr>
                      <w:r/>
                      <w:r/>
                    </w:p>
                    <w:p>
                      <w:pPr>
                        <w:pStyle w:val="1005"/>
                      </w:pPr>
                      <w:r/>
                      <w:r/>
                    </w:p>
                  </w:txbxContent>
                </v:textbox>
              </v:shape>
            </w:pict>
          </mc:Fallback>
        </mc:AlternateContent>
      </w: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388620</wp:posOffset>
                </wp:positionH>
                <wp:positionV relativeFrom="paragraph">
                  <wp:posOffset>117475</wp:posOffset>
                </wp:positionV>
                <wp:extent cx="2240915" cy="11258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1005"/>
                              <w:jc w:val="center"/>
                              <w:rPr>
                                <w:rFonts w:ascii="宋体"/>
                              </w:rPr>
                            </w:pPr>
                            <w:r>
                              <w:rPr>
                                <w:rFonts w:ascii="宋体"/>
                              </w:rPr>
                            </w:r>
                            <w:r/>
                          </w:p>
                          <w:p>
                            <w:pPr>
                              <w:pStyle w:val="1005"/>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1005"/>
                              <w:jc w:val="center"/>
                              <w:rPr>
                                <w:sz w:val="28"/>
                                <w:szCs w:val="28"/>
                              </w:rPr>
                            </w:pPr>
                            <w:r>
                              <w:rPr>
                                <w:rFonts w:hint="eastAsia" w:ascii="宋体" w:hAnsi="宋体"/>
                                <w:sz w:val="28"/>
                                <w:szCs w:val="28"/>
                              </w:rPr>
                              <w:t xml:space="preserve">（正面）</w:t>
                            </w:r>
                            <w:r>
                              <w:rPr>
                                <w:sz w:val="28"/>
                                <w:szCs w:val="28"/>
                              </w:rPr>
                            </w:r>
                            <w:r/>
                          </w:p>
                          <w:p>
                            <w:pPr>
                              <w:pStyle w:val="1005"/>
                            </w:pPr>
                            <w:r/>
                            <w:r/>
                          </w:p>
                          <w:p>
                            <w:pPr>
                              <w:pStyle w:val="1005"/>
                            </w:pPr>
                            <w:r/>
                            <w:r/>
                          </w:p>
                        </w:txbxContent>
                      </wps:txbx>
                      <wps:bodyPr wrap="square" anchor="ctr" upright="1"/>
                    </wps:wsp>
                  </a:graphicData>
                </a:graphic>
              </wp:anchor>
            </w:drawing>
          </mc:Choice>
          <mc:Fallback>
            <w:pict>
              <v:shape id="shape 6" o:spid="_x0000_s6" o:spt="202" type="#_x0000_t202" style="position:absolute;z-index:251658243;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1005"/>
                        <w:jc w:val="center"/>
                        <w:rPr>
                          <w:rFonts w:ascii="宋体"/>
                        </w:rPr>
                      </w:pPr>
                      <w:r>
                        <w:rPr>
                          <w:rFonts w:ascii="宋体"/>
                        </w:rPr>
                      </w:r>
                      <w:r/>
                    </w:p>
                    <w:p>
                      <w:pPr>
                        <w:pStyle w:val="1005"/>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1005"/>
                        <w:jc w:val="center"/>
                        <w:rPr>
                          <w:sz w:val="28"/>
                          <w:szCs w:val="28"/>
                        </w:rPr>
                      </w:pPr>
                      <w:r>
                        <w:rPr>
                          <w:rFonts w:hint="eastAsia" w:ascii="宋体" w:hAnsi="宋体"/>
                          <w:sz w:val="28"/>
                          <w:szCs w:val="28"/>
                        </w:rPr>
                        <w:t xml:space="preserve">（正面）</w:t>
                      </w:r>
                      <w:r>
                        <w:rPr>
                          <w:sz w:val="28"/>
                          <w:szCs w:val="28"/>
                        </w:rPr>
                      </w:r>
                      <w:r/>
                    </w:p>
                    <w:p>
                      <w:pPr>
                        <w:pStyle w:val="1005"/>
                      </w:pPr>
                      <w:r/>
                      <w:r/>
                    </w:p>
                    <w:p>
                      <w:pPr>
                        <w:pStyle w:val="1005"/>
                      </w:pPr>
                      <w:r/>
                      <w:r/>
                    </w:p>
                  </w:txbxContent>
                </v:textbox>
              </v:shape>
            </w:pict>
          </mc:Fallback>
        </mc:AlternateContent>
      </w:r>
      <w:r>
        <w:rPr>
          <w:rFonts w:ascii="宋体" w:hAnsi="宋体"/>
          <w:color w:val="000000"/>
          <w:sz w:val="24"/>
          <w:szCs w:val="24"/>
          <w:highlight w:val="none"/>
        </w:rPr>
      </w:r>
      <w:r/>
    </w:p>
    <w:p>
      <w:pPr>
        <w:pStyle w:val="1005"/>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05"/>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05"/>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05"/>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1091"/>
        <w:rPr>
          <w:highlight w:val="none"/>
        </w:rPr>
        <w:outlineLvl w:val="0"/>
      </w:pPr>
      <w:r>
        <w:rPr>
          <w:highlight w:val="none"/>
        </w:rPr>
        <w:br w:type="page" w:clear="all"/>
      </w:r>
      <w:r>
        <w:rPr>
          <w:highlight w:val="none"/>
        </w:rPr>
        <w:t xml:space="preserve">附件4</w:t>
      </w:r>
      <w:r>
        <w:rPr>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b w:val="0"/>
          <w:color w:val="000000"/>
          <w:sz w:val="24"/>
          <w:highlight w:val="none"/>
        </w:rPr>
        <w:t xml:space="preserve">供应商提供</w:t>
      </w:r>
      <w:r>
        <w:rPr>
          <w:rFonts w:ascii="Times New Roman" w:hAnsi="Times New Roman" w:eastAsia="宋体" w:cs="Times New Roman"/>
          <w:b w:val="0"/>
          <w:color w:val="000000"/>
          <w:sz w:val="24"/>
          <w:highlight w:val="none"/>
          <w:u w:val="single"/>
        </w:rPr>
        <w:t xml:space="preserve">2024</w:t>
      </w:r>
      <w:r>
        <w:rPr>
          <w:rFonts w:ascii="Times New Roman" w:hAnsi="Times New Roman" w:eastAsia="宋体" w:cs="Times New Roman"/>
          <w:b w:val="0"/>
          <w:color w:val="000000"/>
          <w:sz w:val="24"/>
          <w:highlight w:val="none"/>
        </w:rPr>
        <w:t xml:space="preserve">年度由会计师事务所（或者审计机构）出具的完整的财务报告</w:t>
      </w:r>
      <w:r>
        <w:rPr>
          <w:rFonts w:ascii="Times New Roman" w:hAnsi="Times New Roman" w:eastAsia="宋体" w:cs="Times New Roman"/>
          <w:color w:val="000000"/>
          <w:sz w:val="24"/>
          <w:highlight w:val="none"/>
        </w:rPr>
        <w:t xml:space="preserve">或投标截止时间前三个月（不含投标截止时间当月）中至少一个月的银行资信证明；（成立不满一年不需提供）</w:t>
      </w:r>
      <w:r>
        <w:rPr>
          <w:rFonts w:ascii="Times New Roman" w:hAnsi="Times New Roman" w:eastAsia="宋体" w:cs="Times New Roman"/>
          <w:color w:val="000000"/>
          <w:sz w:val="24"/>
          <w:highlight w:val="none"/>
        </w:rPr>
      </w:r>
      <w:r/>
    </w:p>
    <w:p>
      <w:pPr>
        <w:pStyle w:val="1005"/>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05"/>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91"/>
        <w:rPr>
          <w:highlight w:val="none"/>
        </w:rPr>
        <w:outlineLvl w:val="0"/>
      </w:pPr>
      <w:r>
        <w:rPr>
          <w:highlight w:val="none"/>
        </w:rPr>
        <w:br w:type="page" w:clear="all"/>
      </w:r>
      <w:r>
        <w:rPr>
          <w:highlight w:val="none"/>
        </w:rPr>
        <w:t xml:space="preserve">附件5</w:t>
      </w:r>
      <w:r>
        <w:rPr>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ascii="Times New Roman" w:hAnsi="Times New Roman" w:eastAsia="宋体" w:cs="Times New Roman"/>
          <w:color w:val="000000"/>
          <w:sz w:val="24"/>
          <w:highlight w:val="none"/>
        </w:rPr>
      </w:r>
      <w:r/>
    </w:p>
    <w:p>
      <w:pPr>
        <w:pStyle w:val="1005"/>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1005"/>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1091"/>
        <w:rPr>
          <w:highlight w:val="none"/>
        </w:rPr>
        <w:outlineLvl w:val="0"/>
      </w:pPr>
      <w:r>
        <w:rPr>
          <w:highlight w:val="none"/>
        </w:rPr>
        <w:br w:type="page" w:clear="all"/>
      </w:r>
      <w:r>
        <w:rPr>
          <w:highlight w:val="none"/>
        </w:rPr>
        <w:t xml:space="preserve">附件6</w:t>
      </w:r>
      <w:r>
        <w:rPr>
          <w:highlight w:val="none"/>
        </w:rPr>
      </w:r>
      <w:r/>
    </w:p>
    <w:p>
      <w:pPr>
        <w:pStyle w:val="1096"/>
        <w:rPr>
          <w:highlight w:val="none"/>
        </w:rPr>
      </w:pPr>
      <w:r>
        <w:rPr>
          <w:highlight w:val="none"/>
        </w:rPr>
        <w:t xml:space="preserve">具备履行合同所必需的设备和专业技术能力的书面声明</w:t>
      </w:r>
      <w:r>
        <w:rPr>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主要设备有：</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主要专业技术能力有：</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1005"/>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05"/>
        <w:jc w:val="center"/>
        <w:spacing w:after="120" w:afterAutospacing="0" w:line="360" w:lineRule="auto"/>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szCs w:val="21"/>
          <w:highlight w:val="none"/>
          <w:lang w:val="en-US" w:eastAsia="zh-CN"/>
        </w:rPr>
        <w:t xml:space="preserve">                      </w:t>
      </w:r>
      <w:r>
        <w:rPr>
          <w:rFonts w:hint="eastAsia" w:ascii="Times New Roman" w:hAnsi="Times New Roman" w:eastAsia="宋体" w:cs="Times New Roman"/>
          <w:bCs/>
          <w:color w:val="000000"/>
          <w:sz w:val="24"/>
          <w:szCs w:val="21"/>
          <w:highlight w:val="none"/>
          <w:lang w:eastAsia="zh-CN"/>
        </w:rPr>
        <w:t xml:space="preserve">供应商</w:t>
      </w:r>
      <w:r>
        <w:rPr>
          <w:rFonts w:hint="eastAsia" w:ascii="Times New Roman" w:hAnsi="Times New Roman" w:eastAsia="宋体" w:cs="Times New Roman"/>
          <w:bCs/>
          <w:color w:val="000000"/>
          <w:sz w:val="24"/>
          <w:highlight w:val="none"/>
        </w:rPr>
        <w:t xml:space="preserve">名称（公章）：</w:t>
      </w:r>
      <w:r>
        <w:rPr>
          <w:rFonts w:hint="eastAsia" w:ascii="Times New Roman" w:hAnsi="Times New Roman" w:eastAsia="宋体" w:cs="Times New Roman"/>
          <w:bCs/>
          <w:color w:val="000000"/>
          <w:sz w:val="24"/>
          <w:highlight w:val="none"/>
        </w:rPr>
      </w:r>
      <w:r/>
    </w:p>
    <w:p>
      <w:pPr>
        <w:pStyle w:val="1005"/>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05"/>
        <w:spacing w:after="120" w:afterAutospacing="0" w:line="360" w:lineRule="auto"/>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highlight w:val="none"/>
        </w:rPr>
        <w:t xml:space="preserve">                                 </w:t>
      </w:r>
      <w:r>
        <w:rPr>
          <w:rFonts w:hint="eastAsia" w:ascii="Times New Roman" w:hAnsi="Times New Roman" w:eastAsia="宋体" w:cs="Times New Roman"/>
          <w:bCs/>
          <w:color w:val="000000"/>
          <w:sz w:val="24"/>
          <w:highlight w:val="none"/>
          <w:lang w:val="en-US" w:eastAsia="zh-CN"/>
        </w:rPr>
        <w:t xml:space="preserve">        </w:t>
      </w:r>
      <w:r>
        <w:rPr>
          <w:rFonts w:hint="eastAsia" w:ascii="Times New Roman" w:hAnsi="Times New Roman" w:eastAsia="宋体" w:cs="Times New Roman"/>
          <w:bCs/>
          <w:color w:val="000000"/>
          <w:sz w:val="24"/>
          <w:highlight w:val="none"/>
        </w:rPr>
        <w:t xml:space="preserve">日期：</w:t>
      </w:r>
      <w:r>
        <w:rPr>
          <w:rFonts w:hint="eastAsia" w:ascii="Times New Roman" w:hAnsi="Times New Roman" w:eastAsia="宋体" w:cs="Times New Roman"/>
          <w:bCs/>
          <w:color w:val="000000"/>
          <w:sz w:val="24"/>
          <w:highlight w:val="none"/>
          <w:u w:val="single"/>
        </w:rPr>
        <w:t xml:space="preserve">     </w:t>
      </w:r>
      <w:r>
        <w:rPr>
          <w:rFonts w:hint="eastAsia" w:ascii="Times New Roman" w:hAnsi="Times New Roman" w:eastAsia="宋体" w:cs="Times New Roman"/>
          <w:bCs/>
          <w:color w:val="000000"/>
          <w:sz w:val="24"/>
          <w:highlight w:val="none"/>
        </w:rPr>
        <w:t xml:space="preserve">年</w:t>
      </w:r>
      <w:r>
        <w:rPr>
          <w:rFonts w:hint="eastAsia" w:ascii="Times New Roman" w:hAnsi="Times New Roman" w:eastAsia="宋体" w:cs="Times New Roman"/>
          <w:bCs/>
          <w:color w:val="000000"/>
          <w:sz w:val="24"/>
          <w:highlight w:val="none"/>
          <w:u w:val="single"/>
        </w:rPr>
        <w:t xml:space="preserve">    </w:t>
      </w:r>
      <w:r>
        <w:rPr>
          <w:rFonts w:hint="eastAsia" w:ascii="Times New Roman" w:hAnsi="Times New Roman" w:eastAsia="宋体" w:cs="Times New Roman"/>
          <w:bCs/>
          <w:color w:val="000000"/>
          <w:sz w:val="24"/>
          <w:highlight w:val="none"/>
        </w:rPr>
        <w:t xml:space="preserve">月</w:t>
      </w:r>
      <w:r>
        <w:rPr>
          <w:rFonts w:hint="eastAsia" w:ascii="Times New Roman" w:hAnsi="Times New Roman" w:eastAsia="宋体" w:cs="Times New Roman"/>
          <w:bCs/>
          <w:color w:val="000000"/>
          <w:sz w:val="24"/>
          <w:highlight w:val="none"/>
          <w:u w:val="single"/>
        </w:rPr>
        <w:t xml:space="preserve">    </w:t>
      </w:r>
      <w:r>
        <w:rPr>
          <w:rFonts w:hint="eastAsia" w:ascii="Times New Roman" w:hAnsi="Times New Roman" w:eastAsia="宋体" w:cs="Times New Roman"/>
          <w:bCs/>
          <w:color w:val="000000"/>
          <w:sz w:val="24"/>
          <w:highlight w:val="none"/>
        </w:rPr>
        <w:t xml:space="preserve">日</w:t>
      </w:r>
      <w:r>
        <w:rPr>
          <w:rFonts w:hint="eastAsia" w:ascii="Times New Roman" w:hAnsi="Times New Roman" w:eastAsia="宋体" w:cs="Times New Roman"/>
          <w:bCs/>
          <w:color w:val="000000"/>
          <w:sz w:val="24"/>
          <w:szCs w:val="21"/>
          <w:highlight w:val="none"/>
        </w:rPr>
      </w:r>
      <w:r/>
    </w:p>
    <w:p>
      <w:pPr>
        <w:pStyle w:val="1005"/>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91"/>
        <w:rPr>
          <w:highlight w:val="none"/>
        </w:rPr>
        <w:outlineLvl w:val="0"/>
      </w:pPr>
      <w:r>
        <w:rPr>
          <w:highlight w:val="none"/>
        </w:rPr>
        <w:br w:type="page" w:clear="all"/>
      </w:r>
      <w:r>
        <w:rPr>
          <w:highlight w:val="none"/>
        </w:rPr>
        <w:t xml:space="preserve">附件7         </w:t>
      </w:r>
      <w:r>
        <w:rPr>
          <w:highlight w:val="none"/>
        </w:rPr>
      </w:r>
      <w:r/>
    </w:p>
    <w:p>
      <w:pPr>
        <w:pStyle w:val="1096"/>
        <w:rPr>
          <w:highlight w:val="none"/>
        </w:rPr>
      </w:pPr>
      <w:r>
        <w:rPr>
          <w:highlight w:val="none"/>
        </w:rPr>
        <w:t xml:space="preserve">参加政府采购活动前 3 年内在经营活动中没有重大违法记录的书面声明</w:t>
      </w:r>
      <w:r>
        <w:rPr>
          <w:highlight w:val="none"/>
        </w:rPr>
      </w:r>
      <w:r/>
    </w:p>
    <w:p>
      <w:pPr>
        <w:pStyle w:val="1005"/>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1096"/>
        <w:rPr>
          <w:highlight w:val="none"/>
        </w:rPr>
      </w:pPr>
      <w:r>
        <w:rPr>
          <w:highlight w:val="none"/>
        </w:rPr>
        <w:t xml:space="preserve">声  明</w:t>
      </w:r>
      <w:r>
        <w:rPr>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Times New Roman" w:hAnsi="Times New Roman" w:eastAsia="宋体" w:cs="Times New Roman"/>
          <w:color w:val="000000"/>
          <w:sz w:val="24"/>
          <w:highlight w:val="none"/>
        </w:rPr>
      </w:r>
      <w:r/>
    </w:p>
    <w:p>
      <w:pPr>
        <w:pStyle w:val="1005"/>
        <w:jc w:val="center"/>
        <w:spacing w:after="120" w:afterAutospacing="0" w:line="360" w:lineRule="auto"/>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szCs w:val="21"/>
          <w:highlight w:val="none"/>
          <w:lang w:val="en-US" w:eastAsia="zh-CN"/>
        </w:rPr>
        <w:t xml:space="preserve">                      </w:t>
      </w:r>
      <w:r>
        <w:rPr>
          <w:rFonts w:hint="eastAsia" w:ascii="Times New Roman" w:hAnsi="Times New Roman" w:eastAsia="宋体" w:cs="Times New Roman"/>
          <w:bCs/>
          <w:color w:val="000000"/>
          <w:sz w:val="24"/>
          <w:szCs w:val="21"/>
          <w:highlight w:val="none"/>
          <w:lang w:eastAsia="zh-CN"/>
        </w:rPr>
        <w:t xml:space="preserve">供应商</w:t>
      </w:r>
      <w:r>
        <w:rPr>
          <w:rFonts w:hint="eastAsia" w:ascii="Times New Roman" w:hAnsi="Times New Roman" w:eastAsia="宋体" w:cs="Times New Roman"/>
          <w:bCs/>
          <w:color w:val="000000"/>
          <w:sz w:val="24"/>
          <w:highlight w:val="none"/>
        </w:rPr>
        <w:t xml:space="preserve">名称（公章）：</w:t>
      </w:r>
      <w:r>
        <w:rPr>
          <w:rFonts w:hint="eastAsia" w:ascii="Times New Roman" w:hAnsi="Times New Roman" w:eastAsia="宋体" w:cs="Times New Roman"/>
          <w:bCs/>
          <w:color w:val="000000"/>
          <w:sz w:val="24"/>
          <w:highlight w:val="none"/>
        </w:rPr>
      </w:r>
      <w:r/>
    </w:p>
    <w:p>
      <w:pPr>
        <w:pStyle w:val="1005"/>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05"/>
        <w:spacing w:after="120" w:afterAutospacing="0" w:line="360" w:lineRule="auto"/>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highlight w:val="none"/>
        </w:rPr>
        <w:t xml:space="preserve">                                 </w:t>
      </w:r>
      <w:r>
        <w:rPr>
          <w:rFonts w:hint="eastAsia" w:ascii="Times New Roman" w:hAnsi="Times New Roman" w:eastAsia="宋体" w:cs="Times New Roman"/>
          <w:bCs/>
          <w:color w:val="000000"/>
          <w:sz w:val="24"/>
          <w:highlight w:val="none"/>
          <w:lang w:val="en-US" w:eastAsia="zh-CN"/>
        </w:rPr>
        <w:t xml:space="preserve">        </w:t>
      </w:r>
      <w:r>
        <w:rPr>
          <w:rFonts w:hint="eastAsia" w:ascii="Times New Roman" w:hAnsi="Times New Roman" w:eastAsia="宋体" w:cs="Times New Roman"/>
          <w:bCs/>
          <w:color w:val="000000"/>
          <w:sz w:val="24"/>
          <w:highlight w:val="none"/>
        </w:rPr>
        <w:t xml:space="preserve">日期：</w:t>
      </w:r>
      <w:r>
        <w:rPr>
          <w:rFonts w:hint="eastAsia" w:ascii="Times New Roman" w:hAnsi="Times New Roman" w:eastAsia="宋体" w:cs="Times New Roman"/>
          <w:bCs/>
          <w:color w:val="000000"/>
          <w:sz w:val="24"/>
          <w:highlight w:val="none"/>
          <w:u w:val="single"/>
        </w:rPr>
        <w:t xml:space="preserve">     </w:t>
      </w:r>
      <w:r>
        <w:rPr>
          <w:rFonts w:hint="eastAsia" w:ascii="Times New Roman" w:hAnsi="Times New Roman" w:eastAsia="宋体" w:cs="Times New Roman"/>
          <w:bCs/>
          <w:color w:val="000000"/>
          <w:sz w:val="24"/>
          <w:highlight w:val="none"/>
        </w:rPr>
        <w:t xml:space="preserve">年</w:t>
      </w:r>
      <w:r>
        <w:rPr>
          <w:rFonts w:hint="eastAsia" w:ascii="Times New Roman" w:hAnsi="Times New Roman" w:eastAsia="宋体" w:cs="Times New Roman"/>
          <w:bCs/>
          <w:color w:val="000000"/>
          <w:sz w:val="24"/>
          <w:highlight w:val="none"/>
          <w:u w:val="single"/>
        </w:rPr>
        <w:t xml:space="preserve">    </w:t>
      </w:r>
      <w:r>
        <w:rPr>
          <w:rFonts w:hint="eastAsia" w:ascii="Times New Roman" w:hAnsi="Times New Roman" w:eastAsia="宋体" w:cs="Times New Roman"/>
          <w:bCs/>
          <w:color w:val="000000"/>
          <w:sz w:val="24"/>
          <w:highlight w:val="none"/>
        </w:rPr>
        <w:t xml:space="preserve">月</w:t>
      </w:r>
      <w:r>
        <w:rPr>
          <w:rFonts w:hint="eastAsia" w:ascii="Times New Roman" w:hAnsi="Times New Roman" w:eastAsia="宋体" w:cs="Times New Roman"/>
          <w:bCs/>
          <w:color w:val="000000"/>
          <w:sz w:val="24"/>
          <w:highlight w:val="none"/>
          <w:u w:val="single"/>
        </w:rPr>
        <w:t xml:space="preserve">    </w:t>
      </w:r>
      <w:r>
        <w:rPr>
          <w:rFonts w:hint="eastAsia" w:ascii="Times New Roman" w:hAnsi="Times New Roman" w:eastAsia="宋体" w:cs="Times New Roman"/>
          <w:bCs/>
          <w:color w:val="000000"/>
          <w:sz w:val="24"/>
          <w:highlight w:val="none"/>
        </w:rPr>
        <w:t xml:space="preserve">日</w:t>
      </w:r>
      <w:r>
        <w:rPr>
          <w:rFonts w:hint="eastAsia" w:ascii="Times New Roman" w:hAnsi="Times New Roman" w:eastAsia="宋体" w:cs="Times New Roman"/>
          <w:bCs/>
          <w:color w:val="000000"/>
          <w:sz w:val="24"/>
          <w:szCs w:val="21"/>
          <w:highlight w:val="none"/>
        </w:rPr>
      </w:r>
      <w:r/>
    </w:p>
    <w:p>
      <w:pPr>
        <w:pStyle w:val="1091"/>
        <w:rPr>
          <w:highlight w:val="none"/>
        </w:rPr>
        <w:outlineLvl w:val="0"/>
      </w:pPr>
      <w:r>
        <w:rPr>
          <w:highlight w:val="none"/>
          <w:u w:val="single"/>
        </w:rPr>
        <w:br w:type="page" w:clear="all"/>
      </w:r>
      <w:r>
        <w:rPr>
          <w:highlight w:val="none"/>
        </w:rPr>
        <w:t xml:space="preserve">附件8</w:t>
      </w:r>
      <w:r>
        <w:rPr>
          <w:highlight w:val="none"/>
        </w:rPr>
      </w:r>
      <w:r/>
    </w:p>
    <w:p>
      <w:pPr>
        <w:pStyle w:val="1096"/>
        <w:rPr>
          <w:highlight w:val="none"/>
        </w:rPr>
      </w:pPr>
      <w:r/>
      <w:bookmarkStart w:id="724" w:name="_Toc11288"/>
      <w:r>
        <w:rPr>
          <w:highlight w:val="none"/>
        </w:rPr>
        <w:t xml:space="preserve">拟派项目负责人无在建工程承诺书</w:t>
      </w:r>
      <w:bookmarkEnd w:id="724"/>
      <w:r>
        <w:rPr>
          <w:highlight w:val="none"/>
        </w:rPr>
      </w:r>
      <w:r/>
    </w:p>
    <w:p>
      <w:pPr>
        <w:pStyle w:val="1026"/>
        <w:ind w:firstLine="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__________________（采购人单位名称）：</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我方响应你方的</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t xml:space="preserve">工程（以下简称“本工程”）竞争性磋商的邀请，拟派项目负责人为</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t xml:space="preserve">。现我方向你方郑重承诺：</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拟派项目负责人 </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t xml:space="preserve">无在建工程，如果我方经本工程评审委员会评定为第一成交候选人，被他人举报并经监管机构核实，确认拟派项目负责人有在建工程，那么取消我方第一成交候选人资格，且磋商保证金不予退还。</w:t>
      </w:r>
      <w:r>
        <w:rPr>
          <w:rFonts w:ascii="Times New Roman" w:hAnsi="Times New Roman" w:eastAsia="宋体" w:cs="Times New Roman"/>
          <w:color w:val="000000"/>
          <w:sz w:val="24"/>
          <w:highlight w:val="none"/>
        </w:rPr>
      </w:r>
      <w:r/>
    </w:p>
    <w:p>
      <w:pPr>
        <w:pStyle w:val="1005"/>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05"/>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05"/>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05"/>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05"/>
        <w:ind w:firstLine="2640"/>
        <w:spacing w:after="120" w:afterAutospacing="0" w:line="360" w:lineRule="auto"/>
        <w:rPr>
          <w:rFonts w:hint="eastAsia" w:ascii="Times New Roman" w:hAnsi="Times New Roman" w:eastAsia="宋体" w:cs="Times New Roman"/>
          <w:color w:val="000000"/>
          <w:sz w:val="24"/>
          <w:highlight w:val="none"/>
          <w:u w:val="single"/>
          <w:lang w:val="zh-CN"/>
        </w:rPr>
      </w:pPr>
      <w:r>
        <w:rPr>
          <w:rFonts w:hint="eastAsia" w:ascii="Times New Roman" w:hAnsi="Times New Roman" w:eastAsia="宋体" w:cs="Times New Roman"/>
          <w:color w:val="000000"/>
          <w:sz w:val="24"/>
          <w:highlight w:val="none"/>
          <w:lang w:val="zh-CN" w:bidi="ar"/>
        </w:rPr>
        <w:t xml:space="preserve">供应商全称（盖公章）：</w:t>
      </w:r>
      <w:r>
        <w:rPr>
          <w:rFonts w:hint="eastAsia" w:ascii="Times New Roman" w:hAnsi="Times New Roman" w:eastAsia="宋体" w:cs="Times New Roman"/>
          <w:color w:val="000000"/>
          <w:sz w:val="24"/>
          <w:highlight w:val="none"/>
          <w:u w:val="single"/>
          <w:lang w:val="zh-CN"/>
        </w:rPr>
      </w:r>
      <w:r/>
    </w:p>
    <w:p>
      <w:pPr>
        <w:pStyle w:val="1005"/>
        <w:ind w:firstLine="2640"/>
        <w:spacing w:after="120" w:afterAutospacing="0" w:line="360" w:lineRule="auto"/>
        <w:rPr>
          <w:rFonts w:hint="eastAsia" w:ascii="Times New Roman" w:hAnsi="Times New Roman" w:eastAsia="宋体" w:cs="Times New Roman"/>
          <w:color w:val="000000"/>
          <w:sz w:val="24"/>
          <w:highlight w:val="none"/>
          <w:u w:val="single"/>
          <w:lang w:val="zh-CN"/>
        </w:rPr>
      </w:pPr>
      <w:r>
        <w:rPr>
          <w:rFonts w:hint="eastAsia" w:ascii="Times New Roman" w:hAnsi="Times New Roman" w:eastAsia="宋体" w:cs="Times New Roman"/>
          <w:color w:val="000000"/>
          <w:sz w:val="24"/>
          <w:highlight w:val="none"/>
          <w:lang w:val="zh-CN" w:bidi="ar"/>
        </w:rPr>
        <w:t xml:space="preserve">法定代表人（签字或盖章）：</w:t>
      </w:r>
      <w:r>
        <w:rPr>
          <w:rFonts w:hint="eastAsia" w:ascii="Times New Roman" w:hAnsi="Times New Roman" w:eastAsia="宋体" w:cs="Times New Roman"/>
          <w:color w:val="000000"/>
          <w:sz w:val="24"/>
          <w:highlight w:val="none"/>
          <w:u w:val="single"/>
          <w:lang w:val="zh-CN"/>
        </w:rPr>
      </w:r>
      <w:r/>
    </w:p>
    <w:p>
      <w:pPr>
        <w:pStyle w:val="1005"/>
        <w:ind w:firstLine="3120"/>
        <w:keepLines/>
        <w:keepNext/>
        <w:spacing w:before="260" w:after="120" w:afterAutospacing="0" w:line="360" w:lineRule="auto"/>
        <w:rPr>
          <w:rFonts w:hint="eastAsia" w:ascii="Times New Roman" w:hAnsi="Times New Roman" w:eastAsia="宋体" w:cs="Times New Roman"/>
          <w:color w:val="000000"/>
          <w:sz w:val="24"/>
          <w:highlight w:val="none"/>
          <w:lang w:val="zh-CN" w:bidi="ar"/>
        </w:rPr>
        <w:outlineLvl w:val="9"/>
      </w:pPr>
      <w:r>
        <w:rPr>
          <w:rFonts w:hint="eastAsia" w:ascii="Times New Roman" w:hAnsi="Times New Roman" w:eastAsia="宋体" w:cs="Times New Roman"/>
          <w:color w:val="000000"/>
          <w:sz w:val="24"/>
          <w:highlight w:val="none"/>
          <w:lang w:val="zh-CN" w:bidi="ar"/>
        </w:rPr>
        <w:t xml:space="preserve">时间：  年  月   日</w:t>
      </w:r>
      <w:r>
        <w:rPr>
          <w:rFonts w:hint="eastAsia" w:ascii="Times New Roman" w:hAnsi="Times New Roman" w:eastAsia="宋体" w:cs="Times New Roman"/>
          <w:color w:val="000000"/>
          <w:sz w:val="24"/>
          <w:highlight w:val="none"/>
          <w:lang w:val="zh-CN" w:bidi="ar"/>
        </w:rPr>
      </w:r>
      <w:r/>
    </w:p>
    <w:p>
      <w:pPr>
        <w:pStyle w:val="1005"/>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05"/>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05"/>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05"/>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05"/>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05"/>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05"/>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91"/>
        <w:rPr>
          <w:highlight w:val="none"/>
        </w:rPr>
        <w:outlineLvl w:val="0"/>
      </w:pPr>
      <w:r>
        <w:rPr>
          <w:highlight w:val="none"/>
        </w:rPr>
        <w:br w:type="page" w:clear="all"/>
      </w:r>
      <w:r>
        <w:rPr>
          <w:highlight w:val="none"/>
        </w:rPr>
        <w:t xml:space="preserve">附件9</w:t>
      </w:r>
      <w:r>
        <w:rPr>
          <w:highlight w:val="none"/>
        </w:rPr>
      </w:r>
      <w:r/>
    </w:p>
    <w:p>
      <w:pPr>
        <w:pStyle w:val="1096"/>
        <w:rPr>
          <w:highlight w:val="none"/>
        </w:rPr>
      </w:pPr>
      <w:r>
        <w:rPr>
          <w:highlight w:val="none"/>
        </w:rPr>
        <w:t xml:space="preserve">供应商信用承诺书</w:t>
      </w:r>
      <w:r>
        <w:rPr>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为营造公开、公平、公正的公共资源交易环境，树立诚信守法的投标人形象，本人代表本单位作出以下承诺：</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二、严格依照国家和省、市、县关于政府采购等方面的法律法规、规章、规范性文件，参加公共资源交易招标投标活动；积极履行社会责任，促进廉政建设；</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三、严格遵守即时信息公示规定，及时更新公共资源交易中心主体信息库信息；</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六、自觉接受政府部门、行业组织、社会公众、新闻舆论等监督；</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七、上述承诺已向本单位员工做了宣传教育；</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如有违反上述承诺的不良行为，本单位同意将其予以上网公示。</w:t>
      </w:r>
      <w:r>
        <w:rPr>
          <w:rFonts w:ascii="Times New Roman" w:hAnsi="Times New Roman" w:eastAsia="宋体" w:cs="Times New Roman"/>
          <w:b/>
          <w:color w:val="000000"/>
          <w:sz w:val="24"/>
          <w:highlight w:val="none"/>
        </w:rPr>
      </w:r>
      <w:r/>
    </w:p>
    <w:p>
      <w:pPr>
        <w:pStyle w:val="1005"/>
        <w:ind w:firstLine="2640"/>
        <w:spacing w:after="120" w:afterAutospacing="0" w:line="360" w:lineRule="auto"/>
        <w:rPr>
          <w:rFonts w:hint="eastAsia" w:ascii="Times New Roman" w:hAnsi="Times New Roman" w:eastAsia="宋体" w:cs="Times New Roman"/>
          <w:color w:val="000000"/>
          <w:sz w:val="24"/>
          <w:highlight w:val="none"/>
          <w:u w:val="single"/>
          <w:lang w:val="zh-CN"/>
        </w:rPr>
      </w:pPr>
      <w:r>
        <w:rPr>
          <w:rFonts w:hint="eastAsia" w:ascii="Times New Roman" w:hAnsi="Times New Roman" w:eastAsia="宋体" w:cs="Times New Roman"/>
          <w:color w:val="000000"/>
          <w:sz w:val="24"/>
          <w:highlight w:val="none"/>
          <w:lang w:val="zh-CN" w:bidi="ar"/>
        </w:rPr>
        <w:t xml:space="preserve">供应商全称（盖公章）：</w:t>
      </w:r>
      <w:r>
        <w:rPr>
          <w:rFonts w:hint="eastAsia" w:ascii="Times New Roman" w:hAnsi="Times New Roman" w:eastAsia="宋体" w:cs="Times New Roman"/>
          <w:color w:val="000000"/>
          <w:sz w:val="24"/>
          <w:highlight w:val="none"/>
          <w:u w:val="single"/>
          <w:lang w:val="zh-CN"/>
        </w:rPr>
      </w:r>
      <w:r/>
    </w:p>
    <w:p>
      <w:pPr>
        <w:pStyle w:val="1005"/>
        <w:ind w:firstLine="2640"/>
        <w:spacing w:after="120" w:afterAutospacing="0" w:line="360" w:lineRule="auto"/>
        <w:rPr>
          <w:rFonts w:hint="eastAsia" w:ascii="Times New Roman" w:hAnsi="Times New Roman" w:eastAsia="宋体" w:cs="Times New Roman"/>
          <w:color w:val="000000"/>
          <w:sz w:val="24"/>
          <w:highlight w:val="none"/>
          <w:u w:val="single"/>
          <w:lang w:val="zh-CN"/>
        </w:rPr>
      </w:pPr>
      <w:r>
        <w:rPr>
          <w:rFonts w:hint="eastAsia" w:ascii="Times New Roman" w:hAnsi="Times New Roman" w:eastAsia="宋体" w:cs="Times New Roman"/>
          <w:color w:val="000000"/>
          <w:sz w:val="24"/>
          <w:highlight w:val="none"/>
          <w:lang w:val="zh-CN" w:bidi="ar"/>
        </w:rPr>
        <w:t xml:space="preserve">法定代表人（签字或盖章）：</w:t>
      </w:r>
      <w:r>
        <w:rPr>
          <w:rFonts w:hint="eastAsia" w:ascii="Times New Roman" w:hAnsi="Times New Roman" w:eastAsia="宋体" w:cs="Times New Roman"/>
          <w:color w:val="000000"/>
          <w:sz w:val="24"/>
          <w:highlight w:val="none"/>
          <w:u w:val="single"/>
          <w:lang w:val="zh-CN"/>
        </w:rPr>
      </w:r>
      <w:r/>
    </w:p>
    <w:p>
      <w:pPr>
        <w:pStyle w:val="1005"/>
        <w:ind w:firstLine="2640"/>
        <w:spacing w:after="120" w:afterAutospacing="0" w:line="360" w:lineRule="auto"/>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bidi="ar"/>
        </w:rPr>
        <w:t xml:space="preserve">时间：  年  月   日</w:t>
      </w:r>
      <w:r>
        <w:rPr>
          <w:rFonts w:hint="eastAsia" w:ascii="Times New Roman" w:hAnsi="Times New Roman" w:eastAsia="宋体" w:cs="Times New Roman"/>
          <w:color w:val="000000"/>
          <w:sz w:val="24"/>
          <w:highlight w:val="none"/>
          <w:lang w:val="zh-CN"/>
        </w:rPr>
      </w:r>
      <w:r/>
    </w:p>
    <w:p>
      <w:pPr>
        <w:pStyle w:val="1005"/>
        <w:rPr>
          <w:rFonts w:hint="eastAsia" w:ascii="宋体" w:hAnsi="宋体" w:cs="宋体"/>
          <w:color w:val="000000"/>
          <w:sz w:val="24"/>
          <w:highlight w:val="none"/>
        </w:rPr>
      </w:pPr>
      <w:r>
        <w:rPr>
          <w:rFonts w:hint="eastAsia" w:ascii="宋体" w:hAnsi="宋体" w:cs="宋体"/>
          <w:color w:val="000000"/>
          <w:sz w:val="24"/>
          <w:highlight w:val="none"/>
        </w:rPr>
      </w:r>
      <w:r/>
    </w:p>
    <w:p>
      <w:pPr>
        <w:pStyle w:val="1005"/>
        <w:rPr>
          <w:rFonts w:hint="eastAsia" w:ascii="宋体" w:hAnsi="宋体" w:cs="宋体"/>
          <w:color w:val="000000"/>
          <w:sz w:val="24"/>
          <w:highlight w:val="none"/>
        </w:rPr>
      </w:pPr>
      <w:r>
        <w:rPr>
          <w:rFonts w:hint="eastAsia" w:ascii="宋体" w:hAnsi="宋体" w:cs="宋体"/>
          <w:color w:val="000000"/>
          <w:sz w:val="24"/>
          <w:highlight w:val="none"/>
        </w:rPr>
      </w:r>
      <w:r/>
    </w:p>
    <w:p>
      <w:pPr>
        <w:pStyle w:val="1091"/>
        <w:rPr>
          <w:highlight w:val="none"/>
        </w:rPr>
        <w:outlineLvl w:val="0"/>
      </w:pPr>
      <w:r>
        <w:rPr>
          <w:highlight w:val="none"/>
        </w:rPr>
        <w:br w:type="page" w:clear="all"/>
      </w:r>
      <w:r>
        <w:rPr>
          <w:highlight w:val="none"/>
        </w:rPr>
        <w:t xml:space="preserve">附件10</w:t>
      </w:r>
      <w:r>
        <w:rPr>
          <w:highlight w:val="none"/>
        </w:rPr>
      </w:r>
      <w:r/>
    </w:p>
    <w:p>
      <w:pPr>
        <w:pStyle w:val="1096"/>
        <w:rPr>
          <w:highlight w:val="none"/>
        </w:rPr>
      </w:pPr>
      <w:r>
        <w:rPr>
          <w:highlight w:val="none"/>
        </w:rPr>
        <w:t xml:space="preserve">中小企业声明函（工程）</w:t>
      </w:r>
      <w:r>
        <w:rPr>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w:t>
      </w:r>
      <w:r>
        <w:rPr>
          <w:rFonts w:ascii="Times New Roman" w:hAnsi="Times New Roman" w:eastAsia="宋体" w:cs="Times New Roman"/>
          <w:color w:val="000000"/>
          <w:sz w:val="24"/>
          <w:highlight w:val="none"/>
          <w:u w:val="single"/>
        </w:rPr>
        <w:t xml:space="preserve">（标的名称）</w:t>
      </w:r>
      <w:r>
        <w:rPr>
          <w:rFonts w:ascii="Times New Roman" w:hAnsi="Times New Roman" w:eastAsia="宋体" w:cs="Times New Roman"/>
          <w:color w:val="000000"/>
          <w:sz w:val="24"/>
          <w:highlight w:val="none"/>
        </w:rPr>
        <w:t xml:space="preserve">，属于</w:t>
      </w:r>
      <w:r>
        <w:rPr>
          <w:rFonts w:ascii="Times New Roman" w:hAnsi="Times New Roman" w:eastAsia="宋体" w:cs="Times New Roman"/>
          <w:color w:val="000000"/>
          <w:sz w:val="24"/>
          <w:highlight w:val="none"/>
          <w:u w:val="single"/>
        </w:rPr>
        <w:t xml:space="preserve">（采购文件中明确的所属行业）</w:t>
      </w:r>
      <w:r>
        <w:rPr>
          <w:rFonts w:ascii="Times New Roman" w:hAnsi="Times New Roman" w:eastAsia="宋体" w:cs="Times New Roman"/>
          <w:color w:val="000000"/>
          <w:sz w:val="24"/>
          <w:highlight w:val="none"/>
        </w:rPr>
        <w:t xml:space="preserve">；承建（承接）企业为</w:t>
      </w:r>
      <w:r>
        <w:rPr>
          <w:rFonts w:ascii="Times New Roman" w:hAnsi="Times New Roman" w:eastAsia="宋体" w:cs="Times New Roman"/>
          <w:color w:val="000000"/>
          <w:sz w:val="24"/>
          <w:highlight w:val="none"/>
          <w:u w:val="single"/>
        </w:rPr>
        <w:t xml:space="preserve">（企业名称）</w:t>
      </w:r>
      <w:r>
        <w:rPr>
          <w:rFonts w:ascii="Times New Roman" w:hAnsi="Times New Roman" w:eastAsia="宋体" w:cs="Times New Roman"/>
          <w:color w:val="000000"/>
          <w:sz w:val="24"/>
          <w:highlight w:val="none"/>
        </w:rPr>
        <w:t xml:space="preserve">，从业人员</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u w:val="single"/>
        </w:rPr>
        <w:tab/>
      </w:r>
      <w:r>
        <w:rPr>
          <w:rFonts w:ascii="Times New Roman" w:hAnsi="Times New Roman" w:eastAsia="宋体" w:cs="Times New Roman"/>
          <w:color w:val="000000"/>
          <w:sz w:val="24"/>
          <w:highlight w:val="none"/>
        </w:rPr>
        <w:t xml:space="preserve">人，营业收入为</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u w:val="single"/>
        </w:rPr>
        <w:tab/>
      </w:r>
      <w:r>
        <w:rPr>
          <w:rFonts w:ascii="Times New Roman" w:hAnsi="Times New Roman" w:eastAsia="宋体" w:cs="Times New Roman"/>
          <w:color w:val="000000"/>
          <w:sz w:val="24"/>
          <w:highlight w:val="none"/>
        </w:rPr>
        <w:t xml:space="preserve">万元，资产总额为</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u w:val="single"/>
        </w:rPr>
        <w:tab/>
      </w:r>
      <w:r>
        <w:rPr>
          <w:rFonts w:ascii="Times New Roman" w:hAnsi="Times New Roman" w:eastAsia="宋体" w:cs="Times New Roman"/>
          <w:color w:val="000000"/>
          <w:sz w:val="24"/>
          <w:highlight w:val="none"/>
        </w:rPr>
        <w:t xml:space="preserve">万元，属于</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t xml:space="preserve">（中型企业、小型企业、微型企业）；</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以上企业，不属于大企业的分支机构，不存在控股股东为大企业的情形，也不存在与大企业的负责人为同一人的情形。</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本企业对上述声明内容的真实性负责。如有虚假，将依法承担相应责任。</w:t>
      </w:r>
      <w:r>
        <w:rPr>
          <w:rFonts w:ascii="Times New Roman" w:hAnsi="Times New Roman" w:eastAsia="宋体" w:cs="Times New Roman"/>
          <w:color w:val="000000"/>
          <w:sz w:val="24"/>
          <w:highlight w:val="none"/>
        </w:rPr>
      </w:r>
      <w:r/>
    </w:p>
    <w:p>
      <w:pPr>
        <w:pStyle w:val="1005"/>
        <w:ind w:firstLine="5668"/>
        <w:keepLines w:val="0"/>
        <w:keepNext w:val="0"/>
        <w:pageBreakBefore w:val="0"/>
        <w:spacing w:after="120" w:afterAutospacing="0" w:line="360" w:lineRule="auto"/>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企业名称（盖章）：</w:t>
      </w:r>
      <w:r>
        <w:rPr>
          <w:rFonts w:hint="eastAsia" w:ascii="Times New Roman" w:hAnsi="Times New Roman" w:eastAsia="宋体" w:cs="Times New Roman"/>
          <w:color w:val="000000"/>
          <w:sz w:val="24"/>
          <w:highlight w:val="none"/>
        </w:rPr>
      </w:r>
      <w:r/>
    </w:p>
    <w:p>
      <w:pPr>
        <w:pStyle w:val="1005"/>
        <w:ind w:firstLine="5668"/>
        <w:keepLines w:val="0"/>
        <w:keepNext w:val="0"/>
        <w:pageBreakBefore w:val="0"/>
        <w:spacing w:after="120" w:afterAutospacing="0" w:line="360" w:lineRule="auto"/>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日期：</w:t>
      </w:r>
      <w:r>
        <w:rPr>
          <w:rFonts w:hint="eastAsia" w:ascii="Times New Roman" w:hAnsi="Times New Roman" w:eastAsia="宋体" w:cs="Times New Roman"/>
          <w:color w:val="000000"/>
          <w:sz w:val="24"/>
          <w:highlight w:val="none"/>
        </w:rPr>
      </w:r>
      <w:r/>
    </w:p>
    <w:p>
      <w:pPr>
        <w:pStyle w:val="1005"/>
        <w:rPr>
          <w:rFonts w:hint="eastAsia"/>
          <w:color w:val="000000"/>
          <w:highlight w:val="none"/>
        </w:rPr>
      </w:pPr>
      <w:r>
        <w:rPr>
          <w:rFonts w:hint="eastAsia"/>
          <w:color w:val="000000"/>
          <w:highlight w:val="none"/>
        </w:rPr>
      </w:r>
      <w:r/>
    </w:p>
    <w:p>
      <w:pPr>
        <w:pStyle w:val="1005"/>
        <w:rPr>
          <w:rFonts w:hint="eastAsia"/>
          <w:color w:val="000000"/>
          <w:highlight w:val="none"/>
        </w:rPr>
      </w:pPr>
      <w:r>
        <w:rPr>
          <w:rFonts w:hint="eastAsia"/>
          <w:color w:val="000000"/>
          <w:highlight w:val="none"/>
        </w:rPr>
      </w:r>
      <w:r/>
    </w:p>
    <w:p>
      <w:pPr>
        <w:pStyle w:val="1005"/>
        <w:rPr>
          <w:rFonts w:hint="eastAsia"/>
          <w:color w:val="000000"/>
          <w:highlight w:val="none"/>
        </w:rPr>
      </w:pPr>
      <w:r>
        <w:rPr>
          <w:rFonts w:hint="eastAsia"/>
          <w:color w:val="000000"/>
          <w:highlight w:val="none"/>
        </w:rPr>
      </w:r>
      <w:r/>
    </w:p>
    <w:p>
      <w:pPr>
        <w:pStyle w:val="1005"/>
        <w:rPr>
          <w:rFonts w:hint="eastAsia"/>
          <w:color w:val="000000"/>
          <w:highlight w:val="none"/>
        </w:rPr>
      </w:pPr>
      <w:r>
        <w:rPr>
          <w:rFonts w:hint="eastAsia"/>
          <w:color w:val="000000"/>
          <w:highlight w:val="none"/>
        </w:rPr>
      </w:r>
      <w:r/>
    </w:p>
    <w:p>
      <w:pPr>
        <w:pStyle w:val="1005"/>
        <w:rPr>
          <w:rFonts w:hint="eastAsia"/>
          <w:color w:val="000000"/>
          <w:highlight w:val="none"/>
        </w:rPr>
      </w:pPr>
      <w:r>
        <w:rPr>
          <w:rFonts w:hint="eastAsia"/>
          <w:color w:val="000000"/>
          <w:highlight w:val="none"/>
        </w:rPr>
      </w:r>
      <w:r/>
    </w:p>
    <w:p>
      <w:pPr>
        <w:pStyle w:val="1085"/>
        <w:rPr>
          <w:rFonts w:hint="eastAsia"/>
          <w:color w:val="000000"/>
          <w:highlight w:val="none"/>
        </w:rPr>
      </w:pPr>
      <w:r>
        <w:rPr>
          <w:rFonts w:hint="eastAsia"/>
          <w:color w:val="000000"/>
          <w:highlight w:val="none"/>
        </w:rPr>
      </w:r>
      <w:r/>
    </w:p>
    <w:p>
      <w:pPr>
        <w:pStyle w:val="1005"/>
        <w:rPr>
          <w:rFonts w:hint="eastAsia"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r>
      <w:r/>
    </w:p>
    <w:p>
      <w:pPr>
        <w:pStyle w:val="1005"/>
        <w:rPr>
          <w:rFonts w:hint="eastAsia"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br w:type="page" w:clear="all"/>
      </w:r>
      <w:r>
        <w:rPr>
          <w:rFonts w:hint="eastAsia" w:ascii="宋体" w:hAnsi="宋体" w:eastAsia="宋体" w:cs="宋体"/>
          <w:color w:val="000000"/>
          <w:sz w:val="24"/>
          <w:szCs w:val="22"/>
          <w:highlight w:val="none"/>
          <w:lang w:val="zh-CN" w:eastAsia="zh-CN" w:bidi="ar-SA"/>
        </w:rPr>
      </w:r>
      <w:r/>
    </w:p>
    <w:p>
      <w:pPr>
        <w:pStyle w:val="1091"/>
        <w:rPr>
          <w:highlight w:val="none"/>
        </w:rPr>
        <w:outlineLvl w:val="0"/>
      </w:pPr>
      <w:r>
        <w:rPr>
          <w:highlight w:val="none"/>
        </w:rPr>
        <w:t xml:space="preserve">附件11</w:t>
      </w:r>
      <w:r>
        <w:rPr>
          <w:highlight w:val="none"/>
        </w:rPr>
      </w:r>
      <w:r/>
    </w:p>
    <w:p>
      <w:pPr>
        <w:pStyle w:val="1096"/>
        <w:rPr>
          <w:highlight w:val="none"/>
        </w:rPr>
      </w:pPr>
      <w:r>
        <w:rPr>
          <w:highlight w:val="none"/>
        </w:rPr>
        <w:t xml:space="preserve">残疾人福利性单位声明函</w:t>
      </w:r>
      <w:r>
        <w:rPr>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本单位对上述声明的真实性负责。如有虚假，将依法承担相应责任。</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（备注：1、供应商如不提供此声明函，价格将不做相应扣除。2、中标供应商为残疾人福利单位的，此声明函将随中标结果同时公告，接受社会监督）</w:t>
      </w:r>
      <w:r>
        <w:rPr>
          <w:rFonts w:ascii="Times New Roman" w:hAnsi="Times New Roman" w:eastAsia="宋体" w:cs="Times New Roman"/>
          <w:color w:val="000000"/>
          <w:sz w:val="24"/>
          <w:highlight w:val="none"/>
        </w:rPr>
      </w:r>
      <w:r/>
    </w:p>
    <w:p>
      <w:pPr>
        <w:pStyle w:val="1005"/>
        <w:ind w:right="1560" w:firstLine="504"/>
        <w:jc w:val="center"/>
        <w:spacing w:after="120" w:afterAutospacing="0" w:line="360" w:lineRule="auto"/>
        <w:tabs>
          <w:tab w:val="left" w:pos="486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pacing w:val="6"/>
          <w:sz w:val="24"/>
          <w:highlight w:val="none"/>
        </w:rPr>
        <w:t xml:space="preserve">             </w:t>
      </w:r>
      <w:r>
        <w:rPr>
          <w:rFonts w:hint="eastAsia" w:ascii="Times New Roman" w:hAnsi="Times New Roman" w:eastAsia="宋体" w:cs="Times New Roman"/>
          <w:color w:val="000000"/>
          <w:sz w:val="24"/>
          <w:highlight w:val="none"/>
        </w:rPr>
        <w:t xml:space="preserve">           供应商全称（盖章）：</w:t>
      </w:r>
      <w:r>
        <w:rPr>
          <w:rFonts w:hint="eastAsia" w:ascii="Times New Roman" w:hAnsi="Times New Roman" w:eastAsia="宋体" w:cs="Times New Roman"/>
          <w:color w:val="000000"/>
          <w:sz w:val="24"/>
          <w:highlight w:val="none"/>
        </w:rPr>
      </w:r>
      <w:r/>
    </w:p>
    <w:p>
      <w:pPr>
        <w:pStyle w:val="1005"/>
        <w:ind w:right="1560" w:firstLine="480"/>
        <w:jc w:val="center"/>
        <w:spacing w:after="120" w:afterAutospacing="0" w:line="360" w:lineRule="auto"/>
        <w:tabs>
          <w:tab w:val="left" w:pos="486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              日  期：</w:t>
      </w:r>
      <w:r>
        <w:rPr>
          <w:rFonts w:hint="eastAsia" w:ascii="Times New Roman" w:hAnsi="Times New Roman" w:eastAsia="宋体" w:cs="Times New Roman"/>
          <w:color w:val="000000"/>
          <w:sz w:val="24"/>
          <w:highlight w:val="none"/>
        </w:rPr>
      </w:r>
      <w:r/>
    </w:p>
    <w:p>
      <w:pPr>
        <w:pStyle w:val="1091"/>
        <w:rPr>
          <w:highlight w:val="none"/>
        </w:rPr>
        <w:outlineLvl w:val="0"/>
      </w:pPr>
      <w:r>
        <w:rPr>
          <w:highlight w:val="none"/>
        </w:rPr>
        <w:br w:type="page" w:clear="all"/>
      </w:r>
      <w:r>
        <w:rPr>
          <w:highlight w:val="none"/>
        </w:rPr>
        <w:t xml:space="preserve">附件12</w:t>
      </w:r>
      <w:r>
        <w:rPr>
          <w:highlight w:val="none"/>
        </w:rPr>
      </w:r>
      <w:r/>
    </w:p>
    <w:p>
      <w:pPr>
        <w:pStyle w:val="1096"/>
        <w:shd w:val="clear" w:color="auto" w:fill="ffffff"/>
        <w:rPr>
          <w:highlight w:val="none"/>
        </w:rPr>
        <w:outlineLvl w:val="0"/>
      </w:pPr>
      <w:r>
        <w:rPr>
          <w:highlight w:val="none"/>
        </w:rPr>
        <w:t xml:space="preserve">监狱和戒毒企业证明材料</w:t>
      </w:r>
      <w:r>
        <w:rPr>
          <w:highlight w:val="none"/>
        </w:rPr>
      </w:r>
      <w:r/>
    </w:p>
    <w:p>
      <w:pPr>
        <w:pStyle w:val="1038"/>
        <w:rPr>
          <w:highlight w:val="none"/>
        </w:rPr>
      </w:pPr>
      <w:r>
        <w:rPr>
          <w:highlight w:val="none"/>
        </w:rPr>
        <w:t xml:space="preserve">（格式自拟）</w:t>
      </w:r>
      <w:r>
        <w:rPr>
          <w:highlight w:val="none"/>
        </w:rPr>
      </w:r>
      <w:r/>
    </w:p>
    <w:p>
      <w:pPr>
        <w:pStyle w:val="1026"/>
        <w:rPr>
          <w:rFonts w:ascii="Times New Roman" w:hAnsi="Times New Roman" w:eastAsia="宋体" w:cs="Times New Roman"/>
          <w:b/>
          <w:color w:val="000000"/>
          <w:sz w:val="24"/>
          <w:highlight w:val="none"/>
        </w:rPr>
      </w:pPr>
      <w:r>
        <w:rPr>
          <w:rFonts w:ascii="Times New Roman" w:hAnsi="Times New Roman" w:eastAsia="宋体" w:cs="Times New Roman"/>
          <w:color w:val="000000"/>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Times New Roman" w:hAnsi="Times New Roman" w:eastAsia="宋体" w:cs="Times New Roman"/>
          <w:b/>
          <w:color w:val="000000"/>
          <w:sz w:val="24"/>
          <w:highlight w:val="none"/>
        </w:rPr>
      </w:r>
      <w:r/>
    </w:p>
    <w:p>
      <w:pPr>
        <w:pStyle w:val="1096"/>
        <w:ind w:left="0" w:firstLine="482"/>
        <w:rPr>
          <w:highlight w:val="none"/>
        </w:rPr>
        <w:outlineLvl w:val="0"/>
      </w:pPr>
      <w:r>
        <w:rPr>
          <w:highlight w:val="none"/>
        </w:rPr>
        <w:br w:type="page" w:clear="all"/>
      </w:r>
      <w:r>
        <w:rPr>
          <w:highlight w:val="none"/>
        </w:rPr>
        <w:t xml:space="preserve">中小企业划型标准规定</w:t>
      </w:r>
      <w:r>
        <w:rPr>
          <w:highlight w:val="none"/>
        </w:rPr>
      </w:r>
      <w:r/>
    </w:p>
    <w:p>
      <w:pPr>
        <w:pStyle w:val="1026"/>
        <w:ind w:left="0"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w:hAnsi="Times New Roman" w:eastAsia="宋体" w:cs="Times New Roman"/>
          <w:color w:val="000000"/>
          <w:sz w:val="24"/>
          <w:highlight w:val="none"/>
        </w:rPr>
      </w:r>
      <w:r/>
    </w:p>
    <w:p>
      <w:pPr>
        <w:pStyle w:val="1026"/>
        <w:ind w:left="0"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各行业划型标准为：</w:t>
      </w:r>
      <w:r>
        <w:rPr>
          <w:rFonts w:ascii="Times New Roman" w:hAnsi="Times New Roman" w:eastAsia="宋体" w:cs="Times New Roman"/>
          <w:color w:val="000000"/>
          <w:sz w:val="24"/>
          <w:highlight w:val="none"/>
        </w:rPr>
      </w:r>
      <w:r/>
    </w:p>
    <w:p>
      <w:pPr>
        <w:pStyle w:val="1026"/>
        <w:numPr>
          <w:ilvl w:val="0"/>
          <w:numId w:val="153"/>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b w:val="0"/>
          <w:color w:val="000000"/>
          <w:sz w:val="24"/>
          <w:highlight w:val="none"/>
        </w:rPr>
      </w:r>
      <w:r/>
    </w:p>
    <w:p>
      <w:pPr>
        <w:pStyle w:val="1026"/>
        <w:numPr>
          <w:ilvl w:val="0"/>
          <w:numId w:val="153"/>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val="0"/>
          <w:color w:val="000000"/>
          <w:sz w:val="24"/>
          <w:highlight w:val="none"/>
        </w:rPr>
      </w:r>
      <w:r/>
    </w:p>
    <w:p>
      <w:pPr>
        <w:pStyle w:val="1026"/>
        <w:numPr>
          <w:ilvl w:val="0"/>
          <w:numId w:val="153"/>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b w:val="0"/>
          <w:color w:val="000000"/>
          <w:sz w:val="24"/>
          <w:highlight w:val="none"/>
        </w:rPr>
      </w:r>
      <w:r/>
    </w:p>
    <w:p>
      <w:pPr>
        <w:pStyle w:val="1026"/>
        <w:numPr>
          <w:ilvl w:val="0"/>
          <w:numId w:val="153"/>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b w:val="0"/>
          <w:color w:val="000000"/>
          <w:sz w:val="24"/>
          <w:highlight w:val="none"/>
        </w:rPr>
      </w:r>
      <w:r/>
    </w:p>
    <w:p>
      <w:pPr>
        <w:pStyle w:val="1026"/>
        <w:numPr>
          <w:ilvl w:val="0"/>
          <w:numId w:val="153"/>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color w:val="000000"/>
          <w:sz w:val="24"/>
          <w:highlight w:val="none"/>
        </w:rPr>
      </w:r>
      <w:r/>
    </w:p>
    <w:p>
      <w:pPr>
        <w:pStyle w:val="1026"/>
        <w:numPr>
          <w:ilvl w:val="0"/>
          <w:numId w:val="153"/>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b w:val="0"/>
          <w:color w:val="000000"/>
          <w:sz w:val="24"/>
          <w:highlight w:val="none"/>
        </w:rPr>
      </w:r>
      <w:r/>
    </w:p>
    <w:p>
      <w:pPr>
        <w:pStyle w:val="1026"/>
        <w:numPr>
          <w:ilvl w:val="0"/>
          <w:numId w:val="153"/>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b w:val="0"/>
          <w:color w:val="000000"/>
          <w:sz w:val="24"/>
          <w:highlight w:val="none"/>
        </w:rPr>
      </w:r>
      <w:r/>
    </w:p>
    <w:p>
      <w:pPr>
        <w:pStyle w:val="1026"/>
        <w:numPr>
          <w:ilvl w:val="0"/>
          <w:numId w:val="153"/>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b w:val="0"/>
          <w:color w:val="000000"/>
          <w:sz w:val="24"/>
          <w:highlight w:val="none"/>
        </w:rPr>
      </w:r>
      <w:r/>
    </w:p>
    <w:p>
      <w:pPr>
        <w:pStyle w:val="1026"/>
        <w:numPr>
          <w:ilvl w:val="0"/>
          <w:numId w:val="153"/>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color w:val="000000"/>
          <w:sz w:val="24"/>
          <w:highlight w:val="none"/>
        </w:rPr>
      </w:r>
      <w:r/>
    </w:p>
    <w:p>
      <w:pPr>
        <w:pStyle w:val="1026"/>
        <w:numPr>
          <w:ilvl w:val="0"/>
          <w:numId w:val="153"/>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color w:val="000000"/>
          <w:sz w:val="24"/>
          <w:highlight w:val="none"/>
        </w:rPr>
      </w:r>
      <w:r/>
    </w:p>
    <w:p>
      <w:pPr>
        <w:pStyle w:val="1026"/>
        <w:numPr>
          <w:ilvl w:val="0"/>
          <w:numId w:val="153"/>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b w:val="0"/>
          <w:color w:val="000000"/>
          <w:sz w:val="24"/>
          <w:highlight w:val="none"/>
        </w:rPr>
      </w:r>
      <w:r/>
    </w:p>
    <w:p>
      <w:pPr>
        <w:pStyle w:val="1026"/>
        <w:numPr>
          <w:ilvl w:val="0"/>
          <w:numId w:val="153"/>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b w:val="0"/>
          <w:color w:val="000000"/>
          <w:sz w:val="24"/>
          <w:highlight w:val="none"/>
        </w:rPr>
      </w:r>
      <w:r/>
    </w:p>
    <w:p>
      <w:pPr>
        <w:pStyle w:val="1026"/>
        <w:numPr>
          <w:ilvl w:val="0"/>
          <w:numId w:val="153"/>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b w:val="0"/>
          <w:color w:val="000000"/>
          <w:sz w:val="24"/>
          <w:highlight w:val="none"/>
        </w:rPr>
      </w:r>
      <w:r/>
    </w:p>
    <w:p>
      <w:pPr>
        <w:pStyle w:val="1026"/>
        <w:numPr>
          <w:ilvl w:val="0"/>
          <w:numId w:val="153"/>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b w:val="0"/>
          <w:color w:val="000000"/>
          <w:sz w:val="24"/>
          <w:highlight w:val="none"/>
        </w:rPr>
      </w:r>
      <w:r/>
    </w:p>
    <w:p>
      <w:pPr>
        <w:pStyle w:val="1026"/>
        <w:numPr>
          <w:ilvl w:val="0"/>
          <w:numId w:val="153"/>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b w:val="0"/>
          <w:color w:val="000000"/>
          <w:sz w:val="24"/>
          <w:highlight w:val="none"/>
        </w:rPr>
      </w:r>
      <w:r/>
    </w:p>
    <w:p>
      <w:pPr>
        <w:pStyle w:val="1026"/>
        <w:numPr>
          <w:ilvl w:val="0"/>
          <w:numId w:val="153"/>
        </w:numPr>
        <w:ind w:left="0" w:firstLine="480"/>
        <w:tabs>
          <w:tab w:val="left" w:pos="1200" w:leader="none"/>
        </w:tabs>
        <w:rPr>
          <w:rFonts w:hint="eastAsia" w:ascii="宋体" w:hAnsi="宋体" w:eastAsia="宋体" w:cs="宋体"/>
          <w:b w:val="0"/>
          <w:color w:val="000000"/>
          <w:sz w:val="24"/>
          <w:highlight w:val="none"/>
        </w:rPr>
      </w:pPr>
      <w:r>
        <w:rPr>
          <w:rFonts w:ascii="Times New Roman" w:hAnsi="Times New Roman" w:eastAsia="宋体" w:cs="Times New Roman"/>
          <w:color w:val="000000"/>
          <w:sz w:val="24"/>
          <w:highlight w:val="none"/>
        </w:rPr>
        <w:t xml:space="preserve">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 w:val="0"/>
          <w:color w:val="000000"/>
          <w:sz w:val="24"/>
          <w:highlight w:val="none"/>
        </w:rPr>
      </w:r>
      <w:r/>
    </w:p>
    <w:p>
      <w:pPr>
        <w:pStyle w:val="1005"/>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91"/>
        <w:rPr>
          <w:highlight w:val="none"/>
        </w:rPr>
        <w:outlineLvl w:val="0"/>
      </w:pPr>
      <w:r>
        <w:rPr>
          <w:highlight w:val="none"/>
        </w:rPr>
        <w:t xml:space="preserve">附件13    </w:t>
      </w:r>
      <w:r>
        <w:rPr>
          <w:highlight w:val="none"/>
        </w:rPr>
      </w:r>
      <w:r/>
    </w:p>
    <w:p>
      <w:pPr>
        <w:pStyle w:val="1096"/>
        <w:rPr>
          <w:highlight w:val="none"/>
        </w:rPr>
      </w:pPr>
      <w:r>
        <w:rPr>
          <w:highlight w:val="none"/>
        </w:rPr>
        <w:t xml:space="preserve">磋商响应函</w:t>
      </w:r>
      <w:r>
        <w:rPr>
          <w:highlight w:val="none"/>
        </w:rPr>
      </w:r>
      <w:r/>
    </w:p>
    <w:p>
      <w:pPr>
        <w:pStyle w:val="1026"/>
        <w:ind w:firstLine="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致：</w:t>
      </w:r>
      <w:r>
        <w:rPr>
          <w:rFonts w:ascii="Times New Roman" w:hAnsi="Times New Roman" w:eastAsia="宋体" w:cs="Times New Roman"/>
          <w:color w:val="000000"/>
          <w:sz w:val="24"/>
          <w:highlight w:val="none"/>
          <w:u w:val="single"/>
        </w:rPr>
        <w:t xml:space="preserve">（采购人）</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根据贵方的</w:t>
      </w:r>
      <w:r>
        <w:rPr>
          <w:rFonts w:ascii="Times New Roman" w:hAnsi="Times New Roman" w:eastAsia="宋体" w:cs="Times New Roman"/>
          <w:color w:val="000000"/>
          <w:sz w:val="24"/>
          <w:highlight w:val="none"/>
          <w:u w:val="single"/>
        </w:rPr>
        <w:t xml:space="preserve">（项目编号）</w:t>
      </w:r>
      <w:r>
        <w:rPr>
          <w:rFonts w:ascii="Times New Roman" w:hAnsi="Times New Roman" w:eastAsia="宋体" w:cs="Times New Roman"/>
          <w:b/>
          <w:color w:val="000000"/>
          <w:sz w:val="24"/>
          <w:highlight w:val="none"/>
          <w:u w:val="single"/>
        </w:rPr>
        <w:t xml:space="preserve">   </w:t>
      </w:r>
      <w:r>
        <w:rPr>
          <w:rFonts w:ascii="Times New Roman" w:hAnsi="Times New Roman" w:eastAsia="宋体" w:cs="Times New Roman"/>
          <w:color w:val="000000"/>
          <w:sz w:val="24"/>
          <w:highlight w:val="none"/>
        </w:rPr>
        <w:t xml:space="preserve">号磋商文件，正式授权下述签字人______（姓名）代表我方______________（供应商的名称），全权处理本次项目磋商的有关事宜。</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据此函，__________签字人兹宣布同意如下：</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1.按磋商文件规定的各项要求，向买方提供所需建设工程（包含与建设工程相关的货物、服务）。</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2.我们完全理解贵方不一定将合同授予最低报价的供应商。</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3.我们已详细审核全部磋商文件及其有效补充文件，我们知道必须放弃提出含糊不清或误解问题的权利。</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4.我们同意从规定的磋商日期起遵循本响应文件，并在规定的磋商有效期期满之前均具有约束力。</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5.同意向贵方提供贵方可能另外要求的与磋商有关的任何证据或资料，并保证我方已提供和将要提供的文件是真实的、准确的。</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6.一旦我方成交，我方将根据磋商文件的规定，严格履行合同的责任和义务，并保证在磋商文件规定的时间内完成项目，交付买方验收、使用。</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7.我方与本次磋商有关的正式通讯地址为：</w:t>
      </w:r>
      <w:r>
        <w:rPr>
          <w:rFonts w:ascii="Times New Roman" w:hAnsi="Times New Roman" w:eastAsia="宋体" w:cs="Times New Roman"/>
          <w:color w:val="000000"/>
          <w:sz w:val="24"/>
          <w:highlight w:val="none"/>
        </w:rPr>
      </w:r>
      <w:r/>
    </w:p>
    <w:p>
      <w:pPr>
        <w:pStyle w:val="1005"/>
        <w:ind w:left="480" w:firstLine="0"/>
        <w:jc w:val="left"/>
        <w:spacing w:after="120" w:afterAutospacing="0"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地          址：</w:t>
      </w:r>
      <w:r>
        <w:rPr>
          <w:rFonts w:hint="eastAsia" w:ascii="Times New Roman" w:hAnsi="Times New Roman" w:eastAsia="宋体" w:cs="Times New Roman"/>
          <w:color w:val="000000"/>
          <w:sz w:val="24"/>
          <w:szCs w:val="24"/>
          <w:highlight w:val="none"/>
        </w:rPr>
      </w:r>
      <w:r/>
    </w:p>
    <w:p>
      <w:pPr>
        <w:pStyle w:val="1005"/>
        <w:ind w:left="480" w:firstLine="0"/>
        <w:jc w:val="left"/>
        <w:spacing w:after="120" w:afterAutospacing="0"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邮          编：</w:t>
      </w:r>
      <w:r>
        <w:rPr>
          <w:rFonts w:hint="eastAsia" w:ascii="Times New Roman" w:hAnsi="Times New Roman" w:eastAsia="宋体" w:cs="Times New Roman"/>
          <w:color w:val="000000"/>
          <w:sz w:val="24"/>
          <w:szCs w:val="24"/>
          <w:highlight w:val="none"/>
        </w:rPr>
      </w:r>
      <w:r/>
    </w:p>
    <w:p>
      <w:pPr>
        <w:pStyle w:val="1005"/>
        <w:ind w:left="480" w:firstLine="0"/>
        <w:jc w:val="left"/>
        <w:spacing w:after="120" w:afterAutospacing="0"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电          话：</w:t>
      </w:r>
      <w:r>
        <w:rPr>
          <w:rFonts w:hint="eastAsia" w:ascii="Times New Roman" w:hAnsi="Times New Roman" w:eastAsia="宋体" w:cs="Times New Roman"/>
          <w:color w:val="000000"/>
          <w:sz w:val="24"/>
          <w:szCs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供应商开户行：</w:t>
      </w:r>
      <w:r>
        <w:rPr>
          <w:rFonts w:ascii="Times New Roman" w:hAnsi="Times New Roman" w:eastAsia="宋体" w:cs="Times New Roman"/>
          <w:color w:val="000000"/>
          <w:sz w:val="24"/>
          <w:highlight w:val="none"/>
        </w:rPr>
      </w:r>
      <w:r/>
    </w:p>
    <w:p>
      <w:pPr>
        <w:pStyle w:val="1005"/>
        <w:ind w:left="480" w:firstLine="0"/>
        <w:jc w:val="left"/>
        <w:spacing w:after="120" w:afterAutospacing="0"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账          号： </w:t>
      </w:r>
      <w:r>
        <w:rPr>
          <w:rFonts w:hint="eastAsia" w:ascii="Times New Roman" w:hAnsi="Times New Roman" w:eastAsia="宋体" w:cs="Times New Roman"/>
          <w:color w:val="000000"/>
          <w:sz w:val="24"/>
          <w:szCs w:val="24"/>
          <w:highlight w:val="none"/>
        </w:rPr>
      </w:r>
      <w:r/>
    </w:p>
    <w:p>
      <w:pPr>
        <w:pStyle w:val="1005"/>
        <w:ind w:firstLine="480"/>
        <w:jc w:val="left"/>
        <w:spacing w:after="120" w:afterAutospacing="0"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           期：________年____月____日</w:t>
      </w:r>
      <w:r>
        <w:rPr>
          <w:rFonts w:hint="eastAsia" w:ascii="Times New Roman" w:hAnsi="Times New Roman" w:eastAsia="宋体" w:cs="Times New Roman"/>
          <w:color w:val="000000"/>
          <w:sz w:val="24"/>
          <w:szCs w:val="24"/>
          <w:highlight w:val="none"/>
        </w:rPr>
      </w:r>
      <w:r/>
    </w:p>
    <w:p>
      <w:pPr>
        <w:pStyle w:val="1005"/>
        <w:rPr>
          <w:rFonts w:hint="eastAsia" w:ascii="宋体" w:hAnsi="宋体" w:cs="宋体"/>
          <w:color w:val="000000"/>
          <w:sz w:val="24"/>
          <w:highlight w:val="none"/>
        </w:rPr>
      </w:pPr>
      <w:r>
        <w:rPr>
          <w:rFonts w:hint="eastAsia" w:ascii="宋体" w:hAnsi="宋体" w:cs="宋体"/>
          <w:color w:val="000000"/>
          <w:sz w:val="24"/>
          <w:highlight w:val="none"/>
        </w:rPr>
      </w:r>
      <w:r/>
    </w:p>
    <w:p>
      <w:pPr>
        <w:pStyle w:val="1091"/>
        <w:outlineLvl w:val="0"/>
      </w:pPr>
      <w:r>
        <w:rPr>
          <w:highlight w:val="none"/>
        </w:rPr>
        <w:t xml:space="preserve">附件14</w:t>
      </w:r>
      <w:r/>
    </w:p>
    <w:p>
      <w:pPr>
        <w:pStyle w:val="1096"/>
      </w:pPr>
      <w:r>
        <w:t xml:space="preserve">技术要求响应及偏离表</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
        <w:gridCol w:w="3059"/>
        <w:gridCol w:w="2652"/>
        <w:gridCol w:w="1214"/>
        <w:gridCol w:w="1090"/>
      </w:tblGrid>
      <w:tr>
        <w:trPr>
          <w:cantSplit/>
        </w:trPr>
        <w:tc>
          <w:tcPr>
            <w:tcW w:w="296" w:type="dxa"/>
            <w:vAlign w:val="center"/>
            <w:textDirection w:val="lrTb"/>
            <w:noWrap w:val="false"/>
          </w:tcPr>
          <w:p>
            <w:pPr>
              <w:pStyle w:val="100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794" w:type="dxa"/>
            <w:vAlign w:val="center"/>
            <w:textDirection w:val="lrTb"/>
            <w:noWrap w:val="false"/>
          </w:tcPr>
          <w:p>
            <w:pPr>
              <w:pStyle w:val="1005"/>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1555" w:type="dxa"/>
            <w:vAlign w:val="center"/>
            <w:textDirection w:val="lrTb"/>
            <w:noWrap w:val="false"/>
          </w:tcPr>
          <w:p>
            <w:pPr>
              <w:pStyle w:val="1005"/>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712" w:type="dxa"/>
            <w:vAlign w:val="center"/>
            <w:textDirection w:val="lrTb"/>
            <w:noWrap w:val="false"/>
          </w:tcPr>
          <w:p>
            <w:pPr>
              <w:pStyle w:val="1005"/>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639" w:type="dxa"/>
            <w:vAlign w:val="center"/>
            <w:textDirection w:val="lrTb"/>
            <w:noWrap w:val="false"/>
          </w:tcPr>
          <w:p>
            <w:pPr>
              <w:pStyle w:val="100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100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296"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794"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555"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712"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639"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r>
      <w:tr>
        <w:trPr>
          <w:cantSplit/>
          <w:trHeight w:val="640"/>
        </w:trPr>
        <w:tc>
          <w:tcPr>
            <w:tcW w:w="296"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794"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555"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712"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639"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r>
      <w:tr>
        <w:trPr>
          <w:cantSplit/>
          <w:trHeight w:val="640"/>
        </w:trPr>
        <w:tc>
          <w:tcPr>
            <w:tcW w:w="296"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794"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555"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712"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639"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r>
      <w:tr>
        <w:trPr>
          <w:cantSplit/>
          <w:trHeight w:val="640"/>
        </w:trPr>
        <w:tc>
          <w:tcPr>
            <w:tcW w:w="296"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794"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555"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712"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639"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r>
      <w:tr>
        <w:trPr>
          <w:cantSplit/>
          <w:trHeight w:val="640"/>
        </w:trPr>
        <w:tc>
          <w:tcPr>
            <w:tcW w:w="296"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794"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555"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712"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639"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r>
      <w:tr>
        <w:trPr>
          <w:cantSplit/>
          <w:trHeight w:val="640"/>
        </w:trPr>
        <w:tc>
          <w:tcPr>
            <w:tcW w:w="296"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794"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555"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712"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639"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r>
      <w:tr>
        <w:trPr>
          <w:cantSplit/>
          <w:trHeight w:val="640"/>
        </w:trPr>
        <w:tc>
          <w:tcPr>
            <w:tcW w:w="296"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794"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555"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712"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639"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r>
      <w:tr>
        <w:trPr>
          <w:cantSplit/>
          <w:trHeight w:val="640"/>
        </w:trPr>
        <w:tc>
          <w:tcPr>
            <w:tcW w:w="296"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794" w:type="dxa"/>
            <w:vAlign w:val="top"/>
            <w:textDirection w:val="lrTb"/>
            <w:noWrap w:val="false"/>
          </w:tcPr>
          <w:p>
            <w:pPr>
              <w:pStyle w:val="100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555"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712"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639"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r>
    </w:tbl>
    <w:p>
      <w:pPr>
        <w:pStyle w:val="1026"/>
        <w:rPr>
          <w:rFonts w:ascii="Times New Roman" w:hAnsi="Times New Roman" w:eastAsia="宋体" w:cs="Times New Roman"/>
          <w:sz w:val="24"/>
        </w:rPr>
      </w:pPr>
      <w:r>
        <w:rPr>
          <w:rFonts w:ascii="Times New Roman" w:hAnsi="Times New Roman" w:eastAsia="宋体" w:cs="Times New Roman"/>
          <w:sz w:val="24"/>
        </w:rPr>
        <w:t xml:space="preserve">注：</w:t>
      </w:r>
      <w:r>
        <w:rPr>
          <w:rFonts w:hint="eastAsia" w:cs="Times New Roman"/>
          <w:sz w:val="24"/>
          <w:lang w:val="en-US" w:eastAsia="zh-CN"/>
        </w:rPr>
        <w:t xml:space="preserve">如完全响应，以空表列示，加盖公章</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05"/>
        <w:jc w:val="center"/>
        <w:rPr>
          <w:rFonts w:hint="eastAsia" w:ascii="黑体" w:hAnsi="Arial" w:eastAsia="黑体"/>
          <w:b/>
          <w:sz w:val="36"/>
          <w:szCs w:val="21"/>
        </w:rPr>
      </w:pPr>
      <w:r>
        <w:rPr>
          <w:rFonts w:hint="eastAsia" w:ascii="黑体" w:hAnsi="Arial" w:eastAsia="黑体"/>
          <w:b/>
          <w:sz w:val="36"/>
          <w:szCs w:val="21"/>
        </w:rPr>
      </w:r>
      <w:r/>
    </w:p>
    <w:p>
      <w:pPr>
        <w:pStyle w:val="1005"/>
        <w:jc w:val="center"/>
        <w:rPr>
          <w:rFonts w:hint="eastAsia" w:ascii="黑体" w:hAnsi="Arial" w:eastAsia="黑体"/>
          <w:b/>
          <w:sz w:val="36"/>
          <w:szCs w:val="21"/>
        </w:rPr>
      </w:pPr>
      <w:r>
        <w:rPr>
          <w:rFonts w:hint="eastAsia" w:ascii="黑体" w:hAnsi="Arial" w:eastAsia="黑体"/>
          <w:b/>
          <w:sz w:val="36"/>
          <w:szCs w:val="21"/>
        </w:rPr>
      </w:r>
      <w:r/>
    </w:p>
    <w:p>
      <w:pPr>
        <w:pStyle w:val="1005"/>
        <w:jc w:val="center"/>
        <w:rPr>
          <w:rFonts w:hint="eastAsia" w:ascii="黑体" w:hAnsi="Arial" w:eastAsia="黑体"/>
          <w:b/>
          <w:sz w:val="36"/>
          <w:szCs w:val="21"/>
        </w:rPr>
      </w:pPr>
      <w:r>
        <w:rPr>
          <w:rFonts w:hint="eastAsia" w:ascii="黑体" w:hAnsi="Arial" w:eastAsia="黑体"/>
          <w:b/>
          <w:sz w:val="36"/>
          <w:szCs w:val="21"/>
        </w:rPr>
      </w:r>
      <w:r/>
    </w:p>
    <w:p>
      <w:pPr>
        <w:pStyle w:val="1005"/>
        <w:rPr>
          <w:rFonts w:hint="eastAsia" w:ascii="黑体" w:hAnsi="Arial" w:eastAsia="黑体"/>
          <w:sz w:val="32"/>
          <w:szCs w:val="21"/>
        </w:rPr>
      </w:pPr>
      <w:r>
        <w:rPr>
          <w:rFonts w:hint="eastAsia" w:ascii="黑体" w:hAnsi="Arial" w:eastAsia="黑体"/>
          <w:sz w:val="32"/>
          <w:szCs w:val="21"/>
        </w:rPr>
      </w:r>
      <w:r/>
    </w:p>
    <w:p>
      <w:pPr>
        <w:pStyle w:val="1005"/>
        <w:rPr>
          <w:rFonts w:hint="eastAsia" w:ascii="黑体" w:hAnsi="Arial" w:eastAsia="黑体"/>
          <w:sz w:val="32"/>
          <w:szCs w:val="21"/>
        </w:rPr>
      </w:pPr>
      <w:r>
        <w:rPr>
          <w:rFonts w:hint="eastAsia" w:ascii="黑体" w:hAnsi="Arial" w:eastAsia="黑体"/>
          <w:sz w:val="32"/>
          <w:szCs w:val="21"/>
        </w:rPr>
      </w:r>
      <w:r/>
    </w:p>
    <w:p>
      <w:pPr>
        <w:pStyle w:val="1005"/>
        <w:rPr>
          <w:rFonts w:hint="eastAsia" w:ascii="黑体" w:hAnsi="Arial" w:eastAsia="黑体"/>
          <w:sz w:val="32"/>
          <w:szCs w:val="21"/>
        </w:rPr>
      </w:pPr>
      <w:r>
        <w:rPr>
          <w:rFonts w:hint="eastAsia" w:ascii="黑体" w:hAnsi="Arial" w:eastAsia="黑体"/>
          <w:sz w:val="32"/>
          <w:szCs w:val="21"/>
        </w:rPr>
      </w:r>
      <w:r/>
    </w:p>
    <w:p>
      <w:pPr>
        <w:pStyle w:val="1005"/>
        <w:rPr>
          <w:rFonts w:hint="eastAsia" w:ascii="黑体" w:hAnsi="Arial" w:eastAsia="黑体"/>
          <w:sz w:val="32"/>
          <w:szCs w:val="21"/>
        </w:rPr>
      </w:pPr>
      <w:r>
        <w:rPr>
          <w:rFonts w:hint="eastAsia" w:ascii="黑体" w:hAnsi="Arial" w:eastAsia="黑体"/>
          <w:sz w:val="32"/>
          <w:szCs w:val="21"/>
        </w:rPr>
      </w:r>
      <w:r/>
    </w:p>
    <w:p>
      <w:pPr>
        <w:pStyle w:val="1005"/>
        <w:rPr>
          <w:rFonts w:hint="eastAsia" w:ascii="黑体" w:hAnsi="Arial" w:eastAsia="黑体"/>
          <w:sz w:val="32"/>
          <w:szCs w:val="21"/>
        </w:rPr>
      </w:pPr>
      <w:r>
        <w:rPr>
          <w:rFonts w:hint="eastAsia" w:ascii="黑体" w:hAnsi="Arial" w:eastAsia="黑体"/>
          <w:sz w:val="32"/>
          <w:szCs w:val="21"/>
        </w:rPr>
      </w:r>
      <w:r/>
    </w:p>
    <w:p>
      <w:pPr>
        <w:pStyle w:val="1005"/>
        <w:rPr>
          <w:rFonts w:hint="eastAsia" w:ascii="黑体" w:hAnsi="Arial" w:eastAsia="黑体"/>
          <w:sz w:val="32"/>
          <w:szCs w:val="21"/>
        </w:rPr>
      </w:pPr>
      <w:r>
        <w:rPr>
          <w:rFonts w:hint="eastAsia" w:ascii="黑体" w:hAnsi="Arial" w:eastAsia="黑体"/>
          <w:sz w:val="32"/>
          <w:szCs w:val="21"/>
        </w:rPr>
      </w:r>
      <w:r/>
    </w:p>
    <w:p>
      <w:pPr>
        <w:pStyle w:val="1005"/>
        <w:rPr>
          <w:rFonts w:hint="eastAsia" w:ascii="黑体" w:hAnsi="Arial" w:eastAsia="黑体"/>
          <w:sz w:val="32"/>
          <w:szCs w:val="21"/>
        </w:rPr>
      </w:pPr>
      <w:r>
        <w:rPr>
          <w:rFonts w:hint="eastAsia" w:ascii="黑体" w:hAnsi="Arial" w:eastAsia="黑体"/>
          <w:sz w:val="32"/>
          <w:szCs w:val="21"/>
        </w:rPr>
      </w:r>
      <w:r/>
    </w:p>
    <w:p>
      <w:pPr>
        <w:pStyle w:val="1005"/>
        <w:rPr>
          <w:rFonts w:hint="eastAsia" w:ascii="黑体" w:hAnsi="Arial" w:eastAsia="黑体"/>
          <w:sz w:val="32"/>
          <w:szCs w:val="21"/>
        </w:rPr>
      </w:pPr>
      <w:r>
        <w:rPr>
          <w:rFonts w:hint="eastAsia" w:ascii="黑体" w:hAnsi="Arial" w:eastAsia="黑体"/>
          <w:sz w:val="32"/>
          <w:szCs w:val="21"/>
        </w:rPr>
      </w:r>
      <w:r/>
    </w:p>
    <w:p>
      <w:pPr>
        <w:pStyle w:val="1005"/>
        <w:rPr>
          <w:rFonts w:hint="eastAsia" w:ascii="黑体" w:hAnsi="Arial" w:eastAsia="黑体"/>
          <w:sz w:val="32"/>
          <w:szCs w:val="21"/>
        </w:rPr>
      </w:pPr>
      <w:r>
        <w:rPr>
          <w:rFonts w:hint="eastAsia" w:ascii="黑体" w:hAnsi="Arial" w:eastAsia="黑体"/>
          <w:sz w:val="32"/>
          <w:szCs w:val="21"/>
        </w:rPr>
      </w:r>
      <w:r/>
    </w:p>
    <w:p>
      <w:pPr>
        <w:pStyle w:val="1005"/>
        <w:rPr>
          <w:rFonts w:hint="eastAsia" w:ascii="黑体" w:hAnsi="Arial" w:eastAsia="黑体"/>
          <w:sz w:val="32"/>
          <w:szCs w:val="21"/>
        </w:rPr>
      </w:pPr>
      <w:r>
        <w:rPr>
          <w:rFonts w:hint="eastAsia" w:ascii="黑体" w:hAnsi="Arial" w:eastAsia="黑体"/>
          <w:sz w:val="32"/>
          <w:szCs w:val="21"/>
        </w:rPr>
      </w:r>
      <w:r/>
    </w:p>
    <w:p>
      <w:pPr>
        <w:pStyle w:val="1091"/>
        <w:outlineLvl w:val="0"/>
      </w:pPr>
      <w:r/>
      <w:bookmarkStart w:id="725" w:name="_Hlt26955054"/>
      <w:r/>
      <w:bookmarkEnd w:id="725"/>
      <w:r>
        <w:rPr>
          <w:highlight w:val="none"/>
        </w:rPr>
        <w:br w:type="page" w:clear="all"/>
      </w:r>
      <w:r>
        <w:rPr>
          <w:highlight w:val="none"/>
        </w:rPr>
        <w:t xml:space="preserve">附件15</w:t>
      </w:r>
      <w:r/>
    </w:p>
    <w:p>
      <w:pPr>
        <w:pStyle w:val="1096"/>
      </w:pPr>
      <w:r>
        <w:t xml:space="preserve">商务要求响应及偏离表</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
        <w:gridCol w:w="3059"/>
        <w:gridCol w:w="2652"/>
        <w:gridCol w:w="1214"/>
        <w:gridCol w:w="1090"/>
      </w:tblGrid>
      <w:tr>
        <w:trPr>
          <w:cantSplit/>
        </w:trPr>
        <w:tc>
          <w:tcPr>
            <w:tcW w:w="296" w:type="dxa"/>
            <w:vAlign w:val="center"/>
            <w:textDirection w:val="lrTb"/>
            <w:noWrap w:val="false"/>
          </w:tcPr>
          <w:p>
            <w:pPr>
              <w:pStyle w:val="1005"/>
              <w:jc w:val="center"/>
              <w:rPr>
                <w:rFonts w:hint="eastAsia" w:ascii="宋体" w:hAnsi="宋体"/>
                <w:sz w:val="24"/>
                <w:szCs w:val="24"/>
              </w:rPr>
            </w:pPr>
            <w:r/>
            <w:bookmarkStart w:id="726" w:name="_Hlt26782999"/>
            <w:r/>
            <w:bookmarkEnd w:id="726"/>
            <w:r/>
            <w:bookmarkStart w:id="727" w:name="_Hlt26609391"/>
            <w:r/>
            <w:bookmarkEnd w:id="727"/>
            <w:r/>
            <w:bookmarkStart w:id="728" w:name="_Hlt26955056"/>
            <w:r/>
            <w:bookmarkEnd w:id="728"/>
            <w:r/>
            <w:bookmarkStart w:id="729" w:name="_Hlt26671372"/>
            <w:r/>
            <w:bookmarkEnd w:id="729"/>
            <w:r/>
            <w:bookmarkStart w:id="730" w:name="_Hlt26671343"/>
            <w:r/>
            <w:bookmarkEnd w:id="730"/>
            <w:r/>
            <w:bookmarkStart w:id="731" w:name="_Hlt26955064"/>
            <w:r/>
            <w:bookmarkEnd w:id="731"/>
            <w:r/>
            <w:bookmarkStart w:id="732" w:name="_Hlt26580838"/>
            <w:r/>
            <w:bookmarkEnd w:id="732"/>
            <w:r/>
            <w:bookmarkStart w:id="733" w:name="_Hlt24879081"/>
            <w:r/>
            <w:bookmarkEnd w:id="733"/>
            <w:r>
              <w:rPr>
                <w:rFonts w:hint="eastAsia" w:ascii="宋体" w:hAnsi="宋体"/>
                <w:sz w:val="24"/>
                <w:szCs w:val="24"/>
              </w:rPr>
              <w:t xml:space="preserve">序号</w:t>
            </w:r>
            <w:r>
              <w:rPr>
                <w:rFonts w:hint="eastAsia" w:ascii="宋体" w:hAnsi="宋体"/>
                <w:sz w:val="24"/>
                <w:szCs w:val="24"/>
              </w:rPr>
            </w:r>
            <w:r/>
          </w:p>
        </w:tc>
        <w:tc>
          <w:tcPr>
            <w:tcW w:w="1794" w:type="dxa"/>
            <w:vAlign w:val="center"/>
            <w:textDirection w:val="lrTb"/>
            <w:noWrap w:val="false"/>
          </w:tcPr>
          <w:p>
            <w:pPr>
              <w:pStyle w:val="1005"/>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1555" w:type="dxa"/>
            <w:vAlign w:val="center"/>
            <w:textDirection w:val="lrTb"/>
            <w:noWrap w:val="false"/>
          </w:tcPr>
          <w:p>
            <w:pPr>
              <w:pStyle w:val="1005"/>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712" w:type="dxa"/>
            <w:vAlign w:val="center"/>
            <w:textDirection w:val="lrTb"/>
            <w:noWrap w:val="false"/>
          </w:tcPr>
          <w:p>
            <w:pPr>
              <w:pStyle w:val="1005"/>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639" w:type="dxa"/>
            <w:vAlign w:val="center"/>
            <w:textDirection w:val="lrTb"/>
            <w:noWrap w:val="false"/>
          </w:tcPr>
          <w:p>
            <w:pPr>
              <w:pStyle w:val="100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100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296"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794"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555"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712"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639"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r>
      <w:tr>
        <w:trPr>
          <w:cantSplit/>
          <w:trHeight w:val="640"/>
        </w:trPr>
        <w:tc>
          <w:tcPr>
            <w:tcW w:w="296"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794"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555"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712"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639"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r>
      <w:tr>
        <w:trPr>
          <w:cantSplit/>
          <w:trHeight w:val="640"/>
        </w:trPr>
        <w:tc>
          <w:tcPr>
            <w:tcW w:w="296"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794"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555"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712"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639"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r>
      <w:tr>
        <w:trPr>
          <w:cantSplit/>
          <w:trHeight w:val="640"/>
        </w:trPr>
        <w:tc>
          <w:tcPr>
            <w:tcW w:w="296"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794"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555"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712"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639"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r>
      <w:tr>
        <w:trPr>
          <w:cantSplit/>
          <w:trHeight w:val="640"/>
        </w:trPr>
        <w:tc>
          <w:tcPr>
            <w:tcW w:w="296"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794"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555"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712"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639"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r>
      <w:tr>
        <w:trPr>
          <w:cantSplit/>
          <w:trHeight w:val="640"/>
        </w:trPr>
        <w:tc>
          <w:tcPr>
            <w:tcW w:w="296"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794"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555"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712"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639"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r>
      <w:tr>
        <w:trPr>
          <w:cantSplit/>
          <w:trHeight w:val="640"/>
        </w:trPr>
        <w:tc>
          <w:tcPr>
            <w:tcW w:w="296"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794"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555"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712"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639"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r>
      <w:tr>
        <w:trPr>
          <w:cantSplit/>
          <w:trHeight w:val="640"/>
        </w:trPr>
        <w:tc>
          <w:tcPr>
            <w:tcW w:w="296"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1794" w:type="dxa"/>
            <w:vAlign w:val="top"/>
            <w:textDirection w:val="lrTb"/>
            <w:noWrap w:val="false"/>
          </w:tcPr>
          <w:p>
            <w:pPr>
              <w:pStyle w:val="100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555"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712"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c>
          <w:tcPr>
            <w:tcW w:w="639" w:type="dxa"/>
            <w:vAlign w:val="top"/>
            <w:textDirection w:val="lrTb"/>
            <w:noWrap w:val="false"/>
          </w:tcPr>
          <w:p>
            <w:pPr>
              <w:pStyle w:val="1005"/>
              <w:jc w:val="center"/>
              <w:rPr>
                <w:rFonts w:hint="eastAsia" w:ascii="宋体" w:hAnsi="宋体"/>
                <w:sz w:val="24"/>
                <w:szCs w:val="24"/>
              </w:rPr>
            </w:pPr>
            <w:r>
              <w:rPr>
                <w:rFonts w:hint="eastAsia" w:ascii="宋体" w:hAnsi="宋体"/>
                <w:sz w:val="24"/>
                <w:szCs w:val="24"/>
              </w:rPr>
            </w:r>
            <w:r/>
          </w:p>
        </w:tc>
      </w:tr>
    </w:tbl>
    <w:p>
      <w:pPr>
        <w:pStyle w:val="1026"/>
        <w:rPr>
          <w:rFonts w:ascii="Times New Roman" w:hAnsi="Times New Roman" w:eastAsia="宋体" w:cs="Times New Roman"/>
          <w:sz w:val="24"/>
        </w:rPr>
      </w:pPr>
      <w:r>
        <w:rPr>
          <w:rFonts w:ascii="Times New Roman" w:hAnsi="Times New Roman" w:eastAsia="宋体" w:cs="Times New Roman"/>
          <w:sz w:val="24"/>
        </w:rPr>
        <w:t xml:space="preserve">注：</w:t>
      </w:r>
      <w:r>
        <w:rPr>
          <w:rFonts w:hint="eastAsia" w:cs="Times New Roman"/>
          <w:sz w:val="24"/>
          <w:lang w:val="en-US" w:eastAsia="zh-CN"/>
        </w:rPr>
        <w:t xml:space="preserve">如完全响应，以空表列示，加盖公章</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05"/>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br w:type="page" w:clear="all"/>
      </w:r>
      <w:r>
        <w:rPr>
          <w:rFonts w:hint="eastAsia" w:ascii="宋体" w:hAnsi="宋体"/>
          <w:color w:val="000000"/>
          <w:sz w:val="24"/>
          <w:szCs w:val="24"/>
          <w:highlight w:val="none"/>
          <w:lang w:val="en-US" w:eastAsia="zh-CN"/>
        </w:rPr>
      </w:r>
      <w:r/>
    </w:p>
    <w:p>
      <w:pPr>
        <w:pStyle w:val="1091"/>
        <w:rPr>
          <w:highlight w:val="none"/>
        </w:rPr>
        <w:outlineLvl w:val="0"/>
      </w:pPr>
      <w:r>
        <w:rPr>
          <w:highlight w:val="none"/>
        </w:rPr>
        <w:t xml:space="preserve">附件16</w:t>
      </w:r>
      <w:r>
        <w:rPr>
          <w:highlight w:val="none"/>
        </w:rPr>
      </w:r>
      <w:r/>
    </w:p>
    <w:p>
      <w:pPr>
        <w:pStyle w:val="1005"/>
        <w:jc w:val="center"/>
        <w:keepLines w:val="0"/>
        <w:keepNext w:val="0"/>
        <w:spacing w:beforeAutospacing="0" w:after="120" w:afterAutospacing="0" w:line="360" w:lineRule="auto"/>
        <w:widowControl w:val="off"/>
        <w:rPr>
          <w:rFonts w:hint="eastAsia" w:ascii="Times New Roman" w:hAnsi="Times New Roman" w:eastAsia="宋体" w:cs="Times New Roman"/>
          <w:b/>
          <w:sz w:val="28"/>
          <w:szCs w:val="28"/>
          <w:lang w:val="en-US" w:eastAsia="zh-CN"/>
        </w:rPr>
        <w:outlineLvl w:val="9"/>
      </w:pPr>
      <w:r>
        <w:rPr>
          <w:rFonts w:hint="eastAsia" w:ascii="Times New Roman" w:hAnsi="Times New Roman" w:eastAsia="宋体" w:cs="Times New Roman"/>
          <w:b/>
          <w:sz w:val="28"/>
          <w:szCs w:val="28"/>
          <w:lang w:val="en-US" w:eastAsia="zh-CN"/>
        </w:rPr>
        <w:t xml:space="preserve">已标价工程量清单（首轮）</w:t>
      </w:r>
      <w:r>
        <w:rPr>
          <w:rFonts w:hint="eastAsia" w:ascii="Times New Roman" w:hAnsi="Times New Roman" w:eastAsia="宋体" w:cs="Times New Roman"/>
          <w:b/>
          <w:sz w:val="28"/>
          <w:szCs w:val="28"/>
          <w:lang w:val="en-US" w:eastAsia="zh-CN"/>
        </w:rPr>
      </w:r>
      <w:r/>
    </w:p>
    <w:p>
      <w:pPr>
        <w:pStyle w:val="1005"/>
        <w:jc w:val="center"/>
        <w:rPr>
          <w:rFonts w:ascii="宋体" w:hAnsi="宋体"/>
          <w:b/>
          <w:color w:val="000000"/>
          <w:sz w:val="30"/>
          <w:szCs w:val="30"/>
          <w:highlight w:val="none"/>
        </w:rPr>
      </w:pPr>
      <w:r>
        <w:rPr>
          <w:rFonts w:hint="eastAsia" w:ascii="宋体" w:hAnsi="宋体"/>
          <w:color w:val="000000"/>
          <w:sz w:val="24"/>
          <w:highlight w:val="none"/>
        </w:rPr>
        <w:t xml:space="preserve">项目清单</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自行下载</w:t>
      </w:r>
      <w:r>
        <w:rPr>
          <w:rFonts w:hint="eastAsia" w:ascii="宋体" w:hAnsi="宋体"/>
          <w:color w:val="000000"/>
          <w:sz w:val="24"/>
          <w:highlight w:val="none"/>
          <w:lang w:eastAsia="zh-CN"/>
        </w:rPr>
        <w:t xml:space="preserve">）</w:t>
      </w:r>
      <w:r>
        <w:rPr>
          <w:rFonts w:ascii="宋体" w:hAnsi="宋体"/>
          <w:b/>
          <w:color w:val="000000"/>
          <w:sz w:val="30"/>
          <w:szCs w:val="30"/>
          <w:highlight w:val="none"/>
        </w:rPr>
      </w:r>
      <w:r/>
    </w:p>
    <w:p>
      <w:pPr>
        <w:pStyle w:val="1005"/>
        <w:jc w:val="both"/>
        <w:keepLines/>
        <w:keepNext/>
        <w:spacing w:before="100" w:line="400" w:lineRule="exact"/>
        <w:rPr>
          <w:rFonts w:hint="eastAsia" w:ascii="宋体" w:hAnsi="宋体" w:eastAsia="宋体" w:cs="宋体"/>
          <w:b w:val="0"/>
          <w:bCs w:val="0"/>
          <w:color w:val="000000"/>
          <w:sz w:val="28"/>
          <w:szCs w:val="20"/>
          <w:highlight w:val="none"/>
          <w:lang w:val="en-US" w:eastAsia="zh-CN"/>
        </w:rPr>
        <w:outlineLvl w:val="9"/>
      </w:pPr>
      <w:r/>
      <w:bookmarkStart w:id="734" w:name="_Toc25103_WPSOffice_Level3"/>
      <w:r>
        <w:rPr>
          <w:rFonts w:hint="eastAsia" w:ascii="宋体" w:hAnsi="宋体" w:eastAsia="宋体" w:cs="宋体"/>
          <w:b w:val="0"/>
          <w:bCs w:val="0"/>
          <w:color w:val="000000"/>
          <w:sz w:val="28"/>
          <w:szCs w:val="20"/>
          <w:highlight w:val="none"/>
          <w:lang w:val="en-US" w:eastAsia="zh-CN"/>
        </w:rPr>
      </w:r>
      <w:r/>
    </w:p>
    <w:p>
      <w:pPr>
        <w:pStyle w:val="1005"/>
        <w:jc w:val="both"/>
        <w:keepLines/>
        <w:keepNext/>
        <w:spacing w:before="100" w:line="400" w:lineRule="exact"/>
        <w:rPr>
          <w:rFonts w:hint="eastAsia" w:ascii="宋体" w:hAnsi="宋体" w:eastAsia="宋体" w:cs="宋体"/>
          <w:b w:val="0"/>
          <w:bCs w:val="0"/>
          <w:color w:val="000000"/>
          <w:sz w:val="28"/>
          <w:szCs w:val="20"/>
          <w:highlight w:val="none"/>
          <w:lang w:val="en-US" w:eastAsia="zh-CN"/>
        </w:rPr>
        <w:outlineLvl w:val="9"/>
      </w:pPr>
      <w:r>
        <w:rPr>
          <w:rFonts w:hint="eastAsia" w:ascii="宋体" w:hAnsi="宋体" w:eastAsia="宋体" w:cs="宋体"/>
          <w:b w:val="0"/>
          <w:bCs w:val="0"/>
          <w:color w:val="000000"/>
          <w:sz w:val="28"/>
          <w:szCs w:val="20"/>
          <w:highlight w:val="none"/>
          <w:lang w:val="en-US" w:eastAsia="zh-CN"/>
        </w:rPr>
      </w:r>
      <w:r/>
    </w:p>
    <w:p>
      <w:pPr>
        <w:pStyle w:val="1091"/>
        <w:rPr>
          <w:highlight w:val="none"/>
        </w:rPr>
        <w:outlineLvl w:val="0"/>
      </w:pPr>
      <w:r>
        <w:rPr>
          <w:highlight w:val="none"/>
        </w:rPr>
        <w:br w:type="page" w:clear="all"/>
      </w:r>
      <w:r>
        <w:rPr>
          <w:highlight w:val="none"/>
        </w:rPr>
        <w:t xml:space="preserve">附件17</w:t>
      </w:r>
      <w:r>
        <w:rPr>
          <w:highlight w:val="none"/>
        </w:rPr>
      </w:r>
      <w:r/>
    </w:p>
    <w:p>
      <w:pPr>
        <w:pStyle w:val="1096"/>
        <w:rPr>
          <w:highlight w:val="none"/>
        </w:rPr>
      </w:pPr>
      <w:r>
        <w:rPr>
          <w:highlight w:val="none"/>
        </w:rPr>
        <w:t xml:space="preserve">计划投入的主要施工机械设备表</w:t>
      </w:r>
      <w:bookmarkEnd w:id="734"/>
      <w:r>
        <w:rPr>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5"/>
        <w:gridCol w:w="1560"/>
        <w:gridCol w:w="641"/>
        <w:gridCol w:w="641"/>
        <w:gridCol w:w="825"/>
        <w:gridCol w:w="825"/>
        <w:gridCol w:w="1009"/>
        <w:gridCol w:w="1008"/>
        <w:gridCol w:w="1542"/>
      </w:tblGrid>
      <w:tr>
        <w:trPr>
          <w:trHeight w:val="1153"/>
        </w:trPr>
        <w:tc>
          <w:tcPr>
            <w:tcW w:w="273" w:type="dxa"/>
            <w:vAlign w:val="top"/>
            <w:textDirection w:val="lrTb"/>
            <w:noWrap w:val="false"/>
          </w:tcPr>
          <w:p>
            <w:pPr>
              <w:pStyle w:val="1089"/>
              <w:ind w:firstLine="0"/>
              <w:jc w:val="center"/>
              <w:spacing w:line="360" w:lineRule="auto"/>
              <w:rPr>
                <w:rFonts w:ascii="宋体" w:hAnsi="宋体"/>
                <w:color w:val="000000"/>
                <w:position w:val="-32"/>
                <w:sz w:val="23"/>
                <w:highlight w:val="none"/>
              </w:rPr>
            </w:pPr>
            <w:r>
              <w:rPr>
                <w:rFonts w:hint="eastAsia" w:ascii="宋体" w:hAnsi="宋体"/>
                <w:color w:val="000000"/>
                <w:position w:val="-32"/>
                <w:sz w:val="23"/>
                <w:highlight w:val="none"/>
              </w:rPr>
              <w:t xml:space="preserve">序号</w:t>
            </w:r>
            <w:r>
              <w:rPr>
                <w:rFonts w:ascii="宋体" w:hAnsi="宋体"/>
                <w:color w:val="000000"/>
                <w:position w:val="-32"/>
                <w:sz w:val="23"/>
                <w:highlight w:val="none"/>
              </w:rPr>
            </w:r>
            <w:r/>
          </w:p>
        </w:tc>
        <w:tc>
          <w:tcPr>
            <w:tcW w:w="915" w:type="dxa"/>
            <w:vAlign w:val="top"/>
            <w:textDirection w:val="lrTb"/>
            <w:noWrap w:val="false"/>
          </w:tcPr>
          <w:p>
            <w:pPr>
              <w:pStyle w:val="1089"/>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机械设备名称</w:t>
            </w:r>
            <w:r>
              <w:rPr>
                <w:rFonts w:ascii="宋体" w:hAnsi="宋体"/>
                <w:color w:val="000000"/>
                <w:position w:val="-50"/>
                <w:sz w:val="23"/>
                <w:highlight w:val="none"/>
              </w:rPr>
            </w:r>
            <w:r/>
          </w:p>
        </w:tc>
        <w:tc>
          <w:tcPr>
            <w:tcW w:w="376" w:type="dxa"/>
            <w:vAlign w:val="top"/>
            <w:textDirection w:val="lrTb"/>
            <w:noWrap w:val="false"/>
          </w:tcPr>
          <w:p>
            <w:pPr>
              <w:pStyle w:val="1089"/>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型号规格</w:t>
            </w:r>
            <w:r>
              <w:rPr>
                <w:rFonts w:ascii="宋体" w:hAnsi="宋体"/>
                <w:color w:val="000000"/>
                <w:position w:val="-30"/>
                <w:sz w:val="23"/>
                <w:highlight w:val="none"/>
              </w:rPr>
            </w:r>
            <w:r/>
          </w:p>
        </w:tc>
        <w:tc>
          <w:tcPr>
            <w:tcW w:w="376" w:type="dxa"/>
            <w:vAlign w:val="top"/>
            <w:textDirection w:val="lrTb"/>
            <w:noWrap w:val="false"/>
          </w:tcPr>
          <w:p>
            <w:pPr>
              <w:pStyle w:val="1089"/>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数量</w:t>
            </w:r>
            <w:r>
              <w:rPr>
                <w:rFonts w:ascii="宋体" w:hAnsi="宋体"/>
                <w:color w:val="000000"/>
                <w:position w:val="-50"/>
                <w:sz w:val="23"/>
                <w:highlight w:val="none"/>
              </w:rPr>
            </w:r>
            <w:r/>
          </w:p>
        </w:tc>
        <w:tc>
          <w:tcPr>
            <w:tcW w:w="484" w:type="dxa"/>
            <w:vAlign w:val="top"/>
            <w:textDirection w:val="lrTb"/>
            <w:noWrap w:val="false"/>
          </w:tcPr>
          <w:p>
            <w:pPr>
              <w:pStyle w:val="1089"/>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国 别</w:t>
            </w:r>
            <w:r>
              <w:rPr>
                <w:rFonts w:ascii="宋体" w:hAnsi="宋体"/>
                <w:color w:val="000000"/>
                <w:position w:val="-30"/>
                <w:sz w:val="23"/>
                <w:highlight w:val="none"/>
              </w:rPr>
            </w:r>
            <w:r/>
          </w:p>
          <w:p>
            <w:pPr>
              <w:pStyle w:val="1089"/>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产 地</w:t>
            </w:r>
            <w:r>
              <w:rPr>
                <w:rFonts w:ascii="宋体" w:hAnsi="宋体"/>
                <w:color w:val="000000"/>
                <w:position w:val="-30"/>
                <w:sz w:val="23"/>
                <w:highlight w:val="none"/>
              </w:rPr>
            </w:r>
            <w:r/>
          </w:p>
        </w:tc>
        <w:tc>
          <w:tcPr>
            <w:tcW w:w="484" w:type="dxa"/>
            <w:vAlign w:val="top"/>
            <w:textDirection w:val="lrTb"/>
            <w:noWrap w:val="false"/>
          </w:tcPr>
          <w:p>
            <w:pPr>
              <w:pStyle w:val="1089"/>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制 造</w:t>
            </w:r>
            <w:r>
              <w:rPr>
                <w:rFonts w:ascii="宋体" w:hAnsi="宋体"/>
                <w:color w:val="000000"/>
                <w:position w:val="-30"/>
                <w:sz w:val="23"/>
                <w:highlight w:val="none"/>
              </w:rPr>
            </w:r>
            <w:r/>
          </w:p>
          <w:p>
            <w:pPr>
              <w:pStyle w:val="1089"/>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年 份</w:t>
            </w:r>
            <w:r>
              <w:rPr>
                <w:rFonts w:ascii="宋体" w:hAnsi="宋体"/>
                <w:color w:val="000000"/>
                <w:position w:val="-30"/>
                <w:sz w:val="23"/>
                <w:highlight w:val="none"/>
              </w:rPr>
            </w:r>
            <w:r/>
          </w:p>
        </w:tc>
        <w:tc>
          <w:tcPr>
            <w:tcW w:w="592" w:type="dxa"/>
            <w:vAlign w:val="top"/>
            <w:textDirection w:val="lrTb"/>
            <w:noWrap w:val="false"/>
          </w:tcPr>
          <w:p>
            <w:pPr>
              <w:pStyle w:val="1089"/>
              <w:ind w:firstLine="0"/>
              <w:jc w:val="center"/>
              <w:spacing w:line="360" w:lineRule="auto"/>
              <w:rPr>
                <w:rFonts w:ascii="宋体" w:hAnsi="宋体"/>
                <w:color w:val="000000"/>
                <w:position w:val="-30"/>
                <w:highlight w:val="none"/>
              </w:rPr>
            </w:pPr>
            <w:r>
              <w:rPr>
                <w:rFonts w:hint="eastAsia" w:ascii="宋体" w:hAnsi="宋体"/>
                <w:color w:val="000000"/>
                <w:position w:val="-30"/>
                <w:highlight w:val="none"/>
              </w:rPr>
              <w:t xml:space="preserve">额定功率</w:t>
            </w:r>
            <w:r>
              <w:rPr>
                <w:rFonts w:hint="eastAsia" w:ascii="宋体" w:hAnsi="宋体"/>
                <w:color w:val="000000"/>
                <w:position w:val="-30"/>
                <w:highlight w:val="none"/>
                <w:lang w:eastAsia="zh-CN"/>
              </w:rPr>
              <w:t xml:space="preserve">（</w:t>
            </w:r>
            <w:r>
              <w:rPr>
                <w:rFonts w:hint="eastAsia" w:ascii="宋体" w:hAnsi="宋体"/>
                <w:color w:val="000000"/>
                <w:position w:val="-30"/>
                <w:highlight w:val="none"/>
              </w:rPr>
              <w:t xml:space="preserve">KW</w:t>
            </w:r>
            <w:r>
              <w:rPr>
                <w:rFonts w:hint="eastAsia" w:ascii="宋体" w:hAnsi="宋体"/>
                <w:color w:val="000000"/>
                <w:position w:val="-30"/>
                <w:highlight w:val="none"/>
                <w:lang w:eastAsia="zh-CN"/>
              </w:rPr>
              <w:t xml:space="preserve">）</w:t>
            </w:r>
            <w:r>
              <w:rPr>
                <w:rFonts w:ascii="宋体" w:hAnsi="宋体"/>
                <w:color w:val="000000"/>
                <w:position w:val="-30"/>
                <w:highlight w:val="none"/>
              </w:rPr>
            </w:r>
            <w:r/>
          </w:p>
        </w:tc>
        <w:tc>
          <w:tcPr>
            <w:tcW w:w="591" w:type="dxa"/>
            <w:vAlign w:val="top"/>
            <w:textDirection w:val="lrTb"/>
            <w:noWrap w:val="false"/>
          </w:tcPr>
          <w:p>
            <w:pPr>
              <w:pStyle w:val="1089"/>
              <w:ind w:firstLine="0"/>
              <w:jc w:val="center"/>
              <w:spacing w:line="360" w:lineRule="auto"/>
              <w:rPr>
                <w:rFonts w:ascii="宋体" w:hAnsi="宋体"/>
                <w:color w:val="000000"/>
                <w:position w:val="-30"/>
                <w:highlight w:val="none"/>
              </w:rPr>
            </w:pPr>
            <w:r>
              <w:rPr>
                <w:rFonts w:hint="eastAsia" w:ascii="宋体" w:hAnsi="宋体"/>
                <w:color w:val="000000"/>
                <w:position w:val="-30"/>
                <w:highlight w:val="none"/>
              </w:rPr>
              <w:t xml:space="preserve">生产能力</w:t>
            </w:r>
            <w:r>
              <w:rPr>
                <w:rFonts w:hint="eastAsia" w:ascii="宋体" w:hAnsi="宋体"/>
                <w:color w:val="000000"/>
                <w:position w:val="-30"/>
                <w:highlight w:val="none"/>
                <w:lang w:eastAsia="zh-CN"/>
              </w:rPr>
              <w:t xml:space="preserve">（</w:t>
            </w:r>
            <w:r>
              <w:rPr>
                <w:rFonts w:hint="eastAsia" w:ascii="宋体" w:hAnsi="宋体"/>
                <w:color w:val="000000"/>
                <w:position w:val="-30"/>
                <w:highlight w:val="none"/>
              </w:rPr>
              <w:t xml:space="preserve">MH</w:t>
            </w:r>
            <w:r>
              <w:rPr>
                <w:rFonts w:hint="eastAsia" w:ascii="宋体" w:hAnsi="宋体"/>
                <w:color w:val="000000"/>
                <w:position w:val="-30"/>
                <w:highlight w:val="none"/>
                <w:lang w:eastAsia="zh-CN"/>
              </w:rPr>
              <w:t xml:space="preserve">）</w:t>
            </w:r>
            <w:r>
              <w:rPr>
                <w:rFonts w:ascii="宋体" w:hAnsi="宋体"/>
                <w:color w:val="000000"/>
                <w:position w:val="-30"/>
                <w:highlight w:val="none"/>
              </w:rPr>
            </w:r>
            <w:r/>
          </w:p>
        </w:tc>
        <w:tc>
          <w:tcPr>
            <w:tcW w:w="904" w:type="dxa"/>
            <w:vAlign w:val="top"/>
            <w:textDirection w:val="lrTb"/>
            <w:noWrap w:val="false"/>
          </w:tcPr>
          <w:p>
            <w:pPr>
              <w:pStyle w:val="1089"/>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备注</w:t>
            </w:r>
            <w:r>
              <w:rPr>
                <w:rFonts w:ascii="宋体" w:hAnsi="宋体"/>
                <w:color w:val="000000"/>
                <w:position w:val="-50"/>
                <w:sz w:val="23"/>
                <w:highlight w:val="none"/>
              </w:rPr>
            </w:r>
            <w:r/>
          </w:p>
        </w:tc>
      </w:tr>
      <w:tr>
        <w:trPr>
          <w:trHeight w:val="736"/>
        </w:trPr>
        <w:tc>
          <w:tcPr>
            <w:tcW w:w="273"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915"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376"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376"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484"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484"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592"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591"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904"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273"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915"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376"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376"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484"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484"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592"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591"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904"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273"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915"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376"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376"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484"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484"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592"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591"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904"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273"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915"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376"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376"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484"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484"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592"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591"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c>
          <w:tcPr>
            <w:tcW w:w="904" w:type="dxa"/>
            <w:vAlign w:val="top"/>
            <w:textDirection w:val="lrTb"/>
            <w:noWrap w:val="false"/>
          </w:tcPr>
          <w:p>
            <w:pPr>
              <w:pStyle w:val="1089"/>
              <w:ind w:firstLine="0"/>
              <w:spacing w:line="360" w:lineRule="auto"/>
              <w:rPr>
                <w:rFonts w:ascii="宋体" w:hAnsi="宋体"/>
                <w:color w:val="000000"/>
                <w:sz w:val="25"/>
                <w:highlight w:val="none"/>
              </w:rPr>
            </w:pPr>
            <w:r>
              <w:rPr>
                <w:rFonts w:ascii="宋体" w:hAnsi="宋体"/>
                <w:color w:val="000000"/>
                <w:sz w:val="25"/>
                <w:highlight w:val="none"/>
              </w:rPr>
            </w:r>
            <w:r/>
          </w:p>
        </w:tc>
      </w:tr>
    </w:tbl>
    <w:p>
      <w:pPr>
        <w:pStyle w:val="1005"/>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005"/>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主要施工人员表</w:t>
      </w:r>
      <w:r>
        <w:rPr>
          <w:rFonts w:hint="eastAsia" w:ascii="宋体" w:hAnsi="宋体"/>
          <w:bCs/>
          <w:color w:val="000000"/>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3"/>
        <w:gridCol w:w="1703"/>
        <w:gridCol w:w="1703"/>
        <w:gridCol w:w="1705"/>
        <w:gridCol w:w="1706"/>
      </w:tblGrid>
      <w:tr>
        <w:trPr/>
        <w:tc>
          <w:tcPr>
            <w:tcW w:w="999"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999"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999"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000"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000"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999"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999"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999"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000"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000"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999"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999"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999"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000"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000"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999"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999"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999"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000"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000"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999"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999"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999"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000"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000" w:type="dxa"/>
            <w:vAlign w:val="top"/>
            <w:textDirection w:val="lrTb"/>
            <w:noWrap w:val="false"/>
          </w:tcPr>
          <w:p>
            <w:pPr>
              <w:pStyle w:val="1005"/>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bl>
    <w:p>
      <w:pPr>
        <w:pStyle w:val="1091"/>
        <w:rPr>
          <w:highlight w:val="none"/>
        </w:rPr>
        <w:outlineLvl w:val="0"/>
      </w:pPr>
      <w:r>
        <w:rPr>
          <w:highlight w:val="none"/>
        </w:rPr>
        <w:br w:type="page" w:clear="all"/>
      </w:r>
      <w:r>
        <w:rPr>
          <w:highlight w:val="none"/>
        </w:rPr>
        <w:t xml:space="preserve">附件18</w:t>
      </w:r>
      <w:r>
        <w:rPr>
          <w:highlight w:val="none"/>
        </w:rPr>
      </w:r>
      <w:r/>
    </w:p>
    <w:p>
      <w:pPr>
        <w:pStyle w:val="1005"/>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1095"/>
        <w:rPr>
          <w:highlight w:val="none"/>
        </w:rPr>
        <w:outlineLvl w:val="0"/>
      </w:pPr>
      <w:r>
        <w:rPr>
          <w:highlight w:val="none"/>
        </w:rPr>
        <w:t xml:space="preserve">一、质疑供应商基本信息</w:t>
      </w:r>
      <w:r>
        <w:rPr>
          <w:highlight w:val="none"/>
        </w:rPr>
      </w:r>
      <w:r/>
    </w:p>
    <w:p>
      <w:pPr>
        <w:pStyle w:val="1026"/>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rPr>
        <w:t xml:space="preserve">质疑供应商：</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u w:val="singl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地址：</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t xml:space="preserve">邮编：</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联系人：</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t xml:space="preserve">联系电话：</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rPr>
        <w:t xml:space="preserve">授权代表：</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u w:val="singl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联系电话：</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地址： </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t xml:space="preserve">邮编：</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r>
      <w:r/>
    </w:p>
    <w:p>
      <w:pPr>
        <w:pStyle w:val="1095"/>
        <w:rPr>
          <w:highlight w:val="none"/>
        </w:rPr>
        <w:outlineLvl w:val="0"/>
      </w:pPr>
      <w:r>
        <w:rPr>
          <w:highlight w:val="none"/>
        </w:rPr>
        <w:t xml:space="preserve">二、质疑项目基本情况</w:t>
      </w:r>
      <w:r>
        <w:rPr>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质疑项目的名称：</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质疑项目的编号：</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t xml:space="preserve">包号：</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r>
      <w:r/>
    </w:p>
    <w:p>
      <w:pPr>
        <w:pStyle w:val="1026"/>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rPr>
        <w:t xml:space="preserve">采购人名称：</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u w:val="singl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采购文件获取日期：</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r>
      <w:r/>
    </w:p>
    <w:p>
      <w:pPr>
        <w:pStyle w:val="1095"/>
        <w:rPr>
          <w:highlight w:val="none"/>
        </w:rPr>
        <w:outlineLvl w:val="0"/>
      </w:pPr>
      <w:r>
        <w:rPr>
          <w:highlight w:val="none"/>
        </w:rPr>
        <w:t xml:space="preserve">三、质疑事项具体内容</w:t>
      </w:r>
      <w:r>
        <w:rPr>
          <w:highlight w:val="none"/>
        </w:rPr>
      </w:r>
      <w:r/>
    </w:p>
    <w:p>
      <w:pPr>
        <w:pStyle w:val="1026"/>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rPr>
        <w:t xml:space="preserve">质疑事项1：</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u w:val="single"/>
        </w:rPr>
      </w:r>
      <w:r/>
    </w:p>
    <w:p>
      <w:pPr>
        <w:pStyle w:val="1026"/>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rPr>
        <w:t xml:space="preserve">事实依据：</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u w:val="single"/>
        </w:rPr>
      </w:r>
      <w:r/>
    </w:p>
    <w:p>
      <w:pPr>
        <w:pStyle w:val="100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26"/>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rPr>
        <w:t xml:space="preserve">法律依据：</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u w:val="single"/>
        </w:rPr>
      </w:r>
      <w:r/>
    </w:p>
    <w:p>
      <w:pPr>
        <w:pStyle w:val="100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26"/>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rPr>
        <w:t xml:space="preserve">质疑事项2</w:t>
      </w:r>
      <w:r>
        <w:rPr>
          <w:rFonts w:ascii="Times New Roman" w:hAnsi="Times New Roman" w:eastAsia="宋体" w:cs="Times New Roman"/>
          <w:color w:val="000000"/>
          <w:sz w:val="24"/>
          <w:highlight w:val="none"/>
          <w:u w:val="singl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1095"/>
        <w:rPr>
          <w:highlight w:val="none"/>
        </w:rPr>
        <w:outlineLvl w:val="0"/>
      </w:pPr>
      <w:r>
        <w:rPr>
          <w:highlight w:val="none"/>
        </w:rPr>
        <w:t xml:space="preserve">四、与质疑事项相关的质疑请求</w:t>
      </w:r>
      <w:r>
        <w:rPr>
          <w:highlight w:val="none"/>
        </w:rPr>
      </w:r>
      <w:r/>
    </w:p>
    <w:p>
      <w:pPr>
        <w:pStyle w:val="1026"/>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rPr>
        <w:t xml:space="preserve">请求：</w:t>
      </w:r>
      <w:r>
        <w:rPr>
          <w:rFonts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u w:val="single"/>
        </w:rPr>
      </w:r>
      <w:r/>
    </w:p>
    <w:p>
      <w:pPr>
        <w:pStyle w:val="1005"/>
        <w:ind w:left="480" w:firstLine="0"/>
        <w:spacing w:after="120" w:afterAutospacing="0"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签字</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签章</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                   公章：                      </w:t>
      </w:r>
      <w:r>
        <w:rPr>
          <w:rFonts w:ascii="Times New Roman" w:hAnsi="Times New Roman" w:eastAsia="宋体" w:cs="Times New Roman"/>
          <w:color w:val="000000"/>
          <w:sz w:val="24"/>
          <w:szCs w:val="24"/>
          <w:highlight w:val="none"/>
        </w:rPr>
      </w:r>
      <w:r/>
    </w:p>
    <w:p>
      <w:pPr>
        <w:pStyle w:val="1026"/>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日期：    </w:t>
      </w:r>
      <w:r>
        <w:rPr>
          <w:rFonts w:ascii="Times New Roman" w:hAnsi="Times New Roman" w:eastAsia="宋体" w:cs="Times New Roman"/>
          <w:color w:val="000000"/>
          <w:sz w:val="24"/>
          <w:highlight w:val="none"/>
        </w:rPr>
      </w:r>
      <w:r/>
    </w:p>
    <w:p>
      <w:pPr>
        <w:pStyle w:val="1096"/>
        <w:shd w:val="clear" w:color="auto" w:fill="ffffff"/>
        <w:rPr>
          <w:highlight w:val="none"/>
        </w:rPr>
        <w:outlineLvl w:val="0"/>
      </w:pPr>
      <w:r>
        <w:rPr>
          <w:highlight w:val="none"/>
        </w:rPr>
        <w:t xml:space="preserve">质疑函制作说明：</w:t>
      </w:r>
      <w:r>
        <w:rPr>
          <w:highlight w:val="none"/>
        </w:rPr>
      </w:r>
      <w:r/>
    </w:p>
    <w:p>
      <w:pPr>
        <w:pStyle w:val="1026"/>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1.供应商提出质疑时，应提交质疑函和必要的证明材料。</w:t>
      </w:r>
      <w:r>
        <w:rPr>
          <w:rFonts w:ascii="Times New Roman" w:hAnsi="Times New Roman" w:eastAsia="宋体" w:cs="Times New Roman"/>
          <w:color w:val="000000"/>
          <w:sz w:val="24"/>
          <w:highlight w:val="none"/>
        </w:rPr>
      </w:r>
      <w:r/>
    </w:p>
    <w:p>
      <w:pPr>
        <w:pStyle w:val="1026"/>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Times New Roman" w:hAnsi="Times New Roman" w:eastAsia="宋体" w:cs="Times New Roman"/>
          <w:color w:val="000000"/>
          <w:sz w:val="24"/>
          <w:highlight w:val="none"/>
        </w:rPr>
      </w:r>
      <w:r/>
    </w:p>
    <w:p>
      <w:pPr>
        <w:pStyle w:val="1026"/>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3.质疑供应商若对项目的某一分包进行质疑，质疑函中应列明具体分包号。</w:t>
      </w:r>
      <w:r>
        <w:rPr>
          <w:rFonts w:ascii="Times New Roman" w:hAnsi="Times New Roman" w:eastAsia="宋体" w:cs="Times New Roman"/>
          <w:color w:val="000000"/>
          <w:sz w:val="24"/>
          <w:highlight w:val="none"/>
        </w:rPr>
      </w:r>
      <w:r/>
    </w:p>
    <w:p>
      <w:pPr>
        <w:pStyle w:val="1026"/>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4.质疑函的质疑事项应具体、明确，并有必要的事实依据和法律依据。</w:t>
      </w:r>
      <w:r>
        <w:rPr>
          <w:rFonts w:ascii="Times New Roman" w:hAnsi="Times New Roman" w:eastAsia="宋体" w:cs="Times New Roman"/>
          <w:color w:val="000000"/>
          <w:sz w:val="24"/>
          <w:highlight w:val="none"/>
        </w:rPr>
      </w:r>
      <w:r/>
    </w:p>
    <w:p>
      <w:pPr>
        <w:pStyle w:val="1026"/>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5.质疑函的质疑请求应与质疑事项相关。</w:t>
      </w:r>
      <w:r>
        <w:rPr>
          <w:rFonts w:ascii="Times New Roman" w:hAnsi="Times New Roman" w:eastAsia="宋体" w:cs="Times New Roman"/>
          <w:color w:val="000000"/>
          <w:sz w:val="24"/>
          <w:highlight w:val="none"/>
        </w:rPr>
      </w:r>
      <w:r/>
    </w:p>
    <w:p>
      <w:pPr>
        <w:pStyle w:val="1026"/>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宋体" w:cs="Times New Roman"/>
          <w:color w:val="000000"/>
          <w:sz w:val="24"/>
          <w:highlight w:val="none"/>
        </w:rPr>
      </w:r>
      <w:r/>
    </w:p>
    <w:p>
      <w:pPr>
        <w:pStyle w:val="1026"/>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7.特别提醒：供应商必须在法定质疑期内一次性提出针对同一采购程序环节的质疑。</w:t>
      </w:r>
      <w:r>
        <w:rPr>
          <w:rFonts w:ascii="Times New Roman" w:hAnsi="Times New Roman" w:eastAsia="宋体" w:cs="Times New Roman"/>
          <w:color w:val="000000"/>
          <w:sz w:val="24"/>
          <w:highlight w:val="none"/>
        </w:rPr>
      </w:r>
      <w:r/>
    </w:p>
    <w:p>
      <w:pPr>
        <w:pStyle w:val="1005"/>
        <w:rPr>
          <w:color w:val="000000"/>
          <w:highlight w:val="none"/>
        </w:rPr>
      </w:pPr>
      <w:r>
        <w:rPr>
          <w:color w:val="000000"/>
          <w:highlight w:val="none"/>
        </w:rPr>
        <w:br w:type="page" w:clear="all"/>
      </w:r>
      <w:r>
        <w:rPr>
          <w:color w:val="000000"/>
          <w:highlight w:val="none"/>
        </w:rPr>
      </w:r>
      <w:r/>
    </w:p>
    <w:p>
      <w:pPr>
        <w:pStyle w:val="1091"/>
        <w:outlineLvl w:val="0"/>
      </w:pPr>
      <w:r>
        <w:t xml:space="preserve">附件19：</w:t>
      </w:r>
      <w:r/>
    </w:p>
    <w:p>
      <w:pPr>
        <w:pStyle w:val="1096"/>
      </w:pPr>
      <w:r>
        <w:t xml:space="preserve">办理政采贷和履约保函（保险）告知函</w:t>
      </w:r>
      <w:r/>
    </w:p>
    <w:p>
      <w:pPr>
        <w:pStyle w:val="1026"/>
        <w:ind w:firstLine="0"/>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各政府采购供应商：</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欢迎贵公司参与南通市政府采购活动！</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政府采购线上合同信用融资和履约保函（保险）是支持企业发展，针对参与政府采购活动的企业融资难、现金流不足等问题推出的一项服务举措。</w:t>
      </w:r>
      <w:r>
        <w:rPr>
          <w:rFonts w:ascii="Times New Roman" w:hAnsi="Times New Roman" w:eastAsia="宋体" w:cs="Times New Roman"/>
          <w:color w:val="000000"/>
          <w:sz w:val="24"/>
        </w:rPr>
      </w:r>
      <w:r/>
    </w:p>
    <w:p>
      <w:pPr>
        <w:pStyle w:val="1026"/>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Times New Roman" w:hAnsi="Times New Roman" w:eastAsia="宋体" w:cs="Times New Roman"/>
          <w:color w:val="000000"/>
          <w:sz w:val="24"/>
        </w:rPr>
      </w:r>
      <w:r/>
    </w:p>
    <w:sectPr>
      <w:headerReference w:type="default" r:id="rId9"/>
      <w:footnotePr/>
      <w:endnotePr/>
      <w:type w:val="nextPage"/>
      <w:pgSz w:w="11907" w:h="16839" w:orient="portrait"/>
      <w:pgMar w:top="1440" w:right="1800" w:bottom="1440" w:left="180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方正黑体_GBK">
    <w:panose1 w:val="020B0503020202020204"/>
  </w:font>
  <w:font w:name="方正仿宋_GBK">
    <w:panose1 w:val="020B0503020202020204"/>
  </w:font>
  <w:font w:name="Wingdings">
    <w:panose1 w:val="05000000000000000000"/>
  </w:font>
  <w:font w:name="Courier New">
    <w:panose1 w:val="02070309020205020404"/>
  </w:font>
  <w:font w:name="Calibri">
    <w:panose1 w:val="020F0502020204030204"/>
  </w:font>
  <w:font w:name="楷体_GB2312">
    <w:panose1 w:val="02010609060101010101"/>
  </w:font>
  <w:font w:name="仿宋">
    <w:panose1 w:val="02010609060101010101"/>
  </w:font>
  <w:font w:name="等线">
    <w:panose1 w:val="02010600030101010101"/>
  </w:font>
  <w:font w:name="Tahoma">
    <w:panose1 w:val="020B0604030504040204"/>
  </w:font>
  <w:font w:name="新宋体">
    <w:panose1 w:val="02010609030101010101"/>
  </w:font>
  <w:font w:name="Symbol">
    <w:panose1 w:val="05050102010706020507"/>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100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100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100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pPr>
                      <w:pStyle w:val="100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22.2.%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7.%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1005"/>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10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tab"/>
      <w:lvlText w:val="%1"/>
      <w:lvlJc w:val="left"/>
      <w:pPr>
        <w:pStyle w:val="1005"/>
        <w:ind w:left="0" w:firstLine="480"/>
        <w:tabs>
          <w:tab w:val="num"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21.1.%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1005"/>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8.2.%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4.%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tab"/>
      <w:lvlText w:val="1.1.2.%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tab"/>
      <w:lvlText w:val="第%1章"/>
      <w:lvlJc w:val="left"/>
      <w:pPr>
        <w:pStyle w:val="1005"/>
        <w:ind w:left="0" w:firstLine="0"/>
        <w:tabs>
          <w:tab w:val="num"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20.%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5.%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3.%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9"/>
      <w:numFmt w:val="decimal"/>
      <w:isLgl w:val="false"/>
      <w:suff w:val="tab"/>
      <w:lvlText w:val="%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第%1种"/>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2"/>
      <w:numFmt w:val="decimal"/>
      <w:isLgl w:val="false"/>
      <w:suff w:val="tab"/>
      <w:lvlText w:val="15.%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2"/>
      <w:numFmt w:val="decimal"/>
      <w:isLgl w:val="false"/>
      <w:suff w:val="tab"/>
      <w:lvlText w:val="%1."/>
      <w:lvlJc w:val="left"/>
      <w:pPr>
        <w:pStyle w:val="1005"/>
        <w:tabs>
          <w:tab w:val="num" w:pos="312" w:leader="none"/>
        </w:tabs>
      </w:pPr>
    </w:lvl>
    <w:lvl w:ilvl="1">
      <w:start w:val="1"/>
      <w:numFmt w:val="decimal"/>
      <w:isLgl w:val="false"/>
      <w:suff w:val="tab"/>
      <w:lvlText w:val=""/>
      <w:lvlJc w:val="left"/>
      <w:pPr>
        <w:pStyle w:val="1005"/>
      </w:pPr>
    </w:lvl>
    <w:lvl w:ilvl="2">
      <w:start w:val="1"/>
      <w:numFmt w:val="decimal"/>
      <w:isLgl w:val="false"/>
      <w:suff w:val="tab"/>
      <w:lvlText w:val=""/>
      <w:lvlJc w:val="left"/>
      <w:pPr>
        <w:pStyle w:val="1005"/>
      </w:pPr>
    </w:lvl>
    <w:lvl w:ilvl="3">
      <w:start w:val="1"/>
      <w:numFmt w:val="decimal"/>
      <w:isLgl w:val="false"/>
      <w:suff w:val="tab"/>
      <w:lvlText w:val=""/>
      <w:lvlJc w:val="left"/>
      <w:pPr>
        <w:pStyle w:val="1005"/>
      </w:pPr>
    </w:lvl>
    <w:lvl w:ilvl="4">
      <w:start w:val="1"/>
      <w:numFmt w:val="decimal"/>
      <w:isLgl w:val="false"/>
      <w:suff w:val="tab"/>
      <w:lvlText w:val=""/>
      <w:lvlJc w:val="left"/>
      <w:pPr>
        <w:pStyle w:val="1005"/>
      </w:pPr>
    </w:lvl>
    <w:lvl w:ilvl="5">
      <w:start w:val="1"/>
      <w:numFmt w:val="decimal"/>
      <w:isLgl w:val="false"/>
      <w:suff w:val="tab"/>
      <w:lvlText w:val=""/>
      <w:lvlJc w:val="left"/>
      <w:pPr>
        <w:pStyle w:val="1005"/>
      </w:pPr>
    </w:lvl>
    <w:lvl w:ilvl="6">
      <w:start w:val="1"/>
      <w:numFmt w:val="decimal"/>
      <w:isLgl w:val="false"/>
      <w:suff w:val="tab"/>
      <w:lvlText w:val=""/>
      <w:lvlJc w:val="left"/>
      <w:pPr>
        <w:pStyle w:val="1005"/>
      </w:pPr>
    </w:lvl>
    <w:lvl w:ilvl="7">
      <w:start w:val="1"/>
      <w:numFmt w:val="decimal"/>
      <w:isLgl w:val="false"/>
      <w:suff w:val="tab"/>
      <w:lvlText w:val=""/>
      <w:lvlJc w:val="left"/>
      <w:pPr>
        <w:pStyle w:val="1005"/>
      </w:pPr>
    </w:lvl>
    <w:lvl w:ilvl="8">
      <w:start w:val="1"/>
      <w:numFmt w:val="decimal"/>
      <w:isLgl w:val="false"/>
      <w:suff w:val="tab"/>
      <w:lvlText w:val=""/>
      <w:lvlJc w:val="left"/>
      <w:pPr>
        <w:pStyle w:val="1005"/>
      </w:pPr>
    </w:lvl>
  </w:abstractNum>
  <w:abstractNum w:abstractNumId="29">
    <w:multiLevelType w:val="hybridMultilevel"/>
    <w:lvl w:ilvl="0">
      <w:start w:val="1"/>
      <w:numFmt w:val="decimal"/>
      <w:isLgl w:val="false"/>
      <w:suff w:val="tab"/>
      <w:lvlText w:val="16.1.%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2"/>
      <w:numFmt w:val="decimal"/>
      <w:isLgl w:val="false"/>
      <w:suff w:val="tab"/>
      <w:lvlText w:val="2.%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3.%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3.5.%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25.%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3.2.%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10.%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7.%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EnclosedCircleChinese"/>
      <w:isLgl w:val="false"/>
      <w:suff w:val="tab"/>
      <w:lvlText w:val="%1"/>
      <w:lvlJc w:val="left"/>
      <w:pPr>
        <w:pStyle w:val="1005"/>
        <w:ind w:left="0" w:firstLine="480"/>
        <w:tabs>
          <w:tab w:val="num"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4.%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chineseCounting"/>
      <w:isLgl w:val="false"/>
      <w:suff w:val="nothing"/>
      <w:lvlText w:val="（%1）"/>
      <w:lvlJc w:val="left"/>
      <w:pPr>
        <w:pStyle w:val="1005"/>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28.%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4.4.%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5.3.%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EnclosedCircleChinese"/>
      <w:isLgl w:val="false"/>
      <w:suff w:val="tab"/>
      <w:lvlText w:val="%1"/>
      <w:lvlJc w:val="left"/>
      <w:pPr>
        <w:pStyle w:val="1005"/>
        <w:ind w:left="0" w:firstLine="480"/>
        <w:tabs>
          <w:tab w:val="num"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6.%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2.7.%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26"/>
      <w:numFmt w:val="decimal"/>
      <w:isLgl w:val="false"/>
      <w:suff w:val="tab"/>
      <w:lvlText w:val="%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20.3.%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7"/>
      <w:numFmt w:val="decimal"/>
      <w:isLgl w:val="false"/>
      <w:suff w:val="tab"/>
      <w:lvlText w:val="%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tab"/>
      <w:lvlText w:val="1.6.%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EnclosedCircleChinese"/>
      <w:isLgl w:val="false"/>
      <w:suff w:val="tab"/>
      <w:lvlText w:val="%1"/>
      <w:lvlJc w:val="left"/>
      <w:pPr>
        <w:pStyle w:val="1005"/>
        <w:ind w:left="0" w:firstLine="480"/>
        <w:tabs>
          <w:tab w:val="num"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tab"/>
      <w:lvlText w:val="%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9.%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tab"/>
      <w:lvlText w:val="23.3.%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2.5.%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tab"/>
      <w:lvlText w:val="10.%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tab"/>
      <w:lvlText w:val="3.3.%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1.11.%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tab"/>
      <w:lvlText w:val="%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chineseCounting"/>
      <w:isLgl w:val="false"/>
      <w:suff w:val="nothing"/>
      <w:lvlText w:val="（%1）"/>
      <w:lvlJc w:val="left"/>
      <w:pPr>
        <w:pStyle w:val="1005"/>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tab"/>
      <w:lvlText w:val="%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tab"/>
      <w:lvlText w:val="8.%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
      <w:isLgl w:val="false"/>
      <w:suff w:val="tab"/>
      <w:lvlText w:val="%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tab"/>
      <w:lvlText w:val="24.4.%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tab"/>
      <w:lvlText w:val="16.1.%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tab"/>
      <w:lvlText w:val="%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decimal"/>
      <w:isLgl w:val="false"/>
      <w:suff w:val="tab"/>
      <w:lvlText w:val="14.%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tab"/>
      <w:lvlText w:val="2.%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decimal"/>
      <w:isLgl w:val="false"/>
      <w:suff w:val="tab"/>
      <w:lvlText w:val="13.%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chineseCounting"/>
      <w:isLgl w:val="false"/>
      <w:suff w:val="tab"/>
      <w:lvlText w:val="第%1部分"/>
      <w:lvlJc w:val="left"/>
      <w:pPr>
        <w:pStyle w:val="1005"/>
        <w:ind w:left="0" w:firstLine="0"/>
        <w:tabs>
          <w:tab w:val="num"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tab"/>
      <w:lvlText w:val="24.%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isLgl w:val="false"/>
      <w:suff w:val="tab"/>
      <w:lvlText w:val="12.%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1"/>
      <w:numFmt w:val="decimal"/>
      <w:isLgl w:val="false"/>
      <w:suff w:val="tab"/>
      <w:lvlText w:val="13.3.%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3">
    <w:multiLevelType w:val="hybridMultilevel"/>
    <w:lvl w:ilvl="0">
      <w:start w:val="1"/>
      <w:numFmt w:val="chineseCounting"/>
      <w:isLgl w:val="false"/>
      <w:suff w:val="nothing"/>
      <w:lvlText w:val="%1、"/>
      <w:lvlJc w:val="left"/>
      <w:pPr>
        <w:pStyle w:val="1005"/>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
      <w:numFmt w:val="chineseCounting"/>
      <w:isLgl w:val="false"/>
      <w:suff w:val="nothing"/>
      <w:lvlText w:val="（%1）"/>
      <w:lvlJc w:val="left"/>
      <w:pPr>
        <w:pStyle w:val="1005"/>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5">
    <w:multiLevelType w:val="hybridMultilevel"/>
    <w:lvl w:ilvl="0">
      <w:start w:val="1"/>
      <w:numFmt w:val="decimal"/>
      <w:isLgl w:val="false"/>
      <w:suff w:val="tab"/>
      <w:lvlText w:val="16.2.%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1"/>
      <w:numFmt w:val="decimal"/>
      <w:isLgl w:val="false"/>
      <w:suff w:val="tab"/>
      <w:lvlText w:val="22.%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7">
    <w:multiLevelType w:val="hybridMultilevel"/>
    <w:lvl w:ilvl="0">
      <w:start w:val="1"/>
      <w:numFmt w:val="decimal"/>
      <w:isLgl w:val="false"/>
      <w:suff w:val="tab"/>
      <w:lvlText w:val="7.5.%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8">
    <w:multiLevelType w:val="hybridMultilevel"/>
    <w:lvl w:ilvl="0">
      <w:start w:val="1"/>
      <w:numFmt w:val="decimal"/>
      <w:isLgl w:val="false"/>
      <w:suff w:val="tab"/>
      <w:lvlText w:val="7.1.%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9">
    <w:multiLevelType w:val="hybridMultilevel"/>
    <w:lvl w:ilvl="0">
      <w:start w:val="1"/>
      <w:numFmt w:val="decimal"/>
      <w:isLgl w:val="false"/>
      <w:suff w:val="tab"/>
      <w:lvlText w:val="16.%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0">
    <w:multiLevelType w:val="hybridMultilevel"/>
    <w:lvl w:ilvl="0">
      <w:start w:val="1"/>
      <w:numFmt w:val="decimal"/>
      <w:isLgl w:val="false"/>
      <w:suff w:val="tab"/>
      <w:lvlText w:val="12.3.%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1">
    <w:multiLevelType w:val="hybridMultilevel"/>
    <w:lvl w:ilvl="0">
      <w:start w:val="3"/>
      <w:numFmt w:val="chineseCounting"/>
      <w:isLgl w:val="false"/>
      <w:suff w:val="nothing"/>
      <w:lvlText w:val="%1、"/>
      <w:lvlJc w:val="left"/>
      <w:pPr>
        <w:pStyle w:val="1005"/>
        <w:ind w:left="0" w:firstLine="0"/>
      </w:pPr>
    </w:lvl>
    <w:lvl w:ilvl="1">
      <w:start w:val="1"/>
      <w:numFmt w:val="decimal"/>
      <w:isLgl w:val="false"/>
      <w:suff w:val="tab"/>
      <w:lvlText w:val=""/>
      <w:lvlJc w:val="left"/>
      <w:pPr>
        <w:pStyle w:val="1005"/>
      </w:pPr>
    </w:lvl>
    <w:lvl w:ilvl="2">
      <w:start w:val="1"/>
      <w:numFmt w:val="decimal"/>
      <w:isLgl w:val="false"/>
      <w:suff w:val="tab"/>
      <w:lvlText w:val=""/>
      <w:lvlJc w:val="left"/>
      <w:pPr>
        <w:pStyle w:val="1005"/>
      </w:pPr>
    </w:lvl>
    <w:lvl w:ilvl="3">
      <w:start w:val="1"/>
      <w:numFmt w:val="decimal"/>
      <w:isLgl w:val="false"/>
      <w:suff w:val="tab"/>
      <w:lvlText w:val=""/>
      <w:lvlJc w:val="left"/>
      <w:pPr>
        <w:pStyle w:val="1005"/>
      </w:pPr>
    </w:lvl>
    <w:lvl w:ilvl="4">
      <w:start w:val="1"/>
      <w:numFmt w:val="decimal"/>
      <w:isLgl w:val="false"/>
      <w:suff w:val="tab"/>
      <w:lvlText w:val=""/>
      <w:lvlJc w:val="left"/>
      <w:pPr>
        <w:pStyle w:val="1005"/>
      </w:pPr>
    </w:lvl>
    <w:lvl w:ilvl="5">
      <w:start w:val="1"/>
      <w:numFmt w:val="decimal"/>
      <w:isLgl w:val="false"/>
      <w:suff w:val="tab"/>
      <w:lvlText w:val=""/>
      <w:lvlJc w:val="left"/>
      <w:pPr>
        <w:pStyle w:val="1005"/>
      </w:pPr>
    </w:lvl>
    <w:lvl w:ilvl="6">
      <w:start w:val="1"/>
      <w:numFmt w:val="decimal"/>
      <w:isLgl w:val="false"/>
      <w:suff w:val="tab"/>
      <w:lvlText w:val=""/>
      <w:lvlJc w:val="left"/>
      <w:pPr>
        <w:pStyle w:val="1005"/>
      </w:pPr>
    </w:lvl>
    <w:lvl w:ilvl="7">
      <w:start w:val="1"/>
      <w:numFmt w:val="decimal"/>
      <w:isLgl w:val="false"/>
      <w:suff w:val="tab"/>
      <w:lvlText w:val=""/>
      <w:lvlJc w:val="left"/>
      <w:pPr>
        <w:pStyle w:val="1005"/>
      </w:pPr>
    </w:lvl>
    <w:lvl w:ilvl="8">
      <w:start w:val="1"/>
      <w:numFmt w:val="decimal"/>
      <w:isLgl w:val="false"/>
      <w:suff w:val="tab"/>
      <w:lvlText w:val=""/>
      <w:lvlJc w:val="left"/>
      <w:pPr>
        <w:pStyle w:val="1005"/>
      </w:pPr>
    </w:lvl>
  </w:abstractNum>
  <w:abstractNum w:abstractNumId="92">
    <w:multiLevelType w:val="hybridMultilevel"/>
    <w:lvl w:ilvl="0">
      <w:start w:val="1"/>
      <w:numFmt w:val="decimal"/>
      <w:isLgl w:val="false"/>
      <w:suff w:val="tab"/>
      <w:lvlText w:val="10.%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3">
    <w:multiLevelType w:val="hybridMultilevel"/>
    <w:lvl w:ilvl="0">
      <w:start w:val="1"/>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4">
    <w:multiLevelType w:val="hybridMultilevel"/>
    <w:lvl w:ilvl="0">
      <w:start w:val="1"/>
      <w:numFmt w:val="decimal"/>
      <w:isLgl w:val="false"/>
      <w:suff w:val="tab"/>
      <w:lvlText w:val="23.%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5">
    <w:multiLevelType w:val="hybridMultilevel"/>
    <w:lvl w:ilvl="0">
      <w:start w:val="2"/>
      <w:numFmt w:val="decimal"/>
      <w:isLgl w:val="false"/>
      <w:suff w:val="tab"/>
      <w:lvlText w:val="26.%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6">
    <w:multiLevelType w:val="hybridMultilevel"/>
    <w:lvl w:ilvl="0">
      <w:start w:val="1"/>
      <w:numFmt w:val="chineseCounting"/>
      <w:isLgl w:val="false"/>
      <w:suff w:val="tab"/>
      <w:lvlText w:val="第%1章"/>
      <w:lvlJc w:val="left"/>
      <w:pPr>
        <w:pStyle w:val="1005"/>
        <w:ind w:left="0" w:firstLine="0"/>
        <w:tabs>
          <w:tab w:val="num"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7">
    <w:multiLevelType w:val="hybridMultilevel"/>
    <w:lvl w:ilvl="0">
      <w:start w:val="1"/>
      <w:numFmt w:val="decimal"/>
      <w:isLgl w:val="false"/>
      <w:suff w:val="tab"/>
      <w:lvlText w:val="21.%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8">
    <w:multiLevelType w:val="hybridMultilevel"/>
    <w:lvl w:ilvl="0">
      <w:start w:val="1"/>
      <w:numFmt w:val="decimal"/>
      <w:isLgl w:val="false"/>
      <w:suff w:val="tab"/>
      <w:lvlText w:val="%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9">
    <w:multiLevelType w:val="hybridMultilevel"/>
    <w:lvl w:ilvl="0">
      <w:start w:val="1"/>
      <w:numFmt w:val="decimal"/>
      <w:isLgl w:val="false"/>
      <w:suff w:val="tab"/>
      <w:lvlText w:val="22.1.%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0">
    <w:multiLevelType w:val="hybridMultilevel"/>
    <w:lvl w:ilvl="0">
      <w:start w:val="1"/>
      <w:numFmt w:val="decimal"/>
      <w:isLgl w:val="false"/>
      <w:suff w:val="tab"/>
      <w:lvlText w:val="%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1">
    <w:multiLevelType w:val="hybridMultilevel"/>
    <w:lvl w:ilvl="0">
      <w:start w:val="1"/>
      <w:numFmt w:val="chineseCounting"/>
      <w:isLgl w:val="false"/>
      <w:suff w:val="nothing"/>
      <w:lvlText w:val="（%1）"/>
      <w:lvlJc w:val="left"/>
      <w:pPr>
        <w:pStyle w:val="1005"/>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2">
    <w:multiLevelType w:val="hybridMultilevel"/>
    <w:lvl w:ilvl="0">
      <w:start w:val="1"/>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3">
    <w:multiLevelType w:val="hybridMultilevel"/>
    <w:lvl w:ilvl="0">
      <w:start w:val="1"/>
      <w:numFmt w:val="chineseCounting"/>
      <w:isLgl w:val="false"/>
      <w:suff w:val="nothing"/>
      <w:lvlText w:val="%1、"/>
      <w:lvlJc w:val="left"/>
      <w:pPr>
        <w:pStyle w:val="1005"/>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4">
    <w:multiLevelType w:val="hybridMultilevel"/>
    <w:lvl w:ilvl="0">
      <w:start w:val="1"/>
      <w:numFmt w:val="decimal"/>
      <w:isLgl w:val="false"/>
      <w:suff w:val="tab"/>
      <w:lvlText w:val="9.%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5">
    <w:multiLevelType w:val="hybridMultilevel"/>
    <w:lvl w:ilvl="0">
      <w:start w:val="1"/>
      <w:numFmt w:val="decimal"/>
      <w:isLgl w:val="false"/>
      <w:suff w:val="tab"/>
      <w:lvlText w:val="1.1.%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6">
    <w:multiLevelType w:val="hybridMultilevel"/>
    <w:lvl w:ilvl="0">
      <w:start w:val="3"/>
      <w:numFmt w:val="decimal"/>
      <w:isLgl w:val="false"/>
      <w:suff w:val="tab"/>
      <w:lvlText w:val="20.%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7">
    <w:multiLevelType w:val="hybridMultilevel"/>
    <w:lvl w:ilvl="0">
      <w:start w:val="1"/>
      <w:numFmt w:val="decimal"/>
      <w:isLgl w:val="false"/>
      <w:suff w:val="tab"/>
      <w:lvlText w:val="7.3.%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8">
    <w:multiLevelType w:val="hybridMultilevel"/>
    <w:lvl w:ilvl="0">
      <w:start w:val="1"/>
      <w:numFmt w:val="decimal"/>
      <w:isLgl w:val="false"/>
      <w:suff w:val="tab"/>
      <w:lvlText w:val="24.2.%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9">
    <w:multiLevelType w:val="hybridMultilevel"/>
    <w:lvl w:ilvl="0">
      <w:start w:val="1"/>
      <w:numFmt w:val="chineseCounting"/>
      <w:isLgl w:val="false"/>
      <w:suff w:val="nothing"/>
      <w:lvlText w:val="%1、"/>
      <w:lvlJc w:val="left"/>
      <w:pPr>
        <w:pStyle w:val="1005"/>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0">
    <w:multiLevelType w:val="hybridMultilevel"/>
    <w:lvl w:ilvl="0">
      <w:start w:val="1"/>
      <w:numFmt w:val="decimal"/>
      <w:isLgl w:val="false"/>
      <w:suff w:val="tab"/>
      <w:lvlText w:val="%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1">
    <w:multiLevelType w:val="hybridMultilevel"/>
    <w:lvl w:ilvl="0">
      <w:start w:val="2"/>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2">
    <w:multiLevelType w:val="hybridMultilevel"/>
    <w:lvl w:ilvl="0">
      <w:start w:val="1"/>
      <w:numFmt w:val="decimal"/>
      <w:isLgl w:val="false"/>
      <w:suff w:val="tab"/>
      <w:lvlText w:val="2.6.%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3">
    <w:multiLevelType w:val="hybridMultilevel"/>
    <w:lvl w:ilvl="0">
      <w:start w:val="1"/>
      <w:numFmt w:val="decimal"/>
      <w:isLgl w:val="false"/>
      <w:suff w:val="tab"/>
      <w:lvlText w:val="2.%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4">
    <w:multiLevelType w:val="hybridMultilevel"/>
    <w:lvl w:ilvl="0">
      <w:start w:val="1"/>
      <w:numFmt w:val="decimal"/>
      <w:isLgl w:val="false"/>
      <w:suff w:val="nothing"/>
      <w:lvlText w:val="（%1）"/>
      <w:lvlJc w:val="left"/>
      <w:pPr>
        <w:pStyle w:val="100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5">
    <w:multiLevelType w:val="hybridMultilevel"/>
    <w:lvl w:ilvl="0">
      <w:start w:val="1"/>
      <w:numFmt w:val="decimal"/>
      <w:isLgl w:val="false"/>
      <w:suff w:val="tab"/>
      <w:lvlText w:val="10.7.%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6">
    <w:multiLevelType w:val="hybridMultilevel"/>
    <w:lvl w:ilvl="0">
      <w:start w:val="1"/>
      <w:numFmt w:val="decimal"/>
      <w:isLgl w:val="false"/>
      <w:suff w:val="tab"/>
      <w:lvlText w:val="%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7">
    <w:multiLevelType w:val="hybridMultilevel"/>
    <w:lvl w:ilvl="0">
      <w:start w:val="1"/>
      <w:numFmt w:val="decimal"/>
      <w:isLgl w:val="false"/>
      <w:suff w:val="tab"/>
      <w:lvlText w:val="2.4.%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8">
    <w:multiLevelType w:val="hybridMultilevel"/>
    <w:lvl w:ilvl="0">
      <w:start w:val="1"/>
      <w:numFmt w:val="decimal"/>
      <w:isLgl w:val="false"/>
      <w:suff w:val="tab"/>
      <w:lvlText w:val="3.%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9">
    <w:multiLevelType w:val="hybridMultilevel"/>
    <w:lvl w:ilvl="0">
      <w:start w:val="4"/>
      <w:numFmt w:val="decimal"/>
      <w:isLgl w:val="false"/>
      <w:suff w:val="tab"/>
      <w:lvlText w:val="%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0">
    <w:multiLevelType w:val="hybridMultilevel"/>
    <w:lvl w:ilvl="0">
      <w:start w:val="1"/>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1">
    <w:multiLevelType w:val="hybridMultilevel"/>
    <w:lvl w:ilvl="0">
      <w:start w:val="1"/>
      <w:numFmt w:val="decimal"/>
      <w:isLgl w:val="false"/>
      <w:suff w:val="tab"/>
      <w:lvlText w:val="3.2.%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2">
    <w:multiLevelType w:val="hybridMultilevel"/>
    <w:lvl w:ilvl="0">
      <w:start w:val="1"/>
      <w:numFmt w:val="decimal"/>
      <w:isLgl w:val="false"/>
      <w:suff w:val="tab"/>
      <w:lvlText w:val="6.%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3">
    <w:multiLevelType w:val="hybridMultilevel"/>
    <w:lvl w:ilvl="0">
      <w:start w:val="1"/>
      <w:numFmt w:val="decimal"/>
      <w:isLgl w:val="false"/>
      <w:suff w:val="tab"/>
      <w:lvlText w:val="6.1.%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4">
    <w:multiLevelType w:val="hybridMultilevel"/>
    <w:lvl w:ilvl="0">
      <w:start w:val="1"/>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5">
    <w:multiLevelType w:val="hybridMultilevel"/>
    <w:lvl w:ilvl="0">
      <w:start w:val="1"/>
      <w:numFmt w:val="decimal"/>
      <w:isLgl w:val="false"/>
      <w:suff w:val="tab"/>
      <w:lvlText w:val="3.3.%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6">
    <w:multiLevelType w:val="hybridMultilevel"/>
    <w:lvl w:ilvl="0">
      <w:start w:val="1"/>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7">
    <w:multiLevelType w:val="hybridMultilevel"/>
    <w:lvl w:ilvl="0">
      <w:start w:val="1"/>
      <w:numFmt w:val="decimal"/>
      <w:isLgl w:val="false"/>
      <w:suff w:val="tab"/>
      <w:lvlText w:val="1.7.%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8">
    <w:multiLevelType w:val="hybridMultilevel"/>
    <w:lvl w:ilvl="0">
      <w:start w:val="1"/>
      <w:numFmt w:val="decimal"/>
      <w:isLgl w:val="false"/>
      <w:suff w:val="tab"/>
      <w:lvlText w:val="29.%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9">
    <w:multiLevelType w:val="hybridMultilevel"/>
    <w:lvl w:ilvl="0">
      <w:start w:val="1"/>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0">
    <w:multiLevelType w:val="hybridMultilevel"/>
    <w:lvl w:ilvl="0">
      <w:start w:val="1"/>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1">
    <w:multiLevelType w:val="hybridMultilevel"/>
    <w:lvl w:ilvl="0">
      <w:start w:val="1"/>
      <w:numFmt w:val="decimal"/>
      <w:isLgl w:val="false"/>
      <w:suff w:val="nothing"/>
      <w:lvlText w:val="（%1）"/>
      <w:lvlJc w:val="left"/>
      <w:pPr>
        <w:pStyle w:val="100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2">
    <w:multiLevelType w:val="hybridMultilevel"/>
    <w:lvl w:ilvl="0">
      <w:start w:val="1"/>
      <w:numFmt w:val="decimal"/>
      <w:isLgl w:val="false"/>
      <w:suff w:val="tab"/>
      <w:lvlText w:val="14.%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3">
    <w:multiLevelType w:val="hybridMultilevel"/>
    <w:lvl w:ilvl="0">
      <w:start w:val="1"/>
      <w:numFmt w:val="decimal"/>
      <w:isLgl w:val="false"/>
      <w:suff w:val="tab"/>
      <w:lvlText w:val="12.2.%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4">
    <w:multiLevelType w:val="hybridMultilevel"/>
    <w:lvl w:ilvl="0">
      <w:start w:val="1"/>
      <w:numFmt w:val="decimal"/>
      <w:isLgl w:val="false"/>
      <w:suff w:val="tab"/>
      <w:lvlText w:val="15.4.%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5">
    <w:multiLevelType w:val="hybridMultilevel"/>
    <w:lvl w:ilvl="0">
      <w:start w:val="1"/>
      <w:numFmt w:val="decimal"/>
      <w:isLgl w:val="false"/>
      <w:suff w:val="tab"/>
      <w:lvlText w:val="%1."/>
      <w:lvlJc w:val="left"/>
      <w:pPr>
        <w:pStyle w:val="1005"/>
        <w:ind w:left="0" w:firstLine="480"/>
        <w:tabs>
          <w:tab w:val="num" w:pos="210" w:leader="none"/>
        </w:tabs>
      </w:pPr>
      <w:rPr>
        <w:i w:val="0"/>
        <w:i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6">
    <w:multiLevelType w:val="hybridMultilevel"/>
    <w:lvl w:ilvl="0">
      <w:start w:val="13"/>
      <w:numFmt w:val="decimal"/>
      <w:isLgl w:val="false"/>
      <w:suff w:val="tab"/>
      <w:lvlText w:val="%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7">
    <w:multiLevelType w:val="hybridMultilevel"/>
    <w:lvl w:ilvl="0">
      <w:start w:val="1"/>
      <w:numFmt w:val="decimal"/>
      <w:isLgl w:val="false"/>
      <w:suff w:val="tab"/>
      <w:lvlText w:val="18.%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8">
    <w:multiLevelType w:val="hybridMultilevel"/>
    <w:lvl w:ilvl="0">
      <w:start w:val="1"/>
      <w:numFmt w:val="decimal"/>
      <w:isLgl w:val="false"/>
      <w:suff w:val="tab"/>
      <w:lvlText w:val="%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9">
    <w:multiLevelType w:val="hybridMultilevel"/>
    <w:lvl w:ilvl="0">
      <w:start w:val="7"/>
      <w:numFmt w:val="decimal"/>
      <w:isLgl w:val="false"/>
      <w:suff w:val="tab"/>
      <w:lvlText w:val="1.1.3.%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0">
    <w:multiLevelType w:val="hybridMultilevel"/>
    <w:lvl w:ilvl="0">
      <w:start w:val="1"/>
      <w:numFmt w:val="decimal"/>
      <w:isLgl w:val="false"/>
      <w:suff w:val="tab"/>
      <w:lvlText w:val="%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1">
    <w:multiLevelType w:val="hybridMultilevel"/>
    <w:lvl w:ilvl="0">
      <w:start w:val="1"/>
      <w:numFmt w:val="decimal"/>
      <w:isLgl w:val="false"/>
      <w:suff w:val="tab"/>
      <w:lvlText w:val="21.3.%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2">
    <w:multiLevelType w:val="hybridMultilevel"/>
    <w:lvl w:ilvl="0">
      <w:start w:val="1"/>
      <w:numFmt w:val="decimal"/>
      <w:isLgl w:val="false"/>
      <w:suff w:val="tab"/>
      <w:lvlText w:val="8.6.1.%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3">
    <w:multiLevelType w:val="hybridMultilevel"/>
    <w:lvl w:ilvl="0">
      <w:start w:val="1"/>
      <w:numFmt w:val="decimal"/>
      <w:isLgl w:val="false"/>
      <w:suff w:val="tab"/>
      <w:lvlText w:val="1.%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4">
    <w:multiLevelType w:val="hybridMultilevel"/>
    <w:lvl w:ilvl="0">
      <w:start w:val="1"/>
      <w:numFmt w:val="decimalEnclosedCircleChinese"/>
      <w:isLgl w:val="false"/>
      <w:suff w:val="tab"/>
      <w:lvlText w:val="%1"/>
      <w:lvlJc w:val="left"/>
      <w:pPr>
        <w:pStyle w:val="1005"/>
        <w:ind w:left="0" w:firstLine="480"/>
        <w:tabs>
          <w:tab w:val="num"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5">
    <w:multiLevelType w:val="hybridMultilevel"/>
    <w:lvl w:ilvl="0">
      <w:start w:val="2"/>
      <w:numFmt w:val="decimal"/>
      <w:isLgl w:val="false"/>
      <w:suff w:val="tab"/>
      <w:lvlText w:val="13.2.%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6">
    <w:multiLevelType w:val="hybridMultilevel"/>
    <w:lvl w:ilvl="0">
      <w:start w:val="1"/>
      <w:numFmt w:val="japaneseCounting"/>
      <w:isLgl w:val="false"/>
      <w:suff w:val="tab"/>
      <w:lvlText w:val="第%1章"/>
      <w:lvlJc w:val="left"/>
      <w:pPr>
        <w:pStyle w:val="100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7">
    <w:multiLevelType w:val="hybridMultilevel"/>
    <w:lvl w:ilvl="0">
      <w:start w:val="1"/>
      <w:numFmt w:val="decimal"/>
      <w:isLgl w:val="false"/>
      <w:suff w:val="tab"/>
      <w:lvlText w:val="4.%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8">
    <w:multiLevelType w:val="hybridMultilevel"/>
    <w:lvl w:ilvl="0">
      <w:start w:val="1"/>
      <w:numFmt w:val="decimal"/>
      <w:isLgl w:val="false"/>
      <w:suff w:val="tab"/>
      <w:lvlText w:val="22.3.%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9">
    <w:multiLevelType w:val="hybridMultilevel"/>
    <w:lvl w:ilvl="0">
      <w:start w:val="1"/>
      <w:numFmt w:val="decimal"/>
      <w:isLgl w:val="false"/>
      <w:suff w:val="tab"/>
      <w:lvlText w:val="27.%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0">
    <w:multiLevelType w:val="hybridMultilevel"/>
    <w:lvl w:ilvl="0">
      <w:start w:val="23"/>
      <w:numFmt w:val="decimal"/>
      <w:isLgl w:val="false"/>
      <w:suff w:val="tab"/>
      <w:lvlText w:val="%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1">
    <w:multiLevelType w:val="hybridMultilevel"/>
    <w:lvl w:ilvl="0">
      <w:start w:val="1"/>
      <w:numFmt w:val="decimal"/>
      <w:isLgl w:val="false"/>
      <w:suff w:val="tab"/>
      <w:lvlText w:val="12.4.%1"/>
      <w:lvlJc w:val="left"/>
      <w:pPr>
        <w:pStyle w:val="1005"/>
        <w:ind w:left="0" w:firstLine="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2">
    <w:multiLevelType w:val="hybridMultilevel"/>
    <w:lvl w:ilvl="0">
      <w:start w:val="1"/>
      <w:numFmt w:val="decimal"/>
      <w:isLgl w:val="false"/>
      <w:suff w:val="tab"/>
      <w:lvlText w:val="19.%1"/>
      <w:lvlJc w:val="left"/>
      <w:pPr>
        <w:pStyle w:val="1005"/>
        <w:ind w:left="0" w:firstLine="480"/>
        <w:tabs>
          <w:tab w:val="num"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6"/>
  </w:num>
  <w:num w:numId="2">
    <w:abstractNumId w:val="96"/>
  </w:num>
  <w:num w:numId="3">
    <w:abstractNumId w:val="8"/>
  </w:num>
  <w:num w:numId="4">
    <w:abstractNumId w:val="69"/>
  </w:num>
  <w:num w:numId="5">
    <w:abstractNumId w:val="70"/>
  </w:num>
  <w:num w:numId="6">
    <w:abstractNumId w:val="26"/>
  </w:num>
  <w:num w:numId="7">
    <w:abstractNumId w:val="100"/>
  </w:num>
  <w:num w:numId="8">
    <w:abstractNumId w:val="68"/>
  </w:num>
  <w:num w:numId="9">
    <w:abstractNumId w:val="135"/>
  </w:num>
  <w:num w:numId="10">
    <w:abstractNumId w:val="59"/>
  </w:num>
  <w:num w:numId="11">
    <w:abstractNumId w:val="18"/>
  </w:num>
  <w:num w:numId="12">
    <w:abstractNumId w:val="65"/>
  </w:num>
  <w:num w:numId="13">
    <w:abstractNumId w:val="83"/>
  </w:num>
  <w:num w:numId="14">
    <w:abstractNumId w:val="72"/>
  </w:num>
  <w:num w:numId="15">
    <w:abstractNumId w:val="77"/>
  </w:num>
  <w:num w:numId="16">
    <w:abstractNumId w:val="147"/>
  </w:num>
  <w:num w:numId="17">
    <w:abstractNumId w:val="6"/>
  </w:num>
  <w:num w:numId="18">
    <w:abstractNumId w:val="122"/>
  </w:num>
  <w:num w:numId="19">
    <w:abstractNumId w:val="124"/>
  </w:num>
  <w:num w:numId="20">
    <w:abstractNumId w:val="71"/>
  </w:num>
  <w:num w:numId="21">
    <w:abstractNumId w:val="19"/>
  </w:num>
  <w:num w:numId="22">
    <w:abstractNumId w:val="104"/>
  </w:num>
  <w:num w:numId="23">
    <w:abstractNumId w:val="92"/>
  </w:num>
  <w:num w:numId="24">
    <w:abstractNumId w:val="136"/>
  </w:num>
  <w:num w:numId="25">
    <w:abstractNumId w:val="76"/>
  </w:num>
  <w:num w:numId="26">
    <w:abstractNumId w:val="89"/>
  </w:num>
  <w:num w:numId="27">
    <w:abstractNumId w:val="29"/>
  </w:num>
  <w:num w:numId="28">
    <w:abstractNumId w:val="56"/>
  </w:num>
  <w:num w:numId="29">
    <w:abstractNumId w:val="137"/>
  </w:num>
  <w:num w:numId="30">
    <w:abstractNumId w:val="152"/>
  </w:num>
  <w:num w:numId="31">
    <w:abstractNumId w:val="13"/>
  </w:num>
  <w:num w:numId="32">
    <w:abstractNumId w:val="97"/>
  </w:num>
  <w:num w:numId="33">
    <w:abstractNumId w:val="7"/>
  </w:num>
  <w:num w:numId="34">
    <w:abstractNumId w:val="141"/>
  </w:num>
  <w:num w:numId="35">
    <w:abstractNumId w:val="86"/>
  </w:num>
  <w:num w:numId="36">
    <w:abstractNumId w:val="99"/>
  </w:num>
  <w:num w:numId="37">
    <w:abstractNumId w:val="1"/>
  </w:num>
  <w:num w:numId="38">
    <w:abstractNumId w:val="148"/>
  </w:num>
  <w:num w:numId="39">
    <w:abstractNumId w:val="150"/>
  </w:num>
  <w:num w:numId="40">
    <w:abstractNumId w:val="94"/>
  </w:num>
  <w:num w:numId="41">
    <w:abstractNumId w:val="61"/>
  </w:num>
  <w:num w:numId="42">
    <w:abstractNumId w:val="80"/>
  </w:num>
  <w:num w:numId="43">
    <w:abstractNumId w:val="108"/>
  </w:num>
  <w:num w:numId="44">
    <w:abstractNumId w:val="73"/>
  </w:num>
  <w:num w:numId="45">
    <w:abstractNumId w:val="36"/>
  </w:num>
  <w:num w:numId="46">
    <w:abstractNumId w:val="54"/>
  </w:num>
  <w:num w:numId="47">
    <w:abstractNumId w:val="95"/>
  </w:num>
  <w:num w:numId="48">
    <w:abstractNumId w:val="149"/>
  </w:num>
  <w:num w:numId="49">
    <w:abstractNumId w:val="45"/>
  </w:num>
  <w:num w:numId="50">
    <w:abstractNumId w:val="128"/>
  </w:num>
  <w:num w:numId="51">
    <w:abstractNumId w:val="79"/>
  </w:num>
  <w:num w:numId="52">
    <w:abstractNumId w:val="103"/>
  </w:num>
  <w:num w:numId="53">
    <w:abstractNumId w:val="116"/>
  </w:num>
  <w:num w:numId="54">
    <w:abstractNumId w:val="114"/>
  </w:num>
  <w:num w:numId="55">
    <w:abstractNumId w:val="28"/>
  </w:num>
  <w:num w:numId="56">
    <w:abstractNumId w:val="16"/>
  </w:num>
  <w:num w:numId="57">
    <w:abstractNumId w:val="20"/>
  </w:num>
  <w:num w:numId="58">
    <w:abstractNumId w:val="75"/>
  </w:num>
  <w:num w:numId="59">
    <w:abstractNumId w:val="143"/>
  </w:num>
  <w:num w:numId="60">
    <w:abstractNumId w:val="105"/>
  </w:num>
  <w:num w:numId="61">
    <w:abstractNumId w:val="11"/>
  </w:num>
  <w:num w:numId="62">
    <w:abstractNumId w:val="139"/>
  </w:num>
  <w:num w:numId="63">
    <w:abstractNumId w:val="43"/>
  </w:num>
  <w:num w:numId="64">
    <w:abstractNumId w:val="57"/>
  </w:num>
  <w:num w:numId="65">
    <w:abstractNumId w:val="127"/>
  </w:num>
  <w:num w:numId="66">
    <w:abstractNumId w:val="40"/>
  </w:num>
  <w:num w:numId="67">
    <w:abstractNumId w:val="67"/>
  </w:num>
  <w:num w:numId="68">
    <w:abstractNumId w:val="31"/>
  </w:num>
  <w:num w:numId="69">
    <w:abstractNumId w:val="117"/>
  </w:num>
  <w:num w:numId="70">
    <w:abstractNumId w:val="32"/>
  </w:num>
  <w:num w:numId="71">
    <w:abstractNumId w:val="39"/>
  </w:num>
  <w:num w:numId="72">
    <w:abstractNumId w:val="30"/>
  </w:num>
  <w:num w:numId="73">
    <w:abstractNumId w:val="121"/>
  </w:num>
  <w:num w:numId="74">
    <w:abstractNumId w:val="64"/>
  </w:num>
  <w:num w:numId="75">
    <w:abstractNumId w:val="35"/>
  </w:num>
  <w:num w:numId="76">
    <w:abstractNumId w:val="10"/>
  </w:num>
  <w:num w:numId="77">
    <w:abstractNumId w:val="15"/>
  </w:num>
  <w:num w:numId="78">
    <w:abstractNumId w:val="123"/>
  </w:num>
  <w:num w:numId="79">
    <w:abstractNumId w:val="41"/>
  </w:num>
  <w:num w:numId="80">
    <w:abstractNumId w:val="88"/>
  </w:num>
  <w:num w:numId="81">
    <w:abstractNumId w:val="107"/>
  </w:num>
  <w:num w:numId="82">
    <w:abstractNumId w:val="87"/>
  </w:num>
  <w:num w:numId="83">
    <w:abstractNumId w:val="120"/>
  </w:num>
  <w:num w:numId="84">
    <w:abstractNumId w:val="9"/>
  </w:num>
  <w:num w:numId="85">
    <w:abstractNumId w:val="142"/>
  </w:num>
  <w:num w:numId="86">
    <w:abstractNumId w:val="60"/>
  </w:num>
  <w:num w:numId="87">
    <w:abstractNumId w:val="63"/>
  </w:num>
  <w:num w:numId="88">
    <w:abstractNumId w:val="52"/>
  </w:num>
  <w:num w:numId="89">
    <w:abstractNumId w:val="131"/>
  </w:num>
  <w:num w:numId="90">
    <w:abstractNumId w:val="115"/>
  </w:num>
  <w:num w:numId="91">
    <w:abstractNumId w:val="23"/>
  </w:num>
  <w:num w:numId="92">
    <w:abstractNumId w:val="34"/>
  </w:num>
  <w:num w:numId="93">
    <w:abstractNumId w:val="119"/>
  </w:num>
  <w:num w:numId="94">
    <w:abstractNumId w:val="50"/>
  </w:num>
  <w:num w:numId="95">
    <w:abstractNumId w:val="81"/>
  </w:num>
  <w:num w:numId="96">
    <w:abstractNumId w:val="33"/>
  </w:num>
  <w:num w:numId="97">
    <w:abstractNumId w:val="133"/>
  </w:num>
  <w:num w:numId="98">
    <w:abstractNumId w:val="90"/>
  </w:num>
  <w:num w:numId="99">
    <w:abstractNumId w:val="151"/>
  </w:num>
  <w:num w:numId="100">
    <w:abstractNumId w:val="14"/>
  </w:num>
  <w:num w:numId="101">
    <w:abstractNumId w:val="129"/>
  </w:num>
  <w:num w:numId="102">
    <w:abstractNumId w:val="78"/>
  </w:num>
  <w:num w:numId="103">
    <w:abstractNumId w:val="145"/>
  </w:num>
  <w:num w:numId="104">
    <w:abstractNumId w:val="111"/>
  </w:num>
  <w:num w:numId="105">
    <w:abstractNumId w:val="82"/>
  </w:num>
  <w:num w:numId="106">
    <w:abstractNumId w:val="22"/>
  </w:num>
  <w:num w:numId="107">
    <w:abstractNumId w:val="132"/>
  </w:num>
  <w:num w:numId="108">
    <w:abstractNumId w:val="46"/>
  </w:num>
  <w:num w:numId="109">
    <w:abstractNumId w:val="126"/>
  </w:num>
  <w:num w:numId="110">
    <w:abstractNumId w:val="24"/>
  </w:num>
  <w:num w:numId="111">
    <w:abstractNumId w:val="48"/>
  </w:num>
  <w:num w:numId="112">
    <w:abstractNumId w:val="21"/>
  </w:num>
  <w:num w:numId="113">
    <w:abstractNumId w:val="38"/>
  </w:num>
  <w:num w:numId="114">
    <w:abstractNumId w:val="134"/>
  </w:num>
  <w:num w:numId="115">
    <w:abstractNumId w:val="51"/>
  </w:num>
  <w:num w:numId="116">
    <w:abstractNumId w:val="74"/>
  </w:num>
  <w:num w:numId="117">
    <w:abstractNumId w:val="66"/>
  </w:num>
  <w:num w:numId="118">
    <w:abstractNumId w:val="85"/>
  </w:num>
  <w:num w:numId="119">
    <w:abstractNumId w:val="49"/>
  </w:num>
  <w:num w:numId="120">
    <w:abstractNumId w:val="42"/>
  </w:num>
  <w:num w:numId="121">
    <w:abstractNumId w:val="2"/>
  </w:num>
  <w:num w:numId="122">
    <w:abstractNumId w:val="106"/>
  </w:num>
  <w:num w:numId="123">
    <w:abstractNumId w:val="55"/>
  </w:num>
  <w:num w:numId="124">
    <w:abstractNumId w:val="93"/>
  </w:num>
  <w:num w:numId="125">
    <w:abstractNumId w:val="91"/>
  </w:num>
  <w:num w:numId="126">
    <w:abstractNumId w:val="12"/>
  </w:num>
  <w:num w:numId="127">
    <w:abstractNumId w:val="44"/>
  </w:num>
  <w:num w:numId="128">
    <w:abstractNumId w:val="109"/>
  </w:num>
  <w:num w:numId="129">
    <w:abstractNumId w:val="110"/>
  </w:num>
  <w:num w:numId="130">
    <w:abstractNumId w:val="98"/>
  </w:num>
  <w:num w:numId="131">
    <w:abstractNumId w:val="17"/>
  </w:num>
  <w:num w:numId="132">
    <w:abstractNumId w:val="113"/>
  </w:num>
  <w:num w:numId="133">
    <w:abstractNumId w:val="47"/>
  </w:num>
  <w:num w:numId="134">
    <w:abstractNumId w:val="62"/>
  </w:num>
  <w:num w:numId="135">
    <w:abstractNumId w:val="112"/>
  </w:num>
  <w:num w:numId="136">
    <w:abstractNumId w:val="53"/>
  </w:num>
  <w:num w:numId="137">
    <w:abstractNumId w:val="118"/>
  </w:num>
  <w:num w:numId="138">
    <w:abstractNumId w:val="37"/>
  </w:num>
  <w:num w:numId="139">
    <w:abstractNumId w:val="125"/>
  </w:num>
  <w:num w:numId="140">
    <w:abstractNumId w:val="138"/>
  </w:num>
  <w:num w:numId="141">
    <w:abstractNumId w:val="102"/>
  </w:num>
  <w:num w:numId="142">
    <w:abstractNumId w:val="130"/>
  </w:num>
  <w:num w:numId="143">
    <w:abstractNumId w:val="3"/>
  </w:num>
  <w:num w:numId="144">
    <w:abstractNumId w:val="58"/>
  </w:num>
  <w:num w:numId="145">
    <w:abstractNumId w:val="5"/>
  </w:num>
  <w:num w:numId="146">
    <w:abstractNumId w:val="84"/>
  </w:num>
  <w:num w:numId="147">
    <w:abstractNumId w:val="0"/>
  </w:num>
  <w:num w:numId="148">
    <w:abstractNumId w:val="144"/>
  </w:num>
  <w:num w:numId="149">
    <w:abstractNumId w:val="4"/>
  </w:num>
  <w:num w:numId="150">
    <w:abstractNumId w:val="140"/>
  </w:num>
  <w:num w:numId="151">
    <w:abstractNumId w:val="27"/>
  </w:num>
  <w:num w:numId="152">
    <w:abstractNumId w:val="25"/>
  </w:num>
  <w:num w:numId="153">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05"/>
    <w:next w:val="100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05"/>
    <w:next w:val="100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05"/>
    <w:next w:val="100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05"/>
    <w:next w:val="100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05"/>
    <w:next w:val="100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05"/>
    <w:next w:val="100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05"/>
    <w:next w:val="100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05"/>
    <w:next w:val="100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05"/>
    <w:next w:val="100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0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05"/>
    <w:next w:val="100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05"/>
    <w:next w:val="100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05"/>
    <w:next w:val="1005"/>
    <w:link w:val="38"/>
    <w:uiPriority w:val="29"/>
    <w:qFormat/>
    <w:pPr>
      <w:ind w:left="720" w:right="720"/>
    </w:pPr>
    <w:rPr>
      <w:i/>
    </w:rPr>
  </w:style>
  <w:style w:type="character" w:styleId="38">
    <w:name w:val="Quote Char"/>
    <w:link w:val="37"/>
    <w:uiPriority w:val="29"/>
    <w:rPr>
      <w:i/>
    </w:rPr>
  </w:style>
  <w:style w:type="paragraph" w:styleId="39">
    <w:name w:val="Intense Quote"/>
    <w:basedOn w:val="1005"/>
    <w:next w:val="100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0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0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05"/>
    <w:next w:val="100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0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0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05"/>
    <w:next w:val="1005"/>
    <w:uiPriority w:val="39"/>
    <w:unhideWhenUsed/>
    <w:pPr>
      <w:ind w:left="0" w:right="0" w:firstLine="0"/>
      <w:spacing w:after="57"/>
    </w:pPr>
  </w:style>
  <w:style w:type="paragraph" w:styleId="181">
    <w:name w:val="toc 2"/>
    <w:basedOn w:val="1005"/>
    <w:next w:val="1005"/>
    <w:uiPriority w:val="39"/>
    <w:unhideWhenUsed/>
    <w:pPr>
      <w:ind w:left="283" w:right="0" w:firstLine="0"/>
      <w:spacing w:after="57"/>
    </w:pPr>
  </w:style>
  <w:style w:type="paragraph" w:styleId="182">
    <w:name w:val="toc 3"/>
    <w:basedOn w:val="1005"/>
    <w:next w:val="1005"/>
    <w:uiPriority w:val="39"/>
    <w:unhideWhenUsed/>
    <w:pPr>
      <w:ind w:left="567" w:right="0" w:firstLine="0"/>
      <w:spacing w:after="57"/>
    </w:pPr>
  </w:style>
  <w:style w:type="paragraph" w:styleId="183">
    <w:name w:val="toc 4"/>
    <w:basedOn w:val="1005"/>
    <w:next w:val="1005"/>
    <w:uiPriority w:val="39"/>
    <w:unhideWhenUsed/>
    <w:pPr>
      <w:ind w:left="850" w:right="0" w:firstLine="0"/>
      <w:spacing w:after="57"/>
    </w:pPr>
  </w:style>
  <w:style w:type="paragraph" w:styleId="184">
    <w:name w:val="toc 5"/>
    <w:basedOn w:val="1005"/>
    <w:next w:val="1005"/>
    <w:uiPriority w:val="39"/>
    <w:unhideWhenUsed/>
    <w:pPr>
      <w:ind w:left="1134" w:right="0" w:firstLine="0"/>
      <w:spacing w:after="57"/>
    </w:pPr>
  </w:style>
  <w:style w:type="paragraph" w:styleId="185">
    <w:name w:val="toc 6"/>
    <w:basedOn w:val="1005"/>
    <w:next w:val="1005"/>
    <w:uiPriority w:val="39"/>
    <w:unhideWhenUsed/>
    <w:pPr>
      <w:ind w:left="1417" w:right="0" w:firstLine="0"/>
      <w:spacing w:after="57"/>
    </w:pPr>
  </w:style>
  <w:style w:type="paragraph" w:styleId="186">
    <w:name w:val="toc 7"/>
    <w:basedOn w:val="1005"/>
    <w:next w:val="1005"/>
    <w:uiPriority w:val="39"/>
    <w:unhideWhenUsed/>
    <w:pPr>
      <w:ind w:left="1701" w:right="0" w:firstLine="0"/>
      <w:spacing w:after="57"/>
    </w:pPr>
  </w:style>
  <w:style w:type="paragraph" w:styleId="187">
    <w:name w:val="toc 8"/>
    <w:basedOn w:val="1005"/>
    <w:next w:val="1005"/>
    <w:uiPriority w:val="39"/>
    <w:unhideWhenUsed/>
    <w:pPr>
      <w:ind w:left="1984" w:right="0" w:firstLine="0"/>
      <w:spacing w:after="57"/>
    </w:pPr>
  </w:style>
  <w:style w:type="paragraph" w:styleId="188">
    <w:name w:val="toc 9"/>
    <w:basedOn w:val="1005"/>
    <w:next w:val="1005"/>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05"/>
    <w:next w:val="1005"/>
    <w:uiPriority w:val="99"/>
    <w:unhideWhenUsed/>
    <w:pPr>
      <w:spacing w:after="0" w:afterAutospacing="0"/>
    </w:pPr>
  </w:style>
  <w:style w:type="paragraph" w:styleId="1005" w:default="1">
    <w:name w:val="Normal"/>
    <w:next w:val="1005"/>
    <w:link w:val="1005"/>
    <w:qFormat/>
    <w:pPr>
      <w:jc w:val="both"/>
      <w:widowControl w:val="off"/>
    </w:pPr>
    <w:rPr>
      <w:sz w:val="21"/>
      <w:szCs w:val="24"/>
      <w:lang w:val="en-US" w:eastAsia="zh-CN" w:bidi="ar-SA"/>
    </w:rPr>
  </w:style>
  <w:style w:type="paragraph" w:styleId="1006">
    <w:name w:val="标题 1"/>
    <w:next w:val="1005"/>
    <w:link w:val="1017"/>
    <w:qFormat/>
    <w:pPr>
      <w:jc w:val="left"/>
      <w:keepLines w:val="0"/>
      <w:keepNext w:val="0"/>
      <w:spacing w:before="240" w:after="120" w:line="360" w:lineRule="auto"/>
      <w:widowControl w:val="off"/>
      <w:outlineLvl w:val="0"/>
    </w:pPr>
    <w:rPr>
      <w:rFonts w:ascii="宋体" w:hAnsi="宋体" w:eastAsia="宋体" w:cs="宋体"/>
      <w:b/>
      <w:bCs/>
      <w:sz w:val="24"/>
      <w:szCs w:val="30"/>
    </w:rPr>
  </w:style>
  <w:style w:type="paragraph" w:styleId="1007">
    <w:name w:val="标题 2"/>
    <w:next w:val="1005"/>
    <w:link w:val="1018"/>
    <w:qFormat/>
    <w:pPr>
      <w:jc w:val="left"/>
      <w:keepLines w:val="0"/>
      <w:keepNext w:val="0"/>
      <w:spacing w:beforeAutospacing="0" w:after="120" w:afterAutospacing="0" w:line="360" w:lineRule="auto"/>
      <w:widowControl w:val="off"/>
      <w:outlineLvl w:val="1"/>
    </w:pPr>
    <w:rPr>
      <w:rFonts w:ascii="Times New Roman" w:hAnsi="Times New Roman" w:eastAsia="宋体" w:cs="Times New Roman"/>
      <w:b/>
      <w:sz w:val="24"/>
    </w:rPr>
  </w:style>
  <w:style w:type="paragraph" w:styleId="1008">
    <w:name w:val="标题 3"/>
    <w:next w:val="1005"/>
    <w:link w:val="1019"/>
    <w:qFormat/>
    <w:pPr>
      <w:jc w:val="left"/>
      <w:keepLines w:val="0"/>
      <w:keepNext w:val="0"/>
      <w:spacing w:beforeAutospacing="0" w:after="120" w:afterAutospacing="0" w:line="360" w:lineRule="auto"/>
      <w:widowControl w:val="off"/>
      <w:outlineLvl w:val="2"/>
    </w:pPr>
    <w:rPr>
      <w:rFonts w:ascii="Times New Roman" w:hAnsi="Times New Roman" w:eastAsia="宋体" w:cs="Times New Roman"/>
      <w:b/>
      <w:sz w:val="24"/>
    </w:rPr>
  </w:style>
  <w:style w:type="paragraph" w:styleId="1009">
    <w:name w:val="标题 4"/>
    <w:next w:val="1005"/>
    <w:link w:val="1020"/>
    <w:qFormat/>
    <w:pPr>
      <w:keepLines w:val="0"/>
      <w:keepNext w:val="0"/>
      <w:spacing w:beforeAutospacing="0" w:after="120" w:afterAutospacing="0" w:line="360" w:lineRule="auto"/>
      <w:widowControl w:val="off"/>
      <w:outlineLvl w:val="3"/>
    </w:pPr>
    <w:rPr>
      <w:rFonts w:ascii="Times New Roman" w:hAnsi="Times New Roman" w:eastAsia="宋体" w:cs="Times New Roman"/>
      <w:sz w:val="24"/>
    </w:rPr>
  </w:style>
  <w:style w:type="paragraph" w:styleId="1010">
    <w:name w:val="标题 5"/>
    <w:next w:val="1005"/>
    <w:link w:val="1005"/>
    <w:unhideWhenUsed/>
    <w:qFormat/>
    <w:pPr>
      <w:jc w:val="left"/>
      <w:keepLines w:val="0"/>
      <w:keepNext w:val="0"/>
      <w:spacing w:beforeAutospacing="0" w:after="120" w:afterAutospacing="0" w:line="440" w:lineRule="exact"/>
      <w:widowControl w:val="off"/>
      <w:outlineLvl w:val="4"/>
    </w:pPr>
    <w:rPr>
      <w:rFonts w:ascii="Times New Roman" w:hAnsi="Times New Roman" w:eastAsia="宋体" w:cs="Times New Roman"/>
      <w:sz w:val="24"/>
    </w:rPr>
  </w:style>
  <w:style w:type="paragraph" w:styleId="1011">
    <w:name w:val="标题 6"/>
    <w:next w:val="1005"/>
    <w:link w:val="1005"/>
    <w:unhideWhenUsed/>
    <w:qFormat/>
    <w:pPr>
      <w:jc w:val="left"/>
      <w:keepLines w:val="0"/>
      <w:keepNext w:val="0"/>
      <w:spacing w:beforeAutospacing="0" w:after="120" w:afterAutospacing="0" w:line="360" w:lineRule="auto"/>
      <w:widowControl w:val="off"/>
      <w:outlineLvl w:val="5"/>
    </w:pPr>
    <w:rPr>
      <w:rFonts w:ascii="Times New Roman" w:hAnsi="Times New Roman" w:eastAsia="宋体" w:cs="Times New Roman"/>
      <w:sz w:val="24"/>
    </w:rPr>
  </w:style>
  <w:style w:type="paragraph" w:styleId="1012">
    <w:name w:val="标题 7"/>
    <w:next w:val="1005"/>
    <w:link w:val="1005"/>
    <w:unhideWhenUsed/>
    <w:qFormat/>
    <w:pPr>
      <w:jc w:val="left"/>
      <w:keepLines w:val="0"/>
      <w:keepNext w:val="0"/>
      <w:spacing w:beforeAutospacing="0" w:after="120" w:afterAutospacing="0" w:line="360" w:lineRule="auto"/>
      <w:widowControl w:val="off"/>
      <w:outlineLvl w:val="6"/>
    </w:pPr>
    <w:rPr>
      <w:rFonts w:ascii="Times New Roman" w:hAnsi="Times New Roman" w:eastAsia="宋体" w:cs="Times New Roman"/>
      <w:sz w:val="24"/>
    </w:rPr>
  </w:style>
  <w:style w:type="paragraph" w:styleId="1013">
    <w:name w:val="标题 8"/>
    <w:next w:val="1005"/>
    <w:link w:val="1005"/>
    <w:unhideWhenUsed/>
    <w:qFormat/>
    <w:pPr>
      <w:jc w:val="left"/>
      <w:keepLines w:val="0"/>
      <w:keepNext w:val="0"/>
      <w:spacing w:beforeAutospacing="0" w:after="120" w:afterAutospacing="0" w:line="360" w:lineRule="auto"/>
      <w:widowControl w:val="off"/>
      <w:outlineLvl w:val="7"/>
    </w:pPr>
    <w:rPr>
      <w:rFonts w:ascii="Times New Roman" w:hAnsi="Times New Roman" w:eastAsia="宋体" w:cs="Times New Roman"/>
      <w:sz w:val="24"/>
    </w:rPr>
  </w:style>
  <w:style w:type="paragraph" w:styleId="1014">
    <w:name w:val="标题 9"/>
    <w:next w:val="1005"/>
    <w:link w:val="1005"/>
    <w:unhideWhenUsed/>
    <w:qFormat/>
    <w:pPr>
      <w:jc w:val="left"/>
      <w:keepLines w:val="0"/>
      <w:keepNext w:val="0"/>
      <w:spacing w:beforeAutospacing="0" w:after="120" w:afterAutospacing="0" w:line="360" w:lineRule="auto"/>
      <w:widowControl w:val="off"/>
      <w:outlineLvl w:val="8"/>
    </w:pPr>
    <w:rPr>
      <w:rFonts w:ascii="Times New Roman" w:hAnsi="Times New Roman" w:eastAsia="宋体" w:cs="Times New Roman"/>
      <w:sz w:val="24"/>
    </w:rPr>
  </w:style>
  <w:style w:type="character" w:styleId="1015">
    <w:name w:val="默认段落字体"/>
    <w:next w:val="1015"/>
    <w:link w:val="1005"/>
    <w:uiPriority w:val="1"/>
    <w:unhideWhenUsed/>
  </w:style>
  <w:style w:type="table" w:styleId="1016">
    <w:name w:val="普通表格"/>
    <w:next w:val="1016"/>
    <w:link w:val="1005"/>
    <w:uiPriority w:val="99"/>
    <w:unhideWhenUsed/>
    <w:qFormat/>
    <w:tblPr/>
  </w:style>
  <w:style w:type="character" w:styleId="1017">
    <w:name w:val="标题 1 Char"/>
    <w:next w:val="1017"/>
    <w:link w:val="1006"/>
    <w:rPr>
      <w:b/>
      <w:bCs/>
      <w:sz w:val="44"/>
      <w:szCs w:val="44"/>
    </w:rPr>
  </w:style>
  <w:style w:type="character" w:styleId="1018">
    <w:name w:val="标题 2 Char"/>
    <w:next w:val="1018"/>
    <w:link w:val="1007"/>
    <w:rPr>
      <w:rFonts w:ascii="Arial" w:hAnsi="Arial" w:eastAsia="黑体"/>
      <w:b/>
      <w:bCs/>
      <w:sz w:val="32"/>
      <w:szCs w:val="32"/>
    </w:rPr>
  </w:style>
  <w:style w:type="character" w:styleId="1019">
    <w:name w:val="标题 3 Char"/>
    <w:next w:val="1019"/>
    <w:link w:val="1008"/>
    <w:rPr>
      <w:b/>
      <w:bCs/>
      <w:sz w:val="32"/>
      <w:szCs w:val="32"/>
    </w:rPr>
  </w:style>
  <w:style w:type="character" w:styleId="1020">
    <w:name w:val="标题 4 Char"/>
    <w:next w:val="1020"/>
    <w:link w:val="1009"/>
    <w:rPr>
      <w:rFonts w:eastAsia="新宋体"/>
      <w:sz w:val="30"/>
      <w:szCs w:val="21"/>
    </w:rPr>
  </w:style>
  <w:style w:type="paragraph" w:styleId="1021">
    <w:name w:val="目录 7"/>
    <w:basedOn w:val="1005"/>
    <w:next w:val="1005"/>
    <w:link w:val="1005"/>
    <w:uiPriority w:val="39"/>
    <w:unhideWhenUsed/>
    <w:qFormat/>
    <w:pPr>
      <w:ind w:left="1701" w:right="0" w:firstLine="0"/>
      <w:spacing w:after="57"/>
    </w:pPr>
  </w:style>
  <w:style w:type="paragraph" w:styleId="1022">
    <w:name w:val="正文缩进"/>
    <w:basedOn w:val="1005"/>
    <w:next w:val="1022"/>
    <w:link w:val="1023"/>
    <w:pPr>
      <w:ind w:firstLine="420"/>
    </w:pPr>
    <w:rPr>
      <w:szCs w:val="20"/>
    </w:rPr>
  </w:style>
  <w:style w:type="character" w:styleId="1023">
    <w:name w:val="正文缩进 Char"/>
    <w:next w:val="1023"/>
    <w:link w:val="1022"/>
    <w:rPr>
      <w:sz w:val="21"/>
    </w:rPr>
  </w:style>
  <w:style w:type="paragraph" w:styleId="1024">
    <w:name w:val="文档结构图"/>
    <w:basedOn w:val="1005"/>
    <w:next w:val="1024"/>
    <w:link w:val="1025"/>
    <w:semiHidden/>
    <w:pPr>
      <w:shd w:val="clear" w:color="auto" w:fill="000080"/>
    </w:pPr>
  </w:style>
  <w:style w:type="character" w:styleId="1025">
    <w:name w:val="文档结构图 Char"/>
    <w:next w:val="1025"/>
    <w:link w:val="1024"/>
    <w:semiHidden/>
    <w:rPr>
      <w:sz w:val="21"/>
      <w:szCs w:val="24"/>
      <w:shd w:val="clear" w:color="auto" w:fill="000080"/>
    </w:rPr>
  </w:style>
  <w:style w:type="paragraph" w:styleId="1026">
    <w:name w:val="正文文本"/>
    <w:next w:val="1005"/>
    <w:link w:val="1005"/>
    <w:qFormat/>
    <w:pPr>
      <w:ind w:firstLine="420"/>
      <w:spacing w:after="120" w:afterAutospacing="0" w:line="360" w:lineRule="auto"/>
      <w:widowControl w:val="off"/>
    </w:pPr>
    <w:rPr>
      <w:rFonts w:ascii="Times New Roman" w:hAnsi="Times New Roman" w:eastAsia="宋体" w:cs="Times New Roman"/>
      <w:sz w:val="24"/>
    </w:rPr>
  </w:style>
  <w:style w:type="paragraph" w:styleId="1027">
    <w:name w:val="正文文本缩进"/>
    <w:basedOn w:val="1005"/>
    <w:next w:val="1029"/>
    <w:link w:val="1028"/>
    <w:pPr>
      <w:ind w:left="420"/>
      <w:spacing w:after="120"/>
    </w:pPr>
  </w:style>
  <w:style w:type="character" w:styleId="1028">
    <w:name w:val="正文文本缩进 Char"/>
    <w:next w:val="1028"/>
    <w:link w:val="1027"/>
    <w:rPr>
      <w:sz w:val="21"/>
      <w:szCs w:val="24"/>
    </w:rPr>
  </w:style>
  <w:style w:type="paragraph" w:styleId="1029">
    <w:name w:val="寄信人地址"/>
    <w:basedOn w:val="1005"/>
    <w:next w:val="1021"/>
    <w:link w:val="1005"/>
    <w:uiPriority w:val="99"/>
    <w:qFormat/>
    <w:rPr>
      <w:rFonts w:ascii="Arial" w:hAnsi="Arial" w:cs="Arial"/>
    </w:rPr>
  </w:style>
  <w:style w:type="paragraph" w:styleId="1030">
    <w:name w:val="日期"/>
    <w:basedOn w:val="1005"/>
    <w:next w:val="1005"/>
    <w:link w:val="1031"/>
    <w:pPr>
      <w:ind w:left="100"/>
    </w:pPr>
  </w:style>
  <w:style w:type="character" w:styleId="1031">
    <w:name w:val="日期 Char"/>
    <w:next w:val="1031"/>
    <w:link w:val="1030"/>
    <w:rPr>
      <w:sz w:val="21"/>
      <w:szCs w:val="24"/>
    </w:rPr>
  </w:style>
  <w:style w:type="paragraph" w:styleId="1032">
    <w:name w:val="批注框文本"/>
    <w:basedOn w:val="1005"/>
    <w:next w:val="1032"/>
    <w:link w:val="1033"/>
    <w:semiHidden/>
    <w:rPr>
      <w:sz w:val="18"/>
      <w:szCs w:val="18"/>
    </w:rPr>
  </w:style>
  <w:style w:type="character" w:styleId="1033">
    <w:name w:val="批注框文本 Char"/>
    <w:next w:val="1033"/>
    <w:link w:val="1032"/>
    <w:semiHidden/>
    <w:rPr>
      <w:sz w:val="18"/>
      <w:szCs w:val="18"/>
    </w:rPr>
  </w:style>
  <w:style w:type="paragraph" w:styleId="1034">
    <w:name w:val="页脚"/>
    <w:basedOn w:val="1005"/>
    <w:next w:val="1034"/>
    <w:link w:val="1035"/>
    <w:uiPriority w:val="99"/>
    <w:pPr>
      <w:jc w:val="left"/>
      <w:tabs>
        <w:tab w:val="center" w:pos="4153" w:leader="none"/>
        <w:tab w:val="right" w:pos="8306" w:leader="none"/>
      </w:tabs>
    </w:pPr>
    <w:rPr>
      <w:sz w:val="18"/>
      <w:szCs w:val="18"/>
    </w:rPr>
  </w:style>
  <w:style w:type="character" w:styleId="1035">
    <w:name w:val="页脚 Char"/>
    <w:next w:val="1035"/>
    <w:link w:val="1034"/>
    <w:uiPriority w:val="99"/>
    <w:rPr>
      <w:sz w:val="18"/>
      <w:szCs w:val="18"/>
    </w:rPr>
  </w:style>
  <w:style w:type="paragraph" w:styleId="1036">
    <w:name w:val="页眉"/>
    <w:basedOn w:val="1005"/>
    <w:next w:val="1036"/>
    <w:link w:val="1037"/>
    <w:pPr>
      <w:jc w:val="center"/>
      <w:tabs>
        <w:tab w:val="center" w:pos="4153" w:leader="none"/>
        <w:tab w:val="right" w:pos="8306" w:leader="none"/>
      </w:tabs>
      <w:pBdr>
        <w:bottom w:val="single" w:color="000000" w:sz="6" w:space="1"/>
      </w:pBdr>
    </w:pPr>
    <w:rPr>
      <w:sz w:val="18"/>
      <w:szCs w:val="18"/>
    </w:rPr>
  </w:style>
  <w:style w:type="character" w:styleId="1037">
    <w:name w:val="页眉 Char"/>
    <w:next w:val="1037"/>
    <w:link w:val="1036"/>
    <w:rPr>
      <w:sz w:val="18"/>
      <w:szCs w:val="18"/>
    </w:rPr>
  </w:style>
  <w:style w:type="paragraph" w:styleId="1038">
    <w:name w:val="副标题"/>
    <w:next w:val="1038"/>
    <w:link w:val="1005"/>
    <w:qFormat/>
    <w:pPr>
      <w:jc w:val="center"/>
      <w:spacing w:beforeAutospacing="0" w:after="240" w:afterAutospacing="0" w:line="240" w:lineRule="auto"/>
      <w:widowControl w:val="off"/>
      <w:outlineLvl w:val="9"/>
    </w:pPr>
    <w:rPr>
      <w:rFonts w:ascii="Times New Roman" w:hAnsi="Times New Roman" w:eastAsia="宋体" w:cs="Times New Roman"/>
      <w:sz w:val="21"/>
    </w:rPr>
  </w:style>
  <w:style w:type="paragraph" w:styleId="1039">
    <w:name w:val="脚注文本"/>
    <w:basedOn w:val="1005"/>
    <w:next w:val="1039"/>
    <w:link w:val="1005"/>
    <w:uiPriority w:val="99"/>
    <w:unhideWhenUsed/>
    <w:qFormat/>
    <w:pPr>
      <w:spacing w:after="40" w:line="240" w:lineRule="auto"/>
    </w:pPr>
    <w:rPr>
      <w:sz w:val="18"/>
    </w:rPr>
  </w:style>
  <w:style w:type="paragraph" w:styleId="1040">
    <w:name w:val="正文文本缩进 3"/>
    <w:basedOn w:val="1005"/>
    <w:next w:val="1040"/>
    <w:link w:val="1041"/>
    <w:pPr>
      <w:ind w:firstLine="539"/>
      <w:spacing w:line="520" w:lineRule="exact"/>
    </w:pPr>
    <w:rPr>
      <w:rFonts w:ascii="宋体"/>
      <w:b/>
      <w:spacing w:val="6"/>
      <w:sz w:val="28"/>
    </w:rPr>
  </w:style>
  <w:style w:type="character" w:styleId="1041">
    <w:name w:val="正文文本缩进 3 Char"/>
    <w:next w:val="1041"/>
    <w:link w:val="1040"/>
    <w:rPr>
      <w:rFonts w:ascii="宋体"/>
      <w:b/>
      <w:spacing w:val="6"/>
      <w:sz w:val="28"/>
      <w:szCs w:val="24"/>
    </w:rPr>
  </w:style>
  <w:style w:type="paragraph" w:styleId="1042">
    <w:name w:val="普通(网站)"/>
    <w:basedOn w:val="1005"/>
    <w:next w:val="1042"/>
    <w:link w:val="1005"/>
    <w:unhideWhenUsed/>
    <w:pPr>
      <w:jc w:val="left"/>
      <w:spacing w:before="100" w:beforeAutospacing="1" w:after="100" w:afterAutospacing="1"/>
      <w:widowControl/>
    </w:pPr>
    <w:rPr>
      <w:rFonts w:ascii="宋体" w:hAnsi="宋体" w:cs="宋体"/>
      <w:sz w:val="24"/>
    </w:rPr>
  </w:style>
  <w:style w:type="paragraph" w:styleId="1043">
    <w:name w:val="标题"/>
    <w:next w:val="1043"/>
    <w:link w:val="1005"/>
    <w:qFormat/>
    <w:pPr>
      <w:jc w:val="center"/>
      <w:spacing w:before="240" w:beforeAutospacing="0" w:after="240" w:afterAutospacing="0" w:line="240" w:lineRule="auto"/>
      <w:outlineLvl w:val="9"/>
    </w:pPr>
    <w:rPr>
      <w:rFonts w:ascii="Times New Roman" w:hAnsi="Times New Roman" w:eastAsia="宋体" w:cs="Times New Roman"/>
      <w:b/>
      <w:sz w:val="32"/>
    </w:rPr>
  </w:style>
  <w:style w:type="paragraph" w:styleId="1044">
    <w:name w:val="正文首行缩进 2"/>
    <w:basedOn w:val="1027"/>
    <w:next w:val="1044"/>
    <w:link w:val="1005"/>
    <w:qFormat/>
    <w:pPr>
      <w:ind w:left="0" w:firstLine="420"/>
      <w:spacing w:after="0" w:line="360" w:lineRule="auto"/>
    </w:pPr>
    <w:rPr>
      <w:rFonts w:ascii="宋体" w:hAnsi="宋体" w:eastAsia="宋体" w:cs="Times New Roman"/>
      <w:szCs w:val="20"/>
    </w:rPr>
  </w:style>
  <w:style w:type="table" w:styleId="1045">
    <w:name w:val="网格型"/>
    <w:basedOn w:val="1016"/>
    <w:next w:val="1045"/>
    <w:link w:val="1005"/>
    <w:pPr>
      <w:jc w:val="both"/>
      <w:widowControl w:val="off"/>
    </w:pPr>
    <w:tblPr/>
  </w:style>
  <w:style w:type="character" w:styleId="1046">
    <w:name w:val="要点"/>
    <w:next w:val="1046"/>
    <w:link w:val="1005"/>
    <w:uiPriority w:val="22"/>
    <w:qFormat/>
    <w:rPr>
      <w:b/>
      <w:bCs/>
    </w:rPr>
  </w:style>
  <w:style w:type="character" w:styleId="1047">
    <w:name w:val="页码"/>
    <w:next w:val="1047"/>
    <w:link w:val="1005"/>
  </w:style>
  <w:style w:type="character" w:styleId="1048">
    <w:name w:val="已访问的超链接"/>
    <w:next w:val="1048"/>
    <w:link w:val="1005"/>
    <w:uiPriority w:val="99"/>
    <w:unhideWhenUsed/>
    <w:rPr>
      <w:color w:val="800080"/>
      <w:u w:val="none"/>
    </w:rPr>
  </w:style>
  <w:style w:type="character" w:styleId="1049">
    <w:name w:val="强调"/>
    <w:next w:val="1049"/>
    <w:link w:val="1005"/>
    <w:qFormat/>
    <w:rPr>
      <w:b/>
      <w:bCs/>
      <w:i w:val="0"/>
      <w:iCs w:val="0"/>
    </w:rPr>
  </w:style>
  <w:style w:type="character" w:styleId="1050">
    <w:name w:val="HTML 定义"/>
    <w:next w:val="1050"/>
    <w:link w:val="1005"/>
    <w:uiPriority w:val="99"/>
    <w:unhideWhenUsed/>
    <w:rPr>
      <w:b w:val="0"/>
      <w:bCs w:val="0"/>
      <w:i w:val="0"/>
      <w:iCs w:val="0"/>
    </w:rPr>
  </w:style>
  <w:style w:type="character" w:styleId="1051">
    <w:name w:val="HTML 打字机"/>
    <w:next w:val="1051"/>
    <w:link w:val="1005"/>
    <w:uiPriority w:val="99"/>
    <w:unhideWhenUsed/>
    <w:rPr>
      <w:rFonts w:ascii="monospace" w:hAnsi="monospace" w:eastAsia="monospace" w:cs="monospace"/>
      <w:sz w:val="20"/>
    </w:rPr>
  </w:style>
  <w:style w:type="character" w:styleId="1052">
    <w:name w:val="HTML 缩写"/>
    <w:next w:val="1052"/>
    <w:link w:val="1005"/>
    <w:uiPriority w:val="99"/>
    <w:unhideWhenUsed/>
  </w:style>
  <w:style w:type="character" w:styleId="1053">
    <w:name w:val="HTML 变量"/>
    <w:next w:val="1053"/>
    <w:link w:val="1005"/>
    <w:uiPriority w:val="99"/>
    <w:unhideWhenUsed/>
    <w:rPr>
      <w:b w:val="0"/>
      <w:bCs w:val="0"/>
      <w:i w:val="0"/>
      <w:iCs w:val="0"/>
    </w:rPr>
  </w:style>
  <w:style w:type="character" w:styleId="1054">
    <w:name w:val="超链接"/>
    <w:next w:val="1054"/>
    <w:link w:val="1005"/>
    <w:uiPriority w:val="99"/>
    <w:unhideWhenUsed/>
    <w:rPr>
      <w:color w:val="0000ff"/>
      <w:u w:val="none"/>
    </w:rPr>
  </w:style>
  <w:style w:type="character" w:styleId="1055">
    <w:name w:val="HTML 代码"/>
    <w:next w:val="1055"/>
    <w:link w:val="1005"/>
    <w:uiPriority w:val="99"/>
    <w:unhideWhenUsed/>
    <w:rPr>
      <w:rFonts w:ascii="monospace" w:hAnsi="monospace" w:eastAsia="monospace" w:cs="monospace"/>
      <w:b w:val="0"/>
      <w:bCs w:val="0"/>
      <w:i w:val="0"/>
      <w:iCs w:val="0"/>
      <w:sz w:val="20"/>
    </w:rPr>
  </w:style>
  <w:style w:type="character" w:styleId="1056">
    <w:name w:val="批注引用"/>
    <w:next w:val="1056"/>
    <w:link w:val="1005"/>
    <w:qFormat/>
    <w:rPr>
      <w:sz w:val="21"/>
      <w:szCs w:val="21"/>
    </w:rPr>
  </w:style>
  <w:style w:type="character" w:styleId="1057">
    <w:name w:val="HTML 引文"/>
    <w:next w:val="1057"/>
    <w:link w:val="1005"/>
    <w:uiPriority w:val="99"/>
    <w:unhideWhenUsed/>
    <w:rPr>
      <w:b w:val="0"/>
      <w:bCs w:val="0"/>
      <w:i w:val="0"/>
      <w:iCs w:val="0"/>
    </w:rPr>
  </w:style>
  <w:style w:type="character" w:styleId="1058">
    <w:name w:val="HTML 键盘"/>
    <w:next w:val="1058"/>
    <w:link w:val="1005"/>
    <w:uiPriority w:val="99"/>
    <w:unhideWhenUsed/>
    <w:rPr>
      <w:rFonts w:ascii="monospace" w:hAnsi="monospace" w:eastAsia="monospace" w:cs="monospace"/>
      <w:sz w:val="20"/>
    </w:rPr>
  </w:style>
  <w:style w:type="character" w:styleId="1059">
    <w:name w:val="HTML 样本"/>
    <w:next w:val="1059"/>
    <w:link w:val="1005"/>
    <w:uiPriority w:val="99"/>
    <w:unhideWhenUsed/>
    <w:rPr>
      <w:rFonts w:ascii="monospace" w:hAnsi="monospace" w:eastAsia="monospace" w:cs="monospace"/>
    </w:rPr>
  </w:style>
  <w:style w:type="character" w:styleId="1060">
    <w:name w:val="正文缩进2格 Char"/>
    <w:next w:val="1060"/>
    <w:link w:val="1061"/>
    <w:rPr>
      <w:rFonts w:ascii="仿宋_GB2312" w:hAnsi="宋体" w:eastAsia="仿宋_GB2312"/>
      <w:sz w:val="31"/>
      <w:szCs w:val="28"/>
    </w:rPr>
  </w:style>
  <w:style w:type="paragraph" w:styleId="1061">
    <w:name w:val="正文缩进2格"/>
    <w:basedOn w:val="1005"/>
    <w:next w:val="1061"/>
    <w:link w:val="1060"/>
    <w:pPr>
      <w:ind w:firstLine="639"/>
      <w:spacing w:line="600" w:lineRule="exact"/>
    </w:pPr>
    <w:rPr>
      <w:rFonts w:ascii="仿宋_GB2312" w:hAnsi="宋体" w:eastAsia="仿宋_GB2312"/>
      <w:sz w:val="31"/>
      <w:szCs w:val="28"/>
    </w:rPr>
  </w:style>
  <w:style w:type="character" w:styleId="1062">
    <w:name w:val="标题 3.1 Char"/>
    <w:next w:val="1062"/>
    <w:link w:val="1063"/>
    <w:rPr>
      <w:rFonts w:ascii="宋体" w:hAnsi="宋体"/>
      <w:b/>
      <w:bCs/>
      <w:color w:val="000000"/>
      <w:sz w:val="32"/>
      <w:szCs w:val="32"/>
    </w:rPr>
  </w:style>
  <w:style w:type="paragraph" w:styleId="1063">
    <w:name w:val="标题 3.1"/>
    <w:basedOn w:val="1008"/>
    <w:next w:val="1063"/>
    <w:link w:val="1062"/>
    <w:pPr>
      <w:spacing w:line="600" w:lineRule="exact"/>
      <w:tabs>
        <w:tab w:val="left" w:pos="1440" w:leader="none"/>
        <w:tab w:val="left" w:pos="1620" w:leader="none"/>
      </w:tabs>
    </w:pPr>
    <w:rPr>
      <w:rFonts w:ascii="宋体" w:hAnsi="宋体"/>
      <w:color w:val="000000"/>
    </w:rPr>
  </w:style>
  <w:style w:type="paragraph" w:styleId="1064">
    <w:name w:val=" Char"/>
    <w:basedOn w:val="1005"/>
    <w:next w:val="1064"/>
    <w:link w:val="1005"/>
    <w:rPr>
      <w:rFonts w:ascii="Tahoma" w:hAnsi="Tahoma"/>
      <w:sz w:val="24"/>
      <w:szCs w:val="20"/>
    </w:rPr>
  </w:style>
  <w:style w:type="paragraph" w:styleId="1065">
    <w:name w:val="正文缩进4格"/>
    <w:basedOn w:val="1061"/>
    <w:next w:val="1065"/>
    <w:link w:val="1005"/>
    <w:pPr>
      <w:ind w:left="2" w:firstLine="538"/>
    </w:pPr>
    <w:rPr>
      <w:color w:val="000000"/>
      <w:sz w:val="28"/>
    </w:rPr>
  </w:style>
  <w:style w:type="paragraph" w:styleId="1066">
    <w:name w:val=" Char Char Char Char"/>
    <w:basedOn w:val="1005"/>
    <w:next w:val="1066"/>
    <w:link w:val="1005"/>
    <w:rPr>
      <w:rFonts w:ascii="Tahoma" w:hAnsi="Tahoma"/>
      <w:sz w:val="24"/>
      <w:szCs w:val="20"/>
    </w:rPr>
  </w:style>
  <w:style w:type="paragraph" w:styleId="1067">
    <w:name w:val="Char1"/>
    <w:basedOn w:val="1005"/>
    <w:next w:val="1067"/>
    <w:link w:val="1005"/>
    <w:pPr>
      <w:ind w:left="840" w:hanging="420"/>
      <w:tabs>
        <w:tab w:val="left" w:pos="840" w:leader="none"/>
      </w:tabs>
    </w:pPr>
    <w:rPr>
      <w:sz w:val="24"/>
    </w:rPr>
  </w:style>
  <w:style w:type="paragraph" w:styleId="1068">
    <w:name w:val=" Char Char1 Char Char Char Char Char Char"/>
    <w:basedOn w:val="1005"/>
    <w:next w:val="1068"/>
    <w:link w:val="1005"/>
    <w:pPr>
      <w:jc w:val="left"/>
      <w:spacing w:after="160" w:line="240" w:lineRule="exact"/>
      <w:widowControl/>
    </w:pPr>
    <w:rPr>
      <w:rFonts w:ascii="Verdana" w:hAnsi="Verdana" w:eastAsia="仿宋_GB2312"/>
      <w:sz w:val="24"/>
      <w:szCs w:val="20"/>
      <w:lang w:eastAsia="en-US"/>
    </w:rPr>
  </w:style>
  <w:style w:type="paragraph" w:styleId="1069">
    <w:name w:val="msonormalcxspmiddle"/>
    <w:basedOn w:val="1005"/>
    <w:next w:val="1069"/>
    <w:link w:val="1005"/>
    <w:pPr>
      <w:jc w:val="left"/>
      <w:spacing w:before="100" w:beforeAutospacing="1" w:after="100" w:afterAutospacing="1"/>
      <w:widowControl/>
    </w:pPr>
    <w:rPr>
      <w:rFonts w:ascii="宋体" w:hAnsi="宋体" w:cs="宋体"/>
      <w:sz w:val="24"/>
    </w:rPr>
  </w:style>
  <w:style w:type="paragraph" w:styleId="1070">
    <w:name w:val=" Char Char 字元 字元 字元 Char Char Char Char"/>
    <w:basedOn w:val="1005"/>
    <w:next w:val="1070"/>
    <w:link w:val="1005"/>
    <w:pPr>
      <w:spacing w:line="360" w:lineRule="auto"/>
    </w:pPr>
    <w:rPr>
      <w:sz w:val="24"/>
      <w:szCs w:val="20"/>
    </w:rPr>
  </w:style>
  <w:style w:type="paragraph" w:styleId="1071">
    <w:name w:val="para"/>
    <w:basedOn w:val="1005"/>
    <w:next w:val="1071"/>
    <w:link w:val="1005"/>
    <w:pPr>
      <w:jc w:val="left"/>
      <w:spacing w:before="100" w:beforeAutospacing="1" w:after="100" w:afterAutospacing="1"/>
      <w:widowControl/>
    </w:pPr>
    <w:rPr>
      <w:rFonts w:ascii="Arial" w:hAnsi="Arial" w:cs="Arial"/>
      <w:sz w:val="18"/>
      <w:szCs w:val="18"/>
    </w:rPr>
  </w:style>
  <w:style w:type="paragraph" w:styleId="1072">
    <w:name w:val="Char"/>
    <w:basedOn w:val="1005"/>
    <w:next w:val="1072"/>
    <w:link w:val="1005"/>
    <w:rPr>
      <w:rFonts w:ascii="Tahoma" w:hAnsi="Tahoma"/>
      <w:sz w:val="24"/>
      <w:szCs w:val="20"/>
    </w:rPr>
  </w:style>
  <w:style w:type="paragraph" w:styleId="1073">
    <w:name w:val="msonormalcxsplast"/>
    <w:basedOn w:val="1005"/>
    <w:next w:val="1073"/>
    <w:link w:val="1005"/>
    <w:pPr>
      <w:jc w:val="left"/>
      <w:spacing w:before="100" w:beforeAutospacing="1" w:after="100" w:afterAutospacing="1"/>
      <w:widowControl/>
    </w:pPr>
    <w:rPr>
      <w:rFonts w:ascii="宋体" w:hAnsi="宋体" w:cs="宋体"/>
      <w:sz w:val="24"/>
    </w:rPr>
  </w:style>
  <w:style w:type="character" w:styleId="1074">
    <w:name w:val="普通正文 Char"/>
    <w:next w:val="1074"/>
    <w:link w:val="1075"/>
    <w:rPr>
      <w:rFonts w:ascii="Arial" w:hAnsi="Arial"/>
      <w:sz w:val="24"/>
      <w:szCs w:val="24"/>
    </w:rPr>
  </w:style>
  <w:style w:type="paragraph" w:styleId="1075">
    <w:name w:val="普通正文"/>
    <w:basedOn w:val="1005"/>
    <w:next w:val="1075"/>
    <w:link w:val="1074"/>
    <w:pPr>
      <w:ind w:left="-2" w:right="120" w:firstLine="480"/>
      <w:jc w:val="center"/>
      <w:spacing w:before="120" w:after="120" w:line="360" w:lineRule="auto"/>
    </w:pPr>
    <w:rPr>
      <w:rFonts w:ascii="Arial" w:hAnsi="Arial"/>
      <w:sz w:val="24"/>
    </w:rPr>
  </w:style>
  <w:style w:type="character" w:styleId="1076">
    <w:name w:val="mini-outputtext1"/>
    <w:next w:val="1076"/>
    <w:link w:val="1005"/>
  </w:style>
  <w:style w:type="character" w:styleId="1077">
    <w:name w:val="font31"/>
    <w:next w:val="1077"/>
    <w:link w:val="1005"/>
    <w:rPr>
      <w:rFonts w:hint="eastAsia" w:ascii="宋体" w:hAnsi="宋体" w:eastAsia="宋体" w:cs="宋体"/>
      <w:i w:val="0"/>
      <w:iCs w:val="0"/>
      <w:color w:val="000000"/>
      <w:sz w:val="21"/>
      <w:szCs w:val="21"/>
      <w:u w:val="none"/>
    </w:rPr>
  </w:style>
  <w:style w:type="character" w:styleId="1078">
    <w:name w:val="font61"/>
    <w:next w:val="1078"/>
    <w:link w:val="1005"/>
    <w:rPr>
      <w:rFonts w:ascii="Times New Roman" w:hAnsi="Times New Roman" w:cs="Times New Roman"/>
      <w:i w:val="0"/>
      <w:iCs w:val="0"/>
      <w:color w:val="000000"/>
      <w:sz w:val="21"/>
      <w:szCs w:val="21"/>
      <w:u w:val="none"/>
    </w:rPr>
  </w:style>
  <w:style w:type="character" w:styleId="1079">
    <w:name w:val="font01"/>
    <w:next w:val="1079"/>
    <w:link w:val="1005"/>
    <w:rPr>
      <w:rFonts w:ascii="等线" w:hAnsi="等线" w:eastAsia="等线" w:cs="等线"/>
      <w:i w:val="0"/>
      <w:iCs w:val="0"/>
      <w:color w:val="000000"/>
      <w:sz w:val="22"/>
      <w:szCs w:val="22"/>
      <w:u w:val="none"/>
    </w:rPr>
  </w:style>
  <w:style w:type="character" w:styleId="1080">
    <w:name w:val="font51"/>
    <w:next w:val="1080"/>
    <w:link w:val="1005"/>
    <w:rPr>
      <w:rFonts w:ascii="等线" w:hAnsi="等线" w:eastAsia="等线" w:cs="等线"/>
      <w:b/>
      <w:bCs/>
      <w:i w:val="0"/>
      <w:iCs w:val="0"/>
      <w:color w:val="000000"/>
      <w:sz w:val="22"/>
      <w:szCs w:val="22"/>
      <w:u w:val="none"/>
    </w:rPr>
  </w:style>
  <w:style w:type="paragraph" w:styleId="1081">
    <w:name w:val="普通(网站) Char"/>
    <w:basedOn w:val="1005"/>
    <w:next w:val="1081"/>
    <w:link w:val="1005"/>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1082">
    <w:name w:val="目录 11"/>
    <w:basedOn w:val="1005"/>
    <w:next w:val="1005"/>
    <w:link w:val="1005"/>
    <w:uiPriority w:val="39"/>
    <w:qFormat/>
    <w:pPr>
      <w:jc w:val="left"/>
      <w:spacing w:before="120" w:after="120" w:line="400" w:lineRule="exact"/>
      <w:tabs>
        <w:tab w:val="right" w:pos="8720" w:leader="dot"/>
      </w:tabs>
    </w:pPr>
    <w:rPr>
      <w:rFonts w:ascii="宋体" w:hAnsi="宋体"/>
      <w:caps/>
      <w:sz w:val="24"/>
      <w:szCs w:val="24"/>
    </w:rPr>
  </w:style>
  <w:style w:type="paragraph" w:styleId="1083">
    <w:name w:val="页脚1"/>
    <w:basedOn w:val="1005"/>
    <w:next w:val="1083"/>
    <w:link w:val="1005"/>
    <w:qFormat/>
    <w:pPr>
      <w:jc w:val="left"/>
      <w:tabs>
        <w:tab w:val="center" w:pos="4153" w:leader="none"/>
        <w:tab w:val="right" w:pos="8306" w:leader="none"/>
      </w:tabs>
    </w:pPr>
    <w:rPr>
      <w:rFonts w:ascii="Times New Roman" w:hAnsi="Times New Roman" w:eastAsia="宋体" w:cs="Times New Roman"/>
      <w:sz w:val="18"/>
      <w:szCs w:val="18"/>
    </w:rPr>
  </w:style>
  <w:style w:type="paragraph" w:styleId="1084">
    <w:name w:val="正文文本11"/>
    <w:basedOn w:val="1005"/>
    <w:next w:val="1005"/>
    <w:link w:val="1005"/>
    <w:qFormat/>
    <w:rPr>
      <w:rFonts w:ascii="楷体_GB2312" w:hAnsi="Arial" w:eastAsia="楷体_GB2312" w:cs="Times New Roman"/>
      <w:sz w:val="28"/>
      <w:szCs w:val="28"/>
    </w:rPr>
  </w:style>
  <w:style w:type="paragraph" w:styleId="1085">
    <w:name w:val="正文文本1"/>
    <w:basedOn w:val="1005"/>
    <w:next w:val="1005"/>
    <w:link w:val="1005"/>
    <w:qFormat/>
    <w:rPr>
      <w:rFonts w:ascii="仿宋_GB2312" w:eastAsia="仿宋_GB2312"/>
      <w:sz w:val="24"/>
      <w:szCs w:val="20"/>
    </w:rPr>
  </w:style>
  <w:style w:type="paragraph" w:styleId="1086">
    <w:name w:val="正文_1_0"/>
    <w:next w:val="1086"/>
    <w:link w:val="1005"/>
    <w:qFormat/>
    <w:pPr>
      <w:jc w:val="both"/>
      <w:widowControl w:val="off"/>
    </w:pPr>
    <w:rPr>
      <w:rFonts w:ascii="Times New Roman" w:hAnsi="Times New Roman" w:eastAsia="宋体" w:cs="Times New Roman"/>
      <w:sz w:val="21"/>
      <w:szCs w:val="24"/>
      <w:lang w:val="en-US" w:eastAsia="zh-CN" w:bidi="ar-SA"/>
    </w:rPr>
  </w:style>
  <w:style w:type="paragraph" w:styleId="1087">
    <w:name w:val="正文_0_0"/>
    <w:next w:val="1087"/>
    <w:link w:val="1005"/>
    <w:qFormat/>
    <w:pPr>
      <w:jc w:val="both"/>
      <w:widowControl w:val="off"/>
    </w:pPr>
    <w:rPr>
      <w:rFonts w:ascii="Times New Roman" w:hAnsi="Times New Roman" w:eastAsia="宋体" w:cs="Times New Roman"/>
      <w:sz w:val="21"/>
      <w:szCs w:val="24"/>
      <w:lang w:val="en-US" w:eastAsia="zh-CN" w:bidi="ar-SA"/>
    </w:rPr>
  </w:style>
  <w:style w:type="paragraph" w:styleId="1088">
    <w:name w:val="无间隔"/>
    <w:next w:val="1088"/>
    <w:link w:val="1005"/>
    <w:uiPriority w:val="99"/>
    <w:qFormat/>
    <w:pPr>
      <w:jc w:val="both"/>
      <w:widowControl w:val="off"/>
    </w:pPr>
    <w:rPr>
      <w:rFonts w:ascii="Times New Roman" w:hAnsi="Times New Roman" w:eastAsia="宋体" w:cs="Times New Roman"/>
      <w:sz w:val="21"/>
      <w:szCs w:val="21"/>
      <w:lang w:val="en-US" w:eastAsia="zh-CN" w:bidi="ar-SA"/>
    </w:rPr>
  </w:style>
  <w:style w:type="paragraph" w:styleId="1089">
    <w:name w:val="正文缩进111"/>
    <w:basedOn w:val="1005"/>
    <w:next w:val="1005"/>
    <w:link w:val="1005"/>
    <w:qFormat/>
    <w:pPr>
      <w:ind w:firstLine="420"/>
    </w:pPr>
    <w:rPr>
      <w:szCs w:val="21"/>
    </w:rPr>
  </w:style>
  <w:style w:type="paragraph" w:styleId="1090">
    <w:name w:val="首行缩进"/>
    <w:next w:val="1090"/>
    <w:link w:val="1005"/>
    <w:qFormat/>
    <w:pPr>
      <w:ind w:firstLine="480"/>
      <w:jc w:val="both"/>
      <w:widowControl w:val="off"/>
    </w:pPr>
    <w:rPr>
      <w:rFonts w:ascii="Times New Roman" w:hAnsi="Times New Roman" w:eastAsia="宋体" w:cs="Times New Roman"/>
      <w:sz w:val="21"/>
      <w:lang w:val="zh-CN" w:eastAsia="zh-CN" w:bidi="ar-SA"/>
    </w:rPr>
  </w:style>
  <w:style w:type="paragraph" w:styleId="1091">
    <w:name w:val="附录标题"/>
    <w:next w:val="1005"/>
    <w:link w:val="1005"/>
    <w:pPr>
      <w:jc w:val="left"/>
      <w:keepLines w:val="0"/>
      <w:keepNext w:val="0"/>
      <w:spacing w:after="240" w:line="240" w:lineRule="auto"/>
      <w:widowControl w:val="off"/>
      <w:outlineLvl w:val="0"/>
    </w:pPr>
    <w:rPr>
      <w:rFonts w:ascii="Times New Roman" w:hAnsi="Times New Roman" w:eastAsia="宋体" w:cs="Times New Roman"/>
      <w:b/>
      <w:sz w:val="24"/>
    </w:rPr>
  </w:style>
  <w:style w:type="paragraph" w:styleId="1092">
    <w:name w:val="章前标题"/>
    <w:next w:val="1005"/>
    <w:link w:val="1005"/>
    <w:pPr>
      <w:jc w:val="center"/>
      <w:keepLines w:val="0"/>
      <w:keepNext w:val="0"/>
      <w:pageBreakBefore w:val="0"/>
      <w:spacing w:before="240" w:after="240" w:line="240" w:lineRule="auto"/>
      <w:widowControl w:val="off"/>
      <w:outlineLvl w:val="9"/>
    </w:pPr>
    <w:rPr>
      <w:rFonts w:ascii="黑体" w:hAnsi="黑体" w:eastAsia="黑体" w:cs="黑体"/>
      <w:sz w:val="32"/>
      <w:szCs w:val="36"/>
    </w:rPr>
  </w:style>
  <w:style w:type="paragraph" w:styleId="1093">
    <w:name w:val="章节标题"/>
    <w:next w:val="1005"/>
    <w:link w:val="1005"/>
    <w:pPr>
      <w:jc w:val="center"/>
      <w:pageBreakBefore w:val="0"/>
      <w:spacing w:before="240" w:after="240" w:line="240" w:lineRule="auto"/>
      <w:widowControl w:val="off"/>
      <w:outlineLvl w:val="0"/>
    </w:pPr>
    <w:rPr>
      <w:rFonts w:ascii="Times New Roman" w:hAnsi="Times New Roman" w:eastAsia="黑体" w:cs="Times New Roman"/>
      <w:sz w:val="32"/>
      <w:szCs w:val="36"/>
    </w:rPr>
  </w:style>
  <w:style w:type="paragraph" w:styleId="1094">
    <w:name w:val="内嵌文档标题1"/>
    <w:next w:val="1005"/>
    <w:link w:val="1005"/>
    <w:pPr>
      <w:jc w:val="center"/>
      <w:spacing w:before="240" w:after="240" w:line="360" w:lineRule="auto"/>
      <w:widowControl w:val="off"/>
      <w:outlineLvl w:val="0"/>
    </w:pPr>
    <w:rPr>
      <w:rFonts w:ascii="Times New Roman" w:hAnsi="Times New Roman" w:eastAsia="宋体" w:cs="Times New Roman"/>
      <w:b/>
      <w:sz w:val="24"/>
    </w:rPr>
  </w:style>
  <w:style w:type="paragraph" w:styleId="1095">
    <w:name w:val="强调标题"/>
    <w:next w:val="1005"/>
    <w:link w:val="1005"/>
    <w:pPr>
      <w:ind w:firstLine="420"/>
      <w:spacing w:after="120" w:line="360" w:lineRule="auto"/>
      <w:outlineLvl w:val="0"/>
    </w:pPr>
    <w:rPr>
      <w:rFonts w:ascii="Calibri" w:hAnsi="Calibri" w:eastAsia="宋体" w:cs="Times New Roman"/>
      <w:b/>
      <w:sz w:val="24"/>
    </w:rPr>
  </w:style>
  <w:style w:type="paragraph" w:styleId="1096">
    <w:name w:val="内嵌文档标题2"/>
    <w:next w:val="1005"/>
    <w:link w:val="1005"/>
    <w:pPr>
      <w:jc w:val="center"/>
      <w:spacing w:before="240" w:after="240" w:line="360" w:lineRule="auto"/>
      <w:shd w:val="clear" w:color="auto" w:fill="ffffff"/>
      <w:widowControl w:val="off"/>
      <w:outlineLvl w:val="0"/>
    </w:pPr>
    <w:rPr>
      <w:rFonts w:ascii="宋体" w:hAnsi="宋体" w:eastAsia="宋体" w:cs="宋体"/>
      <w:b/>
      <w:bCs/>
      <w:sz w:val="24"/>
      <w:szCs w:val="30"/>
    </w:rPr>
  </w:style>
  <w:style w:type="character" w:styleId="14499" w:default="1">
    <w:name w:val="Default Paragraph Font"/>
    <w:uiPriority w:val="1"/>
    <w:semiHidden/>
    <w:unhideWhenUsed/>
  </w:style>
  <w:style w:type="numbering" w:styleId="14500" w:default="1">
    <w:name w:val="No List"/>
    <w:uiPriority w:val="99"/>
    <w:semiHidden/>
    <w:unhideWhenUsed/>
  </w:style>
  <w:style w:type="table" w:styleId="145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吴元庆</cp:lastModifiedBy>
  <cp:revision>10</cp:revision>
  <dcterms:created xsi:type="dcterms:W3CDTF">2021-11-26T05:03:00Z</dcterms:created>
  <dcterms:modified xsi:type="dcterms:W3CDTF">2026-03-06T03:30:50Z</dcterms:modified>
</cp:coreProperties>
</file>