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ascii="宋体" w:hAnsi="宋体" w:cs="宋体"/>
          <w:b/>
          <w:color w:val="auto"/>
          <w:sz w:val="30"/>
          <w:szCs w:val="30"/>
          <w:highlight w:val="none"/>
        </w:rPr>
      </w:pPr>
      <w:r>
        <w:rPr>
          <w:rFonts w:ascii="宋体" w:hAnsi="宋体" w:cs="宋体"/>
          <w:b/>
          <w:color w:val="auto"/>
          <w:sz w:val="30"/>
          <w:szCs w:val="30"/>
          <w:highlight w:val="none"/>
        </w:rPr>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苏 州 政 府 采 购</w:t>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宋体" w:hAnsi="宋体" w:cs="宋体"/>
          <w:color w:val="auto"/>
          <w:highlight w:val="none"/>
        </w:rPr>
      </w:pPr>
      <w:r>
        <w:rPr>
          <w:rFonts w:ascii="宋体" w:hAnsi="宋体" w:cs="宋体"/>
          <w:color w:val="auto"/>
          <w:highlight w:val="none"/>
        </w:rPr>
      </w:r>
      <w:r/>
    </w:p>
    <w:p>
      <w:pPr>
        <w:ind w:left="0"/>
        <w:jc w:val="left"/>
        <w:spacing w:line="480" w:lineRule="auto"/>
        <w:rPr>
          <w:rFonts w:ascii="宋体" w:hAnsi="宋体" w:cs="宋体"/>
          <w:b/>
          <w:color w:val="auto"/>
          <w:sz w:val="32"/>
          <w:highlight w:val="none"/>
        </w:rPr>
      </w:pPr>
      <w:r>
        <w:rPr>
          <w:rFonts w:ascii="宋体" w:hAnsi="宋体" w:cs="宋体"/>
          <w:b/>
          <w:color w:val="auto"/>
          <w:sz w:val="32"/>
          <w:highlight w:val="none"/>
        </w:rPr>
      </w:r>
      <w:r/>
    </w:p>
    <w:tbl>
      <w:tblPr>
        <w:tblStyle w:val="785"/>
        <w:tblW w:w="0" w:type="auto"/>
        <w:jc w:val="center"/>
        <w:tblLayout w:type="fixed"/>
        <w:tblCellMar>
          <w:left w:w="108" w:type="dxa"/>
          <w:top w:w="0" w:type="dxa"/>
          <w:right w:w="108" w:type="dxa"/>
          <w:bottom w:w="0" w:type="dxa"/>
        </w:tblCellMar>
        <w:tblLook w:val="04A0" w:firstRow="1" w:lastRow="0" w:firstColumn="1" w:lastColumn="0" w:noHBand="0" w:noVBand="1"/>
      </w:tblPr>
      <w:tblGrid>
        <w:gridCol w:w="1827"/>
        <w:gridCol w:w="6580"/>
      </w:tblGrid>
      <w:tr>
        <w:trPr>
          <w:jc w:val="center"/>
        </w:trPr>
        <w:tc>
          <w:tcPr>
            <w:tcBorders>
              <w:top w:val="none" w:color="000000" w:sz="4" w:space="0"/>
              <w:left w:val="none" w:color="000000" w:sz="4" w:space="0"/>
              <w:bottom w:val="none" w:color="000000" w:sz="4" w:space="0"/>
              <w:right w:val="none" w:color="000000" w:sz="4" w:space="0"/>
            </w:tcBorders>
            <w:tcW w:w="1827" w:type="dxa"/>
            <w:textDirection w:val="lrTb"/>
            <w:noWrap w:val="false"/>
          </w:tcPr>
          <w:p>
            <w:pPr>
              <w:ind w:left="0"/>
              <w:spacing w:line="360" w:lineRule="auto"/>
              <w:widowControl w:val="off"/>
              <w:rPr>
                <w:rStyle w:val="1033"/>
                <w:rFonts w:ascii="宋体" w:hAnsi="宋体" w:cs="宋体"/>
                <w:color w:val="auto"/>
                <w:highlight w:val="none"/>
              </w:rPr>
            </w:pPr>
            <w:r>
              <w:rPr>
                <w:rStyle w:val="1033"/>
                <w:rFonts w:hint="eastAsia" w:ascii="宋体" w:hAnsi="宋体" w:cs="宋体"/>
                <w:b/>
                <w:color w:val="auto"/>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6580" w:type="dxa"/>
            <w:textDirection w:val="lrTb"/>
            <w:noWrap w:val="false"/>
          </w:tcPr>
          <w:p>
            <w:pPr>
              <w:ind w:left="0"/>
              <w:spacing w:line="360" w:lineRule="auto"/>
              <w:widowControl w:val="off"/>
              <w:rPr>
                <w:rStyle w:val="1033"/>
                <w:rFonts w:hint="eastAsia" w:ascii="宋体" w:hAnsi="宋体" w:eastAsia="宋体" w:cs="宋体"/>
                <w:b/>
                <w:color w:val="auto"/>
                <w:spacing w:val="-6"/>
                <w:sz w:val="32"/>
                <w:highlight w:val="none"/>
                <w:lang w:eastAsia="zh-CN"/>
              </w:rPr>
            </w:pPr>
            <w:r>
              <w:rPr>
                <w:rFonts w:hint="eastAsia" w:ascii="宋体" w:hAnsi="宋体" w:cs="宋体"/>
                <w:b/>
                <w:color w:val="auto"/>
                <w:spacing w:val="-6"/>
                <w:sz w:val="32"/>
                <w:highlight w:val="none"/>
                <w:lang w:eastAsia="zh-CN"/>
              </w:rPr>
              <w:t xml:space="preserve">JSZC-320506-YZZJ-C2026-0001</w:t>
            </w:r>
            <w:r/>
          </w:p>
        </w:tc>
      </w:tr>
      <w:tr>
        <w:trPr>
          <w:jc w:val="center"/>
        </w:trPr>
        <w:tc>
          <w:tcPr>
            <w:tcBorders>
              <w:top w:val="none" w:color="000000" w:sz="4" w:space="0"/>
              <w:left w:val="none" w:color="000000" w:sz="4" w:space="0"/>
              <w:bottom w:val="none" w:color="000000" w:sz="4" w:space="0"/>
              <w:right w:val="none" w:color="000000" w:sz="4" w:space="0"/>
            </w:tcBorders>
            <w:tcW w:w="1827" w:type="dxa"/>
            <w:textDirection w:val="lrTb"/>
            <w:noWrap w:val="false"/>
          </w:tcPr>
          <w:p>
            <w:pPr>
              <w:ind w:left="0"/>
              <w:spacing w:line="360" w:lineRule="auto"/>
              <w:widowControl w:val="off"/>
              <w:rPr>
                <w:rStyle w:val="1033"/>
                <w:rFonts w:ascii="宋体" w:hAnsi="宋体" w:cs="宋体"/>
                <w:color w:val="auto"/>
                <w:highlight w:val="none"/>
              </w:rPr>
            </w:pPr>
            <w:r/>
            <w:bookmarkStart w:id="0" w:name="_Hlk192838521"/>
            <w:r>
              <w:rPr>
                <w:rStyle w:val="1033"/>
                <w:rFonts w:hint="eastAsia" w:ascii="宋体" w:hAnsi="宋体" w:cs="宋体"/>
                <w:b/>
                <w:color w:val="auto"/>
                <w:spacing w:val="-6"/>
                <w:sz w:val="32"/>
                <w:highlight w:val="none"/>
              </w:rPr>
              <w:t xml:space="preserve">采 购 人：</w:t>
            </w:r>
            <w:r/>
          </w:p>
        </w:tc>
        <w:tc>
          <w:tcPr>
            <w:tcBorders>
              <w:top w:val="none" w:color="000000" w:sz="4" w:space="0"/>
              <w:left w:val="none" w:color="000000" w:sz="4" w:space="0"/>
              <w:bottom w:val="none" w:color="000000" w:sz="4" w:space="0"/>
              <w:right w:val="none" w:color="000000" w:sz="4" w:space="0"/>
            </w:tcBorders>
            <w:tcW w:w="6580" w:type="dxa"/>
            <w:textDirection w:val="lrTb"/>
            <w:noWrap w:val="false"/>
          </w:tcPr>
          <w:p>
            <w:pPr>
              <w:ind w:left="0"/>
              <w:jc w:val="left"/>
              <w:spacing w:line="360" w:lineRule="auto"/>
              <w:widowControl w:val="off"/>
              <w:rPr>
                <w:rStyle w:val="1033"/>
                <w:rFonts w:ascii="宋体" w:hAnsi="宋体" w:cs="宋体"/>
                <w:color w:val="auto"/>
                <w:highlight w:val="none"/>
              </w:rPr>
            </w:pPr>
            <w:r>
              <w:rPr>
                <w:rStyle w:val="1033"/>
                <w:rFonts w:hint="eastAsia" w:ascii="宋体" w:hAnsi="宋体" w:cs="宋体"/>
                <w:b/>
                <w:color w:val="auto"/>
                <w:spacing w:val="-6"/>
                <w:sz w:val="32"/>
                <w:highlight w:val="none"/>
              </w:rPr>
              <w:t xml:space="preserve">苏州市吴中区交通运输综合行政执法大队</w:t>
            </w:r>
            <w:bookmarkEnd w:id="0"/>
            <w:r/>
            <w:r/>
          </w:p>
        </w:tc>
      </w:tr>
      <w:tr>
        <w:trPr>
          <w:jc w:val="center"/>
        </w:trPr>
        <w:tc>
          <w:tcPr>
            <w:tcBorders>
              <w:top w:val="none" w:color="000000" w:sz="4" w:space="0"/>
              <w:left w:val="none" w:color="000000" w:sz="4" w:space="0"/>
              <w:bottom w:val="none" w:color="000000" w:sz="4" w:space="0"/>
              <w:right w:val="none" w:color="000000" w:sz="4" w:space="0"/>
            </w:tcBorders>
            <w:tcW w:w="1827" w:type="dxa"/>
            <w:textDirection w:val="lrTb"/>
            <w:noWrap w:val="false"/>
          </w:tcPr>
          <w:p>
            <w:pPr>
              <w:ind w:left="0"/>
              <w:spacing w:line="360" w:lineRule="auto"/>
              <w:widowControl w:val="off"/>
              <w:rPr>
                <w:rStyle w:val="1033"/>
                <w:rFonts w:ascii="宋体" w:hAnsi="宋体" w:cs="宋体"/>
                <w:color w:val="auto"/>
                <w:highlight w:val="none"/>
              </w:rPr>
            </w:pPr>
            <w:r>
              <w:rPr>
                <w:rStyle w:val="1033"/>
                <w:rFonts w:hint="eastAsia" w:ascii="宋体" w:hAnsi="宋体" w:cs="宋体"/>
                <w:b/>
                <w:color w:val="auto"/>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6580" w:type="dxa"/>
            <w:textDirection w:val="lrTb"/>
            <w:noWrap w:val="false"/>
          </w:tcPr>
          <w:p>
            <w:pPr>
              <w:ind w:left="0"/>
              <w:jc w:val="left"/>
              <w:spacing w:line="360" w:lineRule="auto"/>
              <w:widowControl w:val="off"/>
              <w:rPr>
                <w:rStyle w:val="1033"/>
                <w:rFonts w:ascii="宋体" w:hAnsi="宋体" w:cs="宋体"/>
                <w:color w:val="auto"/>
                <w:highlight w:val="none"/>
              </w:rPr>
            </w:pPr>
            <w:r>
              <w:rPr>
                <w:rFonts w:hint="eastAsia" w:ascii="宋体" w:hAnsi="宋体" w:cs="宋体"/>
                <w:b/>
                <w:color w:val="auto"/>
                <w:sz w:val="32"/>
                <w:highlight w:val="none"/>
              </w:rPr>
              <w:t xml:space="preserve">动态称重监测设施维保服务</w:t>
            </w:r>
            <w:r/>
          </w:p>
        </w:tc>
      </w:tr>
      <w:tr>
        <w:trPr>
          <w:jc w:val="center"/>
        </w:trPr>
        <w:tc>
          <w:tcPr>
            <w:tcBorders>
              <w:top w:val="none" w:color="000000" w:sz="4" w:space="0"/>
              <w:left w:val="none" w:color="000000" w:sz="4" w:space="0"/>
              <w:bottom w:val="none" w:color="000000" w:sz="4" w:space="0"/>
              <w:right w:val="none" w:color="000000" w:sz="4" w:space="0"/>
            </w:tcBorders>
            <w:tcW w:w="1827" w:type="dxa"/>
            <w:textDirection w:val="lrTb"/>
            <w:noWrap w:val="false"/>
          </w:tcPr>
          <w:p>
            <w:pPr>
              <w:ind w:left="0"/>
              <w:spacing w:line="360" w:lineRule="auto"/>
              <w:widowControl w:val="off"/>
              <w:rPr>
                <w:rStyle w:val="1033"/>
                <w:rFonts w:ascii="宋体" w:hAnsi="宋体" w:cs="宋体"/>
                <w:color w:val="auto"/>
                <w:highlight w:val="none"/>
              </w:rPr>
            </w:pPr>
            <w:r>
              <w:rPr>
                <w:rStyle w:val="1033"/>
                <w:rFonts w:hint="eastAsia" w:ascii="宋体" w:hAnsi="宋体" w:cs="宋体"/>
                <w:b/>
                <w:color w:val="auto"/>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6580" w:type="dxa"/>
            <w:textDirection w:val="lrTb"/>
            <w:noWrap w:val="false"/>
          </w:tcPr>
          <w:p>
            <w:pPr>
              <w:ind w:left="0"/>
              <w:jc w:val="left"/>
              <w:spacing w:line="360" w:lineRule="auto"/>
              <w:widowControl w:val="off"/>
              <w:rPr>
                <w:rStyle w:val="1033"/>
                <w:rFonts w:ascii="宋体" w:hAnsi="宋体" w:cs="宋体"/>
                <w:color w:val="auto"/>
                <w:highlight w:val="none"/>
              </w:rPr>
            </w:pPr>
            <w:r>
              <w:rPr>
                <w:rStyle w:val="1033"/>
                <w:rFonts w:hint="eastAsia" w:ascii="宋体" w:hAnsi="宋体" w:cs="宋体"/>
                <w:b/>
                <w:color w:val="auto"/>
                <w:spacing w:val="-6"/>
                <w:sz w:val="32"/>
                <w:highlight w:val="none"/>
              </w:rPr>
              <w:t xml:space="preserve">服务类</w:t>
            </w:r>
            <w:r/>
          </w:p>
        </w:tc>
      </w:tr>
    </w:tbl>
    <w:p>
      <w:pPr>
        <w:ind w:firstLine="1445"/>
        <w:jc w:val="left"/>
        <w:spacing w:line="480" w:lineRule="auto"/>
        <w:rPr>
          <w:rFonts w:ascii="宋体" w:hAnsi="宋体" w:cs="宋体"/>
          <w:b/>
          <w:color w:val="auto"/>
          <w:spacing w:val="20"/>
          <w:sz w:val="32"/>
          <w:highlight w:val="none"/>
        </w:rPr>
      </w:pPr>
      <w:r>
        <w:rPr>
          <w:rFonts w:ascii="宋体" w:hAnsi="宋体" w:cs="宋体"/>
          <w:b/>
          <w:color w:val="auto"/>
          <w:spacing w:val="20"/>
          <w:sz w:val="32"/>
          <w:highlight w:val="none"/>
        </w:rPr>
      </w:r>
      <w:r/>
    </w:p>
    <w:p>
      <w:pPr>
        <w:ind w:left="0"/>
        <w:jc w:val="center"/>
        <w:rPr>
          <w:rFonts w:ascii="宋体" w:hAnsi="宋体" w:cs="宋体"/>
          <w:b/>
          <w:color w:val="auto"/>
          <w:sz w:val="32"/>
          <w:highlight w:val="none"/>
        </w:rPr>
      </w:pPr>
      <w:r>
        <w:rPr>
          <w:rFonts w:ascii="宋体" w:hAnsi="宋体"/>
          <w:color w:val="auto"/>
          <w:sz w:val="24"/>
          <w:highlight w:val="none"/>
        </w:rPr>
        <mc:AlternateContent>
          <mc:Choice Requires="wpg">
            <w:drawing>
              <wp:inline xmlns:wp="http://schemas.openxmlformats.org/drawingml/2006/wordprocessingDrawing" distT="0" distB="0" distL="0" distR="0">
                <wp:extent cx="2343150" cy="1524000"/>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9"/>
                        <a:stretch/>
                      </pic:blipFill>
                      <pic:spPr bwMode="auto">
                        <a:xfrm>
                          <a:off x="0" y="0"/>
                          <a:ext cx="2343150"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20.0pt;mso-wrap-distance-left:0.0pt;mso-wrap-distance-top:0.0pt;mso-wrap-distance-right:0.0pt;mso-wrap-distance-bottom:0.0pt;" stroked="f">
                <v:path textboxrect="0,0,0,0"/>
                <v:imagedata r:id="rId19" o:title=""/>
              </v:shape>
            </w:pict>
          </mc:Fallback>
        </mc:AlternateContent>
      </w:r>
      <w:r/>
    </w:p>
    <w:p>
      <w:pPr>
        <w:ind w:left="0"/>
        <w:jc w:val="left"/>
        <w:rPr>
          <w:rFonts w:ascii="宋体" w:hAnsi="宋体" w:cs="宋体"/>
          <w:b/>
          <w:color w:val="auto"/>
          <w:sz w:val="32"/>
          <w:highlight w:val="none"/>
        </w:rPr>
      </w:pPr>
      <w:r>
        <w:rPr>
          <w:rFonts w:ascii="宋体" w:hAnsi="宋体" w:cs="宋体"/>
          <w:b/>
          <w:color w:val="auto"/>
          <w:sz w:val="32"/>
          <w:highlight w:val="none"/>
        </w:rPr>
      </w:r>
      <w:r/>
    </w:p>
    <w:p>
      <w:pPr>
        <w:ind w:left="0"/>
        <w:jc w:val="left"/>
        <w:rPr>
          <w:rFonts w:ascii="宋体" w:hAnsi="宋体" w:cs="宋体"/>
          <w:b/>
          <w:color w:val="auto"/>
          <w:sz w:val="32"/>
          <w:highlight w:val="none"/>
        </w:rPr>
      </w:pPr>
      <w:r>
        <w:rPr>
          <w:rFonts w:ascii="宋体" w:hAnsi="宋体" w:cs="宋体"/>
          <w:b/>
          <w:color w:val="auto"/>
          <w:sz w:val="32"/>
          <w:highlight w:val="none"/>
        </w:rPr>
      </w:r>
      <w:r/>
    </w:p>
    <w:p>
      <w:pPr>
        <w:ind w:left="0" w:firstLine="1606"/>
        <w:jc w:val="left"/>
        <w:rPr>
          <w:rFonts w:ascii="宋体" w:hAnsi="宋体" w:cs="宋体"/>
          <w:b/>
          <w:color w:val="auto"/>
          <w:sz w:val="32"/>
          <w:highlight w:val="none"/>
        </w:rPr>
      </w:pPr>
      <w:r>
        <w:rPr>
          <w:rFonts w:ascii="宋体" w:hAnsi="宋体" w:cs="宋体"/>
          <w:b/>
          <w:color w:val="auto"/>
          <w:sz w:val="32"/>
          <w:highlight w:val="none"/>
        </w:rPr>
      </w:r>
      <w:r/>
    </w:p>
    <w:p>
      <w:pPr>
        <w:ind w:left="0" w:firstLine="1606"/>
        <w:jc w:val="left"/>
        <w:rPr>
          <w:rFonts w:ascii="宋体" w:hAnsi="宋体" w:cs="宋体"/>
          <w:b/>
          <w:color w:val="auto"/>
          <w:sz w:val="32"/>
          <w:highlight w:val="none"/>
        </w:rPr>
      </w:pPr>
      <w:r>
        <w:rPr>
          <w:rFonts w:ascii="宋体" w:hAnsi="宋体" w:cs="宋体"/>
          <w:b/>
          <w:color w:val="auto"/>
          <w:sz w:val="32"/>
          <w:highlight w:val="none"/>
        </w:rPr>
      </w:r>
      <w:r/>
    </w:p>
    <w:p>
      <w:pPr>
        <w:ind w:left="0"/>
        <w:jc w:val="center"/>
        <w:rPr>
          <w:rFonts w:ascii="宋体" w:hAnsi="宋体" w:cs="宋体"/>
          <w:b/>
          <w:color w:val="auto"/>
          <w:sz w:val="32"/>
          <w:highlight w:val="none"/>
        </w:rPr>
      </w:pPr>
      <w:r>
        <w:rPr>
          <w:rFonts w:ascii="宋体" w:hAnsi="宋体" w:cs="宋体"/>
          <w:b/>
          <w:color w:val="auto"/>
          <w:sz w:val="32"/>
          <w:highlight w:val="none"/>
        </w:rPr>
      </w:r>
      <w:r/>
    </w:p>
    <w:p>
      <w:pPr>
        <w:ind w:left="0"/>
        <w:jc w:val="center"/>
        <w:rPr>
          <w:rFonts w:ascii="宋体" w:hAnsi="宋体" w:cs="宋体"/>
          <w:b/>
          <w:color w:val="auto"/>
          <w:sz w:val="32"/>
          <w:highlight w:val="none"/>
        </w:rPr>
      </w:pPr>
      <w:r>
        <w:rPr>
          <w:rFonts w:ascii="宋体" w:hAnsi="宋体" w:cs="宋体"/>
          <w:b/>
          <w:color w:val="auto"/>
          <w:sz w:val="32"/>
          <w:highlight w:val="none"/>
        </w:rPr>
      </w:r>
      <w:r/>
    </w:p>
    <w:p>
      <w:pPr>
        <w:ind w:left="0"/>
        <w:rPr>
          <w:rFonts w:ascii="宋体" w:hAnsi="宋体" w:cs="宋体"/>
          <w:b/>
          <w:color w:val="auto"/>
          <w:sz w:val="32"/>
          <w:highlight w:val="none"/>
        </w:rPr>
      </w:pPr>
      <w:r>
        <w:rPr>
          <w:rFonts w:ascii="宋体" w:hAnsi="宋体" w:cs="宋体"/>
          <w:b/>
          <w:color w:val="auto"/>
          <w:sz w:val="32"/>
          <w:highlight w:val="none"/>
        </w:rPr>
      </w:r>
      <w:r/>
    </w:p>
    <w:p>
      <w:pPr>
        <w:ind w:left="0"/>
        <w:jc w:val="center"/>
        <w:rPr>
          <w:rFonts w:ascii="宋体" w:hAnsi="宋体" w:cs="宋体"/>
          <w:b/>
          <w:color w:val="auto"/>
          <w:sz w:val="32"/>
          <w:highlight w:val="none"/>
        </w:rPr>
      </w:pPr>
      <w:r>
        <w:rPr>
          <w:rFonts w:hint="eastAsia" w:ascii="宋体" w:hAnsi="宋体" w:cs="宋体"/>
          <w:b/>
          <w:color w:val="auto"/>
          <w:sz w:val="32"/>
          <w:highlight w:val="none"/>
        </w:rPr>
        <w:t xml:space="preserve">苏州永正造价师事务所有限公司</w:t>
      </w:r>
      <w:r/>
    </w:p>
    <w:p>
      <w:pPr>
        <w:ind w:left="0"/>
        <w:jc w:val="center"/>
        <w:rPr>
          <w:rFonts w:ascii="宋体" w:hAnsi="宋体" w:cs="宋体"/>
          <w:b/>
          <w:color w:val="auto"/>
          <w:sz w:val="32"/>
          <w:highlight w:val="none"/>
        </w:rPr>
      </w:pPr>
      <w:r>
        <w:rPr>
          <w:rFonts w:hint="eastAsia" w:ascii="宋体" w:hAnsi="宋体" w:cs="宋体"/>
          <w:b/>
          <w:color w:val="auto"/>
          <w:sz w:val="32"/>
          <w:highlight w:val="none"/>
        </w:rPr>
        <w:t xml:space="preserve">二〇二六年三月</w:t>
      </w:r>
      <w:r/>
    </w:p>
    <w:p>
      <w:pPr>
        <w:pStyle w:val="812"/>
        <w:ind w:left="0" w:firstLine="0"/>
        <w:rPr>
          <w:rFonts w:ascii="宋体" w:hAnsi="宋体" w:cs="宋体"/>
          <w:color w:val="auto"/>
          <w:highlight w:val="none"/>
        </w:rPr>
        <w:sectPr>
          <w:headerReference w:type="default" r:id="rId9"/>
          <w:headerReference w:type="first" r:id="rId10"/>
          <w:footerReference w:type="default" r:id="rId13"/>
          <w:footerReference w:type="even" r:id="rId14"/>
          <w:footnotePr/>
          <w:endnotePr/>
          <w:type w:val="nextPage"/>
          <w:pgSz w:w="11906" w:h="16838" w:orient="portrait"/>
          <w:pgMar w:top="851" w:right="1021" w:bottom="851" w:left="1021" w:header="567" w:footer="567" w:gutter="0"/>
          <w:cols w:num="1" w:sep="0" w:space="1701" w:equalWidth="1"/>
          <w:docGrid w:linePitch="360"/>
          <w:titlePg/>
        </w:sectPr>
      </w:pPr>
      <w:r>
        <w:rPr>
          <w:rFonts w:ascii="宋体" w:hAnsi="宋体" w:cs="宋体"/>
          <w:color w:val="auto"/>
          <w:highlight w:val="none"/>
        </w:rPr>
      </w:r>
      <w:r/>
    </w:p>
    <w:p>
      <w:pPr>
        <w:ind w:left="0"/>
        <w:jc w:val="center"/>
        <w:rPr>
          <w:rFonts w:ascii="宋体" w:hAnsi="宋体" w:cs="宋体"/>
          <w:b/>
          <w:color w:val="auto"/>
          <w:spacing w:val="20"/>
          <w:sz w:val="30"/>
          <w:highlight w:val="none"/>
        </w:rPr>
      </w:pPr>
      <w:r/>
      <w:bookmarkStart w:id="1" w:name="_Toc15681"/>
      <w:r/>
      <w:bookmarkStart w:id="2" w:name="_Toc16121"/>
      <w:r/>
      <w:bookmarkStart w:id="3" w:name="_Toc17003"/>
      <w:r/>
      <w:bookmarkStart w:id="4" w:name="_Toc12642"/>
      <w:r>
        <w:rPr>
          <w:rFonts w:hint="eastAsia" w:ascii="宋体" w:hAnsi="宋体" w:cs="宋体"/>
          <w:b/>
          <w:color w:val="auto"/>
          <w:spacing w:val="20"/>
          <w:sz w:val="30"/>
          <w:highlight w:val="none"/>
        </w:rPr>
        <w:t xml:space="preserve">前 附 表</w:t>
      </w:r>
      <w:bookmarkEnd w:id="1"/>
      <w:r/>
      <w:bookmarkEnd w:id="2"/>
      <w:r/>
      <w:bookmarkEnd w:id="3"/>
      <w:r/>
      <w:bookmarkEnd w:id="4"/>
      <w:r/>
      <w:r/>
    </w:p>
    <w:p>
      <w:pPr>
        <w:pStyle w:val="811"/>
        <w:rPr>
          <w:rFonts w:ascii="宋体" w:hAnsi="宋体" w:cs="宋体"/>
          <w:color w:val="auto"/>
          <w:highlight w:val="none"/>
        </w:rPr>
      </w:pPr>
      <w:r>
        <w:rPr>
          <w:rFonts w:ascii="宋体" w:hAnsi="宋体" w:cs="宋体"/>
          <w:color w:val="auto"/>
          <w:highlight w:val="none"/>
        </w:rPr>
      </w:r>
      <w:r/>
    </w:p>
    <w:tbl>
      <w:tblPr>
        <w:tblStyle w:val="785"/>
        <w:tblW w:w="10031"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JSZC-320506-YZZJ-C2026-0001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动态称重监测设施维保服务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本项目不收取磋商保证金（采购文件中涉及磋商保证金的条款均不适用）</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响应文件提交截止之日起九十天（日历日）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报名成功的供应商在下载采购文件后，对采购文件有质疑的，</w:t>
            </w:r>
            <w:r/>
          </w:p>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质疑递交地址：苏州市吴中区塔韵路178号天鸿大厦9楼 ；电话：0512-</w:t>
            </w:r>
            <w:r>
              <w:rPr>
                <w:rFonts w:hint="eastAsia" w:ascii="宋体" w:hAnsi="宋体" w:cs="宋体"/>
                <w:color w:val="auto"/>
                <w:sz w:val="21"/>
                <w:szCs w:val="21"/>
                <w:highlight w:val="none"/>
                <w:lang w:eastAsia="zh-CN"/>
              </w:rPr>
              <w:t xml:space="preserve">65629282</w:t>
            </w: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蒋杰</w:t>
            </w:r>
            <w:r>
              <w:rPr>
                <w:rFonts w:hint="eastAsia" w:ascii="宋体" w:hAnsi="宋体" w:cs="宋体"/>
                <w:color w:val="auto"/>
                <w:sz w:val="21"/>
                <w:szCs w:val="21"/>
                <w:highlight w:val="none"/>
              </w:rPr>
              <w:t xml:space="preserve">）。</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投标（响应）文件网上</w:t>
            </w:r>
            <w:r/>
          </w:p>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2026年3月24日</w:t>
            </w:r>
            <w:r>
              <w:rPr>
                <w:rFonts w:hint="eastAsia" w:ascii="宋体" w:hAnsi="宋体" w:cs="宋体"/>
                <w:color w:val="auto"/>
                <w:sz w:val="21"/>
                <w:szCs w:val="21"/>
                <w:highlight w:val="none"/>
              </w:rPr>
              <w:t xml:space="preserve">13:30分（北京时间） </w:t>
            </w:r>
            <w:r/>
          </w:p>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响应文件必须在截止时间前完成提交（上传），逾期提交（上传）的响应文件恕不接受。</w:t>
            </w:r>
            <w:r/>
          </w:p>
        </w:tc>
      </w:tr>
      <w:tr>
        <w:trPr>
          <w:jc w:val="center"/>
          <w:trHeight w:val="13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开标时间</w:t>
            </w:r>
            <w:r/>
          </w:p>
          <w:p>
            <w:pPr>
              <w:pStyle w:val="1005"/>
              <w:rPr>
                <w:color w:val="auto"/>
                <w:highlight w:val="none"/>
              </w:rPr>
            </w:pPr>
            <w:r>
              <w:rPr>
                <w:color w:val="auto"/>
                <w:highlight w:val="none"/>
              </w:rPr>
            </w:r>
            <w:r/>
          </w:p>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2026年3月24日</w:t>
            </w:r>
            <w:r>
              <w:rPr>
                <w:rFonts w:hint="eastAsia" w:ascii="宋体" w:hAnsi="宋体" w:cs="宋体"/>
                <w:color w:val="auto"/>
                <w:sz w:val="21"/>
                <w:szCs w:val="21"/>
                <w:highlight w:val="none"/>
              </w:rPr>
              <w:t xml:space="preserve">13:30分（北京时间）</w:t>
            </w:r>
            <w:r/>
          </w:p>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“苏采云”系统（网址：http://jszfcg.jsczt.cn/）</w:t>
            </w:r>
            <w:r/>
          </w:p>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本项目为不见面开标项目，开标阶段供应商在【供应商解密】环节必须使用 CA证书解密电子响应文件，如在系统规定的解密时间（响应文件提交截止时间后30分钟）内未能完成解密的视为放弃投标。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评标时间</w:t>
            </w:r>
            <w:r/>
          </w:p>
          <w:p>
            <w:pPr>
              <w:ind w:left="0"/>
              <w:jc w:val="center"/>
              <w:spacing w:line="312" w:lineRule="auto"/>
              <w:rPr>
                <w:rFonts w:ascii="宋体" w:hAnsi="宋体" w:cs="宋体"/>
                <w:color w:val="auto"/>
                <w:sz w:val="21"/>
                <w:szCs w:val="21"/>
                <w:highlight w:val="none"/>
              </w:rPr>
            </w:pPr>
            <w:r>
              <w:rPr>
                <w:rFonts w:hint="eastAsia" w:ascii="宋体" w:hAnsi="宋体"/>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2026年3月24日</w:t>
            </w:r>
            <w:r>
              <w:rPr>
                <w:rFonts w:hint="eastAsia" w:ascii="宋体" w:hAnsi="宋体"/>
                <w:color w:val="auto"/>
                <w:sz w:val="21"/>
                <w:szCs w:val="21"/>
                <w:highlight w:val="none"/>
              </w:rPr>
              <w:t xml:space="preserve">13:30分（北京时间）</w:t>
            </w:r>
            <w:r/>
          </w:p>
          <w:p>
            <w:pPr>
              <w:ind w:left="0"/>
              <w:jc w:val="left"/>
              <w:spacing w:line="312"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苏州市高新区狮山科技馆</w:t>
            </w:r>
            <w:r>
              <w:rPr>
                <w:rFonts w:hint="eastAsia" w:ascii="宋体" w:hAnsi="宋体" w:cs="宋体"/>
                <w:color w:val="auto"/>
                <w:sz w:val="21"/>
                <w:szCs w:val="21"/>
                <w:highlight w:val="none"/>
                <w:lang w:val="en-US" w:eastAsia="zh-CN"/>
              </w:rPr>
              <w:t xml:space="preserve">8楼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highlight w:val="none"/>
              </w:rPr>
            </w:pPr>
            <w:r>
              <w:rPr>
                <w:rFonts w:hint="eastAsia" w:ascii="宋体" w:hAnsi="宋体" w:cs="Arial"/>
                <w:color w:val="auto"/>
                <w:sz w:val="21"/>
                <w:szCs w:val="21"/>
                <w:highlight w:val="none"/>
              </w:rPr>
              <w:t xml:space="preserve">本项目采用电子响应文件，投标人按照招标文件要求制作上传电子响应文件，投标人无需提供纸质响应文件。</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本项目不组织统一勘察</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本项目不收取履约保证金（采购文件中涉及履约保证金的条款均不适用）</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中标</w:t>
            </w:r>
            <w:r>
              <w:rPr>
                <w:rFonts w:hint="eastAsia" w:ascii="宋体" w:hAnsi="宋体" w:cs="宋体"/>
                <w:color w:val="auto"/>
                <w:sz w:val="21"/>
                <w:szCs w:val="21"/>
                <w:highlight w:val="none"/>
              </w:rPr>
              <w:t xml:space="preserve">(成交)</w:t>
            </w:r>
            <w:r>
              <w:rPr>
                <w:rFonts w:hint="eastAsia" w:ascii="宋体" w:hAnsi="宋体"/>
                <w:color w:val="auto"/>
                <w:sz w:val="21"/>
                <w:szCs w:val="21"/>
                <w:highlight w:val="none"/>
              </w:rPr>
              <w:t xml:space="preserve">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5"/>
              <w:ind w:left="0" w:firstLine="0"/>
              <w:spacing w:line="440" w:lineRule="exact"/>
              <w:rPr>
                <w:rFonts w:ascii="宋体" w:hAnsi="宋体" w:cs="Arial"/>
                <w:color w:val="auto"/>
                <w:sz w:val="21"/>
                <w:szCs w:val="21"/>
                <w:highlight w:val="none"/>
                <w:lang w:val="en-US"/>
              </w:rPr>
            </w:pPr>
            <w:r>
              <w:rPr>
                <w:rFonts w:hint="eastAsia" w:ascii="宋体" w:hAnsi="宋体" w:cs="Arial"/>
                <w:color w:val="auto"/>
                <w:sz w:val="21"/>
                <w:szCs w:val="21"/>
                <w:highlight w:val="none"/>
                <w:lang w:val="en-US"/>
              </w:rPr>
              <w:t xml:space="preserve">确定出中标(成交)人后，采购代理机构在法定时间内向中标(成交)人发出中标(成交)通知书。中标(成交)通知书将成为合同的组成部分。</w:t>
            </w:r>
            <w:r/>
          </w:p>
          <w:p>
            <w:pPr>
              <w:pStyle w:val="1025"/>
              <w:ind w:left="0" w:firstLine="0"/>
              <w:spacing w:line="440" w:lineRule="exact"/>
              <w:rPr>
                <w:rFonts w:ascii="宋体" w:hAnsi="宋体" w:cs="宋体"/>
                <w:color w:val="auto"/>
                <w:sz w:val="21"/>
                <w:szCs w:val="21"/>
                <w:highlight w:val="none"/>
              </w:rPr>
            </w:pPr>
            <w:r>
              <w:rPr>
                <w:rFonts w:hint="eastAsia" w:ascii="宋体" w:hAnsi="宋体" w:cs="Arial"/>
                <w:b/>
                <w:bCs/>
                <w:color w:val="auto"/>
                <w:sz w:val="21"/>
                <w:szCs w:val="21"/>
                <w:highlight w:val="none"/>
                <w:lang w:val="en-US"/>
              </w:rPr>
              <w:t xml:space="preserve">请中标人在中标结果公告届满之日起30日内,使用CA证书登录“苏采云”系统及时下载中标通知书。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代理服务费收费标准：</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预算金额100万元以下部分，费率为该部分预算金额的1.5%；</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预算金额100万元（含）－500万元部分，费率为该部分预算金额的1.1%；</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预算金额500万元（含）-1000万元部分，费率为该部分预算金额的0.8%；</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预算金额1000万元（含）-5000万元部分，费率为该部分预算金额的0.5%；</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cs="宋体"/>
                <w:color w:val="auto"/>
                <w:sz w:val="21"/>
                <w:szCs w:val="21"/>
                <w:highlight w:val="none"/>
              </w:rPr>
              <w:t xml:space="preserve">4000</w:t>
            </w:r>
            <w:r>
              <w:rPr>
                <w:rFonts w:hint="eastAsia" w:ascii="宋体" w:hAnsi="宋体" w:cs="宋体"/>
                <w:color w:val="auto"/>
                <w:sz w:val="21"/>
                <w:szCs w:val="21"/>
                <w:highlight w:val="none"/>
              </w:rPr>
              <w:t xml:space="preserve">元整的，则本项目代理服务费按人民币</w:t>
            </w:r>
            <w:r>
              <w:rPr>
                <w:rFonts w:ascii="宋体" w:hAnsi="宋体" w:cs="宋体"/>
                <w:color w:val="auto"/>
                <w:sz w:val="21"/>
                <w:szCs w:val="21"/>
                <w:highlight w:val="none"/>
              </w:rPr>
              <w:t xml:space="preserve">4000</w:t>
            </w:r>
            <w:r>
              <w:rPr>
                <w:rFonts w:hint="eastAsia" w:ascii="宋体" w:hAnsi="宋体" w:cs="宋体"/>
                <w:color w:val="auto"/>
                <w:sz w:val="21"/>
                <w:szCs w:val="21"/>
                <w:highlight w:val="none"/>
              </w:rPr>
              <w:t xml:space="preserve">元整计收。</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成交单位须按上述规定计算并支付服务费，该费用应在领取成交通知书时付清。</w:t>
            </w:r>
            <w:r/>
          </w:p>
          <w:p>
            <w:pPr>
              <w:pStyle w:val="1025"/>
              <w:ind w:left="0" w:firstLine="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汇款银行资料：</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收款人名称：苏州永正造价师事务所有限公司</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开户行名称：中国银行苏州市吴中支行</w:t>
            </w:r>
            <w:r/>
          </w:p>
          <w:p>
            <w:pPr>
              <w:pStyle w:val="1025"/>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银行</w:t>
            </w:r>
            <w:r>
              <w:rPr>
                <w:rFonts w:hint="eastAsia" w:ascii="宋体" w:hAnsi="宋体" w:cs="宋体"/>
                <w:color w:val="auto"/>
                <w:sz w:val="21"/>
                <w:szCs w:val="21"/>
                <w:highlight w:val="none"/>
                <w:lang w:val="en-US"/>
              </w:rPr>
              <w:t xml:space="preserve">账</w:t>
            </w:r>
            <w:r>
              <w:rPr>
                <w:rFonts w:hint="eastAsia" w:ascii="宋体" w:hAnsi="宋体" w:cs="宋体"/>
                <w:color w:val="auto"/>
                <w:sz w:val="21"/>
                <w:szCs w:val="21"/>
                <w:highlight w:val="none"/>
              </w:rPr>
              <w:t xml:space="preserve">号：492358211823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default" w:ascii="宋体" w:hAnsi="宋体" w:eastAsia="宋体" w:cs="宋体"/>
                <w:color w:val="auto"/>
                <w:sz w:val="21"/>
                <w:szCs w:val="21"/>
                <w:highlight w:val="none"/>
                <w:lang w:val="en-US" w:eastAsia="zh-CN"/>
              </w:rPr>
            </w:pPr>
            <w:r/>
            <w:bookmarkStart w:id="5" w:name="_Toc58248879"/>
            <w:r/>
            <w:bookmarkStart w:id="6" w:name="_Toc57376405"/>
            <w:r/>
            <w:bookmarkStart w:id="7" w:name="_Toc28592"/>
            <w:r/>
            <w:bookmarkStart w:id="8" w:name="_Toc7166"/>
            <w:r>
              <w:rPr>
                <w:rFonts w:hint="eastAsia" w:ascii="宋体" w:hAnsi="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监督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5"/>
              <w:ind w:left="0" w:firstLine="0"/>
              <w:rPr>
                <w:rFonts w:hint="eastAsia" w:ascii="宋体" w:hAnsi="宋体" w:cs="宋体"/>
                <w:color w:val="auto"/>
                <w:sz w:val="21"/>
                <w:szCs w:val="21"/>
                <w:highlight w:val="none"/>
              </w:rPr>
            </w:pPr>
            <w:r>
              <w:rPr>
                <w:rFonts w:hint="eastAsia" w:ascii="宋体" w:hAnsi="宋体" w:cs="宋体"/>
                <w:color w:val="auto"/>
                <w:sz w:val="24"/>
                <w:highlight w:val="none"/>
                <w:lang w:eastAsia="zh-CN"/>
              </w:rPr>
              <w:t xml:space="preserve">苏州市吴中区财政局政府采购监督电话：0512-65283947。</w:t>
            </w:r>
            <w:r/>
          </w:p>
        </w:tc>
      </w:tr>
    </w:tbl>
    <w:p>
      <w:pPr>
        <w:ind w:left="0"/>
        <w:jc w:val="center"/>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ind w:left="0"/>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811"/>
        <w:rPr>
          <w:rFonts w:ascii="宋体" w:hAnsi="宋体" w:cs="宋体"/>
          <w:color w:val="auto"/>
          <w:highlight w:val="none"/>
        </w:rPr>
      </w:pPr>
      <w:r>
        <w:rPr>
          <w:rFonts w:ascii="宋体" w:hAnsi="宋体" w:cs="宋体"/>
          <w:color w:val="auto"/>
          <w:highlight w:val="none"/>
        </w:rPr>
      </w:r>
      <w:r/>
    </w:p>
    <w:p>
      <w:pPr>
        <w:pStyle w:val="1016"/>
        <w:ind w:firstLine="0"/>
        <w:tabs>
          <w:tab w:val="right" w:pos="9864" w:leader="dot"/>
        </w:tabs>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"_Toc31973" </w:instrText>
      </w:r>
      <w:r>
        <w:rPr>
          <w:color w:val="auto"/>
          <w:highlight w:val="none"/>
        </w:rPr>
        <w:fldChar w:fldCharType="separate"/>
      </w:r>
      <w:r>
        <w:rPr>
          <w:rFonts w:hint="eastAsia" w:ascii="宋体" w:hAnsi="宋体" w:cs="宋体"/>
          <w:color w:val="auto"/>
          <w:sz w:val="28"/>
          <w:szCs w:val="28"/>
          <w:highlight w:val="none"/>
        </w:rPr>
        <w:t xml:space="preserve">第一章 磋商邀请函</w:t>
      </w:r>
      <w:r>
        <w:rPr>
          <w:rFonts w:hint="eastAsia" w:ascii="宋体" w:hAnsi="宋体" w:cs="宋体"/>
          <w:color w:val="auto"/>
          <w:sz w:val="28"/>
          <w:szCs w:val="28"/>
          <w:highlight w:val="none"/>
        </w:rPr>
        <w:fldChar w:fldCharType="end"/>
      </w:r>
      <w:r/>
    </w:p>
    <w:p>
      <w:pPr>
        <w:pStyle w:val="1016"/>
        <w:ind w:firstLine="0"/>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"_Toc17757" </w:instrText>
      </w:r>
      <w:r>
        <w:rPr>
          <w:color w:val="auto"/>
          <w:highlight w:val="none"/>
        </w:rPr>
        <w:fldChar w:fldCharType="separate"/>
      </w:r>
      <w:r>
        <w:rPr>
          <w:rFonts w:hint="eastAsia" w:ascii="宋体" w:hAnsi="宋体" w:cs="宋体"/>
          <w:color w:val="auto"/>
          <w:sz w:val="28"/>
          <w:szCs w:val="28"/>
          <w:highlight w:val="none"/>
        </w:rPr>
        <w:t xml:space="preserve">第二章 磋商须知</w:t>
      </w:r>
      <w:r>
        <w:rPr>
          <w:rFonts w:hint="eastAsia" w:ascii="宋体" w:hAnsi="宋体" w:cs="宋体"/>
          <w:color w:val="auto"/>
          <w:sz w:val="28"/>
          <w:szCs w:val="28"/>
          <w:highlight w:val="none"/>
        </w:rPr>
        <w:fldChar w:fldCharType="end"/>
      </w:r>
      <w:r/>
    </w:p>
    <w:p>
      <w:pPr>
        <w:pStyle w:val="1016"/>
        <w:ind w:firstLine="0"/>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"_Toc332" </w:instrText>
      </w:r>
      <w:r>
        <w:rPr>
          <w:color w:val="auto"/>
          <w:highlight w:val="none"/>
        </w:rPr>
        <w:fldChar w:fldCharType="separate"/>
      </w:r>
      <w:r>
        <w:rPr>
          <w:rFonts w:hint="eastAsia" w:ascii="宋体" w:hAnsi="宋体" w:cs="宋体"/>
          <w:color w:val="auto"/>
          <w:sz w:val="28"/>
          <w:szCs w:val="28"/>
          <w:highlight w:val="none"/>
        </w:rPr>
        <w:t xml:space="preserve">第三章 响应文件格式</w:t>
      </w:r>
      <w:r>
        <w:rPr>
          <w:rFonts w:hint="eastAsia" w:ascii="宋体" w:hAnsi="宋体" w:cs="宋体"/>
          <w:color w:val="auto"/>
          <w:sz w:val="28"/>
          <w:szCs w:val="28"/>
          <w:highlight w:val="none"/>
        </w:rPr>
        <w:fldChar w:fldCharType="end"/>
      </w:r>
      <w:r/>
    </w:p>
    <w:p>
      <w:pPr>
        <w:pStyle w:val="1016"/>
        <w:ind w:firstLine="0"/>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"_Toc23981" </w:instrText>
      </w:r>
      <w:r>
        <w:rPr>
          <w:color w:val="auto"/>
          <w:highlight w:val="none"/>
        </w:rPr>
        <w:fldChar w:fldCharType="separate"/>
      </w:r>
      <w:r>
        <w:rPr>
          <w:rFonts w:hint="eastAsia" w:ascii="宋体" w:hAnsi="宋体" w:cs="宋体"/>
          <w:color w:val="auto"/>
          <w:sz w:val="28"/>
          <w:szCs w:val="28"/>
          <w:highlight w:val="none"/>
        </w:rPr>
        <w:t xml:space="preserve">第四章 采购内容</w:t>
      </w:r>
      <w:r>
        <w:rPr>
          <w:rFonts w:hint="eastAsia" w:ascii="宋体" w:hAnsi="宋体" w:cs="宋体"/>
          <w:color w:val="auto"/>
          <w:sz w:val="28"/>
          <w:szCs w:val="28"/>
          <w:highlight w:val="none"/>
        </w:rPr>
        <w:fldChar w:fldCharType="end"/>
      </w:r>
      <w:r/>
    </w:p>
    <w:p>
      <w:pPr>
        <w:pStyle w:val="1016"/>
        <w:ind w:firstLine="0"/>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"_Toc26481" </w:instrText>
      </w:r>
      <w:r>
        <w:rPr>
          <w:color w:val="auto"/>
          <w:highlight w:val="none"/>
        </w:rPr>
        <w:fldChar w:fldCharType="separate"/>
      </w:r>
      <w:r>
        <w:rPr>
          <w:rFonts w:hint="eastAsia" w:ascii="宋体" w:hAnsi="宋体" w:cs="宋体"/>
          <w:color w:val="auto"/>
          <w:sz w:val="28"/>
          <w:szCs w:val="28"/>
          <w:highlight w:val="none"/>
        </w:rPr>
        <w:t xml:space="preserve">第五章 合同及主要条款</w:t>
      </w:r>
      <w:r>
        <w:rPr>
          <w:rFonts w:hint="eastAsia" w:ascii="宋体" w:hAnsi="宋体" w:cs="宋体"/>
          <w:color w:val="auto"/>
          <w:sz w:val="28"/>
          <w:szCs w:val="28"/>
          <w:highlight w:val="none"/>
        </w:rPr>
        <w:fldChar w:fldCharType="end"/>
      </w:r>
      <w:r/>
    </w:p>
    <w:p>
      <w:pPr>
        <w:pStyle w:val="1016"/>
        <w:ind w:firstLine="0"/>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"_Toc16154" </w:instrText>
      </w:r>
      <w:r>
        <w:rPr>
          <w:color w:val="auto"/>
          <w:highlight w:val="none"/>
        </w:rPr>
        <w:fldChar w:fldCharType="separate"/>
      </w:r>
      <w:r>
        <w:rPr>
          <w:rFonts w:hint="eastAsia" w:ascii="宋体" w:hAnsi="宋体" w:cs="宋体"/>
          <w:color w:val="auto"/>
          <w:sz w:val="28"/>
          <w:szCs w:val="28"/>
          <w:highlight w:val="none"/>
        </w:rPr>
        <w:t xml:space="preserve">第六章 评审办法</w:t>
      </w:r>
      <w:r>
        <w:rPr>
          <w:rFonts w:hint="eastAsia" w:ascii="宋体" w:hAnsi="宋体" w:cs="宋体"/>
          <w:color w:val="auto"/>
          <w:sz w:val="28"/>
          <w:szCs w:val="28"/>
          <w:highlight w:val="none"/>
        </w:rPr>
        <w:fldChar w:fldCharType="end"/>
      </w:r>
      <w:r/>
    </w:p>
    <w:p>
      <w:pPr>
        <w:pStyle w:val="1016"/>
        <w:ind w:firstLine="0"/>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"_Toc9262" </w:instrText>
      </w:r>
      <w:r>
        <w:rPr>
          <w:color w:val="auto"/>
          <w:highlight w:val="none"/>
        </w:rPr>
        <w:fldChar w:fldCharType="separate"/>
      </w:r>
      <w:r>
        <w:rPr>
          <w:color w:val="auto"/>
          <w:highlight w:val="none"/>
        </w:rPr>
        <w:fldChar w:fldCharType="end"/>
      </w:r>
      <w:r/>
    </w:p>
    <w:p>
      <w:pPr>
        <w:pStyle w:val="998"/>
        <w:ind w:left="0" w:firstLine="0"/>
        <w:jc w:val="center"/>
        <w:rPr>
          <w:rFonts w:hint="eastAsia" w:ascii="宋体" w:hAnsi="宋体" w:cs="宋体"/>
          <w:color w:val="auto"/>
          <w:sz w:val="28"/>
          <w:szCs w:val="28"/>
          <w:highlight w:val="none"/>
        </w:rPr>
        <w:sectPr>
          <w:headerReference w:type="default" r:id="rId11"/>
          <w:headerReference w:type="first" r:id="rId12"/>
          <w:footerReference w:type="default" r:id="rId15"/>
          <w:footerReference w:type="first" r:id="rId16"/>
          <w:footnotePr/>
          <w:endnotePr/>
          <w:type w:val="nextPage"/>
          <w:pgSz w:w="11906" w:h="16838" w:orient="portrait"/>
          <w:pgMar w:top="1418" w:right="1021" w:bottom="1418" w:left="1021" w:header="794" w:footer="567" w:gutter="0"/>
          <w:cols w:num="1" w:sep="0" w:space="1701" w:equalWidth="1"/>
          <w:docGrid w:linePitch="360"/>
          <w:titlePg/>
        </w:sectPr>
      </w:pPr>
      <w:r>
        <w:rPr>
          <w:rFonts w:hint="eastAsia" w:ascii="宋体" w:hAnsi="宋体" w:cs="宋体"/>
          <w:color w:val="auto"/>
          <w:sz w:val="28"/>
          <w:szCs w:val="28"/>
          <w:highlight w:val="none"/>
        </w:rPr>
        <w:fldChar w:fldCharType="end"/>
      </w:r>
      <w:bookmarkStart w:id="9" w:name="_Toc19808"/>
      <w:r/>
      <w:r/>
    </w:p>
    <w:p>
      <w:r/>
      <w:r/>
    </w:p>
    <w:p>
      <w:pPr>
        <w:pStyle w:val="998"/>
        <w:ind w:left="0" w:firstLine="0"/>
        <w:jc w:val="center"/>
        <w:rPr>
          <w:rFonts w:ascii="宋体" w:hAnsi="宋体" w:cs="宋体"/>
          <w:b/>
          <w:color w:val="auto"/>
          <w:sz w:val="44"/>
          <w:szCs w:val="44"/>
          <w:highlight w:val="none"/>
        </w:rPr>
      </w:pPr>
      <w:r>
        <w:rPr>
          <w:rFonts w:ascii="宋体" w:hAnsi="宋体" w:cs="宋体"/>
          <w:b/>
          <w:color w:val="auto"/>
          <w:sz w:val="44"/>
          <w:szCs w:val="44"/>
          <w:highlight w:val="none"/>
        </w:rPr>
      </w:r>
      <w:r/>
    </w:p>
    <w:p>
      <w:pPr>
        <w:pStyle w:val="998"/>
        <w:ind w:left="0" w:firstLine="0"/>
        <w:jc w:val="center"/>
        <w:rPr>
          <w:rFonts w:ascii="宋体" w:hAnsi="宋体" w:cs="宋体"/>
          <w:b/>
          <w:color w:val="auto"/>
          <w:sz w:val="44"/>
          <w:szCs w:val="44"/>
          <w:highlight w:val="none"/>
        </w:rPr>
      </w:pPr>
      <w:r>
        <w:rPr>
          <w:rFonts w:ascii="宋体" w:hAnsi="宋体" w:cs="宋体"/>
          <w:b/>
          <w:color w:val="auto"/>
          <w:sz w:val="44"/>
          <w:szCs w:val="44"/>
          <w:highlight w:val="none"/>
        </w:rPr>
      </w:r>
      <w:r/>
    </w:p>
    <w:p>
      <w:pPr>
        <w:pStyle w:val="998"/>
        <w:ind w:left="0" w:firstLine="0"/>
        <w:jc w:val="center"/>
        <w:rPr>
          <w:rFonts w:ascii="宋体" w:hAnsi="宋体" w:cs="宋体"/>
          <w:b/>
          <w:color w:val="auto"/>
          <w:sz w:val="44"/>
          <w:szCs w:val="44"/>
          <w:highlight w:val="none"/>
        </w:rPr>
      </w:pPr>
      <w:r/>
      <w:bookmarkStart w:id="10" w:name="_Toc22054"/>
      <w:r/>
      <w:bookmarkStart w:id="11" w:name="_Toc31973"/>
      <w:r>
        <w:rPr>
          <w:rFonts w:hint="eastAsia" w:ascii="宋体" w:hAnsi="宋体" w:cs="宋体"/>
          <w:b/>
          <w:color w:val="auto"/>
          <w:sz w:val="44"/>
          <w:szCs w:val="44"/>
          <w:highlight w:val="none"/>
        </w:rPr>
        <w:t xml:space="preserve">第一章 磋商邀请函</w:t>
      </w:r>
      <w:bookmarkEnd w:id="5"/>
      <w:r/>
      <w:bookmarkEnd w:id="6"/>
      <w:r/>
      <w:bookmarkEnd w:id="7"/>
      <w:r/>
      <w:bookmarkEnd w:id="8"/>
      <w:r/>
      <w:bookmarkEnd w:id="9"/>
      <w:r/>
      <w:bookmarkEnd w:id="10"/>
      <w:r/>
      <w:bookmarkEnd w:id="11"/>
      <w:r/>
      <w:r/>
    </w:p>
    <w:p>
      <w:pPr>
        <w:pStyle w:val="998"/>
        <w:ind w:left="0" w:firstLine="0"/>
        <w:rPr>
          <w:rFonts w:ascii="宋体" w:hAnsi="宋体" w:cs="宋体"/>
          <w:b/>
          <w:color w:val="auto"/>
          <w:sz w:val="44"/>
          <w:szCs w:val="44"/>
          <w:highlight w:val="none"/>
        </w:rPr>
      </w:pPr>
      <w:r>
        <w:rPr>
          <w:rFonts w:ascii="宋体" w:hAnsi="宋体" w:cs="宋体"/>
          <w:b/>
          <w:color w:val="auto"/>
          <w:sz w:val="44"/>
          <w:szCs w:val="44"/>
          <w:highlight w:val="none"/>
        </w:rPr>
      </w:r>
      <w:r/>
    </w:p>
    <w:p>
      <w:pPr>
        <w:ind w:left="0"/>
        <w:jc w:val="center"/>
        <w:widowControl/>
        <w:rPr>
          <w:rFonts w:ascii="宋体" w:hAnsi="宋体" w:eastAsia="宋体" w:cs="Times New Roman"/>
          <w:color w:val="auto"/>
          <w:sz w:val="24"/>
          <w:szCs w:val="22"/>
          <w:highlight w:val="none"/>
        </w:rPr>
      </w:pPr>
      <w:r/>
      <w:bookmarkStart w:id="12" w:name="_Toc3644"/>
      <w:r/>
      <w:bookmarkStart w:id="13" w:name="_Toc16571"/>
      <w:r>
        <w:rPr>
          <w:rFonts w:hint="eastAsia" w:ascii="宋体" w:hAnsi="宋体" w:cs="宋体"/>
          <w:color w:val="auto"/>
          <w:sz w:val="24"/>
          <w:szCs w:val="24"/>
          <w:highlight w:val="none"/>
        </w:rPr>
        <w:br w:type="page" w:clear="all"/>
      </w:r>
      <w:bookmarkEnd w:id="12"/>
      <w:r/>
      <w:bookmarkEnd w:id="13"/>
      <w:r/>
      <w:bookmarkStart w:id="14" w:name="_Toc58248880"/>
      <w:r/>
      <w:bookmarkStart w:id="15" w:name="_Toc2412"/>
      <w:r/>
      <w:bookmarkStart w:id="16" w:name="_Toc6217"/>
      <w:r/>
      <w:bookmarkStart w:id="17" w:name="_Toc57376406"/>
      <w:r/>
      <w:r/>
    </w:p>
    <w:p>
      <w:pPr>
        <w:ind w:left="0" w:firstLine="480"/>
        <w:spacing w:line="360" w:lineRule="auto"/>
        <w:widowControl w:val="off"/>
        <w:rPr>
          <w:rFonts w:ascii="宋体" w:hAnsi="宋体" w:eastAsia="宋体" w:cs="Times New Roman"/>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2"/>
          <w:highlight w:val="none"/>
        </w:rPr>
        <w:t xml:space="preserve">项目概况</w:t>
      </w:r>
      <w:r/>
    </w:p>
    <w:p>
      <w:pPr>
        <w:ind w:left="0" w:firstLine="480"/>
        <w:spacing w:line="360" w:lineRule="auto"/>
        <w:widowControl w:val="off"/>
        <w:rPr>
          <w:rFonts w:ascii="宋体" w:hAnsi="宋体" w:eastAsia="宋体" w:cs="Times New Roman"/>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2"/>
          <w:highlight w:val="none"/>
          <w:u w:val="single"/>
          <w:lang w:eastAsia="zh-CN"/>
        </w:rPr>
        <w:t xml:space="preserve">动态称重监测设施维保服务</w:t>
      </w:r>
      <w:r>
        <w:rPr>
          <w:rFonts w:hint="eastAsia" w:ascii="宋体" w:hAnsi="宋体" w:eastAsia="宋体" w:cs="Times New Roman"/>
          <w:color w:val="auto"/>
          <w:sz w:val="24"/>
          <w:szCs w:val="22"/>
          <w:highlight w:val="none"/>
        </w:rPr>
        <w:t xml:space="preserve">采购项目的潜在供应商应在</w:t>
      </w:r>
      <w:r>
        <w:rPr>
          <w:rFonts w:hint="eastAsia" w:ascii="宋体" w:hAnsi="宋体" w:eastAsia="宋体" w:cs="宋体"/>
          <w:color w:val="auto"/>
          <w:sz w:val="24"/>
          <w:szCs w:val="22"/>
          <w:highlight w:val="none"/>
          <w:u w:val="single"/>
        </w:rPr>
        <w:t xml:space="preserve">“苏采云”政府采购交易系统（以下简称苏采云系统”）</w:t>
      </w:r>
      <w:r>
        <w:rPr>
          <w:rFonts w:hint="eastAsia" w:ascii="宋体" w:hAnsi="宋体" w:eastAsia="宋体" w:cs="Times New Roman"/>
          <w:color w:val="auto"/>
          <w:sz w:val="24"/>
          <w:szCs w:val="22"/>
          <w:highlight w:val="none"/>
        </w:rPr>
        <w:t xml:space="preserve">获取招标文件，并于</w:t>
      </w:r>
      <w:r>
        <w:rPr>
          <w:rFonts w:hint="eastAsia" w:ascii="宋体" w:hAnsi="宋体" w:cs="Times New Roman"/>
          <w:color w:val="auto"/>
          <w:sz w:val="24"/>
          <w:szCs w:val="22"/>
          <w:highlight w:val="none"/>
          <w:u w:val="single"/>
          <w:lang w:eastAsia="zh-CN"/>
        </w:rPr>
        <w:t xml:space="preserve">2026年3月24日</w:t>
      </w:r>
      <w:r>
        <w:rPr>
          <w:rFonts w:hint="eastAsia" w:ascii="宋体" w:hAnsi="宋体" w:eastAsia="宋体" w:cs="Times New Roman"/>
          <w:color w:val="auto"/>
          <w:sz w:val="24"/>
          <w:szCs w:val="22"/>
          <w:highlight w:val="none"/>
          <w:u w:val="single"/>
        </w:rPr>
        <w:t xml:space="preserve">13:30</w:t>
      </w:r>
      <w:r>
        <w:rPr>
          <w:rFonts w:hint="eastAsia" w:ascii="宋体" w:hAnsi="宋体" w:eastAsia="宋体" w:cs="Times New Roman"/>
          <w:bCs/>
          <w:color w:val="auto"/>
          <w:sz w:val="24"/>
          <w:szCs w:val="22"/>
          <w:highlight w:val="none"/>
        </w:rPr>
        <w:t xml:space="preserve">（北京时间）前递交响应文件</w:t>
      </w:r>
      <w:r>
        <w:rPr>
          <w:rFonts w:hint="eastAsia" w:ascii="宋体" w:hAnsi="宋体" w:eastAsia="宋体" w:cs="Times New Roman"/>
          <w:color w:val="auto"/>
          <w:sz w:val="24"/>
          <w:szCs w:val="22"/>
          <w:highlight w:val="none"/>
        </w:rPr>
        <w:t xml:space="preserve">。</w:t>
      </w:r>
      <w:r/>
    </w:p>
    <w:p>
      <w:pPr>
        <w:ind w:left="0"/>
        <w:spacing w:line="360" w:lineRule="auto"/>
        <w:widowControl w:val="off"/>
        <w:rPr>
          <w:rFonts w:ascii="宋体" w:hAnsi="宋体" w:eastAsia="宋体" w:cs="宋体"/>
          <w:b/>
          <w:color w:val="auto"/>
          <w:sz w:val="24"/>
          <w:szCs w:val="22"/>
          <w:highlight w:val="none"/>
        </w:rPr>
      </w:pPr>
      <w:r/>
      <w:bookmarkStart w:id="18" w:name="_Toc28359002"/>
      <w:r/>
      <w:bookmarkStart w:id="19" w:name="_Toc28359079"/>
      <w:r/>
      <w:bookmarkStart w:id="20" w:name="_Toc35393790"/>
      <w:r/>
      <w:bookmarkStart w:id="21" w:name="_Toc35393621"/>
      <w:r/>
      <w:bookmarkStart w:id="22" w:name="_Hlk24379207"/>
      <w:r>
        <w:rPr>
          <w:rFonts w:hint="eastAsia" w:ascii="宋体" w:hAnsi="宋体" w:eastAsia="宋体" w:cs="宋体"/>
          <w:b/>
          <w:color w:val="auto"/>
          <w:sz w:val="24"/>
          <w:szCs w:val="22"/>
          <w:highlight w:val="none"/>
        </w:rPr>
        <w:t xml:space="preserve">一、项目基本情况</w:t>
      </w:r>
      <w:bookmarkEnd w:id="18"/>
      <w:r/>
      <w:bookmarkEnd w:id="19"/>
      <w:r/>
      <w:bookmarkEnd w:id="20"/>
      <w:r/>
      <w:bookmarkEnd w:id="21"/>
      <w:r/>
      <w:r/>
    </w:p>
    <w:p>
      <w:pPr>
        <w:ind w:left="0" w:firstLine="480"/>
        <w:spacing w:line="360" w:lineRule="auto"/>
        <w:widowControl w:val="off"/>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rPr>
        <w:t xml:space="preserve">项目编号：</w:t>
      </w:r>
      <w:r>
        <w:rPr>
          <w:rFonts w:hint="eastAsia" w:ascii="宋体" w:hAnsi="宋体" w:eastAsia="宋体" w:cs="Times New Roman"/>
          <w:color w:val="auto"/>
          <w:sz w:val="24"/>
          <w:szCs w:val="22"/>
          <w:highlight w:val="none"/>
          <w:lang w:eastAsia="zh-CN"/>
        </w:rPr>
        <w:t xml:space="preserve">JSZC-320506-YZZJ-C2026-0001</w:t>
      </w:r>
      <w:r/>
    </w:p>
    <w:p>
      <w:pPr>
        <w:ind w:left="0" w:firstLine="480"/>
        <w:spacing w:line="360" w:lineRule="auto"/>
        <w:widowControl w:val="off"/>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rPr>
        <w:t xml:space="preserve">项目名称：</w:t>
      </w:r>
      <w:r>
        <w:rPr>
          <w:rFonts w:hint="eastAsia" w:ascii="宋体" w:hAnsi="宋体" w:eastAsia="宋体" w:cs="Times New Roman"/>
          <w:color w:val="auto"/>
          <w:sz w:val="24"/>
          <w:szCs w:val="22"/>
          <w:highlight w:val="none"/>
          <w:lang w:eastAsia="zh-CN"/>
        </w:rPr>
        <w:t xml:space="preserve">动态称重监测设施维保服务</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采购方式：竞争性磋商</w:t>
      </w:r>
      <w:bookmarkEnd w:id="22"/>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预算金额：</w:t>
      </w:r>
      <w:r>
        <w:rPr>
          <w:rFonts w:hint="eastAsia" w:ascii="宋体" w:hAnsi="宋体" w:eastAsia="宋体" w:cs="Times New Roman"/>
          <w:color w:val="auto"/>
          <w:sz w:val="24"/>
          <w:szCs w:val="22"/>
          <w:highlight w:val="none"/>
          <w:lang w:val="en-US" w:eastAsia="zh-CN"/>
        </w:rPr>
        <w:t xml:space="preserve">壹佰贰拾万玖仟捌佰元整</w:t>
      </w:r>
      <w:r>
        <w:rPr>
          <w:rFonts w:hint="eastAsia" w:ascii="宋体" w:hAnsi="宋体" w:eastAsia="宋体" w:cs="Times New Roman"/>
          <w:color w:val="auto"/>
          <w:sz w:val="24"/>
          <w:szCs w:val="22"/>
          <w:highlight w:val="none"/>
        </w:rPr>
        <w:t xml:space="preserve">（￥</w:t>
      </w:r>
      <w:r>
        <w:rPr>
          <w:rFonts w:hint="eastAsia" w:ascii="宋体" w:hAnsi="宋体" w:eastAsia="宋体" w:cs="Times New Roman"/>
          <w:color w:val="auto"/>
          <w:sz w:val="24"/>
          <w:szCs w:val="22"/>
          <w:highlight w:val="none"/>
          <w:lang w:val="en-US" w:eastAsia="zh-CN"/>
        </w:rPr>
        <w:t xml:space="preserve">1209800.00</w:t>
      </w:r>
      <w:r>
        <w:rPr>
          <w:rFonts w:hint="eastAsia" w:ascii="宋体" w:hAnsi="宋体" w:eastAsia="宋体" w:cs="Times New Roman"/>
          <w:color w:val="auto"/>
          <w:sz w:val="24"/>
          <w:szCs w:val="22"/>
          <w:highlight w:val="none"/>
        </w:rPr>
        <w:t xml:space="preserve">）</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最高限价：</w:t>
      </w:r>
      <w:r>
        <w:rPr>
          <w:rFonts w:hint="eastAsia" w:ascii="宋体" w:hAnsi="宋体" w:eastAsia="宋体" w:cs="Times New Roman"/>
          <w:color w:val="auto"/>
          <w:sz w:val="24"/>
          <w:szCs w:val="22"/>
          <w:highlight w:val="none"/>
          <w:lang w:val="en-US" w:eastAsia="zh-CN"/>
        </w:rPr>
        <w:t xml:space="preserve">壹佰贰拾万玖仟捌佰元整</w:t>
      </w:r>
      <w:r>
        <w:rPr>
          <w:rFonts w:hint="eastAsia" w:ascii="宋体" w:hAnsi="宋体" w:eastAsia="宋体" w:cs="Times New Roman"/>
          <w:color w:val="auto"/>
          <w:sz w:val="24"/>
          <w:szCs w:val="22"/>
          <w:highlight w:val="none"/>
        </w:rPr>
        <w:t xml:space="preserve">（￥</w:t>
      </w:r>
      <w:r>
        <w:rPr>
          <w:rFonts w:hint="eastAsia" w:ascii="宋体" w:hAnsi="宋体" w:eastAsia="宋体" w:cs="Times New Roman"/>
          <w:color w:val="auto"/>
          <w:sz w:val="24"/>
          <w:szCs w:val="22"/>
          <w:highlight w:val="none"/>
          <w:lang w:val="en-US" w:eastAsia="zh-CN"/>
        </w:rPr>
        <w:t xml:space="preserve">1209800.00</w:t>
      </w:r>
      <w:r>
        <w:rPr>
          <w:rFonts w:hint="eastAsia" w:ascii="宋体" w:hAnsi="宋体" w:eastAsia="宋体" w:cs="Times New Roman"/>
          <w:color w:val="auto"/>
          <w:sz w:val="24"/>
          <w:szCs w:val="22"/>
          <w:highlight w:val="none"/>
        </w:rPr>
        <w:t xml:space="preserve">）</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采购需求：详见采购文件第</w:t>
      </w:r>
      <w:r>
        <w:rPr>
          <w:rFonts w:hint="eastAsia" w:ascii="宋体" w:hAnsi="宋体" w:eastAsia="宋体" w:cs="Times New Roman"/>
          <w:color w:val="auto"/>
          <w:sz w:val="24"/>
          <w:szCs w:val="22"/>
          <w:highlight w:val="none"/>
          <w:lang w:eastAsia="zh-CN"/>
        </w:rPr>
        <w:t xml:space="preserve">四</w:t>
      </w:r>
      <w:r>
        <w:rPr>
          <w:rFonts w:hint="eastAsia" w:ascii="宋体" w:hAnsi="宋体" w:eastAsia="宋体" w:cs="Times New Roman"/>
          <w:color w:val="auto"/>
          <w:sz w:val="24"/>
          <w:szCs w:val="22"/>
          <w:highlight w:val="none"/>
        </w:rPr>
        <w:t xml:space="preserve">章</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合同履行期限：</w:t>
      </w:r>
      <w:bookmarkStart w:id="23" w:name="_Toc35393630"/>
      <w:r/>
      <w:bookmarkStart w:id="24" w:name="_Toc35393799"/>
      <w:r/>
      <w:bookmarkStart w:id="25" w:name="_Toc28359090"/>
      <w:r/>
      <w:bookmarkStart w:id="26" w:name="_Toc28359013"/>
      <w:r>
        <w:rPr>
          <w:rFonts w:hint="eastAsia" w:ascii="宋体" w:hAnsi="宋体" w:eastAsia="宋体" w:cs="Times New Roman"/>
          <w:color w:val="auto"/>
          <w:sz w:val="24"/>
          <w:szCs w:val="22"/>
          <w:highlight w:val="none"/>
        </w:rPr>
        <w:t xml:space="preserve">详见采购文件第</w:t>
      </w:r>
      <w:r>
        <w:rPr>
          <w:rFonts w:hint="eastAsia" w:ascii="宋体" w:hAnsi="宋体" w:eastAsia="宋体" w:cs="Times New Roman"/>
          <w:color w:val="auto"/>
          <w:sz w:val="24"/>
          <w:szCs w:val="22"/>
          <w:highlight w:val="none"/>
          <w:lang w:eastAsia="zh-CN"/>
        </w:rPr>
        <w:t xml:space="preserve">四</w:t>
      </w:r>
      <w:r>
        <w:rPr>
          <w:rFonts w:hint="eastAsia" w:ascii="宋体" w:hAnsi="宋体" w:eastAsia="宋体" w:cs="Times New Roman"/>
          <w:color w:val="auto"/>
          <w:sz w:val="24"/>
          <w:szCs w:val="22"/>
          <w:highlight w:val="none"/>
        </w:rPr>
        <w:t xml:space="preserve">章</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本项目（是/否）接受联合体：否</w:t>
      </w:r>
      <w:r/>
    </w:p>
    <w:p>
      <w:pPr>
        <w:ind w:left="0"/>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二、申请人的资格要求：</w:t>
      </w:r>
      <w:bookmarkEnd w:id="23"/>
      <w:r/>
      <w:bookmarkEnd w:id="24"/>
      <w:r/>
      <w:bookmarkEnd w:id="25"/>
      <w:r/>
      <w:bookmarkEnd w:id="26"/>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（一）满足《中华人民共和国政府采购法》第二十二条规定；</w:t>
      </w:r>
      <w:r/>
    </w:p>
    <w:p>
      <w:pPr>
        <w:ind w:left="0" w:firstLine="480"/>
        <w:spacing w:line="360" w:lineRule="auto"/>
        <w:widowControl w:val="off"/>
        <w:rPr>
          <w:rFonts w:ascii="宋体" w:hAnsi="宋体" w:eastAsia="宋体" w:cs="Times New Roman"/>
          <w:color w:val="auto"/>
          <w:sz w:val="24"/>
          <w:szCs w:val="22"/>
          <w:highlight w:val="none"/>
        </w:rPr>
      </w:pPr>
      <w:r/>
      <w:bookmarkStart w:id="27" w:name="_Toc28359003"/>
      <w:r>
        <w:rPr>
          <w:rFonts w:hint="eastAsia" w:ascii="宋体" w:hAnsi="宋体" w:eastAsia="宋体" w:cs="Times New Roman"/>
          <w:color w:val="auto"/>
          <w:sz w:val="24"/>
          <w:szCs w:val="22"/>
          <w:highlight w:val="none"/>
        </w:rPr>
        <w:t xml:space="preserve">1、具有独立承担民事责任的能力；</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2、具有良好的商业信誉和健全的财务会计制度；</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3、具有履行合同所必需的设备和专业技术能力；</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4、有依法缴纳税收和社会保障资金的良好记录；</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5、参加政府采购活动前三年内，在经营活动中没有重大违法记录；</w:t>
      </w:r>
      <w:r/>
    </w:p>
    <w:p>
      <w:pPr>
        <w:ind w:left="0" w:firstLine="480"/>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6、法律、行政法规规定的其他条件；</w:t>
      </w:r>
      <w:bookmarkEnd w:id="27"/>
      <w:r/>
      <w:bookmarkStart w:id="28" w:name="_Toc28359014"/>
      <w:r/>
      <w:bookmarkStart w:id="29" w:name="_Toc28359091"/>
      <w:r/>
      <w:r/>
    </w:p>
    <w:p>
      <w:pPr>
        <w:ind w:left="0" w:firstLine="480"/>
        <w:spacing w:line="360" w:lineRule="auto"/>
        <w:widowControl w:val="off"/>
        <w:rPr>
          <w:rFonts w:ascii="宋体" w:hAnsi="宋体" w:eastAsia="宋体" w:cs="宋体"/>
          <w:color w:val="auto"/>
          <w:sz w:val="24"/>
          <w:szCs w:val="24"/>
          <w:highlight w:val="none"/>
        </w:rPr>
      </w:pPr>
      <w:r>
        <w:rPr>
          <w:rFonts w:hint="eastAsia" w:ascii="宋体" w:hAnsi="宋体" w:eastAsia="宋体" w:cs="Times New Roman"/>
          <w:color w:val="auto"/>
          <w:sz w:val="24"/>
          <w:szCs w:val="22"/>
          <w:highlight w:val="none"/>
        </w:rPr>
        <w:t xml:space="preserve">（二）</w:t>
      </w:r>
      <w:r>
        <w:rPr>
          <w:rFonts w:hint="eastAsia" w:ascii="宋体" w:hAnsi="宋体" w:eastAsia="宋体" w:cs="宋体"/>
          <w:bCs/>
          <w:color w:val="auto"/>
          <w:sz w:val="24"/>
          <w:szCs w:val="22"/>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bCs/>
          <w:color w:val="auto"/>
          <w:sz w:val="24"/>
          <w:szCs w:val="22"/>
          <w:highlight w:val="none"/>
        </w:rPr>
        <w:t xml:space="preserve">。</w:t>
      </w:r>
      <w:r/>
    </w:p>
    <w:p>
      <w:pPr>
        <w:ind w:left="0" w:firstLine="480"/>
        <w:spacing w:line="360" w:lineRule="auto"/>
        <w:widowControl w:val="off"/>
        <w:rPr>
          <w:rFonts w:ascii="宋体" w:hAnsi="宋体" w:eastAsia="宋体" w:cs="Times New Roman"/>
          <w:color w:val="auto"/>
          <w:sz w:val="24"/>
          <w:szCs w:val="22"/>
          <w:highlight w:val="none"/>
        </w:rPr>
      </w:pPr>
      <w:r/>
      <w:bookmarkStart w:id="30" w:name="_Toc35393631"/>
      <w:r/>
      <w:bookmarkStart w:id="31" w:name="_Toc35393800"/>
      <w:r>
        <w:rPr>
          <w:rFonts w:hint="eastAsia" w:ascii="宋体" w:hAnsi="宋体" w:eastAsia="宋体" w:cs="Times New Roman"/>
          <w:color w:val="auto"/>
          <w:sz w:val="24"/>
          <w:szCs w:val="22"/>
          <w:highlight w:val="none"/>
        </w:rPr>
        <w:t xml:space="preserve">（三）本项目的特定资格要求：</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p>
    <w:p>
      <w:pPr>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三、获取采购文件</w:t>
      </w:r>
      <w:bookmarkEnd w:id="28"/>
      <w:r/>
      <w:bookmarkEnd w:id="29"/>
      <w:r/>
      <w:bookmarkEnd w:id="30"/>
      <w:r/>
      <w:bookmarkEnd w:id="31"/>
      <w:r/>
      <w:r/>
    </w:p>
    <w:p>
      <w:pPr>
        <w:ind w:left="0" w:firstLine="480"/>
        <w:spacing w:line="360" w:lineRule="auto"/>
        <w:widowControl w:val="off"/>
        <w:rPr>
          <w:rFonts w:ascii="Times New Roman" w:hAnsi="Times New Roman" w:eastAsia="宋体" w:cs="Times New Roman"/>
          <w:color w:val="auto"/>
          <w:sz w:val="21"/>
          <w:szCs w:val="22"/>
          <w:highlight w:val="none"/>
        </w:rPr>
      </w:pPr>
      <w:r>
        <w:rPr>
          <w:rFonts w:hint="eastAsia" w:ascii="宋体" w:hAnsi="宋体" w:eastAsia="宋体" w:cs="宋体"/>
          <w:color w:val="auto"/>
          <w:sz w:val="24"/>
          <w:szCs w:val="22"/>
          <w:highlight w:val="none"/>
        </w:rPr>
        <w:t xml:space="preserve">时间：自磋商文件公告发布之日起5个工作日</w:t>
      </w:r>
      <w:r/>
    </w:p>
    <w:p>
      <w:pPr>
        <w:ind w:left="0"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地点：“苏采云”政府采购交易系统  </w:t>
      </w:r>
      <w:r/>
    </w:p>
    <w:p>
      <w:pPr>
        <w:ind w:left="0"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方式：线上获取 </w:t>
      </w:r>
      <w:r/>
    </w:p>
    <w:p>
      <w:pPr>
        <w:ind w:left="0"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left="0"/>
        <w:spacing w:line="360" w:lineRule="auto"/>
        <w:widowControl w:val="off"/>
        <w:rPr>
          <w:rFonts w:ascii="宋体" w:hAnsi="宋体" w:eastAsia="宋体" w:cs="宋体"/>
          <w:b/>
          <w:bCs/>
          <w:color w:val="auto"/>
          <w:sz w:val="24"/>
          <w:szCs w:val="22"/>
          <w:highlight w:val="none"/>
        </w:rPr>
      </w:pPr>
      <w:r/>
      <w:bookmarkStart w:id="32" w:name="_Toc28359092"/>
      <w:r/>
      <w:bookmarkStart w:id="33" w:name="_Toc35393801"/>
      <w:r/>
      <w:bookmarkStart w:id="34" w:name="_Toc28359015"/>
      <w:r/>
      <w:bookmarkStart w:id="35" w:name="_Toc35393632"/>
      <w:r>
        <w:rPr>
          <w:rFonts w:hint="eastAsia" w:ascii="宋体" w:hAnsi="宋体" w:eastAsia="宋体" w:cs="宋体"/>
          <w:b/>
          <w:color w:val="auto"/>
          <w:sz w:val="24"/>
          <w:szCs w:val="22"/>
          <w:highlight w:val="none"/>
        </w:rPr>
        <w:t xml:space="preserve">四、</w:t>
      </w:r>
      <w:bookmarkEnd w:id="32"/>
      <w:r/>
      <w:bookmarkEnd w:id="33"/>
      <w:r/>
      <w:bookmarkEnd w:id="34"/>
      <w:r/>
      <w:bookmarkEnd w:id="35"/>
      <w:r>
        <w:rPr>
          <w:rFonts w:hint="eastAsia" w:ascii="宋体" w:hAnsi="宋体" w:eastAsia="宋体" w:cs="宋体"/>
          <w:b/>
          <w:bCs/>
          <w:color w:val="auto"/>
          <w:sz w:val="24"/>
          <w:szCs w:val="22"/>
          <w:highlight w:val="none"/>
        </w:rPr>
        <w:t xml:space="preserve">响应文件提交</w:t>
      </w:r>
      <w:r/>
    </w:p>
    <w:p>
      <w:pPr>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截止时间：</w:t>
      </w:r>
      <w:r>
        <w:rPr>
          <w:rFonts w:hint="eastAsia" w:ascii="宋体" w:hAnsi="宋体" w:cs="宋体"/>
          <w:color w:val="auto"/>
          <w:sz w:val="24"/>
          <w:szCs w:val="22"/>
          <w:highlight w:val="none"/>
          <w:lang w:eastAsia="zh-CN"/>
        </w:rPr>
        <w:t xml:space="preserve">2026年3月24日</w:t>
      </w:r>
      <w:r>
        <w:rPr>
          <w:rFonts w:hint="eastAsia" w:ascii="宋体" w:hAnsi="宋体" w:eastAsia="宋体" w:cs="宋体"/>
          <w:color w:val="auto"/>
          <w:sz w:val="24"/>
          <w:szCs w:val="22"/>
          <w:highlight w:val="none"/>
        </w:rPr>
        <w:t xml:space="preserve">13:30（北京时间）</w:t>
      </w:r>
      <w:r/>
    </w:p>
    <w:p>
      <w:pPr>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地点：“苏采云”政府采购交易系统</w:t>
      </w:r>
      <w:r/>
    </w:p>
    <w:p>
      <w:pPr>
        <w:ind w:left="0"/>
        <w:spacing w:line="360" w:lineRule="auto"/>
        <w:widowControl w:val="off"/>
        <w:rPr>
          <w:rFonts w:ascii="宋体" w:hAnsi="宋体" w:eastAsia="宋体" w:cs="宋体"/>
          <w:b/>
          <w:bCs/>
          <w:color w:val="auto"/>
          <w:sz w:val="24"/>
          <w:szCs w:val="22"/>
          <w:highlight w:val="none"/>
        </w:rPr>
      </w:pPr>
      <w:r>
        <w:rPr>
          <w:rFonts w:hint="eastAsia" w:ascii="宋体" w:hAnsi="宋体" w:eastAsia="宋体" w:cs="宋体"/>
          <w:b/>
          <w:color w:val="auto"/>
          <w:sz w:val="24"/>
          <w:szCs w:val="22"/>
          <w:highlight w:val="none"/>
        </w:rPr>
        <w:t xml:space="preserve">五、</w:t>
      </w:r>
      <w:r>
        <w:rPr>
          <w:rFonts w:hint="eastAsia" w:ascii="宋体" w:hAnsi="宋体" w:eastAsia="宋体" w:cs="宋体"/>
          <w:b/>
          <w:bCs/>
          <w:color w:val="auto"/>
          <w:sz w:val="24"/>
          <w:szCs w:val="22"/>
          <w:highlight w:val="none"/>
        </w:rPr>
        <w:t xml:space="preserve">开启</w:t>
      </w:r>
      <w:r/>
    </w:p>
    <w:p>
      <w:pPr>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时间：</w:t>
      </w:r>
      <w:r>
        <w:rPr>
          <w:rFonts w:hint="eastAsia" w:ascii="宋体" w:hAnsi="宋体" w:cs="宋体"/>
          <w:color w:val="auto"/>
          <w:sz w:val="24"/>
          <w:szCs w:val="22"/>
          <w:highlight w:val="none"/>
          <w:lang w:eastAsia="zh-CN"/>
        </w:rPr>
        <w:t xml:space="preserve">2026年3月24日</w:t>
      </w:r>
      <w:r>
        <w:rPr>
          <w:rFonts w:hint="eastAsia" w:ascii="宋体" w:hAnsi="宋体" w:eastAsia="宋体" w:cs="宋体"/>
          <w:color w:val="auto"/>
          <w:sz w:val="24"/>
          <w:szCs w:val="22"/>
          <w:highlight w:val="none"/>
        </w:rPr>
        <w:t xml:space="preserve">13:30（北京时间）</w:t>
      </w:r>
      <w:r/>
    </w:p>
    <w:p>
      <w:pPr>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地点：“苏采云”政府采购交易系统</w:t>
      </w:r>
      <w:r/>
    </w:p>
    <w:p>
      <w:pPr>
        <w:ind w:left="0"/>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六、公告期限</w:t>
      </w:r>
      <w:r/>
    </w:p>
    <w:p>
      <w:pPr>
        <w:ind w:left="0" w:firstLine="480"/>
        <w:spacing w:line="360" w:lineRule="auto"/>
        <w:widowControl w:val="off"/>
        <w:rPr>
          <w:rFonts w:ascii="宋体" w:hAnsi="宋体" w:eastAsia="宋体" w:cs="Times New Roman"/>
          <w:bCs/>
          <w:color w:val="auto"/>
          <w:sz w:val="24"/>
          <w:szCs w:val="22"/>
          <w:highlight w:val="none"/>
          <w:u w:val="single"/>
        </w:rPr>
      </w:pPr>
      <w:r>
        <w:rPr>
          <w:rFonts w:hint="eastAsia" w:ascii="宋体" w:hAnsi="宋体" w:eastAsia="宋体" w:cs="宋体"/>
          <w:color w:val="auto"/>
          <w:sz w:val="24"/>
          <w:szCs w:val="22"/>
          <w:highlight w:val="none"/>
        </w:rPr>
        <w:t xml:space="preserve">自本公告发布之日起3个工作日。</w:t>
      </w:r>
      <w:r/>
    </w:p>
    <w:p>
      <w:pPr>
        <w:ind w:left="0"/>
        <w:spacing w:line="360" w:lineRule="auto"/>
        <w:widowControl w:val="off"/>
        <w:rPr>
          <w:rFonts w:ascii="宋体" w:hAnsi="宋体" w:eastAsia="宋体" w:cs="宋体"/>
          <w:b/>
          <w:color w:val="auto"/>
          <w:sz w:val="24"/>
          <w:szCs w:val="22"/>
          <w:highlight w:val="none"/>
        </w:rPr>
      </w:pPr>
      <w:r/>
      <w:bookmarkStart w:id="36" w:name="_Toc35393635"/>
      <w:r/>
      <w:bookmarkStart w:id="37" w:name="_Toc35393804"/>
      <w:r>
        <w:rPr>
          <w:rFonts w:hint="eastAsia" w:ascii="宋体" w:hAnsi="宋体" w:eastAsia="宋体" w:cs="宋体"/>
          <w:b/>
          <w:color w:val="auto"/>
          <w:sz w:val="24"/>
          <w:szCs w:val="22"/>
          <w:highlight w:val="none"/>
        </w:rPr>
        <w:t xml:space="preserve">七、其他补充事宜</w:t>
      </w:r>
      <w:bookmarkEnd w:id="36"/>
      <w:r/>
      <w:bookmarkEnd w:id="37"/>
      <w:r/>
      <w:r/>
    </w:p>
    <w:p>
      <w:pPr>
        <w:ind w:left="0" w:firstLine="480"/>
        <w:spacing w:line="360" w:lineRule="auto"/>
        <w:widowControl w:val="off"/>
        <w:rPr>
          <w:rFonts w:hint="eastAsia" w:ascii="宋体" w:hAnsi="宋体" w:eastAsia="宋体" w:cs="宋体"/>
          <w:color w:val="auto"/>
          <w:sz w:val="24"/>
          <w:szCs w:val="24"/>
          <w:highlight w:val="none"/>
        </w:rPr>
      </w:pPr>
      <w:r/>
      <w:bookmarkStart w:id="38" w:name="_Toc35393805"/>
      <w:r/>
      <w:bookmarkStart w:id="39" w:name="_Toc35393636"/>
      <w:r/>
      <w:bookmarkStart w:id="40" w:name="_Toc28359095"/>
      <w:r/>
      <w:bookmarkStart w:id="41" w:name="_Toc28359018"/>
      <w:r>
        <w:rPr>
          <w:rFonts w:hint="eastAsia" w:ascii="宋体" w:hAnsi="宋体" w:eastAsia="宋体" w:cs="宋体"/>
          <w:color w:val="auto"/>
          <w:sz w:val="24"/>
          <w:szCs w:val="24"/>
          <w:highlight w:val="none"/>
        </w:rPr>
        <w:t xml:space="preserve">1、CA证书办理</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系统使用指导与咨询：联系电话：13914088964；智能客服：登录苏采云系统后，联系系统右下方智能客服图标进行咨询。</w:t>
      </w:r>
      <w:r/>
    </w:p>
    <w:p>
      <w:pPr>
        <w:numPr>
          <w:ilvl w:val="0"/>
          <w:numId w:val="3"/>
        </w:num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根据苏州市财政局《关于深入开展苏州市政府采购合同信用融资业务的通知》相关要求，本项目支持政府采购合同信用融资。</w:t>
      </w:r>
      <w:r/>
    </w:p>
    <w:p>
      <w:pPr>
        <w:numPr>
          <w:ilvl w:val="0"/>
          <w:numId w:val="3"/>
        </w:numPr>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本公告同时在江苏政府采购网、苏州市政府采购网发布。</w:t>
      </w:r>
      <w:r>
        <w:rPr>
          <w:rFonts w:hint="eastAsia" w:ascii="宋体" w:hAnsi="宋体" w:eastAsia="宋体" w:cs="宋体"/>
          <w:color w:val="auto"/>
          <w:sz w:val="24"/>
          <w:szCs w:val="22"/>
          <w:highlight w:val="none"/>
          <w:lang w:eastAsia="zh-CN"/>
        </w:rPr>
        <w:t xml:space="preserve">苏州市吴中区财政局政府采购监督电话：0512-65283947。</w:t>
      </w:r>
      <w:r/>
    </w:p>
    <w:p>
      <w:pPr>
        <w:ind w:left="0" w:firstLine="480"/>
        <w:spacing w:line="360" w:lineRule="auto"/>
        <w:widowControl w:val="off"/>
        <w:rPr>
          <w:rFonts w:ascii="宋体" w:hAnsi="宋体" w:eastAsia="宋体" w:cs="宋体"/>
          <w:b/>
          <w:bCs/>
          <w:color w:val="auto"/>
          <w:sz w:val="24"/>
          <w:szCs w:val="22"/>
          <w:highlight w:val="none"/>
        </w:rPr>
      </w:pP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2"/>
          <w:highlight w:val="none"/>
        </w:rPr>
        <w:t xml:space="preserve">供应商应充分考虑到网络环境、网络带宽等风险因素，如因供应商自身原因造成的电子响应文件上传不成功由供应商自行承担全部责任。</w:t>
      </w:r>
      <w:r/>
    </w:p>
    <w:p>
      <w:pPr>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、本项目获取采购文件截止日期之后仍可以下载采购文件，但截止日期之后下载的采购文件，视为非有效方式且不作为供应商权益受到损害的证明材料和依据。</w:t>
      </w:r>
      <w:r/>
    </w:p>
    <w:p>
      <w:pPr>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b/>
          <w:bCs/>
          <w:color w:val="auto"/>
          <w:sz w:val="24"/>
          <w:szCs w:val="24"/>
          <w:highlight w:val="none"/>
        </w:rPr>
        <w:t xml:space="preserve">根据《政府采购促进中小企业发展管理办法》（财库〔2020〕46号）及《中小企业划型标准规定》（工信部联企业〔2011〕300号），本项目采购标的对应的中小企业划分标准所属行业为其他未列明行业。</w:t>
      </w:r>
      <w:r/>
    </w:p>
    <w:p>
      <w:pPr>
        <w:ind w:left="0"/>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八、凡对本次采购提出询问，请按</w:t>
      </w:r>
      <w:r>
        <w:rPr>
          <w:rFonts w:ascii="宋体" w:hAnsi="宋体" w:eastAsia="宋体" w:cs="宋体"/>
          <w:b/>
          <w:color w:val="auto"/>
          <w:sz w:val="24"/>
          <w:szCs w:val="22"/>
          <w:highlight w:val="none"/>
        </w:rPr>
        <w:t xml:space="preserve">以下方式</w:t>
      </w:r>
      <w:r>
        <w:rPr>
          <w:rFonts w:hint="eastAsia" w:ascii="宋体" w:hAnsi="宋体" w:eastAsia="宋体" w:cs="宋体"/>
          <w:b/>
          <w:color w:val="auto"/>
          <w:sz w:val="24"/>
          <w:szCs w:val="22"/>
          <w:highlight w:val="none"/>
        </w:rPr>
        <w:t xml:space="preserve">联系。</w:t>
      </w:r>
      <w:bookmarkEnd w:id="38"/>
      <w:r/>
      <w:bookmarkEnd w:id="39"/>
      <w:r/>
      <w:bookmarkEnd w:id="40"/>
      <w:r/>
      <w:bookmarkEnd w:id="41"/>
      <w:r/>
      <w:r/>
    </w:p>
    <w:p>
      <w:pPr>
        <w:ind w:left="0" w:firstLine="480"/>
        <w:spacing w:line="360" w:lineRule="auto"/>
        <w:widowControl w:val="off"/>
        <w:rPr>
          <w:rFonts w:ascii="宋体" w:hAnsi="宋体" w:eastAsia="宋体" w:cs="宋体"/>
          <w:color w:val="auto"/>
          <w:sz w:val="24"/>
          <w:szCs w:val="22"/>
          <w:highlight w:val="none"/>
        </w:rPr>
      </w:pPr>
      <w:r/>
      <w:bookmarkStart w:id="42" w:name="_Toc28359020"/>
      <w:r/>
      <w:bookmarkStart w:id="43" w:name="_Toc28359097"/>
      <w:r/>
      <w:bookmarkStart w:id="44" w:name="_Toc35393638"/>
      <w:r/>
      <w:bookmarkStart w:id="45" w:name="_Toc35393807"/>
      <w:r>
        <w:rPr>
          <w:rFonts w:hint="eastAsia" w:ascii="宋体" w:hAnsi="宋体" w:eastAsia="宋体" w:cs="宋体"/>
          <w:color w:val="auto"/>
          <w:sz w:val="24"/>
          <w:szCs w:val="22"/>
          <w:highlight w:val="none"/>
        </w:rPr>
        <w:t xml:space="preserve">1、采购人信息</w:t>
      </w:r>
      <w:r/>
    </w:p>
    <w:p>
      <w:pPr>
        <w:ind w:left="0" w:firstLine="660"/>
        <w:spacing w:line="360" w:lineRule="auto"/>
        <w:widowControl w:val="off"/>
        <w:rPr>
          <w:rFonts w:hint="eastAsia" w:ascii="宋体" w:hAnsi="宋体" w:eastAsia="宋体" w:cs="Times New Roman"/>
          <w:color w:val="auto"/>
          <w:sz w:val="24"/>
          <w:szCs w:val="22"/>
          <w:highlight w:val="none"/>
          <w:lang w:eastAsia="zh-CN"/>
        </w:rPr>
      </w:pPr>
      <w:r>
        <w:rPr>
          <w:rFonts w:hint="eastAsia" w:ascii="宋体" w:hAnsi="宋体" w:eastAsia="宋体" w:cs="宋体"/>
          <w:color w:val="auto"/>
          <w:sz w:val="24"/>
          <w:szCs w:val="22"/>
          <w:highlight w:val="none"/>
        </w:rPr>
        <w:t xml:space="preserve">名称：</w:t>
      </w:r>
      <w:r>
        <w:rPr>
          <w:rFonts w:hint="eastAsia" w:ascii="宋体" w:hAnsi="宋体" w:eastAsia="宋体" w:cs="Times New Roman"/>
          <w:color w:val="auto"/>
          <w:sz w:val="24"/>
          <w:szCs w:val="22"/>
          <w:highlight w:val="none"/>
          <w:lang w:eastAsia="zh-CN"/>
        </w:rPr>
        <w:t xml:space="preserve">苏州市吴中区交通运输综合行政执法大队</w:t>
      </w:r>
      <w:r/>
    </w:p>
    <w:p>
      <w:pPr>
        <w:ind w:left="0" w:firstLine="66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单位地址：</w:t>
      </w:r>
      <w:r>
        <w:rPr>
          <w:rFonts w:hint="eastAsia" w:ascii="宋体" w:hAnsi="宋体" w:eastAsia="宋体" w:cs="宋体"/>
          <w:color w:val="auto"/>
          <w:sz w:val="24"/>
          <w:szCs w:val="22"/>
          <w:highlight w:val="none"/>
          <w:lang w:eastAsia="zh-CN"/>
        </w:rPr>
        <w:t xml:space="preserve">苏州市吴中区吴中大道1399号农发大厦</w:t>
      </w:r>
      <w:r/>
    </w:p>
    <w:p>
      <w:pPr>
        <w:ind w:left="0" w:firstLine="66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联系人：</w:t>
      </w:r>
      <w:r>
        <w:rPr>
          <w:rFonts w:hint="eastAsia" w:ascii="宋体" w:hAnsi="宋体" w:eastAsia="宋体" w:cs="宋体"/>
          <w:color w:val="auto"/>
          <w:sz w:val="24"/>
          <w:szCs w:val="22"/>
          <w:highlight w:val="none"/>
          <w:lang w:eastAsia="zh-CN"/>
        </w:rPr>
        <w:t xml:space="preserve">吴天成</w:t>
      </w:r>
      <w:r/>
    </w:p>
    <w:p>
      <w:pPr>
        <w:ind w:left="0" w:firstLine="66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联系方式：</w:t>
      </w:r>
      <w:r>
        <w:rPr>
          <w:rFonts w:hint="eastAsia" w:ascii="宋体" w:hAnsi="宋体" w:eastAsia="宋体" w:cs="宋体"/>
          <w:color w:val="auto"/>
          <w:sz w:val="24"/>
          <w:szCs w:val="22"/>
          <w:highlight w:val="none"/>
          <w:lang w:eastAsia="zh-CN"/>
        </w:rPr>
        <w:t xml:space="preserve">0512-65258836</w:t>
      </w:r>
      <w:r/>
    </w:p>
    <w:p>
      <w:pPr>
        <w:ind w:left="570"/>
        <w:jc w:val="both"/>
        <w:spacing w:line="520" w:lineRule="exact"/>
        <w:widowControl w:val="off"/>
        <w:rPr>
          <w:rFonts w:hint="eastAsia" w:ascii="方正仿宋简体" w:hAnsi="创艺简仿宋" w:eastAsia="方正仿宋简体" w:cs="Times New Roman"/>
          <w:color w:val="auto"/>
          <w:sz w:val="24"/>
          <w:szCs w:val="20"/>
          <w:highlight w:val="none"/>
          <w:lang w:val="en-US" w:eastAsia="zh-CN" w:bidi="ar-SA"/>
        </w:rPr>
      </w:pPr>
      <w:r>
        <w:rPr>
          <w:rFonts w:hint="eastAsia" w:ascii="方正仿宋简体" w:hAnsi="创艺简仿宋" w:eastAsia="方正仿宋简体" w:cs="Times New Roman"/>
          <w:color w:val="auto"/>
          <w:sz w:val="24"/>
          <w:szCs w:val="20"/>
          <w:highlight w:val="none"/>
          <w:lang w:val="en-US" w:eastAsia="zh-CN" w:bidi="ar-SA"/>
        </w:rPr>
      </w:r>
      <w:r/>
    </w:p>
    <w:p>
      <w:pPr>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2、采购代理机构信息</w:t>
      </w:r>
      <w:bookmarkEnd w:id="42"/>
      <w:r/>
      <w:bookmarkEnd w:id="43"/>
      <w:r/>
      <w:bookmarkEnd w:id="44"/>
      <w:r/>
      <w:bookmarkEnd w:id="45"/>
      <w:r/>
      <w:r/>
    </w:p>
    <w:p>
      <w:pPr>
        <w:ind w:left="0" w:firstLine="66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名称：</w:t>
      </w:r>
      <w:r>
        <w:rPr>
          <w:rFonts w:hint="eastAsia" w:ascii="宋体" w:hAnsi="宋体" w:eastAsia="宋体" w:cs="宋体"/>
          <w:color w:val="auto"/>
          <w:sz w:val="24"/>
          <w:szCs w:val="22"/>
          <w:highlight w:val="none"/>
          <w:lang w:eastAsia="zh-CN"/>
        </w:rPr>
        <w:t xml:space="preserve">苏州永正造价师事务所有限公司</w:t>
      </w:r>
      <w:r/>
    </w:p>
    <w:p>
      <w:pPr>
        <w:ind w:left="0" w:firstLine="66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地址：</w:t>
      </w:r>
      <w:r>
        <w:rPr>
          <w:rFonts w:hint="eastAsia" w:ascii="宋体" w:hAnsi="宋体" w:eastAsia="宋体" w:cs="宋体"/>
          <w:color w:val="auto"/>
          <w:sz w:val="24"/>
          <w:szCs w:val="22"/>
          <w:highlight w:val="none"/>
          <w:lang w:eastAsia="zh-CN"/>
        </w:rPr>
        <w:t xml:space="preserve">苏州市吴中区塔韵路178号天鸿大厦915室</w:t>
      </w:r>
      <w:r/>
    </w:p>
    <w:p>
      <w:pPr>
        <w:ind w:left="0" w:firstLine="66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联系方式：</w:t>
      </w:r>
      <w:r>
        <w:rPr>
          <w:rFonts w:hint="eastAsia" w:ascii="宋体" w:hAnsi="宋体" w:eastAsia="宋体" w:cs="宋体"/>
          <w:color w:val="auto"/>
          <w:sz w:val="24"/>
          <w:szCs w:val="22"/>
          <w:highlight w:val="none"/>
          <w:lang w:eastAsia="zh-CN"/>
        </w:rPr>
        <w:t xml:space="preserve">0512-65629282</w:t>
      </w:r>
      <w:r/>
    </w:p>
    <w:p>
      <w:pPr>
        <w:ind w:left="0" w:firstLine="480"/>
        <w:spacing w:line="360" w:lineRule="auto"/>
        <w:widowControl w:val="off"/>
        <w:rPr>
          <w:rFonts w:ascii="宋体" w:hAnsi="宋体" w:eastAsia="宋体" w:cs="宋体"/>
          <w:color w:val="auto"/>
          <w:sz w:val="24"/>
          <w:szCs w:val="22"/>
          <w:highlight w:val="none"/>
        </w:rPr>
      </w:pPr>
      <w:r/>
      <w:bookmarkStart w:id="46" w:name="_Toc35393808"/>
      <w:r/>
      <w:bookmarkStart w:id="47" w:name="_Toc35393639"/>
      <w:r/>
      <w:bookmarkStart w:id="48" w:name="_Toc28359021"/>
      <w:r/>
      <w:bookmarkStart w:id="49" w:name="_Toc28359098"/>
      <w:r>
        <w:rPr>
          <w:rFonts w:hint="eastAsia" w:ascii="宋体" w:hAnsi="宋体" w:eastAsia="宋体" w:cs="宋体"/>
          <w:color w:val="auto"/>
          <w:sz w:val="24"/>
          <w:szCs w:val="22"/>
          <w:highlight w:val="none"/>
        </w:rPr>
        <w:t xml:space="preserve">3、项目联系</w:t>
      </w:r>
      <w:r>
        <w:rPr>
          <w:rFonts w:ascii="宋体" w:hAnsi="宋体" w:eastAsia="宋体" w:cs="宋体"/>
          <w:color w:val="auto"/>
          <w:sz w:val="24"/>
          <w:szCs w:val="22"/>
          <w:highlight w:val="none"/>
        </w:rPr>
        <w:t xml:space="preserve">方式</w:t>
      </w:r>
      <w:bookmarkEnd w:id="46"/>
      <w:r/>
      <w:bookmarkEnd w:id="47"/>
      <w:r/>
      <w:bookmarkEnd w:id="48"/>
      <w:r/>
      <w:bookmarkEnd w:id="49"/>
      <w:r/>
      <w:r/>
    </w:p>
    <w:p>
      <w:pPr>
        <w:ind w:left="0" w:firstLine="66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项目联系人：</w:t>
      </w:r>
      <w:r>
        <w:rPr>
          <w:rFonts w:hint="eastAsia" w:ascii="宋体" w:hAnsi="宋体" w:eastAsia="宋体" w:cs="宋体"/>
          <w:color w:val="auto"/>
          <w:sz w:val="24"/>
          <w:szCs w:val="22"/>
          <w:highlight w:val="none"/>
          <w:lang w:eastAsia="zh-CN"/>
        </w:rPr>
        <w:t xml:space="preserve">蒋杰</w:t>
      </w:r>
      <w:r>
        <w:rPr>
          <w:rFonts w:hint="eastAsia" w:ascii="宋体" w:hAnsi="宋体" w:eastAsia="宋体" w:cs="宋体"/>
          <w:color w:val="auto"/>
          <w:sz w:val="24"/>
          <w:szCs w:val="22"/>
          <w:highlight w:val="none"/>
        </w:rPr>
        <w:t xml:space="preserve">    电话：</w:t>
      </w:r>
      <w:r>
        <w:rPr>
          <w:rFonts w:hint="eastAsia" w:ascii="宋体" w:hAnsi="宋体" w:eastAsia="宋体" w:cs="宋体"/>
          <w:color w:val="auto"/>
          <w:sz w:val="24"/>
          <w:szCs w:val="22"/>
          <w:highlight w:val="none"/>
          <w:lang w:eastAsia="zh-CN"/>
        </w:rPr>
        <w:t xml:space="preserve">0512-65629282</w:t>
      </w:r>
      <w:r/>
    </w:p>
    <w:p>
      <w:pPr>
        <w:ind w:left="0"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8"/>
        <w:jc w:val="center"/>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50" w:name="_Toc11400"/>
      <w:r/>
      <w:r/>
    </w:p>
    <w:p>
      <w:pPr>
        <w:pStyle w:val="998"/>
        <w:jc w:val="center"/>
        <w:rPr>
          <w:rFonts w:ascii="宋体" w:hAnsi="宋体" w:cs="宋体"/>
          <w:b/>
          <w:color w:val="auto"/>
          <w:sz w:val="44"/>
          <w:szCs w:val="44"/>
          <w:highlight w:val="none"/>
        </w:rPr>
      </w:pPr>
      <w:r>
        <w:rPr>
          <w:rFonts w:ascii="宋体" w:hAnsi="宋体" w:cs="宋体"/>
          <w:b/>
          <w:color w:val="auto"/>
          <w:sz w:val="44"/>
          <w:szCs w:val="44"/>
          <w:highlight w:val="none"/>
        </w:rPr>
      </w:r>
      <w:r/>
    </w:p>
    <w:p>
      <w:pPr>
        <w:pStyle w:val="998"/>
        <w:jc w:val="center"/>
        <w:rPr>
          <w:rFonts w:ascii="宋体" w:hAnsi="宋体" w:cs="宋体"/>
          <w:b/>
          <w:color w:val="auto"/>
          <w:sz w:val="44"/>
          <w:szCs w:val="44"/>
          <w:highlight w:val="none"/>
        </w:rPr>
      </w:pPr>
      <w:r>
        <w:rPr>
          <w:rFonts w:ascii="宋体" w:hAnsi="宋体" w:cs="宋体"/>
          <w:b/>
          <w:color w:val="auto"/>
          <w:sz w:val="44"/>
          <w:szCs w:val="44"/>
          <w:highlight w:val="none"/>
        </w:rPr>
      </w:r>
      <w:r/>
    </w:p>
    <w:p>
      <w:pPr>
        <w:pStyle w:val="998"/>
        <w:jc w:val="center"/>
        <w:rPr>
          <w:rFonts w:ascii="宋体" w:hAnsi="宋体" w:cs="宋体"/>
          <w:b/>
          <w:color w:val="auto"/>
          <w:sz w:val="44"/>
          <w:szCs w:val="44"/>
          <w:highlight w:val="none"/>
        </w:rPr>
      </w:pPr>
      <w:r>
        <w:rPr>
          <w:rFonts w:ascii="宋体" w:hAnsi="宋体" w:cs="宋体"/>
          <w:b/>
          <w:color w:val="auto"/>
          <w:sz w:val="44"/>
          <w:szCs w:val="44"/>
          <w:highlight w:val="none"/>
        </w:rPr>
      </w:r>
      <w:r/>
    </w:p>
    <w:p>
      <w:pPr>
        <w:pStyle w:val="998"/>
        <w:jc w:val="center"/>
        <w:rPr>
          <w:rFonts w:ascii="宋体" w:hAnsi="宋体" w:cs="宋体"/>
          <w:b/>
          <w:color w:val="auto"/>
          <w:sz w:val="44"/>
          <w:szCs w:val="44"/>
          <w:highlight w:val="none"/>
        </w:rPr>
      </w:pPr>
      <w:r/>
      <w:bookmarkStart w:id="51" w:name="_Toc29635"/>
      <w:r/>
      <w:bookmarkStart w:id="52" w:name="_Toc17757"/>
      <w:r>
        <w:rPr>
          <w:rFonts w:hint="eastAsia" w:ascii="宋体" w:hAnsi="宋体" w:cs="宋体"/>
          <w:b/>
          <w:color w:val="auto"/>
          <w:sz w:val="44"/>
          <w:szCs w:val="44"/>
          <w:highlight w:val="none"/>
        </w:rPr>
        <w:t xml:space="preserve">第二章 </w:t>
      </w:r>
      <w:bookmarkStart w:id="53" w:name="投标人须知"/>
      <w:r/>
      <w:bookmarkEnd w:id="53"/>
      <w:r>
        <w:rPr>
          <w:rFonts w:hint="eastAsia" w:ascii="宋体" w:hAnsi="宋体" w:cs="宋体"/>
          <w:b/>
          <w:color w:val="auto"/>
          <w:sz w:val="44"/>
          <w:szCs w:val="44"/>
          <w:highlight w:val="none"/>
        </w:rPr>
        <w:t xml:space="preserve">磋商须知</w:t>
      </w:r>
      <w:bookmarkEnd w:id="14"/>
      <w:r/>
      <w:bookmarkEnd w:id="15"/>
      <w:r/>
      <w:bookmarkEnd w:id="16"/>
      <w:r/>
      <w:bookmarkEnd w:id="17"/>
      <w:r/>
      <w:bookmarkEnd w:id="50"/>
      <w:r/>
      <w:bookmarkEnd w:id="51"/>
      <w:r/>
      <w:bookmarkEnd w:id="52"/>
      <w:r/>
      <w:r/>
    </w:p>
    <w:p>
      <w:pPr>
        <w:pStyle w:val="999"/>
        <w:ind w:left="0" w:firstLine="482"/>
        <w:keepNext w:val="0"/>
        <w:spacing w:before="0" w:after="0" w:line="360" w:lineRule="auto"/>
        <w:rPr>
          <w:rFonts w:ascii="宋体" w:hAnsi="宋体" w:cs="宋体"/>
          <w:i w:val="0"/>
          <w:iCs w:val="0"/>
          <w:color w:val="auto"/>
          <w:sz w:val="24"/>
          <w:szCs w:val="24"/>
          <w:highlight w:val="none"/>
        </w:rPr>
      </w:pPr>
      <w:r/>
      <w:bookmarkStart w:id="54" w:name="_Toc7264"/>
      <w:r/>
      <w:bookmarkStart w:id="55" w:name="_Toc58248881"/>
      <w:r/>
      <w:bookmarkStart w:id="56" w:name="_Toc57376407"/>
      <w:r/>
      <w:bookmarkStart w:id="57" w:name="_Toc24711"/>
      <w:r>
        <w:rPr>
          <w:rFonts w:hint="eastAsia" w:ascii="宋体" w:hAnsi="宋体" w:cs="宋体"/>
          <w:i w:val="0"/>
          <w:iCs w:val="0"/>
          <w:color w:val="auto"/>
          <w:sz w:val="24"/>
          <w:szCs w:val="24"/>
          <w:highlight w:val="none"/>
        </w:rPr>
        <w:br w:type="page" w:clear="all"/>
      </w:r>
      <w:bookmarkStart w:id="58" w:name="_Toc16525"/>
      <w:r>
        <w:rPr>
          <w:rFonts w:hint="eastAsia" w:ascii="宋体" w:hAnsi="宋体" w:cs="宋体"/>
          <w:i w:val="0"/>
          <w:iCs w:val="0"/>
          <w:color w:val="auto"/>
          <w:sz w:val="24"/>
          <w:szCs w:val="24"/>
          <w:highlight w:val="none"/>
        </w:rPr>
        <w:t xml:space="preserve">一、响应文件的组成及要求</w:t>
      </w:r>
      <w:bookmarkEnd w:id="58"/>
      <w:r/>
      <w:r/>
    </w:p>
    <w:p>
      <w:pPr>
        <w:pStyle w:val="812"/>
        <w:ind w:left="0" w:firstLine="482"/>
        <w:spacing w:line="360" w:lineRule="auto"/>
        <w:rPr>
          <w:rFonts w:ascii="宋体" w:hAnsi="宋体" w:cs="宋体"/>
          <w:b/>
          <w:bCs/>
          <w:color w:val="auto"/>
          <w:sz w:val="24"/>
          <w:szCs w:val="24"/>
          <w:highlight w:val="none"/>
        </w:rPr>
      </w:pPr>
      <w:r/>
      <w:bookmarkStart w:id="59" w:name="_Toc5566"/>
      <w:r>
        <w:rPr>
          <w:rFonts w:hint="eastAsia" w:ascii="宋体" w:hAnsi="宋体" w:cs="宋体"/>
          <w:b/>
          <w:bCs/>
          <w:color w:val="auto"/>
          <w:sz w:val="24"/>
          <w:szCs w:val="24"/>
          <w:highlight w:val="none"/>
        </w:rPr>
        <w:t xml:space="preserve">（一）文件组成：</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1、响应文件一（报价部分）(格式见第三章)：</w:t>
      </w:r>
      <w:r/>
    </w:p>
    <w:p>
      <w:pPr>
        <w:ind w:firstLine="48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封面</w:t>
      </w:r>
      <w:r/>
    </w:p>
    <w:p>
      <w:pPr>
        <w:ind w:firstLine="48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1.1报价部分</w:t>
      </w:r>
      <w:r/>
    </w:p>
    <w:p>
      <w:pPr>
        <w:ind w:firstLine="48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1.1.1开标一览表(按系统内统一格式)；</w:t>
      </w:r>
      <w:r/>
    </w:p>
    <w:p>
      <w:pPr>
        <w:ind w:firstLine="48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1.1.2分项报价表；</w:t>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1.2资格性要求</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1.2.1具有独立承担民事责任的能力证明。包括法人或者其他组织的营业执照等证明文件，自然人的身份证明；</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1.2.2具有良好的商业信誉和健全的财务会计制度证明。包括但不限于最近一期经审计的财务报告，其他组织、自然人及成立未满一年的法人应提供银行出具的资信证明。</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1.2.4有依法缴纳税收和社会保障资金的良好记录。如税务登记证（如有）和合理期限内依法缴纳税收的凭据，社会保险登记证（如有）和合理期限内依法缴纳社会保险的凭据（专用收据或社会保险缴纳清单）。</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1.2.5参加政府采购活动前三年内，在经营活动中没有重大违法记录的书面声明函；</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1.2.6法律、行政法规规定的其他条件；</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w:t>
      </w:r>
      <w:r>
        <w:rPr>
          <w:rFonts w:hint="eastAsia" w:ascii="宋体" w:hAnsi="宋体" w:eastAsia="宋体" w:cs="宋体"/>
          <w:color w:val="auto"/>
          <w:sz w:val="24"/>
          <w:szCs w:val="20"/>
          <w:highlight w:val="none"/>
          <w:lang w:val="en-US" w:eastAsia="zh-CN" w:bidi="ar-SA"/>
        </w:rPr>
        <w:t xml:space="preserve">《中小企业声明函》或《残疾人福利性单位声明函》或由省级以上监狱管理局、戒毒管理局（含新疆生产建设兵团）出具的属于监狱企业的证明文件（本项目不属于预留份额专门面向中小企业采购，若未提供</w:t>
      </w:r>
      <w:r>
        <w:rPr>
          <w:rStyle w:val="1033"/>
          <w:rFonts w:hint="eastAsia" w:ascii="宋体" w:hAnsi="宋体" w:cs="宋体"/>
          <w:color w:val="auto"/>
          <w:sz w:val="24"/>
          <w:highlight w:val="none"/>
        </w:rPr>
        <w:t xml:space="preserve">不享受</w:t>
      </w:r>
      <w:r>
        <w:rPr>
          <w:rStyle w:val="1033"/>
          <w:rFonts w:hint="eastAsia" w:ascii="宋体" w:hAnsi="宋体" w:cs="宋体"/>
          <w:color w:val="auto"/>
          <w:sz w:val="24"/>
          <w:highlight w:val="none"/>
          <w:lang w:eastAsia="zh-CN"/>
        </w:rPr>
        <w:t xml:space="preserve">报价</w:t>
      </w:r>
      <w:r>
        <w:rPr>
          <w:rStyle w:val="1033"/>
          <w:rFonts w:hint="eastAsia" w:ascii="宋体" w:hAnsi="宋体" w:cs="宋体"/>
          <w:color w:val="auto"/>
          <w:sz w:val="24"/>
          <w:highlight w:val="none"/>
        </w:rPr>
        <w:t xml:space="preserve">评审优惠政策</w:t>
      </w:r>
      <w:r>
        <w:rPr>
          <w:rFonts w:hint="eastAsia" w:ascii="宋体" w:hAnsi="宋体" w:eastAsia="宋体" w:cs="宋体"/>
          <w:color w:val="auto"/>
          <w:sz w:val="24"/>
          <w:szCs w:val="20"/>
          <w:highlight w:val="none"/>
          <w:lang w:val="en-US" w:eastAsia="zh-CN" w:bidi="ar-SA"/>
        </w:rPr>
        <w:t xml:space="preserve">）</w:t>
      </w:r>
      <w:r/>
    </w:p>
    <w:p>
      <w:pPr>
        <w:ind w:left="0" w:firstLine="48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1.2.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2"/>
          <w:highlight w:val="none"/>
          <w:lang w:eastAsia="zh-CN"/>
        </w:rPr>
        <w:t xml:space="preserve">；</w:t>
      </w:r>
      <w:r/>
    </w:p>
    <w:p>
      <w:pPr>
        <w:ind w:left="0" w:firstLine="480"/>
        <w:spacing w:line="360" w:lineRule="auto"/>
        <w:widowControl w:val="off"/>
        <w:rPr>
          <w:rFonts w:hint="eastAsia" w:ascii="宋体" w:hAnsi="宋体" w:eastAsia="宋体" w:cs="宋体"/>
          <w:color w:val="auto"/>
          <w:sz w:val="21"/>
          <w:szCs w:val="22"/>
          <w:highlight w:val="none"/>
          <w:lang w:val="en-US" w:eastAsia="zh-CN"/>
        </w:rPr>
      </w:pPr>
      <w:r>
        <w:rPr>
          <w:rFonts w:hint="eastAsia" w:ascii="宋体" w:hAnsi="宋体" w:eastAsia="宋体" w:cs="宋体"/>
          <w:color w:val="auto"/>
          <w:sz w:val="24"/>
          <w:szCs w:val="22"/>
          <w:highlight w:val="none"/>
          <w:lang w:val="en-US" w:eastAsia="zh-CN"/>
        </w:rPr>
        <w:t xml:space="preserve">1.2.9</w:t>
      </w:r>
      <w:r>
        <w:rPr>
          <w:rFonts w:hint="eastAsia" w:ascii="宋体" w:hAnsi="宋体" w:eastAsia="宋体" w:cs="宋体"/>
          <w:color w:val="auto"/>
          <w:sz w:val="24"/>
          <w:szCs w:val="22"/>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1.3符合性要求</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1.3.1磋商响应函；</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1.3.2关于资格文件的声明函；</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1.3.3磋商响应单位基本情况表；</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1.3.4磋商响应单位《营业执照》副本扫描件；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1.3.5磋商响应单位法定代表人身份证扫描件；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1.3.6法定代表人授权委托书及磋商响应单位代理人身份证扫描件（如有授权）；</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1.3.7《商务条款偏离表》、《服务要求对照偏离表》；</w:t>
      </w:r>
      <w:r/>
    </w:p>
    <w:p>
      <w:pPr>
        <w:ind w:firstLine="480"/>
        <w:jc w:val="left"/>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1.4</w:t>
      </w:r>
      <w:r>
        <w:rPr>
          <w:rFonts w:hint="eastAsia" w:ascii="宋体" w:hAnsi="宋体" w:eastAsia="宋体" w:cs="宋体"/>
          <w:b/>
          <w:bCs/>
          <w:color w:val="auto"/>
          <w:sz w:val="24"/>
          <w:szCs w:val="24"/>
          <w:highlight w:val="none"/>
          <w:lang w:val="en-US" w:eastAsia="zh-CN" w:bidi="ar-SA"/>
        </w:rPr>
        <w:t xml:space="preserve">综合评标文件</w:t>
      </w:r>
      <w:r/>
    </w:p>
    <w:p>
      <w:pPr>
        <w:ind w:firstLine="480"/>
        <w:jc w:val="left"/>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1.4.1其它有关证明文件；</w:t>
      </w:r>
      <w:r/>
    </w:p>
    <w:p>
      <w:pPr>
        <w:ind w:firstLine="422"/>
        <w:jc w:val="left"/>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zh-CN" w:bidi="ar-SA"/>
        </w:rPr>
        <w:t xml:space="preserve">（1）以上1.2.1-1.2.9为资格审查要求提供的材料，是作为对供应商资格审查、质疑身份认定的依据，响应供应商必须提供并加盖电子公章。否则，磋商响应文件将被认定为不符合资格审查要求。</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（2）以上1.3.1-1.3.7为符合性审查须提供的资料，响应供应商必须提供并加盖电子公章。否则，磋商响应文件将被认定为未实质性响应。</w:t>
      </w:r>
      <w:r/>
    </w:p>
    <w:p>
      <w:pPr>
        <w:ind w:firstLine="420"/>
        <w:jc w:val="left"/>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（3）制作电子响应文件时必须与响应文件制作软件目录一一对应，将相关资料上传至相应模块。</w:t>
      </w:r>
      <w:r/>
    </w:p>
    <w:p>
      <w:pPr>
        <w:ind w:firstLine="420"/>
        <w:jc w:val="left"/>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（4）磋商响应文件编制要求：</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left="0" w:firstLine="482"/>
        <w:pageBreakBefore w:val="0"/>
        <w:spacing w:line="360" w:lineRule="auto"/>
        <w:widowControl w:val="off"/>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firstLine="482"/>
        <w:pageBreakBefore w:val="0"/>
        <w:spacing w:line="360" w:lineRule="auto"/>
        <w:widowControl w:val="off"/>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（6）项目评标结束后所有供应商须向采购代理机构提交响应文件纸质版，份数为三份（一正二副）。纸质响应文件与上传的电子响应文件一致，用于存档备案。（邮寄地址</w:t>
      </w:r>
      <w:r>
        <w:rPr>
          <w:rFonts w:hint="eastAsia" w:ascii="宋体" w:hAnsi="宋体" w:eastAsia="宋体" w:cs="宋体"/>
          <w:b/>
          <w:color w:val="auto"/>
          <w:sz w:val="24"/>
          <w:szCs w:val="24"/>
          <w:highlight w:val="none"/>
          <w:lang w:eastAsia="zh-CN"/>
        </w:rPr>
        <w:t xml:space="preserve">苏州市吴中区塔韵路178号天鸿大厦915室</w:t>
      </w:r>
      <w:r>
        <w:rPr>
          <w:rFonts w:hint="eastAsia" w:ascii="宋体" w:hAnsi="宋体" w:eastAsia="宋体" w:cs="宋体"/>
          <w:b/>
          <w:color w:val="auto"/>
          <w:sz w:val="24"/>
          <w:szCs w:val="24"/>
          <w:highlight w:val="none"/>
        </w:rPr>
        <w:t xml:space="preserve">，联系人：</w:t>
      </w:r>
      <w:r>
        <w:rPr>
          <w:rFonts w:hint="eastAsia" w:ascii="宋体" w:hAnsi="宋体" w:eastAsia="宋体" w:cs="宋体"/>
          <w:b/>
          <w:color w:val="auto"/>
          <w:sz w:val="24"/>
          <w:szCs w:val="24"/>
          <w:highlight w:val="none"/>
          <w:lang w:eastAsia="zh-CN"/>
        </w:rPr>
        <w:t xml:space="preserve">蒋杰</w:t>
      </w:r>
      <w:r>
        <w:rPr>
          <w:rFonts w:hint="eastAsia" w:ascii="宋体" w:hAnsi="宋体" w:eastAsia="宋体" w:cs="宋体"/>
          <w:b/>
          <w:color w:val="auto"/>
          <w:sz w:val="24"/>
          <w:szCs w:val="24"/>
          <w:highlight w:val="none"/>
        </w:rPr>
        <w:t xml:space="preserve">，联系电话：</w:t>
      </w:r>
      <w:r>
        <w:rPr>
          <w:rFonts w:hint="eastAsia" w:ascii="宋体" w:hAnsi="宋体" w:eastAsia="宋体" w:cs="宋体"/>
          <w:b/>
          <w:color w:val="auto"/>
          <w:sz w:val="24"/>
          <w:szCs w:val="24"/>
          <w:highlight w:val="none"/>
          <w:lang w:eastAsia="zh-CN"/>
        </w:rPr>
        <w:t xml:space="preserve">0512-65629282</w:t>
      </w:r>
      <w:r>
        <w:rPr>
          <w:rFonts w:hint="eastAsia" w:ascii="宋体" w:hAnsi="宋体" w:eastAsia="宋体" w:cs="宋体"/>
          <w:b/>
          <w:color w:val="auto"/>
          <w:sz w:val="24"/>
          <w:szCs w:val="24"/>
          <w:highlight w:val="none"/>
        </w:rPr>
        <w:t xml:space="preserve">） </w:t>
      </w:r>
      <w:r/>
    </w:p>
    <w:p>
      <w:pPr>
        <w:pStyle w:val="812"/>
        <w:ind w:left="0" w:firstLine="482"/>
        <w:spacing w:line="360" w:lineRule="auto"/>
        <w:widowControl w:val="off"/>
        <w:rPr>
          <w:rFonts w:ascii="宋体" w:hAnsi="宋体" w:cs="宋体"/>
          <w:b/>
          <w:color w:val="auto"/>
          <w:sz w:val="24"/>
          <w:szCs w:val="24"/>
          <w:highlight w:val="none"/>
        </w:rPr>
        <w:outlineLvl w:val="1"/>
      </w:pPr>
      <w:r>
        <w:rPr>
          <w:rFonts w:hint="eastAsia" w:ascii="宋体" w:hAnsi="宋体" w:eastAsia="宋体" w:cs="宋体"/>
          <w:b/>
          <w:color w:val="auto"/>
          <w:sz w:val="24"/>
          <w:szCs w:val="24"/>
          <w:highlight w:val="none"/>
        </w:rPr>
        <w:t xml:space="preserve">（7）如投标(响应)文件制作机器码信息一致，视为不同投标供应商使用同一台电脑编制投标(响应)文件，投标(响应)无效。</w:t>
      </w:r>
      <w:r/>
    </w:p>
    <w:p>
      <w:pPr>
        <w:pStyle w:val="812"/>
        <w:ind w:left="0" w:firstLine="482"/>
        <w:spacing w:line="360" w:lineRule="auto"/>
        <w:widowControl w:val="off"/>
        <w:rPr>
          <w:rFonts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二、磋商程序</w:t>
      </w:r>
      <w:bookmarkEnd w:id="59"/>
      <w:r/>
      <w:r/>
    </w:p>
    <w:p>
      <w:pPr>
        <w:pStyle w:val="812"/>
        <w:ind w:left="0" w:firstLine="480"/>
        <w:spacing w:line="360" w:lineRule="auto"/>
        <w:rPr>
          <w:rFonts w:ascii="宋体" w:hAnsi="宋体" w:cs="宋体"/>
          <w:color w:val="auto"/>
          <w:sz w:val="24"/>
          <w:szCs w:val="24"/>
          <w:highlight w:val="none"/>
        </w:rPr>
        <w:outlineLvl w:val="1"/>
      </w:pPr>
      <w:r/>
      <w:bookmarkStart w:id="60" w:name="_Toc7726"/>
      <w:r>
        <w:rPr>
          <w:rFonts w:hint="eastAsia" w:ascii="宋体" w:hAnsi="宋体" w:cs="宋体"/>
          <w:color w:val="auto"/>
          <w:sz w:val="24"/>
          <w:szCs w:val="24"/>
          <w:highlight w:val="none"/>
        </w:rPr>
        <w:t xml:space="preserve">1、采购代理机构按本须知规定的时间、地点主持磋商采购活动。</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2、供应商通过“苏采云”系统在线参与磋商活动。供应商应当按照《苏采云系统供应商操作手册》规定在 “苏采云”系统规定的时间内对响应文件进行解密。</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3、在磋商响应文件网上递交截止时间止成功解密的磋商供应商少于三家，则本次采购失败。</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4、如不同供应商的响应文件制作机器码一致，则视为无效响应。</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5、由磋商小组审查供应商解密的响应文件。</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7、磋商小组要求供应商澄清、说明或者更正响应文件应当以书面形式做出。供应商的澄清、说明或者更正应当由其单位加盖电子公章。</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10、磋商结束后，磋商小组将在“苏采云”系统向所有实质性响应的供应商发布“最后报价要求函”及最后报价格式表，要求所有实质性响应的供应商在规定时间内提交最后报价。</w:t>
      </w:r>
      <w:r/>
    </w:p>
    <w:p>
      <w:pPr>
        <w:pStyle w:val="812"/>
        <w:ind w:left="0" w:firstLine="48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12"/>
        <w:ind w:left="0" w:firstLine="48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已提交响应文件的供应商，在提交最后报价之前，可以根据磋商情况退出磋商，并在“苏采云”系统中提交“退出磋商函”并加盖CA电子公章。</w:t>
      </w:r>
      <w:r/>
    </w:p>
    <w:p>
      <w:pPr>
        <w:pStyle w:val="812"/>
        <w:ind w:left="0" w:firstLine="48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*进入项目评审流程后，建议各供应商法定代表人或授权委托人始终保持通讯顺畅，时刻关注不见面开标大厅，不离开不见面开标大厅。</w:t>
      </w:r>
      <w:r/>
    </w:p>
    <w:p>
      <w:pPr>
        <w:pStyle w:val="812"/>
        <w:ind w:left="0" w:firstLine="48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12、经磋商确定最终采购需求和提交最后报价的供应商后，由磋商小组采用综合评分法对提交最后报价的供应商的响应文件和最后报价进行综合评分。</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13、磋商小组根据磋商成交原则确定成交供应商，并将结果通知所有参加磋商的供应商。</w:t>
      </w:r>
      <w:r/>
    </w:p>
    <w:p>
      <w:pPr>
        <w:pStyle w:val="812"/>
        <w:ind w:left="0" w:firstLine="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14、如磋商过程中出现本采购文件未尽事宜，由磋商小组根据政府采购有关法律、法规讨论决定。</w:t>
      </w:r>
      <w:r/>
    </w:p>
    <w:p>
      <w:pPr>
        <w:pStyle w:val="812"/>
        <w:ind w:left="0" w:firstLine="482"/>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三、质疑</w:t>
      </w:r>
      <w:bookmarkEnd w:id="60"/>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2、本次采购文件要求供应商在法定质疑期内一次性提出针对同一采购程序环节的质疑。</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3、供应商提出质疑应当提交质疑函和必要的证明材料，质疑函应当包括下列内容：</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（1）供应商的姓名或者名称（以提供的营业执照副本复印件为准）、地址、邮编、联系人及联系电话；</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质疑递交地点：</w:t>
      </w:r>
      <w:r>
        <w:rPr>
          <w:rFonts w:hint="eastAsia" w:ascii="宋体" w:hAnsi="宋体" w:cs="宋体"/>
          <w:color w:val="auto"/>
          <w:sz w:val="24"/>
          <w:szCs w:val="24"/>
          <w:highlight w:val="none"/>
        </w:rPr>
        <w:t xml:space="preserve">苏州永正造价师事务所有限公司</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质疑递交联系人、联系电话及地址详见采购公告。</w:t>
      </w:r>
      <w:r/>
    </w:p>
    <w:p>
      <w:pPr>
        <w:pStyle w:val="812"/>
        <w:ind w:left="0" w:firstLine="482"/>
        <w:spacing w:line="360" w:lineRule="auto"/>
        <w:rPr>
          <w:rFonts w:ascii="宋体" w:hAnsi="宋体" w:cs="宋体"/>
          <w:b/>
          <w:color w:val="auto"/>
          <w:sz w:val="24"/>
          <w:szCs w:val="24"/>
          <w:highlight w:val="none"/>
        </w:rPr>
        <w:outlineLvl w:val="1"/>
      </w:pPr>
      <w:r/>
      <w:bookmarkStart w:id="61" w:name="_Toc2426"/>
      <w:r>
        <w:rPr>
          <w:rFonts w:hint="eastAsia" w:ascii="宋体" w:hAnsi="宋体" w:cs="宋体"/>
          <w:b/>
          <w:color w:val="auto"/>
          <w:sz w:val="24"/>
          <w:szCs w:val="24"/>
          <w:highlight w:val="none"/>
        </w:rPr>
        <w:t xml:space="preserve">四、项目的终止</w:t>
      </w:r>
      <w:bookmarkEnd w:id="61"/>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出现下列情形之一的，将终止竞争性磋商采购活动：</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1、因情况变化，不再符合规定的竞争性磋商采购方式适用情形的；</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3、在采购过程中符合要求的供应商或者报价未超过采购预算及最高限价的供应商不足3家的；</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4、在采购活动中因重大变故，采购任务取消的。</w:t>
      </w:r>
      <w:r/>
    </w:p>
    <w:p>
      <w:pPr>
        <w:pStyle w:val="812"/>
        <w:ind w:left="0" w:firstLine="482"/>
        <w:spacing w:line="360" w:lineRule="auto"/>
        <w:rPr>
          <w:rFonts w:ascii="宋体" w:hAnsi="宋体" w:cs="宋体"/>
          <w:b/>
          <w:color w:val="auto"/>
          <w:sz w:val="24"/>
          <w:szCs w:val="24"/>
          <w:highlight w:val="none"/>
        </w:rPr>
      </w:pPr>
      <w:r/>
      <w:bookmarkStart w:id="62" w:name="_Toc31063"/>
      <w:r>
        <w:rPr>
          <w:rFonts w:hint="eastAsia" w:ascii="宋体" w:hAnsi="宋体" w:cs="宋体"/>
          <w:b/>
          <w:color w:val="auto"/>
          <w:sz w:val="24"/>
          <w:szCs w:val="24"/>
          <w:highlight w:val="none"/>
        </w:rPr>
        <w:t xml:space="preserve">五、服务费及履约保证金</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1、成交单位须按前附表的规定计算并支付服务费，该费用应在领取成交通知书时付清。成交单位如果未按规定缴纳服务费，磋商采购单位将并保留诉讼的权利。</w:t>
      </w:r>
      <w:r/>
    </w:p>
    <w:p>
      <w:pPr>
        <w:pStyle w:val="812"/>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Style w:val="785"/>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开票信息</w:t>
            </w: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报名单位公司名称</w:t>
            </w: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税号</w:t>
            </w: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开户行</w:t>
            </w: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p>
        </w:tc>
      </w:tr>
    </w:tbl>
    <w:p>
      <w:pPr>
        <w:pStyle w:val="812"/>
        <w:ind w:left="0"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3、请成交单位将公司开票信息以word文档格式发送至邮箱：</w:t>
      </w:r>
      <w:r>
        <w:rPr>
          <w:rFonts w:hint="eastAsia" w:ascii="宋体" w:hAnsi="宋体" w:cs="宋体"/>
          <w:b/>
          <w:bCs/>
          <w:color w:val="auto"/>
          <w:sz w:val="24"/>
          <w:szCs w:val="24"/>
          <w:highlight w:val="none"/>
          <w:lang w:eastAsia="zh-CN"/>
        </w:rPr>
        <w:t xml:space="preserve">2745536790@qq.com</w:t>
      </w:r>
      <w:r>
        <w:rPr>
          <w:rFonts w:hint="eastAsia" w:ascii="宋体" w:hAnsi="宋体" w:cs="宋体"/>
          <w:b/>
          <w:bCs/>
          <w:color w:val="auto"/>
          <w:sz w:val="24"/>
          <w:szCs w:val="24"/>
          <w:highlight w:val="none"/>
        </w:rPr>
        <w:t xml:space="preserve">。成交单位凭已缴纳代理服务费的银行回单至代理机构领取成交通知书、合同。</w:t>
      </w:r>
      <w:r/>
    </w:p>
    <w:p>
      <w:pPr>
        <w:pStyle w:val="812"/>
        <w:ind w:left="0" w:firstLine="480"/>
        <w:spacing w:line="360" w:lineRule="auto"/>
        <w:rPr>
          <w:rFonts w:ascii="宋体" w:hAnsi="宋体" w:cs="宋体"/>
          <w:b/>
          <w:color w:val="auto"/>
          <w:sz w:val="24"/>
          <w:szCs w:val="24"/>
          <w:highlight w:val="none"/>
        </w:rPr>
        <w:outlineLvl w:val="1"/>
      </w:pPr>
      <w:r>
        <w:rPr>
          <w:rFonts w:hint="eastAsia" w:ascii="宋体" w:hAnsi="宋体" w:cs="宋体"/>
          <w:bCs/>
          <w:color w:val="auto"/>
          <w:sz w:val="24"/>
          <w:szCs w:val="24"/>
          <w:highlight w:val="none"/>
        </w:rPr>
        <w:t xml:space="preserve">4、</w:t>
      </w:r>
      <w:r>
        <w:rPr>
          <w:rFonts w:hint="eastAsia" w:ascii="宋体" w:hAnsi="宋体" w:cs="宋体"/>
          <w:color w:val="auto"/>
          <w:sz w:val="24"/>
          <w:szCs w:val="24"/>
          <w:highlight w:val="none"/>
        </w:rPr>
        <w:t xml:space="preserve">履约保证金：本项目无需提交履约保证金。</w:t>
      </w:r>
      <w:bookmarkEnd w:id="62"/>
      <w:r/>
      <w:r/>
    </w:p>
    <w:p>
      <w:pPr>
        <w:ind w:left="0" w:firstLine="482"/>
        <w:spacing w:line="360" w:lineRule="auto"/>
        <w:tabs>
          <w:tab w:val="left" w:pos="420" w:leader="none"/>
        </w:tabs>
        <w:rPr>
          <w:rFonts w:ascii="宋体" w:hAnsi="宋体" w:cs="宋体"/>
          <w:b/>
          <w:bCs/>
          <w:color w:val="auto"/>
          <w:sz w:val="24"/>
          <w:szCs w:val="24"/>
          <w:highlight w:val="none"/>
        </w:rPr>
        <w:outlineLvl w:val="1"/>
      </w:pPr>
      <w:r/>
      <w:bookmarkStart w:id="63" w:name="_Toc31110"/>
      <w:r>
        <w:rPr>
          <w:rFonts w:hint="eastAsia" w:ascii="宋体" w:hAnsi="宋体" w:cs="宋体"/>
          <w:b/>
          <w:bCs/>
          <w:color w:val="auto"/>
          <w:sz w:val="24"/>
          <w:szCs w:val="24"/>
          <w:highlight w:val="none"/>
        </w:rPr>
        <w:t xml:space="preserve">六、政府采购政策</w:t>
      </w:r>
      <w:bookmarkEnd w:id="63"/>
      <w:r/>
      <w:r/>
    </w:p>
    <w:p>
      <w:pPr>
        <w:ind w:left="0" w:firstLine="480"/>
        <w:spacing w:line="360" w:lineRule="auto"/>
        <w:tabs>
          <w:tab w:val="left" w:pos="567" w:leader="none"/>
        </w:tabs>
        <w:rPr>
          <w:rFonts w:ascii="宋体" w:hAnsi="宋体" w:cs="宋体"/>
          <w:color w:val="auto"/>
          <w:sz w:val="24"/>
          <w:szCs w:val="24"/>
          <w:highlight w:val="none"/>
        </w:rPr>
      </w:pPr>
      <w:r/>
      <w:bookmarkStart w:id="64" w:name="_Toc5270"/>
      <w:r>
        <w:rPr>
          <w:rFonts w:hint="eastAsia" w:ascii="宋体" w:hAnsi="宋体" w:cs="宋体"/>
          <w:color w:val="auto"/>
          <w:sz w:val="24"/>
          <w:szCs w:val="24"/>
          <w:highlight w:val="none"/>
        </w:rPr>
        <w:t xml:space="preserve">（一）节能产品、环境标志产品</w:t>
      </w: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p>
    <w:p>
      <w:pPr>
        <w:ind w:left="0" w:firstLine="482"/>
        <w:spacing w:line="360" w:lineRule="auto"/>
        <w:widowControl w:val="off"/>
        <w:tabs>
          <w:tab w:val="left" w:pos="567" w:leader="none"/>
        </w:tabs>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七、信用记录</w:t>
      </w:r>
      <w:bookmarkEnd w:id="64"/>
      <w: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pStyle w:val="998"/>
        <w:jc w:val="center"/>
        <w:spacing w:before="0" w:after="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bookmarkStart w:id="65" w:name="_Toc14106"/>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998"/>
        <w:jc w:val="center"/>
        <w:spacing w:before="0" w:after="0" w:line="360" w:lineRule="auto"/>
        <w:rPr>
          <w:rFonts w:ascii="宋体" w:hAnsi="宋体" w:cs="宋体"/>
          <w:b/>
          <w:color w:val="auto"/>
          <w:sz w:val="44"/>
          <w:szCs w:val="44"/>
          <w:highlight w:val="none"/>
        </w:rPr>
      </w:pPr>
      <w:r/>
      <w:bookmarkStart w:id="66" w:name="_Toc4028"/>
      <w:r/>
      <w:bookmarkStart w:id="67" w:name="_Toc332"/>
      <w:r>
        <w:rPr>
          <w:rFonts w:hint="eastAsia" w:ascii="宋体" w:hAnsi="宋体" w:cs="宋体"/>
          <w:b/>
          <w:color w:val="auto"/>
          <w:sz w:val="44"/>
          <w:szCs w:val="44"/>
          <w:highlight w:val="none"/>
        </w:rPr>
        <w:t xml:space="preserve">第三章 </w:t>
      </w:r>
      <w:bookmarkStart w:id="68" w:name="投标文件格式"/>
      <w:r/>
      <w:bookmarkEnd w:id="68"/>
      <w:r>
        <w:rPr>
          <w:rFonts w:hint="eastAsia" w:ascii="宋体" w:hAnsi="宋体" w:cs="宋体"/>
          <w:b/>
          <w:color w:val="auto"/>
          <w:sz w:val="44"/>
          <w:szCs w:val="44"/>
          <w:highlight w:val="none"/>
        </w:rPr>
        <w:t xml:space="preserve">响应文件格式</w:t>
      </w:r>
      <w:bookmarkEnd w:id="54"/>
      <w:r/>
      <w:bookmarkEnd w:id="55"/>
      <w:r/>
      <w:bookmarkEnd w:id="56"/>
      <w:r/>
      <w:bookmarkEnd w:id="57"/>
      <w:r/>
      <w:bookmarkEnd w:id="65"/>
      <w:r/>
      <w:bookmarkEnd w:id="66"/>
      <w:r/>
      <w:bookmarkEnd w:id="67"/>
      <w:r/>
      <w:r/>
    </w:p>
    <w:p>
      <w:pPr>
        <w:ind w:left="0"/>
        <w:jc w:val="left"/>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8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说明：</w:t>
      </w: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对本章所有的格式，供应商可根据自身情况进行补充和修改，但补充和修改不得造成与本格式内容有实质性的违背。</w:t>
      </w:r>
      <w:r/>
    </w:p>
    <w:p>
      <w:pPr>
        <w:ind w:left="0"/>
        <w:jc w:val="left"/>
        <w:spacing w:line="360" w:lineRule="auto"/>
        <w:rPr>
          <w:rFonts w:ascii="宋体" w:hAnsi="宋体" w:cs="宋体"/>
          <w:b/>
          <w:color w:val="auto"/>
          <w:sz w:val="24"/>
          <w:szCs w:val="24"/>
          <w:highlight w:val="none"/>
        </w:rPr>
        <w:outlineLvl w:val="1"/>
      </w:pPr>
      <w:r>
        <w:rPr>
          <w:rFonts w:hint="eastAsia" w:ascii="宋体" w:hAnsi="宋体" w:cs="宋体"/>
          <w:b/>
          <w:color w:val="auto"/>
          <w:sz w:val="44"/>
          <w:szCs w:val="44"/>
          <w:highlight w:val="none"/>
        </w:rPr>
        <w:br w:type="page" w:clear="all"/>
      </w:r>
      <w:bookmarkStart w:id="69" w:name="_Toc17036"/>
      <w:r/>
      <w:bookmarkStart w:id="70" w:name="_Toc3821"/>
      <w:r/>
      <w:bookmarkStart w:id="71" w:name="_Toc7097"/>
      <w:r>
        <w:rPr>
          <w:rFonts w:hint="eastAsia" w:ascii="宋体" w:hAnsi="宋体" w:cs="宋体"/>
          <w:b/>
          <w:color w:val="auto"/>
          <w:sz w:val="24"/>
          <w:szCs w:val="24"/>
          <w:highlight w:val="none"/>
        </w:rPr>
        <w:t xml:space="preserve">附件1</w:t>
      </w:r>
      <w:bookmarkEnd w:id="69"/>
      <w:r/>
      <w:bookmarkEnd w:id="70"/>
      <w:r>
        <w:rPr>
          <w:rFonts w:hint="eastAsia" w:ascii="宋体" w:hAnsi="宋体" w:cs="宋体"/>
          <w:b/>
          <w:color w:val="auto"/>
          <w:sz w:val="24"/>
          <w:szCs w:val="24"/>
          <w:highlight w:val="none"/>
        </w:rPr>
        <w:t xml:space="preserve">、磋商响应函</w:t>
      </w:r>
      <w:bookmarkEnd w:id="71"/>
      <w:r/>
      <w:r/>
    </w:p>
    <w:p>
      <w:pPr>
        <w:ind w:left="0"/>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磋商响应函</w:t>
      </w:r>
      <w:r/>
    </w:p>
    <w:p>
      <w:pPr>
        <w:ind w:left="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致：</w:t>
      </w:r>
      <w:r>
        <w:rPr>
          <w:rFonts w:hint="eastAsia" w:ascii="宋体" w:hAnsi="宋体" w:cs="宋体"/>
          <w:color w:val="auto"/>
          <w:sz w:val="24"/>
          <w:szCs w:val="24"/>
          <w:highlight w:val="none"/>
          <w:u w:val="single"/>
          <w:lang w:val="zh-CN"/>
        </w:rPr>
        <w:t xml:space="preserve">苏州永正造价师事务所有限公司</w:t>
      </w:r>
      <w:r/>
    </w:p>
    <w:p>
      <w:pPr>
        <w:ind w:left="0"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我方收到贵公司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号磋商采购文件，经仔细阅读和研究，我方决定参加磋商。并向贵公司承诺：</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1、我们愿意按照采购文件的一切要求，提供完成该项目的全部内容，我们的报价包括完成该项目所需的全部人工费、材料费、交通费用、餐费、人员培训、售后服务、管理费、利润、规费、税金以及代理服务费等一切费用。</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2、如果我们的磋商响应文件被接受，我们将严格履行采购文件中规定的每一项要求，按期、按质、按量履行合同的义务。</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3、我们已详细审查全部采购文件，包括更正公告(如有)。我们完全理解并同意放弃对这方面有不明及误解的权力。</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4、我们同意按采购文件中的规定，本磋商响应文件的有效期限为响应文件提交截止之日起90天。</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5、我们愿意提供磋商采购单位在采购文件中要求的所有资料。</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6、我们愿意遵守采购文件中所列的收费标准。</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7、我们承诺该磋商响应文件在磋商开始后的全过程中保持有效，不作任何更改和变动。</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9、我们声明：我们在参加本次政府采购活动前3年内在经营活动中没有重大违法记录。</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10、如果我们成交，我们愿意按采购文件的规定支付代理服务费。</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11、综合说明：</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（1）伴随服务及配合措施；（2）要求甲方提供的配合；（3）对采购文件有不同意见的偏离说明；（4）其它说明。</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所有有关磋商响应文件的函电，请按下列地址联系：</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单位：                             联系人：</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地址：                             邮政编码：</w:t>
      </w:r>
      <w:r/>
    </w:p>
    <w:p>
      <w:pPr>
        <w:pStyle w:val="1042"/>
        <w:ind w:left="0" w:firstLine="48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联系电话：                         传真：</w:t>
      </w:r>
      <w:r/>
    </w:p>
    <w:p>
      <w:pPr>
        <w:ind w:left="0" w:firstLine="480"/>
        <w:widowControl w:val="off"/>
        <w:rPr>
          <w:rFonts w:ascii="宋体" w:hAnsi="宋体" w:cs="宋体"/>
          <w:color w:val="auto"/>
          <w:sz w:val="24"/>
          <w:szCs w:val="24"/>
          <w:highlight w:val="none"/>
          <w:u w:val="single"/>
        </w:rPr>
      </w:pPr>
      <w:r>
        <w:rPr>
          <w:rStyle w:val="1033"/>
          <w:rFonts w:hint="eastAsia" w:ascii="宋体" w:hAnsi="宋体" w:cs="宋体"/>
          <w:color w:val="auto"/>
          <w:sz w:val="24"/>
          <w:szCs w:val="24"/>
          <w:highlight w:val="none"/>
        </w:rPr>
        <w:t xml:space="preserve">电子邮箱：</w:t>
      </w:r>
      <w:r/>
    </w:p>
    <w:p>
      <w:pPr>
        <w:ind w:left="0" w:right="-200"/>
        <w:jc w:val="right"/>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p>
    <w:p>
      <w:pPr>
        <w:ind w:left="0" w:right="-200"/>
        <w:jc w:val="left"/>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p>
    <w:p>
      <w:pPr>
        <w:ind w:left="0" w:right="300"/>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rPr>
          <w:rFonts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72" w:name="_Toc6183"/>
      <w:r>
        <w:rPr>
          <w:rFonts w:hint="eastAsia" w:ascii="宋体" w:hAnsi="宋体" w:cs="宋体"/>
          <w:b/>
          <w:color w:val="auto"/>
          <w:sz w:val="24"/>
          <w:szCs w:val="24"/>
          <w:highlight w:val="none"/>
        </w:rPr>
        <w:t xml:space="preserve">附件2、磋商报价表</w:t>
      </w:r>
      <w:bookmarkEnd w:id="72"/>
      <w:r/>
      <w:r/>
    </w:p>
    <w:p>
      <w:pPr>
        <w:rPr>
          <w:rFonts w:ascii="宋体" w:hAnsi="宋体" w:cs="宋体"/>
          <w:color w:val="auto"/>
          <w:sz w:val="24"/>
          <w:szCs w:val="24"/>
          <w:highlight w:val="none"/>
        </w:rPr>
      </w:pPr>
      <w:r>
        <w:rPr>
          <w:rFonts w:ascii="宋体" w:hAnsi="宋体" w:cs="宋体"/>
          <w:color w:val="auto"/>
          <w:sz w:val="24"/>
          <w:szCs w:val="24"/>
          <w:highlight w:val="none"/>
        </w:rPr>
      </w:r>
      <w:r/>
    </w:p>
    <w:p>
      <w:pPr>
        <w:ind w:left="0"/>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磋商报价表</w:t>
      </w:r>
      <w:r/>
    </w:p>
    <w:p>
      <w:pPr>
        <w:pStyle w:val="811"/>
        <w:rPr>
          <w:rFonts w:ascii="宋体" w:hAnsi="宋体" w:cs="宋体"/>
          <w:color w:val="auto"/>
          <w:highlight w:val="none"/>
        </w:rPr>
      </w:pPr>
      <w:r>
        <w:rPr>
          <w:rFonts w:ascii="宋体" w:hAnsi="宋体" w:cs="宋体"/>
          <w:color w:val="auto"/>
          <w:highlight w:val="none"/>
        </w:rPr>
      </w:r>
      <w:r/>
    </w:p>
    <w:p>
      <w:pPr>
        <w:ind w:left="0"/>
        <w:jc w:val="center"/>
        <w:spacing w:line="360" w:lineRule="auto"/>
        <w:rPr>
          <w:rFonts w:ascii="宋体" w:hAnsi="宋体" w:cs="宋体"/>
          <w:b/>
          <w:color w:val="auto"/>
          <w:sz w:val="21"/>
          <w:szCs w:val="21"/>
          <w:highlight w:val="none"/>
        </w:rPr>
      </w:pPr>
      <w:r>
        <w:rPr>
          <w:rStyle w:val="1033"/>
          <w:rFonts w:hAnsi="宋体"/>
          <w:color w:val="auto"/>
          <w:sz w:val="24"/>
          <w:szCs w:val="24"/>
          <w:highlight w:val="none"/>
        </w:rPr>
        <w:t xml:space="preserve">采购编号：                                          价格单位：元</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1701"/>
        <w:gridCol w:w="2252"/>
      </w:tblGrid>
      <w:tr>
        <w:trPr>
          <w:jc w:val="center"/>
          <w:trHeight w:val="850"/>
        </w:trPr>
        <w:tc>
          <w:tcPr>
            <w:tcW w:w="3402" w:type="dxa"/>
            <w:vAlign w:val="center"/>
            <w:textDirection w:val="lrTb"/>
            <w:noWrap w:val="false"/>
          </w:tcPr>
          <w:p>
            <w:pPr>
              <w:ind w:left="0"/>
              <w:jc w:val="center"/>
              <w:widowControl w:val="off"/>
              <w:rPr>
                <w:rFonts w:ascii="宋体" w:hAnsi="宋体"/>
                <w:color w:val="auto"/>
                <w:sz w:val="24"/>
                <w:szCs w:val="24"/>
                <w:highlight w:val="none"/>
              </w:rPr>
            </w:pPr>
            <w:r>
              <w:rPr>
                <w:rFonts w:ascii="宋体" w:hAnsi="宋体"/>
                <w:color w:val="auto"/>
                <w:sz w:val="24"/>
                <w:szCs w:val="24"/>
                <w:highlight w:val="none"/>
                <w:lang w:val="zh-CN"/>
              </w:rPr>
              <w:t xml:space="preserve">项目名称</w:t>
            </w:r>
            <w:r/>
          </w:p>
        </w:tc>
        <w:tc>
          <w:tcPr>
            <w:tcW w:w="1701" w:type="dxa"/>
            <w:vAlign w:val="center"/>
            <w:textDirection w:val="lrTb"/>
            <w:noWrap w:val="false"/>
          </w:tcPr>
          <w:p>
            <w:pPr>
              <w:ind w:left="0"/>
              <w:jc w:val="center"/>
              <w:widowControl w:val="off"/>
              <w:rPr>
                <w:rFonts w:ascii="宋体" w:hAnsi="宋体"/>
                <w:color w:val="auto"/>
                <w:sz w:val="24"/>
                <w:szCs w:val="24"/>
                <w:highlight w:val="none"/>
                <w:lang w:val="zh-CN"/>
              </w:rPr>
            </w:pPr>
            <w:r>
              <w:rPr>
                <w:rFonts w:ascii="宋体" w:hAnsi="宋体"/>
                <w:color w:val="auto"/>
                <w:sz w:val="24"/>
                <w:szCs w:val="24"/>
                <w:highlight w:val="none"/>
                <w:lang w:val="zh-CN"/>
              </w:rPr>
              <w:t xml:space="preserve">响应总报价</w:t>
            </w:r>
            <w:r/>
          </w:p>
          <w:p>
            <w:pPr>
              <w:ind w:left="0"/>
              <w:jc w:val="center"/>
              <w:widowControl w:val="off"/>
              <w:rPr>
                <w:rFonts w:ascii="宋体" w:hAnsi="宋体"/>
                <w:color w:val="auto"/>
                <w:sz w:val="24"/>
                <w:szCs w:val="24"/>
                <w:highlight w:val="none"/>
              </w:rPr>
            </w:pPr>
            <w:r>
              <w:rPr>
                <w:rFonts w:ascii="宋体" w:hAnsi="宋体"/>
                <w:color w:val="auto"/>
                <w:sz w:val="24"/>
                <w:szCs w:val="24"/>
                <w:highlight w:val="none"/>
                <w:lang w:val="zh-CN"/>
              </w:rPr>
              <w:t xml:space="preserve">（元）</w:t>
            </w:r>
            <w:r/>
          </w:p>
        </w:tc>
        <w:tc>
          <w:tcPr>
            <w:tcW w:w="2252" w:type="dxa"/>
            <w:vAlign w:val="center"/>
            <w:textDirection w:val="lrTb"/>
            <w:noWrap w:val="false"/>
          </w:tcPr>
          <w:p>
            <w:pPr>
              <w:ind w:left="0"/>
              <w:jc w:val="center"/>
              <w:widowControl w:val="off"/>
              <w:rPr>
                <w:rFonts w:ascii="宋体" w:hAnsi="宋体"/>
                <w:color w:val="auto"/>
                <w:sz w:val="24"/>
                <w:szCs w:val="24"/>
                <w:highlight w:val="none"/>
              </w:rPr>
            </w:pPr>
            <w:r>
              <w:rPr>
                <w:rFonts w:hint="eastAsia" w:ascii="宋体" w:hAnsi="宋体"/>
                <w:color w:val="auto"/>
                <w:sz w:val="24"/>
                <w:szCs w:val="24"/>
                <w:highlight w:val="none"/>
              </w:rPr>
              <w:t xml:space="preserve">服务期限</w:t>
            </w:r>
            <w:r/>
          </w:p>
        </w:tc>
      </w:tr>
      <w:tr>
        <w:trPr>
          <w:jc w:val="center"/>
          <w:trHeight w:val="850"/>
        </w:trPr>
        <w:tc>
          <w:tcPr>
            <w:tcW w:w="3402" w:type="dxa"/>
            <w:vAlign w:val="center"/>
            <w:textDirection w:val="lrTb"/>
            <w:noWrap w:val="false"/>
          </w:tcPr>
          <w:p>
            <w:pPr>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1701" w:type="dxa"/>
            <w:vAlign w:val="center"/>
            <w:textDirection w:val="lrTb"/>
            <w:noWrap w:val="false"/>
          </w:tcPr>
          <w:p>
            <w:pPr>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2252" w:type="dxa"/>
            <w:vAlign w:val="center"/>
            <w:textDirection w:val="lrTb"/>
            <w:noWrap w:val="false"/>
          </w:tcPr>
          <w:p>
            <w:pPr>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r>
    </w:tbl>
    <w:p>
      <w:pPr>
        <w:ind w:left="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注：上述报价</w:t>
      </w:r>
      <w:r>
        <w:rPr>
          <w:rStyle w:val="1033"/>
          <w:rFonts w:hint="eastAsia" w:hAnsi="宋体" w:cs="宋体"/>
          <w:color w:val="auto"/>
          <w:sz w:val="24"/>
          <w:szCs w:val="24"/>
          <w:highlight w:val="none"/>
        </w:rPr>
        <w:t xml:space="preserve">包括完成该项目所需的全部人工费、材料费、交通费用、餐费、人员培训、售后服务、管理费、利润、规费、税金以及代理服务费等一切费用。</w:t>
      </w:r>
      <w:r/>
    </w:p>
    <w:p>
      <w:pPr>
        <w:ind w:left="0" w:firstLine="480"/>
        <w:jc w:val="left"/>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left="0" w:right="-200"/>
        <w:jc w:val="left"/>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left"/>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left"/>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p>
    <w:p>
      <w:pPr>
        <w:ind w:left="0" w:right="4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spacing w:line="360" w:lineRule="auto"/>
        <w:rPr>
          <w:rFonts w:ascii="宋体" w:hAnsi="宋体" w:cs="宋体"/>
          <w:color w:val="auto"/>
          <w:highlight w:val="none"/>
        </w:rPr>
      </w:pPr>
      <w:r>
        <w:rPr>
          <w:rFonts w:ascii="宋体" w:hAnsi="宋体" w:cs="宋体"/>
          <w:color w:val="auto"/>
          <w:highlight w:val="none"/>
        </w:rPr>
      </w:r>
      <w:r/>
    </w:p>
    <w:p>
      <w:pPr>
        <w:ind w:left="0" w:right="40"/>
        <w:jc w:val="left"/>
        <w:spacing w:line="360" w:lineRule="auto"/>
        <w:rPr>
          <w:rFonts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73" w:name="_Toc14239"/>
      <w:r/>
      <w:bookmarkStart w:id="74" w:name="_Toc31009"/>
      <w:r>
        <w:rPr>
          <w:rFonts w:hint="eastAsia" w:ascii="宋体" w:hAnsi="宋体" w:cs="宋体"/>
          <w:b/>
          <w:color w:val="auto"/>
          <w:sz w:val="24"/>
          <w:szCs w:val="24"/>
          <w:highlight w:val="none"/>
        </w:rPr>
        <w:t xml:space="preserve">附件3、</w:t>
      </w:r>
      <w:bookmarkEnd w:id="73"/>
      <w:r>
        <w:rPr>
          <w:rFonts w:hint="eastAsia" w:ascii="宋体" w:hAnsi="宋体" w:cs="宋体"/>
          <w:b/>
          <w:color w:val="auto"/>
          <w:sz w:val="24"/>
          <w:szCs w:val="24"/>
          <w:highlight w:val="none"/>
        </w:rPr>
        <w:t xml:space="preserve">报价明细表</w:t>
      </w:r>
      <w:r/>
    </w:p>
    <w:p>
      <w:pPr>
        <w:pStyle w:val="1034"/>
        <w:ind w:left="0" w:firstLine="0"/>
        <w:jc w:val="center"/>
        <w:spacing w:line="360" w:lineRule="auto"/>
        <w:widowControl w:val="off"/>
        <w:rPr>
          <w:rStyle w:val="1033"/>
          <w:rFonts w:ascii="宋体" w:hAnsi="宋体"/>
          <w:b/>
          <w:bCs/>
          <w:color w:val="auto"/>
          <w:szCs w:val="24"/>
          <w:highlight w:val="none"/>
        </w:rPr>
      </w:pPr>
      <w:r>
        <w:rPr>
          <w:rStyle w:val="1033"/>
          <w:rFonts w:hint="eastAsia" w:ascii="宋体" w:hAnsi="宋体"/>
          <w:b/>
          <w:bCs/>
          <w:color w:val="auto"/>
          <w:szCs w:val="24"/>
          <w:highlight w:val="none"/>
        </w:rPr>
        <w:t xml:space="preserve">报价明细表</w:t>
      </w:r>
      <w:r/>
    </w:p>
    <w:tbl>
      <w:tblPr>
        <w:tblStyle w:val="785"/>
        <w:tblW w:w="8406" w:type="dxa"/>
        <w:jc w:val="center"/>
        <w:tblLayout w:type="fixed"/>
        <w:tblCellMar>
          <w:left w:w="108" w:type="dxa"/>
          <w:top w:w="0" w:type="dxa"/>
          <w:right w:w="108" w:type="dxa"/>
          <w:bottom w:w="0" w:type="dxa"/>
        </w:tblCellMar>
        <w:tblLook w:val="04A0" w:firstRow="1" w:lastRow="0" w:firstColumn="1" w:lastColumn="0" w:noHBand="0" w:noVBand="1"/>
      </w:tblPr>
      <w:tblGrid>
        <w:gridCol w:w="1242"/>
        <w:gridCol w:w="2083"/>
        <w:gridCol w:w="850"/>
        <w:gridCol w:w="1707"/>
        <w:gridCol w:w="1262"/>
        <w:gridCol w:w="1262"/>
      </w:tblGrid>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83" w:type="dxa"/>
            <w:vAlign w:val="center"/>
            <w:textDirection w:val="lrTb"/>
            <w:noWrap w:val="false"/>
          </w:tcPr>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单价</w:t>
            </w:r>
            <w:r/>
          </w:p>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（元）</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合</w:t>
            </w:r>
            <w:r>
              <w:rPr>
                <w:rFonts w:hint="eastAsia" w:ascii="宋体" w:hAnsi="宋体"/>
                <w:color w:val="auto"/>
                <w:sz w:val="24"/>
                <w:szCs w:val="24"/>
                <w:highlight w:val="none"/>
              </w:rPr>
              <w:t xml:space="preserve">价</w:t>
            </w:r>
            <w:r/>
          </w:p>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（元）</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1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2083" w:type="dxa"/>
            <w:vAlign w:val="center"/>
            <w:textDirection w:val="lrTb"/>
            <w:noWrap w:val="false"/>
          </w:tcPr>
          <w:p>
            <w:pPr>
              <w:pStyle w:val="1043"/>
              <w:ind w:left="0"/>
              <w:jc w:val="center"/>
              <w:rPr>
                <w:rFonts w:hint="eastAsia" w:hAnsi="宋体" w:eastAsia="宋体"/>
                <w:color w:val="auto"/>
                <w:sz w:val="24"/>
                <w:szCs w:val="24"/>
                <w:highlight w:val="none"/>
                <w:lang w:eastAsia="zh-CN"/>
              </w:rPr>
            </w:pPr>
            <w:r>
              <w:rPr>
                <w:rFonts w:hint="eastAsia" w:hAnsi="宋体"/>
                <w:color w:val="auto"/>
                <w:sz w:val="24"/>
                <w:szCs w:val="24"/>
                <w:highlight w:val="none"/>
                <w:lang w:eastAsia="zh-CN"/>
              </w:rPr>
              <w:t xml:space="preserve">一期</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43"/>
              <w:ind w:left="0"/>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eastAsia" w:hAnsi="宋体"/>
                <w:color w:val="auto"/>
                <w:sz w:val="24"/>
                <w:szCs w:val="24"/>
                <w:highlight w:val="none"/>
                <w:lang w:eastAsia="zh-CN"/>
              </w:rPr>
              <w:t xml:space="preserve">包含专家评审费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11"/>
              <w:ind w:left="0"/>
              <w:jc w:val="center"/>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083" w:type="dxa"/>
            <w:vAlign w:val="center"/>
            <w:textDirection w:val="lrTb"/>
            <w:noWrap w:val="false"/>
          </w:tcPr>
          <w:p>
            <w:pPr>
              <w:pStyle w:val="1043"/>
              <w:ind w:left="0"/>
              <w:jc w:val="center"/>
              <w:rPr>
                <w:rFonts w:hint="eastAsia" w:hAnsi="宋体" w:eastAsia="宋体"/>
                <w:color w:val="auto"/>
                <w:sz w:val="24"/>
                <w:szCs w:val="24"/>
                <w:highlight w:val="none"/>
                <w:lang w:eastAsia="zh-CN"/>
              </w:rPr>
            </w:pPr>
            <w:r>
              <w:rPr>
                <w:rFonts w:hint="eastAsia" w:hAnsi="宋体"/>
                <w:color w:val="auto"/>
                <w:sz w:val="24"/>
                <w:szCs w:val="24"/>
                <w:highlight w:val="none"/>
                <w:lang w:eastAsia="zh-CN"/>
              </w:rPr>
              <w:t xml:space="preserve">一期硬件专家评审费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43"/>
              <w:ind w:left="0"/>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eastAsia" w:hAnsi="宋体" w:eastAsia="宋体"/>
                <w:color w:val="auto"/>
                <w:sz w:val="24"/>
                <w:szCs w:val="24"/>
                <w:highlight w:val="none"/>
                <w:lang w:eastAsia="zh-CN"/>
              </w:rPr>
            </w:pPr>
            <w:r>
              <w:rPr>
                <w:rFonts w:hint="eastAsia" w:hAnsi="宋体" w:eastAsia="宋体"/>
                <w:color w:val="auto"/>
                <w:sz w:val="24"/>
                <w:szCs w:val="24"/>
                <w:highlight w:val="none"/>
                <w:lang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11"/>
              <w:ind w:left="0"/>
              <w:jc w:val="center"/>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2083" w:type="dxa"/>
            <w:vAlign w:val="center"/>
            <w:textDirection w:val="lrTb"/>
            <w:noWrap w:val="false"/>
          </w:tcPr>
          <w:p>
            <w:pPr>
              <w:pStyle w:val="1043"/>
              <w:ind w:left="0"/>
              <w:jc w:val="center"/>
              <w:rPr>
                <w:rFonts w:hint="default" w:hAnsi="宋体"/>
                <w:color w:val="auto"/>
                <w:sz w:val="24"/>
                <w:szCs w:val="24"/>
                <w:highlight w:val="none"/>
              </w:rPr>
            </w:pPr>
            <w:r>
              <w:rPr>
                <w:rFonts w:hint="eastAsia" w:hAnsi="宋体"/>
                <w:color w:val="auto"/>
                <w:sz w:val="24"/>
                <w:szCs w:val="24"/>
                <w:highlight w:val="none"/>
                <w:lang w:eastAsia="zh-CN"/>
              </w:rPr>
              <w:t xml:space="preserve">一期软件专家评审费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43"/>
              <w:ind w:left="0"/>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11"/>
              <w:ind w:left="0"/>
              <w:jc w:val="center"/>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2083" w:type="dxa"/>
            <w:vAlign w:val="center"/>
            <w:textDirection w:val="lrTb"/>
            <w:noWrap w:val="false"/>
          </w:tcPr>
          <w:p>
            <w:pPr>
              <w:pStyle w:val="1043"/>
              <w:ind w:left="0"/>
              <w:jc w:val="center"/>
              <w:rPr>
                <w:rFonts w:hint="default" w:ascii="宋体" w:hAnsi="宋体" w:eastAsia="宋体" w:cs="Times New Roman"/>
                <w:color w:val="auto"/>
                <w:sz w:val="24"/>
                <w:szCs w:val="24"/>
                <w:highlight w:val="none"/>
                <w:lang w:val="en-US" w:eastAsia="zh-CN" w:bidi="ar-SA"/>
              </w:rPr>
            </w:pPr>
            <w:r>
              <w:rPr>
                <w:rFonts w:hint="eastAsia" w:hAnsi="宋体"/>
                <w:color w:val="auto"/>
                <w:sz w:val="24"/>
                <w:szCs w:val="24"/>
                <w:highlight w:val="none"/>
                <w:lang w:eastAsia="zh-CN"/>
              </w:rPr>
              <w:t xml:space="preserve">二期</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43"/>
              <w:ind w:left="0"/>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eastAsia" w:hAnsi="宋体"/>
                <w:color w:val="auto"/>
                <w:sz w:val="24"/>
                <w:szCs w:val="24"/>
                <w:highlight w:val="none"/>
                <w:lang w:eastAsia="zh-CN"/>
              </w:rPr>
              <w:t xml:space="preserve">包含专家评审费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11"/>
              <w:ind w:left="0"/>
              <w:jc w:val="center"/>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2083" w:type="dxa"/>
            <w:vAlign w:val="center"/>
            <w:textDirection w:val="lrTb"/>
            <w:noWrap w:val="false"/>
          </w:tcPr>
          <w:p>
            <w:pPr>
              <w:pStyle w:val="1043"/>
              <w:ind w:left="0"/>
              <w:jc w:val="center"/>
              <w:rPr>
                <w:rFonts w:hint="default" w:ascii="宋体" w:hAnsi="宋体" w:eastAsia="宋体" w:cs="Times New Roman"/>
                <w:color w:val="auto"/>
                <w:sz w:val="24"/>
                <w:szCs w:val="24"/>
                <w:highlight w:val="none"/>
                <w:lang w:val="en-US" w:eastAsia="zh-CN" w:bidi="ar-SA"/>
              </w:rPr>
            </w:pPr>
            <w:r>
              <w:rPr>
                <w:rFonts w:hint="eastAsia" w:hAnsi="宋体"/>
                <w:color w:val="auto"/>
                <w:sz w:val="24"/>
                <w:szCs w:val="24"/>
                <w:highlight w:val="none"/>
                <w:lang w:eastAsia="zh-CN"/>
              </w:rPr>
              <w:t xml:space="preserve">二期软件专家评审费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43"/>
              <w:ind w:left="0"/>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43"/>
              <w:ind w:left="0"/>
              <w:jc w:val="center"/>
              <w:rPr>
                <w:rFonts w:hint="default" w:hAnsi="宋体"/>
                <w:color w:val="auto"/>
                <w:sz w:val="24"/>
                <w:szCs w:val="24"/>
                <w:highlight w:val="none"/>
              </w:rPr>
            </w:pPr>
            <w:r>
              <w:rPr>
                <w:rFonts w:hAnsi="宋体"/>
                <w:color w:val="auto"/>
                <w:sz w:val="24"/>
                <w:szCs w:val="24"/>
                <w:highlight w:val="none"/>
              </w:rPr>
              <w:t xml:space="preserve">合计</w:t>
            </w:r>
            <w:r/>
          </w:p>
        </w:tc>
        <w:tc>
          <w:tcPr>
            <w:gridSpan w:val="5"/>
            <w:tcBorders>
              <w:top w:val="single" w:color="000000" w:sz="4" w:space="0"/>
              <w:left w:val="none" w:color="000000" w:sz="4" w:space="0"/>
              <w:bottom w:val="single" w:color="000000" w:sz="4" w:space="0"/>
              <w:right w:val="single" w:color="000000" w:sz="4" w:space="0"/>
            </w:tcBorders>
            <w:tcW w:w="7164" w:type="dxa"/>
            <w:vAlign w:val="center"/>
            <w:textDirection w:val="lrTb"/>
            <w:noWrap w:val="false"/>
          </w:tcPr>
          <w:p>
            <w:pPr>
              <w:pStyle w:val="1043"/>
              <w:ind w:left="0"/>
              <w:jc w:val="center"/>
              <w:rPr>
                <w:rFonts w:hint="default" w:hAnsi="宋体"/>
                <w:color w:val="auto"/>
                <w:sz w:val="24"/>
                <w:szCs w:val="24"/>
                <w:highlight w:val="none"/>
              </w:rPr>
            </w:pPr>
            <w:r>
              <w:rPr>
                <w:rFonts w:hint="default" w:hAnsi="宋体"/>
                <w:color w:val="auto"/>
                <w:sz w:val="24"/>
                <w:szCs w:val="24"/>
                <w:highlight w:val="none"/>
              </w:rPr>
            </w:r>
            <w:r/>
          </w:p>
        </w:tc>
      </w:tr>
    </w:tbl>
    <w:p>
      <w:pPr>
        <w:ind w:left="0" w:firstLine="482"/>
        <w:spacing w:line="360" w:lineRule="auto"/>
        <w:widowControl w:val="off"/>
        <w:rPr>
          <w:rFonts w:ascii="宋体" w:hAnsi="宋体"/>
          <w:b/>
          <w:color w:val="auto"/>
          <w:sz w:val="24"/>
          <w:szCs w:val="24"/>
          <w:highlight w:val="none"/>
        </w:rPr>
      </w:pPr>
      <w:r>
        <w:rPr>
          <w:rStyle w:val="1033"/>
          <w:rFonts w:hint="eastAsia" w:ascii="宋体" w:hAnsi="宋体"/>
          <w:b/>
          <w:bCs/>
          <w:color w:val="auto"/>
          <w:sz w:val="24"/>
          <w:szCs w:val="24"/>
          <w:highlight w:val="none"/>
        </w:rPr>
        <w:t xml:space="preserve">注：</w:t>
      </w:r>
      <w:r>
        <w:rPr>
          <w:rFonts w:hint="eastAsia" w:ascii="宋体" w:hAnsi="宋体"/>
          <w:b/>
          <w:color w:val="auto"/>
          <w:sz w:val="24"/>
          <w:szCs w:val="24"/>
          <w:highlight w:val="none"/>
        </w:rPr>
        <w:t xml:space="preserve">本表合计金额应与《</w:t>
      </w:r>
      <w:r>
        <w:rPr>
          <w:rFonts w:ascii="宋体" w:hAnsi="宋体"/>
          <w:b/>
          <w:color w:val="auto"/>
          <w:sz w:val="24"/>
          <w:szCs w:val="24"/>
          <w:highlight w:val="none"/>
        </w:rPr>
        <w:t xml:space="preserve">磋商报价表</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响应总报价一致，否则以《</w:t>
      </w:r>
      <w:r>
        <w:rPr>
          <w:rFonts w:ascii="宋体" w:hAnsi="宋体"/>
          <w:b/>
          <w:color w:val="auto"/>
          <w:sz w:val="24"/>
          <w:szCs w:val="24"/>
          <w:highlight w:val="none"/>
        </w:rPr>
        <w:t xml:space="preserve">磋商报价表</w:t>
      </w:r>
      <w:r>
        <w:rPr>
          <w:rFonts w:hint="eastAsia" w:ascii="宋体" w:hAnsi="宋体"/>
          <w:b/>
          <w:color w:val="auto"/>
          <w:sz w:val="24"/>
          <w:szCs w:val="24"/>
          <w:highlight w:val="none"/>
        </w:rPr>
        <w:t xml:space="preserve">》为准。</w:t>
      </w:r>
      <w:r/>
    </w:p>
    <w:p>
      <w:pPr>
        <w:pStyle w:val="811"/>
        <w:rPr>
          <w:rFonts w:ascii="宋体" w:hAnsi="宋体"/>
          <w:b/>
          <w:color w:val="auto"/>
          <w:sz w:val="24"/>
          <w:szCs w:val="24"/>
          <w:highlight w:val="none"/>
        </w:rPr>
      </w:pPr>
      <w:r>
        <w:rPr>
          <w:rFonts w:ascii="宋体" w:hAnsi="宋体"/>
          <w:b/>
          <w:color w:val="auto"/>
          <w:sz w:val="24"/>
          <w:szCs w:val="24"/>
          <w:highlight w:val="none"/>
        </w:rPr>
      </w:r>
      <w:r/>
    </w:p>
    <w:p>
      <w:pPr>
        <w:pStyle w:val="812"/>
        <w:rPr>
          <w:rFonts w:ascii="宋体" w:hAnsi="宋体"/>
          <w:b/>
          <w:color w:val="auto"/>
          <w:sz w:val="24"/>
          <w:szCs w:val="24"/>
          <w:highlight w:val="none"/>
        </w:rPr>
      </w:pPr>
      <w:r>
        <w:rPr>
          <w:rFonts w:ascii="宋体" w:hAnsi="宋体"/>
          <w:b/>
          <w:color w:val="auto"/>
          <w:sz w:val="24"/>
          <w:szCs w:val="24"/>
          <w:highlight w:val="none"/>
        </w:rPr>
      </w:r>
      <w:r/>
    </w:p>
    <w:p>
      <w:pPr>
        <w:ind w:left="0" w:firstLine="480"/>
        <w:jc w:val="left"/>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p>
    <w:p>
      <w:pPr>
        <w:ind w:left="0" w:firstLine="480"/>
        <w:spacing w:line="360" w:lineRule="auto"/>
        <w:rPr>
          <w:color w:val="auto"/>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jc w:val="left"/>
        <w:spacing w:line="360" w:lineRule="auto"/>
        <w:rPr>
          <w:rFonts w:ascii="宋体" w:hAnsi="宋体" w:cs="宋体"/>
          <w:color w:val="auto"/>
          <w:sz w:val="24"/>
          <w:szCs w:val="24"/>
          <w:highlight w:val="none"/>
        </w:rPr>
        <w:outlineLvl w:val="1"/>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附件4、法定代表人授权委托书</w:t>
      </w:r>
      <w:bookmarkEnd w:id="74"/>
      <w:r/>
      <w:r/>
    </w:p>
    <w:p>
      <w:pPr>
        <w:ind w:left="0"/>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left="0"/>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法定代表人授权委托书</w:t>
      </w:r>
      <w:r/>
    </w:p>
    <w:p>
      <w:pPr>
        <w:pStyle w:val="811"/>
        <w:rPr>
          <w:rFonts w:ascii="宋体" w:hAnsi="宋体" w:cs="宋体"/>
          <w:color w:val="auto"/>
          <w:highlight w:val="none"/>
        </w:rPr>
      </w:pPr>
      <w:r>
        <w:rPr>
          <w:rFonts w:ascii="宋体" w:hAnsi="宋体" w:cs="宋体"/>
          <w:color w:val="auto"/>
          <w:highlight w:val="none"/>
        </w:rPr>
      </w:r>
      <w:r/>
    </w:p>
    <w:p>
      <w:pPr>
        <w:ind w:left="0"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本授权委托书声明：  我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供应商名称）的法定代表人，现授权委托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（姓名）为我公司授权代表（即代理人），以本公司的名义参</w:t>
      </w:r>
      <w:r>
        <w:rPr>
          <w:rFonts w:hint="eastAsia" w:ascii="宋体" w:hAnsi="宋体" w:cs="宋体"/>
          <w:color w:val="auto"/>
          <w:sz w:val="24"/>
          <w:szCs w:val="24"/>
          <w:highlight w:val="none"/>
          <w:u w:val="single"/>
        </w:rPr>
        <w:t xml:space="preserve">加苏州永正造价师事务所有限公司</w:t>
      </w:r>
      <w:r>
        <w:rPr>
          <w:rFonts w:hint="eastAsia" w:ascii="宋体" w:hAnsi="宋体" w:cs="宋体"/>
          <w:color w:val="auto"/>
          <w:sz w:val="24"/>
          <w:szCs w:val="24"/>
          <w:highlight w:val="none"/>
        </w:rPr>
        <w:t xml:space="preserve">组织实施的编号为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代理人无转委托权。特此委托。</w:t>
      </w:r>
      <w:r/>
    </w:p>
    <w:p>
      <w:pPr>
        <w:ind w:left="0"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left="0" w:firstLine="480"/>
        <w:jc w:val="left"/>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法定代表人：（签字或盖章）</w:t>
      </w:r>
      <w:r/>
    </w:p>
    <w:p>
      <w:pPr>
        <w:ind w:left="0"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jc w:val="left"/>
        <w:rPr>
          <w:rFonts w:ascii="宋体" w:hAnsi="宋体" w:cs="宋体"/>
          <w:color w:val="auto"/>
          <w:sz w:val="24"/>
          <w:szCs w:val="24"/>
          <w:highlight w:val="none"/>
        </w:rPr>
        <w:outlineLvl w:val="1"/>
      </w:pPr>
      <w:r>
        <w:rPr>
          <w:rFonts w:hint="eastAsia" w:ascii="宋体" w:hAnsi="宋体" w:cs="宋体"/>
          <w:b/>
          <w:color w:val="auto"/>
          <w:sz w:val="21"/>
          <w:szCs w:val="21"/>
          <w:highlight w:val="none"/>
        </w:rPr>
        <w:br w:type="page" w:clear="all"/>
      </w:r>
      <w:bookmarkStart w:id="75" w:name="_Toc31308"/>
      <w:r>
        <w:rPr>
          <w:rFonts w:hint="eastAsia" w:ascii="宋体" w:hAnsi="宋体" w:cs="宋体"/>
          <w:b/>
          <w:color w:val="auto"/>
          <w:sz w:val="24"/>
          <w:szCs w:val="24"/>
          <w:highlight w:val="none"/>
        </w:rPr>
        <w:t xml:space="preserve">附件5、关于资格文件的声明函</w:t>
      </w:r>
      <w:bookmarkEnd w:id="75"/>
      <w:r/>
      <w:r/>
    </w:p>
    <w:p>
      <w:pPr>
        <w:ind w:left="0" w:firstLine="420"/>
        <w:jc w:val="center"/>
        <w:rPr>
          <w:rFonts w:ascii="宋体" w:hAnsi="宋体" w:cs="宋体"/>
          <w:b/>
          <w:color w:val="auto"/>
          <w:sz w:val="24"/>
          <w:szCs w:val="24"/>
          <w:highlight w:val="none"/>
        </w:rPr>
      </w:pPr>
      <w:r>
        <w:rPr>
          <w:rFonts w:ascii="宋体" w:hAnsi="宋体" w:cs="宋体"/>
          <w:b/>
          <w:color w:val="auto"/>
          <w:sz w:val="24"/>
          <w:szCs w:val="24"/>
          <w:highlight w:val="none"/>
        </w:rPr>
      </w:r>
      <w:r/>
    </w:p>
    <w:p>
      <w:pPr>
        <w:ind w:left="0" w:firstLine="420"/>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关于资格文件的声明函</w:t>
      </w:r>
      <w:r/>
    </w:p>
    <w:p>
      <w:pPr>
        <w:ind w:left="0" w:firstLine="420"/>
        <w:jc w:val="center"/>
        <w:rPr>
          <w:rFonts w:ascii="宋体" w:hAnsi="宋体" w:cs="宋体"/>
          <w:color w:val="auto"/>
          <w:sz w:val="24"/>
          <w:szCs w:val="24"/>
          <w:highlight w:val="none"/>
        </w:rPr>
      </w:pPr>
      <w:r>
        <w:rPr>
          <w:rFonts w:ascii="宋体" w:hAnsi="宋体" w:cs="宋体"/>
          <w:color w:val="auto"/>
          <w:sz w:val="24"/>
          <w:szCs w:val="24"/>
          <w:highlight w:val="none"/>
        </w:rPr>
      </w:r>
      <w:r/>
    </w:p>
    <w:p>
      <w:pPr>
        <w:ind w:left="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苏州永正造价师事务所有限公司</w:t>
      </w:r>
      <w:r>
        <w:rPr>
          <w:rFonts w:hint="eastAsia" w:ascii="宋体" w:hAnsi="宋体" w:cs="宋体"/>
          <w:color w:val="auto"/>
          <w:sz w:val="24"/>
          <w:szCs w:val="24"/>
          <w:highlight w:val="none"/>
        </w:rPr>
        <w:t xml:space="preserve">：</w:t>
      </w: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left="0"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left="0" w:right="-200"/>
        <w:jc w:val="left"/>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p>
    <w:p>
      <w:pPr>
        <w:ind w:left="0" w:right="300"/>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jc w:val="left"/>
        <w:spacing w:line="360" w:lineRule="auto"/>
        <w:rPr>
          <w:rFonts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76" w:name="_Toc30056"/>
      <w:r>
        <w:rPr>
          <w:rFonts w:hint="eastAsia" w:ascii="宋体" w:hAnsi="宋体" w:cs="宋体"/>
          <w:b/>
          <w:color w:val="auto"/>
          <w:sz w:val="24"/>
          <w:szCs w:val="24"/>
          <w:highlight w:val="none"/>
        </w:rPr>
        <w:t xml:space="preserve">附件6、磋商响应单位基本情况表</w:t>
      </w:r>
      <w:bookmarkEnd w:id="76"/>
      <w:r/>
      <w:r/>
    </w:p>
    <w:p>
      <w:pPr>
        <w:ind w:left="0"/>
        <w:jc w:val="center"/>
        <w:spacing w:line="360" w:lineRule="auto"/>
        <w:rPr>
          <w:rFonts w:ascii="宋体" w:hAnsi="宋体" w:cs="宋体"/>
          <w:color w:val="auto"/>
          <w:sz w:val="21"/>
          <w:szCs w:val="21"/>
          <w:highlight w:val="none"/>
        </w:rPr>
      </w:pPr>
      <w:r>
        <w:rPr>
          <w:rFonts w:hint="eastAsia" w:ascii="宋体" w:hAnsi="宋体" w:cs="宋体"/>
          <w:b/>
          <w:color w:val="auto"/>
          <w:sz w:val="24"/>
          <w:szCs w:val="24"/>
          <w:highlight w:val="none"/>
        </w:rPr>
        <w:t xml:space="preserve">磋商响应单位基本情况表</w:t>
      </w:r>
      <w:r/>
    </w:p>
    <w:tbl>
      <w:tblPr>
        <w:tblStyle w:val="785"/>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法定代表人</w:t>
            </w:r>
            <w:r/>
          </w:p>
        </w:tc>
        <w:tc>
          <w:tcPr>
            <w:tcW w:w="2005"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c>
          <w:tcPr>
            <w:tcW w:w="1461"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成立日期</w:t>
            </w:r>
            <w:r/>
          </w:p>
        </w:tc>
        <w:tc>
          <w:tcPr>
            <w:gridSpan w:val="2"/>
            <w:tcW w:w="3292"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企业地址</w:t>
            </w:r>
            <w:r/>
          </w:p>
        </w:tc>
        <w:tc>
          <w:tcPr>
            <w:tcW w:w="2005"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c>
          <w:tcPr>
            <w:tcW w:w="1461"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注册资本</w:t>
            </w:r>
            <w:r/>
          </w:p>
        </w:tc>
        <w:tc>
          <w:tcPr>
            <w:gridSpan w:val="2"/>
            <w:tcW w:w="3292" w:type="dxa"/>
            <w:textDirection w:val="lrTb"/>
            <w:noWrap w:val="false"/>
          </w:tcPr>
          <w:p>
            <w:pPr>
              <w:pStyle w:val="1034"/>
              <w:ind w:left="0" w:firstLine="120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万元</w:t>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经营范围</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职工人数</w:t>
            </w:r>
            <w:r/>
          </w:p>
        </w:tc>
        <w:tc>
          <w:tcPr>
            <w:tcW w:w="2005"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c>
          <w:tcPr>
            <w:gridSpan w:val="2"/>
            <w:tcW w:w="3517"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其中：有中高级以上职称的人数</w:t>
            </w:r>
            <w:r/>
          </w:p>
        </w:tc>
        <w:tc>
          <w:tcPr>
            <w:tcW w:w="1236"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vAlign w:val="center"/>
            <w:textDirection w:val="lrTb"/>
            <w:noWrap w:val="false"/>
          </w:tcPr>
          <w:p>
            <w:pPr>
              <w:pStyle w:val="1034"/>
              <w:ind w:left="0" w:firstLine="0"/>
              <w:jc w:val="both"/>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资产总计</w:t>
            </w:r>
            <w:r/>
          </w:p>
        </w:tc>
        <w:tc>
          <w:tcPr>
            <w:tcW w:w="2005" w:type="dxa"/>
            <w:vAlign w:val="center"/>
            <w:textDirection w:val="lrTb"/>
            <w:noWrap w:val="false"/>
          </w:tcPr>
          <w:p>
            <w:pPr>
              <w:pStyle w:val="1034"/>
              <w:ind w:left="0" w:firstLine="0"/>
              <w:jc w:val="center"/>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         万元</w:t>
            </w:r>
            <w:r/>
          </w:p>
        </w:tc>
        <w:tc>
          <w:tcPr>
            <w:tcW w:w="1461" w:type="dxa"/>
            <w:vAlign w:val="center"/>
            <w:textDirection w:val="lrTb"/>
            <w:noWrap w:val="false"/>
          </w:tcPr>
          <w:p>
            <w:pPr>
              <w:pStyle w:val="1034"/>
              <w:ind w:left="0" w:firstLine="0"/>
              <w:jc w:val="both"/>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净资产</w:t>
            </w:r>
            <w:r/>
          </w:p>
        </w:tc>
        <w:tc>
          <w:tcPr>
            <w:gridSpan w:val="2"/>
            <w:tcW w:w="3292" w:type="dxa"/>
            <w:vAlign w:val="center"/>
            <w:textDirection w:val="lrTb"/>
            <w:noWrap w:val="false"/>
          </w:tcPr>
          <w:p>
            <w:pPr>
              <w:pStyle w:val="1034"/>
              <w:ind w:left="0" w:firstLine="0"/>
              <w:jc w:val="center"/>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                万元</w:t>
            </w:r>
            <w:r/>
          </w:p>
        </w:tc>
      </w:tr>
      <w:tr>
        <w:trPr>
          <w:cantSplit/>
        </w:trPr>
        <w:tc>
          <w:tcPr>
            <w:tcW w:w="2510" w:type="dxa"/>
            <w:vAlign w:val="center"/>
            <w:textDirection w:val="lrTb"/>
            <w:noWrap w:val="false"/>
          </w:tcPr>
          <w:p>
            <w:pPr>
              <w:pStyle w:val="1034"/>
              <w:ind w:left="0" w:firstLine="0"/>
              <w:jc w:val="both"/>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股东权益</w:t>
            </w:r>
            <w:r/>
          </w:p>
        </w:tc>
        <w:tc>
          <w:tcPr>
            <w:tcW w:w="2005" w:type="dxa"/>
            <w:vAlign w:val="center"/>
            <w:textDirection w:val="lrTb"/>
            <w:noWrap w:val="false"/>
          </w:tcPr>
          <w:p>
            <w:pPr>
              <w:pStyle w:val="1034"/>
              <w:ind w:left="0" w:firstLine="0"/>
              <w:jc w:val="center"/>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         万元</w:t>
            </w:r>
            <w:r/>
          </w:p>
        </w:tc>
        <w:tc>
          <w:tcPr>
            <w:tcW w:w="1461" w:type="dxa"/>
            <w:vAlign w:val="center"/>
            <w:textDirection w:val="lrTb"/>
            <w:noWrap w:val="false"/>
          </w:tcPr>
          <w:p>
            <w:pPr>
              <w:pStyle w:val="1034"/>
              <w:ind w:left="0" w:firstLine="0"/>
              <w:jc w:val="both"/>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销售收入</w:t>
            </w:r>
            <w:r/>
          </w:p>
        </w:tc>
        <w:tc>
          <w:tcPr>
            <w:gridSpan w:val="2"/>
            <w:tcW w:w="3292" w:type="dxa"/>
            <w:vAlign w:val="center"/>
            <w:textDirection w:val="lrTb"/>
            <w:noWrap w:val="false"/>
          </w:tcPr>
          <w:p>
            <w:pPr>
              <w:pStyle w:val="1034"/>
              <w:ind w:left="0" w:firstLine="0"/>
              <w:jc w:val="center"/>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2024年          万元</w:t>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实现利润</w:t>
            </w:r>
            <w:r/>
          </w:p>
        </w:tc>
        <w:tc>
          <w:tcPr>
            <w:tcW w:w="2005"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202</w:t>
            </w:r>
            <w:r>
              <w:rPr>
                <w:rStyle w:val="1033"/>
                <w:rFonts w:ascii="宋体" w:hAnsi="宋体" w:cs="宋体"/>
                <w:color w:val="auto"/>
                <w:szCs w:val="24"/>
                <w:highlight w:val="none"/>
              </w:rPr>
              <w:t xml:space="preserve">4</w:t>
            </w:r>
            <w:r>
              <w:rPr>
                <w:rStyle w:val="1033"/>
                <w:rFonts w:hint="eastAsia" w:ascii="宋体" w:hAnsi="宋体" w:cs="宋体"/>
                <w:color w:val="auto"/>
                <w:szCs w:val="24"/>
                <w:highlight w:val="none"/>
              </w:rPr>
              <w:t xml:space="preserve">年    万元</w:t>
            </w:r>
            <w:r/>
          </w:p>
        </w:tc>
        <w:tc>
          <w:tcPr>
            <w:tcW w:w="1461"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c>
          <w:tcPr>
            <w:gridSpan w:val="2"/>
            <w:tcW w:w="3292"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营业面积（含厂房面积）</w:t>
            </w:r>
            <w:r/>
          </w:p>
        </w:tc>
        <w:tc>
          <w:tcPr>
            <w:tcW w:w="2005" w:type="dxa"/>
            <w:vAlign w:val="center"/>
            <w:textDirection w:val="lrTb"/>
            <w:noWrap w:val="false"/>
          </w:tcPr>
          <w:p>
            <w:pPr>
              <w:pStyle w:val="1034"/>
              <w:ind w:left="0" w:firstLine="0"/>
              <w:jc w:val="both"/>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        平方米</w:t>
            </w:r>
            <w:r/>
          </w:p>
        </w:tc>
        <w:tc>
          <w:tcPr>
            <w:tcW w:w="1461"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其中：</w:t>
            </w:r>
            <w:r/>
          </w:p>
        </w:tc>
        <w:tc>
          <w:tcPr>
            <w:gridSpan w:val="2"/>
            <w:tcW w:w="3292"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自有面积         平方米</w:t>
            </w:r>
            <w:r/>
          </w:p>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承租面积         平方米</w:t>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单位简历及内设机构情况</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单位优势及特长</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近三年来完成或正在履行的重大合同情况</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最近3年内在经营过程中受到何种奖励或处分（包括情况和结果）</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最近3年内有无因售假、售劣或是其他原因被消费者投诉或起诉的情况及说明（包括解决方式和结果）</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最近3年内主要负责人有无因经济犯罪被司法机关追究的情况及说明</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获得技术认证的工程师及简介</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r>
        <w:trPr>
          <w:cantSplit/>
          <w:trHeight w:val="560"/>
        </w:trPr>
        <w:tc>
          <w:tcPr>
            <w:tcW w:w="2510" w:type="dxa"/>
            <w:textDirection w:val="lrTb"/>
            <w:noWrap w:val="false"/>
          </w:tcPr>
          <w:p>
            <w:pPr>
              <w:pStyle w:val="1034"/>
              <w:ind w:left="0" w:firstLine="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其他需要说明的情况</w:t>
            </w:r>
            <w:r/>
          </w:p>
        </w:tc>
        <w:tc>
          <w:tcPr>
            <w:gridSpan w:val="4"/>
            <w:tcW w:w="6758" w:type="dxa"/>
            <w:textDirection w:val="lrTb"/>
            <w:noWrap w:val="false"/>
          </w:tcPr>
          <w:p>
            <w:pPr>
              <w:pStyle w:val="1034"/>
              <w:ind w:left="0" w:firstLine="0"/>
              <w:widowControl w:val="off"/>
              <w:rPr>
                <w:rStyle w:val="1033"/>
                <w:rFonts w:ascii="宋体" w:hAnsi="宋体" w:cs="宋体"/>
                <w:color w:val="auto"/>
                <w:szCs w:val="24"/>
                <w:highlight w:val="none"/>
              </w:rPr>
            </w:pPr>
            <w:r>
              <w:rPr>
                <w:rFonts w:ascii="宋体" w:hAnsi="宋体" w:cs="宋体"/>
                <w:color w:val="auto"/>
                <w:szCs w:val="24"/>
                <w:highlight w:val="none"/>
              </w:rPr>
            </w:r>
            <w:r/>
          </w:p>
        </w:tc>
      </w:tr>
    </w:tbl>
    <w:p>
      <w:pPr>
        <w:ind w:left="0" w:firstLine="315"/>
        <w:jc w:val="lef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left"/>
        <w:spacing w:line="360" w:lineRule="auto"/>
        <w:widowControl w:val="off"/>
        <w:rPr>
          <w:rFonts w:ascii="宋体" w:hAnsi="宋体" w:cs="宋体"/>
          <w:color w:val="auto"/>
          <w:sz w:val="24"/>
          <w:szCs w:val="24"/>
          <w:highlight w:val="none"/>
        </w:rPr>
      </w:pPr>
      <w:r/>
      <w:bookmarkStart w:id="77" w:name="_Toc241"/>
      <w:r/>
      <w:bookmarkStart w:id="78" w:name="_Toc7945"/>
      <w:r/>
      <w:r/>
    </w:p>
    <w:p>
      <w:pPr>
        <w:ind w:left="0" w:right="-200"/>
        <w:jc w:val="left"/>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zh-CN"/>
        </w:rPr>
        <w:t xml:space="preserve"> </w:t>
      </w:r>
      <w:r/>
    </w:p>
    <w:p>
      <w:pPr>
        <w:ind w:left="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p>
    <w:p>
      <w:pPr>
        <w:ind w:left="0" w:right="300"/>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right="300" w:firstLine="840"/>
        <w:jc w:val="right"/>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bookmarkEnd w:id="77"/>
      <w:r/>
      <w:bookmarkEnd w:id="78"/>
      <w:r/>
      <w:r/>
    </w:p>
    <w:p>
      <w:pPr>
        <w:ind w:left="0"/>
        <w:rPr>
          <w:rFonts w:ascii="宋体" w:hAnsi="宋体" w:cs="宋体"/>
          <w:color w:val="auto"/>
          <w:sz w:val="21"/>
          <w:szCs w:val="21"/>
          <w:highlight w:val="none"/>
        </w:rPr>
      </w:pPr>
      <w:r>
        <w:rPr>
          <w:rFonts w:ascii="宋体" w:hAnsi="宋体" w:cs="宋体"/>
          <w:color w:val="auto"/>
          <w:sz w:val="21"/>
          <w:szCs w:val="21"/>
          <w:highlight w:val="none"/>
        </w:rPr>
      </w:r>
      <w:r/>
    </w:p>
    <w:p>
      <w:pPr>
        <w:pStyle w:val="1034"/>
        <w:ind w:left="0" w:firstLine="0"/>
        <w:jc w:val="both"/>
        <w:widowControl w:val="off"/>
        <w:rPr>
          <w:rStyle w:val="1033"/>
          <w:rFonts w:ascii="宋体" w:hAnsi="宋体" w:cs="宋体"/>
          <w:b/>
          <w:color w:val="auto"/>
          <w:szCs w:val="24"/>
          <w:highlight w:val="none"/>
        </w:rPr>
        <w:outlineLvl w:val="1"/>
      </w:pPr>
      <w:r/>
      <w:bookmarkStart w:id="79" w:name="_Toc19621"/>
      <w:r/>
      <w:bookmarkStart w:id="80" w:name="_Toc21574"/>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附件</w:t>
      </w:r>
      <w:r>
        <w:rPr>
          <w:rStyle w:val="1033"/>
          <w:rFonts w:hint="eastAsia" w:ascii="宋体" w:hAnsi="宋体" w:cs="宋体"/>
          <w:b/>
          <w:bCs/>
          <w:color w:val="auto"/>
          <w:szCs w:val="24"/>
          <w:highlight w:val="none"/>
        </w:rPr>
        <w:t xml:space="preserve">7、服务要求偏离表</w:t>
      </w:r>
      <w:r/>
    </w:p>
    <w:p>
      <w:pPr>
        <w:ind w:left="0"/>
        <w:jc w:val="center"/>
        <w:spacing w:line="360" w:lineRule="auto"/>
        <w:widowControl w:val="off"/>
        <w:rPr>
          <w:rStyle w:val="1033"/>
          <w:rFonts w:ascii="宋体" w:hAnsi="宋体" w:cs="宋体"/>
          <w:b/>
          <w:color w:val="auto"/>
          <w:sz w:val="24"/>
          <w:szCs w:val="24"/>
          <w:highlight w:val="none"/>
        </w:rPr>
      </w:pPr>
      <w:r>
        <w:rPr>
          <w:rStyle w:val="1033"/>
          <w:rFonts w:hint="eastAsia" w:ascii="宋体" w:hAnsi="宋体" w:cs="宋体"/>
          <w:b/>
          <w:color w:val="auto"/>
          <w:sz w:val="24"/>
          <w:szCs w:val="24"/>
          <w:highlight w:val="none"/>
        </w:rPr>
        <w:t xml:space="preserve">服务要求偏离表</w:t>
      </w:r>
      <w:r/>
    </w:p>
    <w:p>
      <w:pP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bl>
      <w:tblPr>
        <w:tblStyle w:val="785"/>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序号</w:t>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项目名称</w:t>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采购要求</w:t>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响应要求</w:t>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偏离/响应</w:t>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说明</w:t>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bl>
    <w:p>
      <w:pPr>
        <w:ind w:left="0" w:firstLine="482"/>
        <w:widowControl w:val="off"/>
        <w:rPr>
          <w:rStyle w:val="1033"/>
          <w:rFonts w:ascii="宋体" w:hAnsi="宋体" w:cs="宋体"/>
          <w:b/>
          <w:color w:val="auto"/>
          <w:sz w:val="24"/>
          <w:szCs w:val="24"/>
          <w:highlight w:val="none"/>
        </w:rPr>
      </w:pPr>
      <w:r>
        <w:rPr>
          <w:rStyle w:val="1033"/>
          <w:rFonts w:hint="eastAsia" w:ascii="宋体" w:hAnsi="宋体" w:cs="宋体"/>
          <w:b/>
          <w:color w:val="auto"/>
          <w:sz w:val="24"/>
          <w:szCs w:val="24"/>
          <w:highlight w:val="none"/>
        </w:rPr>
        <w:t xml:space="preserve">注：1.响应人应对照磋商文件服务要求等要求，所投标的物与磋商文件的规定有偏离的，应在此表中申明与服务要求条文的偏差和例外。</w:t>
      </w:r>
      <w:r/>
    </w:p>
    <w:p>
      <w:pPr>
        <w:ind w:left="0" w:firstLine="482"/>
        <w:widowControl w:val="off"/>
        <w:rPr>
          <w:rStyle w:val="1033"/>
          <w:rFonts w:ascii="宋体" w:hAnsi="宋体" w:cs="宋体"/>
          <w:color w:val="auto"/>
          <w:sz w:val="24"/>
          <w:szCs w:val="24"/>
          <w:highlight w:val="none"/>
        </w:rPr>
      </w:pPr>
      <w:r>
        <w:rPr>
          <w:rStyle w:val="1033"/>
          <w:rFonts w:hint="eastAsia" w:ascii="宋体" w:hAnsi="宋体" w:cs="宋体"/>
          <w:b/>
          <w:color w:val="auto"/>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p>
    <w:p>
      <w:pP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p>
      <w:pPr>
        <w:pStyle w:val="1027"/>
        <w:ind w:firstLine="480"/>
        <w:rPr>
          <w:rFonts w:hAnsi="宋体" w:cs="宋体"/>
          <w:color w:val="auto"/>
          <w:highlight w:val="none"/>
        </w:rPr>
      </w:pPr>
      <w:r>
        <w:rPr>
          <w:rFonts w:hAnsi="宋体" w:cs="宋体"/>
          <w:color w:val="auto"/>
          <w:highlight w:val="none"/>
        </w:rPr>
      </w:r>
      <w:r/>
    </w:p>
    <w:p>
      <w:pP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供应商：（盖章）</w:t>
      </w:r>
      <w:r/>
    </w:p>
    <w:p>
      <w:pP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法定代表人或代理人：（签字或盖章）</w:t>
      </w:r>
      <w:r/>
    </w:p>
    <w:p>
      <w:pPr>
        <w:spacing w:line="360" w:lineRule="auto"/>
        <w:widowControl w:val="off"/>
        <w:rPr>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日期：      年    月    日</w:t>
      </w:r>
      <w:r/>
    </w:p>
    <w:p>
      <w:pPr>
        <w:pStyle w:val="1034"/>
        <w:ind w:left="0" w:firstLine="0"/>
        <w:widowControl w:val="off"/>
        <w:rPr>
          <w:rStyle w:val="1033"/>
          <w:rFonts w:ascii="宋体" w:hAnsi="宋体" w:cs="宋体"/>
          <w:b/>
          <w:color w:val="auto"/>
          <w:szCs w:val="24"/>
          <w:highlight w:val="none"/>
        </w:rPr>
        <w:outlineLvl w:val="1"/>
      </w:pPr>
      <w:r>
        <w:rPr>
          <w:rStyle w:val="1033"/>
          <w:rFonts w:hint="eastAsia" w:ascii="宋体" w:hAnsi="宋体" w:cs="宋体"/>
          <w:b/>
          <w:color w:val="auto"/>
          <w:szCs w:val="24"/>
          <w:highlight w:val="none"/>
        </w:rPr>
        <w:br w:type="page" w:clear="all"/>
      </w:r>
      <w:bookmarkStart w:id="81" w:name="_Toc6051"/>
      <w:r>
        <w:rPr>
          <w:rStyle w:val="1033"/>
          <w:rFonts w:hint="eastAsia" w:ascii="宋体" w:hAnsi="宋体" w:cs="宋体"/>
          <w:b/>
          <w:color w:val="auto"/>
          <w:szCs w:val="24"/>
          <w:highlight w:val="none"/>
        </w:rPr>
        <w:t xml:space="preserve">附件8、商务条款偏离表</w:t>
      </w:r>
      <w:bookmarkEnd w:id="81"/>
      <w:r/>
      <w:r/>
    </w:p>
    <w:p>
      <w:pPr>
        <w:pStyle w:val="1036"/>
        <w:ind w:left="0" w:firstLine="0"/>
        <w:jc w:val="center"/>
        <w:widowControl w:val="off"/>
        <w:rPr>
          <w:rStyle w:val="1033"/>
          <w:rFonts w:ascii="宋体" w:hAnsi="宋体" w:cs="宋体"/>
          <w:b/>
          <w:color w:val="auto"/>
          <w:highlight w:val="none"/>
        </w:rPr>
      </w:pPr>
      <w:r>
        <w:rPr>
          <w:rStyle w:val="1033"/>
          <w:rFonts w:hint="eastAsia" w:ascii="宋体" w:hAnsi="宋体" w:cs="宋体"/>
          <w:b/>
          <w:color w:val="auto"/>
          <w:highlight w:val="none"/>
        </w:rPr>
        <w:t xml:space="preserve">商务条款偏离表</w:t>
      </w:r>
      <w:r/>
    </w:p>
    <w:p>
      <w:pP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bl>
      <w:tblPr>
        <w:tblStyle w:val="785"/>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序号</w:t>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磋商文件条目号</w:t>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磋商文件的商务条款</w:t>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响应文件的商务条款</w:t>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说明</w:t>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bl>
    <w:p>
      <w:pPr>
        <w:pStyle w:val="1036"/>
        <w:spacing w:line="240" w:lineRule="auto"/>
        <w:widowControl w:val="off"/>
        <w:rPr>
          <w:rStyle w:val="1033"/>
          <w:rFonts w:ascii="宋体" w:hAnsi="宋体" w:cs="宋体"/>
          <w:b/>
          <w:color w:val="auto"/>
          <w:highlight w:val="none"/>
        </w:rPr>
      </w:pPr>
      <w:r>
        <w:rPr>
          <w:rStyle w:val="1033"/>
          <w:rFonts w:hint="eastAsia" w:ascii="宋体" w:hAnsi="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p>
    <w:p>
      <w:pPr>
        <w:ind w:firstLine="480"/>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p>
      <w:pPr>
        <w:pStyle w:val="1036"/>
        <w:widowControl w:val="off"/>
        <w:rPr>
          <w:rStyle w:val="1033"/>
          <w:rFonts w:ascii="宋体" w:hAnsi="宋体" w:cs="宋体"/>
          <w:color w:val="auto"/>
          <w:highlight w:val="none"/>
        </w:rPr>
      </w:pPr>
      <w:r>
        <w:rPr>
          <w:rStyle w:val="1033"/>
          <w:rFonts w:hint="eastAsia" w:ascii="宋体" w:hAnsi="宋体" w:cs="宋体"/>
          <w:color w:val="auto"/>
          <w:highlight w:val="none"/>
        </w:rPr>
        <w:t xml:space="preserve">供应商：（盖章）</w:t>
      </w:r>
      <w:r/>
    </w:p>
    <w:p>
      <w:pPr>
        <w:pStyle w:val="1036"/>
        <w:widowControl w:val="off"/>
        <w:rPr>
          <w:rStyle w:val="1033"/>
          <w:rFonts w:ascii="宋体" w:hAnsi="宋体" w:cs="宋体"/>
          <w:color w:val="auto"/>
          <w:highlight w:val="none"/>
        </w:rPr>
      </w:pPr>
      <w:r>
        <w:rPr>
          <w:rStyle w:val="1033"/>
          <w:rFonts w:hint="eastAsia" w:ascii="宋体" w:hAnsi="宋体" w:cs="宋体"/>
          <w:color w:val="auto"/>
          <w:highlight w:val="none"/>
        </w:rPr>
        <w:t xml:space="preserve">法定代表人或代理人：（签字或盖章）</w:t>
      </w:r>
      <w:r/>
    </w:p>
    <w:p>
      <w:pPr>
        <w:pStyle w:val="1036"/>
        <w:widowControl w:val="off"/>
        <w:rPr>
          <w:rStyle w:val="1033"/>
          <w:rFonts w:ascii="宋体" w:hAnsi="宋体" w:cs="宋体"/>
          <w:color w:val="auto"/>
          <w:sz w:val="21"/>
          <w:szCs w:val="21"/>
          <w:highlight w:val="none"/>
        </w:rPr>
      </w:pPr>
      <w:r>
        <w:rPr>
          <w:rStyle w:val="1033"/>
          <w:rFonts w:hint="eastAsia" w:ascii="宋体" w:hAnsi="宋体" w:cs="宋体"/>
          <w:color w:val="auto"/>
          <w:highlight w:val="none"/>
        </w:rPr>
        <w:t xml:space="preserve">日期：      年    月    日</w:t>
      </w:r>
      <w:r/>
    </w:p>
    <w:p>
      <w:pPr>
        <w:pStyle w:val="1034"/>
        <w:ind w:left="0" w:firstLine="0"/>
        <w:jc w:val="both"/>
        <w:spacing w:line="360" w:lineRule="auto"/>
        <w:widowControl w:val="off"/>
        <w:rPr>
          <w:rStyle w:val="1033"/>
          <w:rFonts w:ascii="宋体" w:hAnsi="宋体" w:cs="宋体"/>
          <w:b/>
          <w:color w:val="auto"/>
          <w:szCs w:val="24"/>
          <w:highlight w:val="none"/>
        </w:rPr>
        <w:outlineLvl w:val="1"/>
      </w:pPr>
      <w:r>
        <w:rPr>
          <w:rStyle w:val="1033"/>
          <w:rFonts w:hint="eastAsia" w:ascii="宋体" w:hAnsi="宋体" w:cs="宋体"/>
          <w:b/>
          <w:color w:val="auto"/>
          <w:sz w:val="21"/>
          <w:szCs w:val="21"/>
          <w:highlight w:val="none"/>
        </w:rPr>
        <w:br w:type="page" w:clear="all"/>
      </w:r>
      <w:bookmarkStart w:id="82" w:name="_Toc23227"/>
      <w:r/>
      <w:bookmarkStart w:id="83" w:name="_Toc5258"/>
      <w:r>
        <w:rPr>
          <w:rStyle w:val="1033"/>
          <w:rFonts w:hint="eastAsia" w:ascii="宋体" w:hAnsi="宋体" w:cs="宋体"/>
          <w:b/>
          <w:color w:val="auto"/>
          <w:szCs w:val="24"/>
          <w:highlight w:val="none"/>
        </w:rPr>
        <w:t xml:space="preserve">附件9</w:t>
      </w:r>
      <w:r>
        <w:rPr>
          <w:rStyle w:val="1033"/>
          <w:rFonts w:hint="eastAsia" w:ascii="宋体" w:hAnsi="宋体" w:cs="宋体"/>
          <w:b/>
          <w:bCs/>
          <w:color w:val="auto"/>
          <w:szCs w:val="24"/>
          <w:highlight w:val="none"/>
        </w:rPr>
        <w:t xml:space="preserve">、</w:t>
      </w:r>
      <w:r>
        <w:rPr>
          <w:rStyle w:val="1033"/>
          <w:rFonts w:hint="eastAsia" w:ascii="宋体" w:hAnsi="宋体" w:cs="宋体"/>
          <w:b/>
          <w:color w:val="auto"/>
          <w:szCs w:val="24"/>
          <w:highlight w:val="none"/>
        </w:rPr>
        <w:t xml:space="preserve">实施方案</w:t>
      </w:r>
      <w:r/>
    </w:p>
    <w:p>
      <w:pPr>
        <w:pStyle w:val="1034"/>
        <w:ind w:left="0" w:firstLine="0"/>
        <w:jc w:val="center"/>
        <w:spacing w:line="360" w:lineRule="auto"/>
        <w:widowControl w:val="off"/>
        <w:rPr>
          <w:rStyle w:val="1033"/>
          <w:rFonts w:ascii="宋体" w:hAnsi="宋体" w:cs="宋体"/>
          <w:b/>
          <w:color w:val="auto"/>
          <w:szCs w:val="24"/>
          <w:highlight w:val="none"/>
        </w:rPr>
      </w:pPr>
      <w:r>
        <w:rPr>
          <w:rStyle w:val="1033"/>
          <w:rFonts w:hint="eastAsia" w:ascii="宋体" w:hAnsi="宋体" w:cs="宋体"/>
          <w:b/>
          <w:color w:val="auto"/>
          <w:szCs w:val="24"/>
          <w:highlight w:val="none"/>
        </w:rPr>
        <w:t xml:space="preserve">实施方案</w:t>
      </w:r>
      <w:r/>
    </w:p>
    <w:tbl>
      <w:tblPr>
        <w:tblStyle w:val="785"/>
        <w:tblW w:w="848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W w:w="8482" w:type="dxa"/>
            <w:textDirection w:val="lrTb"/>
            <w:noWrap w:val="false"/>
          </w:tcPr>
          <w:p>
            <w:pPr>
              <w:pStyle w:val="1042"/>
              <w:ind w:left="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提示：</w:t>
            </w:r>
            <w:r/>
          </w:p>
          <w:p>
            <w:pPr>
              <w:pStyle w:val="1042"/>
              <w:ind w:left="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1.供应商应根据本次采购项目要求，对所投服务进行详细的说明与描述。</w:t>
            </w:r>
            <w:r/>
          </w:p>
          <w:p>
            <w:pPr>
              <w:pStyle w:val="1042"/>
              <w:ind w:left="0"/>
              <w:widowControl w:val="off"/>
              <w:rPr>
                <w:rStyle w:val="1033"/>
                <w:rFonts w:hAnsi="宋体" w:cs="宋体"/>
                <w:color w:val="auto"/>
                <w:sz w:val="24"/>
                <w:szCs w:val="24"/>
                <w:highlight w:val="none"/>
              </w:rPr>
            </w:pPr>
            <w:r>
              <w:rPr>
                <w:rStyle w:val="1033"/>
                <w:rFonts w:hint="eastAsia" w:hAnsi="宋体" w:cs="宋体"/>
                <w:color w:val="auto"/>
                <w:sz w:val="24"/>
                <w:szCs w:val="24"/>
                <w:highlight w:val="none"/>
              </w:rPr>
              <w:t xml:space="preserve">2.供应商可根据自身情况编写，本页不够可另加页附后。</w:t>
            </w:r>
            <w:r/>
          </w:p>
        </w:tc>
      </w:tr>
      <w:tr>
        <w:trPr>
          <w:jc w:val="center"/>
          <w:trHeight w:val="8913"/>
        </w:trPr>
        <w:tc>
          <w:tcPr>
            <w:tcW w:w="8482" w:type="dxa"/>
            <w:vAlign w:val="bottom"/>
            <w:textDirection w:val="lrTb"/>
            <w:noWrap w:val="false"/>
          </w:tcPr>
          <w:p>
            <w:pPr>
              <w:ind w:left="0" w:firstLine="240"/>
              <w:widowControl w:val="off"/>
              <w:tabs>
                <w:tab w:val="left" w:pos="1320" w:leader="none"/>
              </w:tabs>
              <w:rPr>
                <w:rStyle w:val="1033"/>
                <w:rFonts w:ascii="宋体" w:hAnsi="宋体" w:cs="宋体"/>
                <w:color w:val="auto"/>
                <w:sz w:val="24"/>
                <w:szCs w:val="24"/>
                <w:highlight w:val="none"/>
                <w:u w:val="single"/>
              </w:rPr>
            </w:pPr>
            <w:r>
              <w:rPr>
                <w:rFonts w:ascii="宋体" w:hAnsi="宋体" w:cs="宋体"/>
                <w:color w:val="auto"/>
                <w:sz w:val="24"/>
                <w:szCs w:val="24"/>
                <w:highlight w:val="none"/>
                <w:u w:val="single"/>
              </w:rPr>
            </w:r>
            <w:r/>
          </w:p>
        </w:tc>
      </w:tr>
    </w:tbl>
    <w:p>
      <w:pPr>
        <w:pStyle w:val="1034"/>
        <w:ind w:firstLine="0"/>
        <w:widowControl w:val="off"/>
        <w:rPr>
          <w:rStyle w:val="1033"/>
          <w:rFonts w:ascii="宋体" w:hAnsi="宋体" w:cs="宋体"/>
          <w:b/>
          <w:color w:val="auto"/>
          <w:szCs w:val="24"/>
          <w:highlight w:val="none"/>
        </w:rPr>
      </w:pPr>
      <w:r>
        <w:rPr>
          <w:rFonts w:ascii="宋体" w:hAnsi="宋体" w:cs="宋体"/>
          <w:b/>
          <w:color w:val="auto"/>
          <w:szCs w:val="24"/>
          <w:highlight w:val="none"/>
        </w:rPr>
      </w:r>
      <w:r/>
    </w:p>
    <w:p>
      <w:pPr>
        <w:ind w:firstLine="480"/>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供应商：（盖章）</w:t>
      </w:r>
      <w:r/>
    </w:p>
    <w:p>
      <w:pPr>
        <w:ind w:firstLine="480"/>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法定代表人或代理人：（签字或盖章）</w:t>
      </w:r>
      <w:r/>
    </w:p>
    <w:p>
      <w:pPr>
        <w:ind w:firstLine="480"/>
        <w:spacing w:line="360" w:lineRule="auto"/>
        <w:widowControl w:val="off"/>
        <w:rPr>
          <w:rStyle w:val="1033"/>
          <w:rFonts w:ascii="宋体" w:hAnsi="宋体" w:cs="宋体"/>
          <w:b/>
          <w:color w:val="auto"/>
          <w:sz w:val="24"/>
          <w:szCs w:val="24"/>
          <w:highlight w:val="none"/>
        </w:rPr>
      </w:pPr>
      <w:r>
        <w:rPr>
          <w:rStyle w:val="1033"/>
          <w:rFonts w:hint="eastAsia" w:ascii="宋体" w:hAnsi="宋体" w:cs="宋体"/>
          <w:color w:val="auto"/>
          <w:sz w:val="24"/>
          <w:szCs w:val="24"/>
          <w:highlight w:val="none"/>
        </w:rPr>
        <w:t xml:space="preserve">日期：      年    月    日</w:t>
      </w:r>
      <w:r/>
    </w:p>
    <w:p>
      <w:pPr>
        <w:pStyle w:val="1036"/>
        <w:ind w:left="0" w:firstLine="0"/>
        <w:widowControl w:val="off"/>
        <w:rPr>
          <w:rStyle w:val="1033"/>
          <w:rFonts w:ascii="宋体" w:hAnsi="宋体" w:cs="宋体"/>
          <w:color w:val="auto"/>
          <w:szCs w:val="24"/>
          <w:highlight w:val="none"/>
        </w:rPr>
        <w:outlineLvl w:val="1"/>
      </w:pPr>
      <w:r>
        <w:rPr>
          <w:rStyle w:val="1033"/>
          <w:rFonts w:hint="eastAsia" w:ascii="宋体" w:hAnsi="宋体" w:cs="宋体"/>
          <w:b/>
          <w:color w:val="auto"/>
          <w:szCs w:val="24"/>
          <w:highlight w:val="none"/>
        </w:rPr>
        <w:br w:type="page" w:clear="all"/>
      </w:r>
      <w:r>
        <w:rPr>
          <w:rStyle w:val="1033"/>
          <w:rFonts w:hint="eastAsia" w:ascii="宋体" w:hAnsi="宋体" w:cs="宋体"/>
          <w:b/>
          <w:color w:val="auto"/>
          <w:szCs w:val="24"/>
          <w:highlight w:val="none"/>
        </w:rPr>
        <w:t xml:space="preserve">附件10、拟投入本项目人员配备一览表</w:t>
      </w:r>
      <w:bookmarkEnd w:id="82"/>
      <w:r/>
      <w:bookmarkEnd w:id="83"/>
      <w:r/>
      <w:r/>
    </w:p>
    <w:p>
      <w:pPr>
        <w:widowControl w:val="off"/>
        <w:rPr>
          <w:rStyle w:val="1033"/>
          <w:rFonts w:ascii="宋体" w:hAnsi="宋体" w:cs="宋体"/>
          <w:b/>
          <w:color w:val="auto"/>
          <w:sz w:val="24"/>
          <w:szCs w:val="24"/>
          <w:highlight w:val="none"/>
        </w:rPr>
      </w:pPr>
      <w:r>
        <w:rPr>
          <w:rFonts w:ascii="宋体" w:hAnsi="宋体" w:cs="宋体"/>
          <w:b/>
          <w:color w:val="auto"/>
          <w:sz w:val="24"/>
          <w:szCs w:val="24"/>
          <w:highlight w:val="none"/>
        </w:rPr>
      </w:r>
      <w:r/>
    </w:p>
    <w:p>
      <w:pPr>
        <w:pStyle w:val="1036"/>
        <w:ind w:left="0" w:firstLine="0"/>
        <w:jc w:val="center"/>
        <w:widowControl w:val="off"/>
        <w:rPr>
          <w:rStyle w:val="1033"/>
          <w:rFonts w:ascii="宋体" w:hAnsi="宋体" w:cs="宋体"/>
          <w:b/>
          <w:color w:val="auto"/>
          <w:szCs w:val="24"/>
          <w:highlight w:val="none"/>
        </w:rPr>
      </w:pPr>
      <w:r>
        <w:rPr>
          <w:rStyle w:val="1033"/>
          <w:rFonts w:hint="eastAsia" w:ascii="宋体" w:hAnsi="宋体" w:cs="宋体"/>
          <w:b/>
          <w:color w:val="auto"/>
          <w:szCs w:val="24"/>
          <w:highlight w:val="none"/>
        </w:rPr>
        <w:t xml:space="preserve">拟投入本项目人员配备一览表</w:t>
      </w:r>
      <w:r/>
    </w:p>
    <w:tbl>
      <w:tblPr>
        <w:tblStyle w:val="785"/>
        <w:tblW w:w="889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序号</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项目组所任职务</w:t>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姓名</w:t>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性别</w:t>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年龄</w:t>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职称</w:t>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专业/资格</w:t>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从事本工作时间</w:t>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典型业务与技术专长</w:t>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1</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2</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3</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4</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5</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6</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7</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8</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9</w:t>
            </w:r>
            <w:r/>
          </w:p>
        </w:tc>
        <w:tc>
          <w:tcPr>
            <w:tcW w:w="121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459"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10</w:t>
            </w:r>
            <w:r/>
          </w:p>
        </w:tc>
        <w:tc>
          <w:tcPr>
            <w:tcW w:w="1211"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91"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6"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567"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931"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337"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288"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c>
          <w:tcPr>
            <w:tcW w:w="1547" w:type="dxa"/>
            <w:vAlign w:val="center"/>
            <w:textDirection w:val="lrTb"/>
            <w:noWrap w:val="false"/>
          </w:tcPr>
          <w:p>
            <w:pPr>
              <w:ind w:left="0"/>
              <w:jc w:val="center"/>
              <w:spacing w:line="360" w:lineRule="auto"/>
              <w:widowControl w:val="off"/>
              <w:rPr>
                <w:rStyle w:val="1033"/>
                <w:rFonts w:ascii="宋体" w:hAnsi="宋体" w:cs="宋体"/>
                <w:color w:val="auto"/>
                <w:sz w:val="24"/>
                <w:szCs w:val="24"/>
                <w:highlight w:val="none"/>
              </w:rPr>
            </w:pPr>
            <w:r>
              <w:rPr>
                <w:rFonts w:ascii="宋体" w:hAnsi="宋体" w:cs="宋体"/>
                <w:color w:val="auto"/>
                <w:sz w:val="24"/>
                <w:szCs w:val="24"/>
                <w:highlight w:val="none"/>
              </w:rPr>
            </w:r>
            <w:r/>
          </w:p>
        </w:tc>
      </w:tr>
    </w:tbl>
    <w:p>
      <w:pPr>
        <w:pStyle w:val="1036"/>
        <w:widowControl w:val="off"/>
        <w:rPr>
          <w:rStyle w:val="1033"/>
          <w:rFonts w:ascii="宋体" w:hAnsi="宋体" w:cs="宋体"/>
          <w:color w:val="auto"/>
          <w:szCs w:val="24"/>
          <w:highlight w:val="none"/>
        </w:rPr>
      </w:pPr>
      <w:r>
        <w:rPr>
          <w:rFonts w:ascii="宋体" w:hAnsi="宋体" w:cs="宋体"/>
          <w:color w:val="auto"/>
          <w:szCs w:val="24"/>
          <w:highlight w:val="none"/>
        </w:rPr>
      </w:r>
      <w:r/>
    </w:p>
    <w:p>
      <w:pPr>
        <w:ind w:firstLine="482"/>
        <w:spacing w:line="360" w:lineRule="auto"/>
        <w:widowControl w:val="off"/>
        <w:rPr>
          <w:rStyle w:val="1033"/>
          <w:rFonts w:ascii="宋体" w:hAnsi="宋体" w:cs="宋体"/>
          <w:b/>
          <w:color w:val="auto"/>
          <w:sz w:val="24"/>
          <w:szCs w:val="24"/>
          <w:highlight w:val="none"/>
        </w:rPr>
      </w:pPr>
      <w:r>
        <w:rPr>
          <w:rFonts w:ascii="宋体" w:hAnsi="宋体" w:cs="宋体"/>
          <w:b/>
          <w:color w:val="auto"/>
          <w:sz w:val="24"/>
          <w:szCs w:val="24"/>
          <w:highlight w:val="none"/>
        </w:rPr>
      </w:r>
      <w:r/>
    </w:p>
    <w:p>
      <w:pPr>
        <w:pStyle w:val="1036"/>
        <w:ind w:left="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供应商：（单位盖章）</w:t>
      </w:r>
      <w:r/>
    </w:p>
    <w:p>
      <w:pPr>
        <w:pStyle w:val="1036"/>
        <w:ind w:left="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法定代表人或代理人：（签字或盖章）</w:t>
      </w:r>
      <w:r/>
    </w:p>
    <w:p>
      <w:pPr>
        <w:pStyle w:val="1036"/>
        <w:ind w:left="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日期：      年    月    日</w:t>
      </w:r>
      <w:r/>
    </w:p>
    <w:p>
      <w:pPr>
        <w:pStyle w:val="1036"/>
        <w:ind w:left="0" w:firstLine="0"/>
        <w:widowControl w:val="off"/>
        <w:rPr>
          <w:rStyle w:val="1033"/>
          <w:rFonts w:ascii="宋体" w:hAnsi="宋体" w:cs="宋体"/>
          <w:b/>
          <w:color w:val="auto"/>
          <w:highlight w:val="none"/>
        </w:rPr>
        <w:outlineLvl w:val="1"/>
      </w:pPr>
      <w:r>
        <w:rPr>
          <w:rStyle w:val="1033"/>
          <w:rFonts w:hint="eastAsia" w:ascii="宋体" w:hAnsi="宋体" w:cs="宋体"/>
          <w:color w:val="auto"/>
          <w:sz w:val="21"/>
          <w:szCs w:val="21"/>
          <w:highlight w:val="none"/>
        </w:rPr>
        <w:br w:type="page" w:clear="all"/>
      </w:r>
      <w:bookmarkStart w:id="84" w:name="_Toc5921"/>
      <w:r>
        <w:rPr>
          <w:rStyle w:val="1033"/>
          <w:rFonts w:hint="eastAsia" w:ascii="宋体" w:hAnsi="宋体" w:cs="宋体"/>
          <w:b/>
          <w:color w:val="auto"/>
          <w:highlight w:val="none"/>
        </w:rPr>
        <w:t xml:space="preserve">附件11、企业类似项目一览表</w:t>
      </w: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jc w:val="center"/>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企业类似项目一览表</w:t>
      </w:r>
      <w:r/>
    </w:p>
    <w:p>
      <w:pPr>
        <w:spacing w:line="360" w:lineRule="auto"/>
        <w:widowControl w:val="off"/>
        <w:rPr>
          <w:rFonts w:ascii="宋体" w:hAnsi="宋体" w:cs="宋体"/>
          <w:b/>
          <w:color w:val="auto"/>
          <w:sz w:val="24"/>
          <w:szCs w:val="24"/>
          <w:highlight w:val="none"/>
        </w:rPr>
      </w:pPr>
      <w:r>
        <w:rPr>
          <w:rFonts w:ascii="宋体" w:hAnsi="宋体" w:cs="宋体"/>
          <w:b/>
          <w:color w:val="auto"/>
          <w:sz w:val="24"/>
          <w:szCs w:val="24"/>
          <w:highlight w:val="none"/>
        </w:rPr>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649" w:type="dxa"/>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合同名称</w:t>
            </w:r>
            <w:r/>
          </w:p>
        </w:tc>
        <w:tc>
          <w:tcPr>
            <w:tcW w:w="1506" w:type="dxa"/>
            <w:vAlign w:val="center"/>
            <w:textDirection w:val="lrTb"/>
            <w:noWrap w:val="false"/>
          </w:tcPr>
          <w:p>
            <w:pPr>
              <w:ind w:left="0"/>
              <w:jc w:val="center"/>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1506" w:type="dxa"/>
            <w:vAlign w:val="center"/>
            <w:textDirection w:val="lrTb"/>
            <w:noWrap w:val="false"/>
          </w:tcPr>
          <w:p>
            <w:pPr>
              <w:ind w:left="0"/>
              <w:jc w:val="center"/>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757" w:type="dxa"/>
            <w:vAlign w:val="center"/>
            <w:textDirection w:val="lrTb"/>
            <w:noWrap w:val="false"/>
          </w:tcPr>
          <w:p>
            <w:pPr>
              <w:ind w:left="0"/>
              <w:jc w:val="center"/>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tc>
        <w:tc>
          <w:tcPr>
            <w:tcW w:w="1201" w:type="dxa"/>
            <w:vAlign w:val="center"/>
            <w:textDirection w:val="lrTb"/>
            <w:noWrap w:val="false"/>
          </w:tcPr>
          <w:p>
            <w:pPr>
              <w:ind w:left="0"/>
              <w:jc w:val="center"/>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tc>
      </w:tr>
    </w:tbl>
    <w:p>
      <w:pPr>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1034"/>
        <w:ind w:firstLine="0"/>
        <w:jc w:val="both"/>
        <w:spacing w:line="360" w:lineRule="auto"/>
        <w:widowControl w:val="off"/>
        <w:rPr>
          <w:rStyle w:val="1033"/>
          <w:rFonts w:ascii="宋体" w:hAnsi="宋体" w:cs="宋体"/>
          <w:b/>
          <w:color w:val="auto"/>
          <w:szCs w:val="24"/>
          <w:highlight w:val="none"/>
        </w:rPr>
      </w:pPr>
      <w:r>
        <w:rPr>
          <w:rFonts w:ascii="宋体" w:hAnsi="宋体" w:cs="宋体"/>
          <w:b/>
          <w:color w:val="auto"/>
          <w:szCs w:val="24"/>
          <w:highlight w:val="none"/>
        </w:rPr>
      </w:r>
      <w:r/>
    </w:p>
    <w:p>
      <w:pPr>
        <w:pStyle w:val="1036"/>
        <w:widowControl w:val="off"/>
        <w:rPr>
          <w:rStyle w:val="1033"/>
          <w:rFonts w:ascii="宋体" w:hAnsi="宋体" w:cs="宋体"/>
          <w:color w:val="auto"/>
          <w:highlight w:val="none"/>
        </w:rPr>
      </w:pPr>
      <w:r>
        <w:rPr>
          <w:rStyle w:val="1033"/>
          <w:rFonts w:hint="eastAsia" w:ascii="宋体" w:hAnsi="宋体" w:cs="宋体"/>
          <w:color w:val="auto"/>
          <w:highlight w:val="none"/>
        </w:rPr>
        <w:t xml:space="preserve">供应商：（单位盖章）</w:t>
      </w:r>
      <w:r/>
    </w:p>
    <w:p>
      <w:pPr>
        <w:pStyle w:val="1036"/>
        <w:widowControl w:val="off"/>
        <w:rPr>
          <w:rStyle w:val="1033"/>
          <w:rFonts w:ascii="宋体" w:hAnsi="宋体" w:cs="宋体"/>
          <w:color w:val="auto"/>
          <w:highlight w:val="none"/>
        </w:rPr>
      </w:pPr>
      <w:r>
        <w:rPr>
          <w:rStyle w:val="1033"/>
          <w:rFonts w:hint="eastAsia" w:ascii="宋体" w:hAnsi="宋体" w:cs="宋体"/>
          <w:color w:val="auto"/>
          <w:highlight w:val="none"/>
        </w:rPr>
        <w:t xml:space="preserve">法定代表人或代理人：（签字或盖章）</w:t>
      </w:r>
      <w:r/>
    </w:p>
    <w:p>
      <w:pPr>
        <w:pStyle w:val="1036"/>
        <w:widowControl w:val="off"/>
        <w:rPr>
          <w:rStyle w:val="1033"/>
          <w:rFonts w:ascii="宋体" w:hAnsi="宋体" w:cs="宋体"/>
          <w:color w:val="auto"/>
          <w:highlight w:val="none"/>
        </w:rPr>
      </w:pPr>
      <w:r>
        <w:rPr>
          <w:rStyle w:val="1033"/>
          <w:rFonts w:hint="eastAsia" w:ascii="宋体" w:hAnsi="宋体" w:cs="宋体"/>
          <w:color w:val="auto"/>
          <w:highlight w:val="none"/>
        </w:rPr>
        <w:t xml:space="preserve">日期：   年   月   日</w:t>
      </w:r>
      <w:r/>
    </w:p>
    <w:p>
      <w:pPr>
        <w:pStyle w:val="1034"/>
        <w:ind w:left="0" w:firstLine="0"/>
        <w:jc w:val="both"/>
        <w:spacing w:line="360" w:lineRule="auto"/>
        <w:widowControl w:val="off"/>
        <w:rPr>
          <w:rFonts w:ascii="宋体" w:hAnsi="宋体" w:cs="宋体"/>
          <w:b/>
          <w:color w:val="auto"/>
          <w:sz w:val="21"/>
          <w:szCs w:val="21"/>
          <w:highlight w:val="none"/>
        </w:rPr>
        <w:outlineLvl w:val="1"/>
      </w:pPr>
      <w:r>
        <w:rPr>
          <w:rFonts w:hint="eastAsia" w:ascii="宋体" w:hAnsi="宋体" w:cs="宋体"/>
          <w:b/>
          <w:color w:val="auto"/>
          <w:sz w:val="21"/>
          <w:szCs w:val="21"/>
          <w:highlight w:val="none"/>
        </w:rPr>
        <w:br w:type="page" w:clear="all"/>
      </w:r>
      <w:r>
        <w:rPr>
          <w:rFonts w:hint="eastAsia" w:ascii="宋体" w:hAnsi="宋体" w:cs="宋体"/>
          <w:b/>
          <w:color w:val="auto"/>
          <w:szCs w:val="24"/>
          <w:highlight w:val="none"/>
        </w:rPr>
        <w:t xml:space="preserve">附件12、中小企业声明函</w:t>
      </w:r>
      <w:bookmarkEnd w:id="79"/>
      <w:r/>
      <w:bookmarkEnd w:id="80"/>
      <w:r/>
      <w:bookmarkEnd w:id="84"/>
      <w:r/>
      <w:r/>
    </w:p>
    <w:p>
      <w:pPr>
        <w:ind w:left="0"/>
        <w:jc w:val="center"/>
        <w:spacing w:line="400" w:lineRule="exact"/>
        <w:widowControl w:val="off"/>
        <w:rPr>
          <w:rStyle w:val="1033"/>
          <w:rFonts w:ascii="宋体" w:hAnsi="宋体" w:cs="宋体"/>
          <w:color w:val="auto"/>
          <w:sz w:val="24"/>
          <w:szCs w:val="24"/>
          <w:highlight w:val="none"/>
          <w:lang w:val="zh-CN"/>
        </w:rPr>
      </w:pPr>
      <w:r>
        <w:rPr>
          <w:rStyle w:val="1033"/>
          <w:rFonts w:hint="eastAsia" w:ascii="宋体" w:hAnsi="宋体" w:cs="宋体"/>
          <w:color w:val="auto"/>
          <w:sz w:val="24"/>
          <w:szCs w:val="24"/>
          <w:highlight w:val="none"/>
          <w:lang w:val="zh-CN"/>
        </w:rPr>
        <w:t xml:space="preserve">中小企业声明函</w:t>
      </w:r>
      <w:r/>
    </w:p>
    <w:p>
      <w:pPr>
        <w:ind w:left="0" w:firstLine="480"/>
        <w:spacing w:line="360" w:lineRule="auto"/>
        <w:widowControl w:val="off"/>
        <w:rPr>
          <w:rStyle w:val="1033"/>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，从业人员__人，营业收入为__万元，资产总额为__万元，属于（中型企业、小型企业、微型企业)；</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人，营业收入为___万元，资产总额为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027"/>
        <w:ind w:firstLine="480"/>
        <w:rPr>
          <w:rFonts w:hAnsi="宋体" w:cs="宋体"/>
          <w:color w:val="auto"/>
          <w:sz w:val="21"/>
          <w:szCs w:val="21"/>
          <w:highlight w:val="none"/>
        </w:rPr>
      </w:pPr>
      <w:r>
        <w:rPr>
          <w:rFonts w:hint="eastAsia" w:hAnsi="宋体" w:cs="宋体"/>
          <w:color w:val="auto"/>
          <w:szCs w:val="24"/>
          <w:highlight w:val="none"/>
        </w:rPr>
        <w:t xml:space="preserve">本企业对上述声明内容的真实性负责。如有虚假，将依法承担相应责任。</w:t>
      </w:r>
      <w:r/>
    </w:p>
    <w:p>
      <w:pPr>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注：从业人员、营业收入、资产总额填报上一年度数据，无上一年度数据的新成立企业可不填报。</w:t>
      </w:r>
      <w:r/>
    </w:p>
    <w:p>
      <w:pPr>
        <w:pStyle w:val="812"/>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12"/>
        <w:ind w:left="0" w:firstLine="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12"/>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pStyle w:val="812"/>
        <w:ind w:left="0"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12"/>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pStyle w:val="812"/>
        <w:ind w:left="0" w:firstLine="0"/>
        <w:jc w:val="left"/>
        <w:spacing w:line="360" w:lineRule="auto"/>
        <w:rPr>
          <w:rFonts w:ascii="宋体" w:hAnsi="宋体" w:cs="宋体"/>
          <w:b/>
          <w:bCs/>
          <w:color w:val="auto"/>
          <w:sz w:val="24"/>
          <w:szCs w:val="24"/>
          <w:highlight w:val="none"/>
        </w:rPr>
        <w:outlineLvl w:val="1"/>
      </w:pPr>
      <w:r>
        <w:rPr>
          <w:rFonts w:hint="eastAsia" w:ascii="宋体" w:hAnsi="宋体" w:cs="宋体"/>
          <w:b/>
          <w:bCs/>
          <w:color w:val="auto"/>
          <w:sz w:val="21"/>
          <w:szCs w:val="21"/>
          <w:highlight w:val="none"/>
        </w:rPr>
        <w:br w:type="page" w:clear="all"/>
      </w:r>
      <w:bookmarkStart w:id="85" w:name="_Toc14042"/>
      <w:r>
        <w:rPr>
          <w:rFonts w:hint="eastAsia" w:ascii="宋体" w:hAnsi="宋体" w:cs="宋体"/>
          <w:b/>
          <w:bCs/>
          <w:color w:val="auto"/>
          <w:sz w:val="24"/>
          <w:szCs w:val="24"/>
          <w:highlight w:val="none"/>
        </w:rPr>
        <w:t xml:space="preserve">附：中小企业划型标准规定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12"/>
        <w:ind w:left="0" w:firstLine="0"/>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812"/>
        <w:ind w:left="0" w:firstLine="0"/>
        <w:jc w:val="left"/>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rPr>
        <w:t xml:space="preserve">附件13、</w:t>
      </w:r>
      <w:r>
        <w:rPr>
          <w:rFonts w:hint="eastAsia" w:ascii="宋体" w:hAnsi="宋体" w:cs="宋体"/>
          <w:b/>
          <w:bCs/>
          <w:color w:val="auto"/>
          <w:sz w:val="24"/>
          <w:szCs w:val="24"/>
          <w:highlight w:val="none"/>
          <w:lang w:val="zh-CN"/>
        </w:rPr>
        <w:t xml:space="preserve">残疾人福利性单位声明函</w:t>
      </w:r>
      <w:bookmarkEnd w:id="85"/>
      <w:r/>
      <w:r/>
    </w:p>
    <w:p>
      <w:pPr>
        <w:pStyle w:val="1025"/>
        <w:ind w:left="0"/>
        <w:rPr>
          <w:rFonts w:ascii="宋体" w:hAnsi="宋体" w:cs="宋体"/>
          <w:color w:val="auto"/>
          <w:sz w:val="24"/>
          <w:szCs w:val="24"/>
          <w:highlight w:val="none"/>
        </w:rPr>
      </w:pPr>
      <w:r>
        <w:rPr>
          <w:rFonts w:ascii="宋体" w:hAnsi="宋体" w:cs="宋体"/>
          <w:color w:val="auto"/>
          <w:sz w:val="24"/>
          <w:szCs w:val="24"/>
          <w:highlight w:val="none"/>
        </w:rPr>
      </w:r>
      <w:r/>
    </w:p>
    <w:p>
      <w:pPr>
        <w:ind w:left="0" w:firstLine="482"/>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left="0"/>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残疾人福利性单位声明函</w:t>
      </w:r>
      <w:r/>
    </w:p>
    <w:p>
      <w:pPr>
        <w:ind w:left="0"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lang w:val="zh-CN"/>
        </w:rPr>
        <w:t xml:space="preserve">贵中心组织实施的编号为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号的采购活动</w:t>
      </w:r>
      <w:r>
        <w:rPr>
          <w:rFonts w:hint="eastAsia" w:ascii="宋体" w:hAnsi="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pStyle w:val="1029"/>
        <w:ind w:left="0" w:firstLine="480"/>
        <w:spacing w:line="360" w:lineRule="auto"/>
        <w:rPr>
          <w:rFonts w:hAnsi="宋体" w:cs="宋体"/>
          <w:color w:val="auto"/>
          <w:sz w:val="24"/>
          <w:szCs w:val="24"/>
          <w:highlight w:val="none"/>
        </w:rPr>
      </w:pPr>
      <w:r>
        <w:rPr>
          <w:rFonts w:hAnsi="宋体" w:cs="宋体"/>
          <w:color w:val="auto"/>
          <w:sz w:val="24"/>
          <w:szCs w:val="24"/>
          <w:highlight w:val="none"/>
        </w:rPr>
      </w:r>
      <w:r/>
    </w:p>
    <w:p>
      <w:pPr>
        <w:ind w:left="0"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left="0"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left="0"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供应商名称：（盖章）</w:t>
      </w:r>
      <w:r/>
    </w:p>
    <w:p>
      <w:pPr>
        <w:ind w:left="0"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left="0" w:firstLine="480"/>
        <w:jc w:val="left"/>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日期:       年      月     日</w:t>
      </w:r>
      <w:r/>
    </w:p>
    <w:p>
      <w:pPr>
        <w:ind w:left="0"/>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0" w:right="480"/>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0"/>
        <w:jc w:val="left"/>
        <w:rPr>
          <w:rFonts w:ascii="宋体" w:hAnsi="宋体" w:cs="宋体"/>
          <w:color w:val="auto"/>
          <w:sz w:val="21"/>
          <w:szCs w:val="21"/>
          <w:highlight w:val="none"/>
        </w:rPr>
      </w:pPr>
      <w:r>
        <w:rPr>
          <w:rFonts w:ascii="宋体" w:hAnsi="宋体" w:cs="宋体"/>
          <w:color w:val="auto"/>
          <w:sz w:val="21"/>
          <w:szCs w:val="21"/>
          <w:highlight w:val="none"/>
        </w:rPr>
      </w:r>
      <w:r/>
    </w:p>
    <w:p>
      <w:pPr>
        <w:ind w:left="0" w:right="480"/>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0"/>
        <w:jc w:val="center"/>
        <w:spacing w:line="480" w:lineRule="exact"/>
        <w:rPr>
          <w:rFonts w:ascii="宋体" w:hAnsi="宋体" w:cs="宋体"/>
          <w:color w:val="auto"/>
          <w:sz w:val="21"/>
          <w:szCs w:val="21"/>
          <w:highlight w:val="none"/>
        </w:rPr>
      </w:pPr>
      <w:r>
        <w:rPr>
          <w:rFonts w:ascii="宋体" w:hAnsi="宋体" w:cs="宋体"/>
          <w:color w:val="auto"/>
          <w:sz w:val="21"/>
          <w:szCs w:val="21"/>
          <w:highlight w:val="none"/>
        </w:rPr>
      </w:r>
      <w:r/>
    </w:p>
    <w:p>
      <w:pPr>
        <w:ind w:left="0"/>
        <w:spacing w:line="480" w:lineRule="exact"/>
        <w:rPr>
          <w:rFonts w:ascii="宋体" w:hAnsi="宋体" w:cs="宋体"/>
          <w:color w:val="auto"/>
          <w:sz w:val="21"/>
          <w:szCs w:val="21"/>
          <w:highlight w:val="none"/>
        </w:rPr>
      </w:pPr>
      <w:r>
        <w:rPr>
          <w:rFonts w:ascii="宋体" w:hAnsi="宋体" w:cs="宋体"/>
          <w:color w:val="auto"/>
          <w:sz w:val="21"/>
          <w:szCs w:val="21"/>
          <w:highlight w:val="none"/>
        </w:rPr>
      </w:r>
      <w:r/>
    </w:p>
    <w:p>
      <w:pPr>
        <w:ind w:left="0"/>
        <w:spacing w:line="400" w:lineRule="exact"/>
        <w:rPr>
          <w:rFonts w:ascii="宋体" w:hAnsi="宋体" w:cs="宋体"/>
          <w:b/>
          <w:color w:val="auto"/>
          <w:sz w:val="24"/>
          <w:szCs w:val="24"/>
          <w:highlight w:val="none"/>
        </w:rPr>
        <w:outlineLvl w:val="1"/>
      </w:pPr>
      <w:r>
        <w:rPr>
          <w:rFonts w:hint="eastAsia" w:ascii="宋体" w:hAnsi="宋体" w:cs="宋体"/>
          <w:color w:val="auto"/>
          <w:sz w:val="21"/>
          <w:szCs w:val="21"/>
          <w:highlight w:val="none"/>
        </w:rPr>
        <w:br w:type="page" w:clear="all"/>
      </w:r>
      <w:bookmarkStart w:id="86" w:name="_Toc7573"/>
      <w:r>
        <w:rPr>
          <w:rFonts w:hint="eastAsia" w:ascii="宋体" w:hAnsi="宋体" w:cs="宋体"/>
          <w:b/>
          <w:color w:val="auto"/>
          <w:sz w:val="24"/>
          <w:szCs w:val="24"/>
          <w:highlight w:val="none"/>
        </w:rPr>
        <w:t xml:space="preserve">附件14、响应保证承诺书</w:t>
      </w:r>
      <w:bookmarkEnd w:id="86"/>
      <w:r/>
      <w:r/>
    </w:p>
    <w:p>
      <w:pPr>
        <w:ind w:left="0"/>
        <w:jc w:val="center"/>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left="0"/>
        <w:jc w:val="center"/>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响应保证承诺书</w:t>
      </w:r>
      <w:r/>
    </w:p>
    <w:p>
      <w:pPr>
        <w:ind w:left="0"/>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：（采购代理机构名称）</w:t>
      </w:r>
      <w:r/>
    </w:p>
    <w:p>
      <w:pPr>
        <w:ind w:left="0" w:firstLine="48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（项目名称和采购编号）的响应,并做出如下承诺：</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1.自响应截止时间至本项目发布成交公告为止，撤销响应；</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2.成交后不依法与采购人签订合同；</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3.成交后不按本采购文件规定向采购人提交履约保证金；</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4.成交后不按本采购文件规定向贵方缴纳采购代理费。</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二、我单位知晓上述行为的法律后果，承认本承诺书作为贵方（或采购人）要求我单位履行违约赔偿义务的依据作用。</w:t>
      </w: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投标（响应）人：        （盖公章）</w:t>
      </w: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电话：                     传真：                      </w:t>
      </w: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电子邮件：                 邮编：                      </w:t>
      </w: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                                 </w:t>
      </w: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ind w:left="0"/>
        <w:widowControl w:val="off"/>
        <w:rPr>
          <w:rFonts w:ascii="宋体" w:hAnsi="宋体" w:cs="宋体"/>
          <w:b/>
          <w:color w:val="auto"/>
          <w:sz w:val="24"/>
          <w:szCs w:val="24"/>
          <w:highlight w:val="none"/>
        </w:rPr>
        <w:outlineLvl w:val="1"/>
      </w:pPr>
      <w:r>
        <w:rPr>
          <w:rFonts w:hint="eastAsia" w:ascii="宋体" w:hAnsi="宋体" w:cs="宋体"/>
          <w:color w:val="auto"/>
          <w:sz w:val="21"/>
          <w:szCs w:val="21"/>
          <w:highlight w:val="none"/>
        </w:rPr>
        <w:br w:type="page" w:clear="all"/>
      </w:r>
      <w:bookmarkStart w:id="87" w:name="_Toc9516"/>
      <w:r>
        <w:rPr>
          <w:rFonts w:hint="eastAsia" w:ascii="宋体" w:hAnsi="宋体" w:cs="宋体"/>
          <w:b/>
          <w:color w:val="auto"/>
          <w:sz w:val="24"/>
          <w:szCs w:val="24"/>
          <w:highlight w:val="none"/>
        </w:rPr>
        <w:t xml:space="preserve">附件15、响应单位与其他单位存在控股、管理关系情况表</w:t>
      </w:r>
      <w:bookmarkEnd w:id="87"/>
      <w:r/>
      <w:r/>
    </w:p>
    <w:p>
      <w:pPr>
        <w:pStyle w:val="811"/>
        <w:ind w:firstLine="0"/>
        <w:jc w:val="left"/>
        <w:rPr>
          <w:rFonts w:ascii="宋体" w:hAnsi="宋体" w:cs="宋体"/>
          <w:color w:val="auto"/>
          <w:sz w:val="24"/>
          <w:szCs w:val="24"/>
          <w:highlight w:val="none"/>
        </w:rPr>
      </w:pPr>
      <w:r>
        <w:rPr>
          <w:rFonts w:ascii="宋体" w:hAnsi="宋体" w:cs="宋体"/>
          <w:color w:val="auto"/>
          <w:sz w:val="24"/>
          <w:szCs w:val="24"/>
          <w:highlight w:val="none"/>
        </w:rPr>
      </w:r>
      <w:r/>
    </w:p>
    <w:p>
      <w:pPr>
        <w:ind w:left="0"/>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响应单位与其他单位存在控股、管理关系情况表</w:t>
      </w:r>
      <w:r/>
    </w:p>
    <w:p>
      <w:pPr>
        <w:pStyle w:val="811"/>
        <w:rPr>
          <w:rFonts w:ascii="宋体" w:hAnsi="宋体" w:cs="宋体"/>
          <w:color w:val="auto"/>
          <w:highlight w:val="none"/>
        </w:rPr>
      </w:pPr>
      <w:r>
        <w:rPr>
          <w:rFonts w:ascii="宋体" w:hAnsi="宋体" w:cs="宋体"/>
          <w:color w:val="auto"/>
          <w:highlight w:val="none"/>
        </w:rPr>
      </w:r>
      <w:r/>
    </w:p>
    <w:tbl>
      <w:tblPr>
        <w:tblStyle w:val="785"/>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bl>
    <w:p>
      <w:pPr>
        <w:ind w:left="0" w:firstLine="482"/>
        <w:jc w:val="left"/>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1036"/>
        <w:ind w:left="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供应商：（单位盖章）</w:t>
      </w:r>
      <w:r/>
    </w:p>
    <w:p>
      <w:pPr>
        <w:pStyle w:val="1036"/>
        <w:ind w:left="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法定代表人或代理人：（签字或盖章）</w:t>
      </w:r>
      <w:r/>
    </w:p>
    <w:p>
      <w:pPr>
        <w:pStyle w:val="1036"/>
        <w:ind w:left="0"/>
        <w:widowControl w:val="off"/>
        <w:rPr>
          <w:rStyle w:val="1033"/>
          <w:rFonts w:ascii="宋体" w:hAnsi="宋体" w:cs="宋体"/>
          <w:color w:val="auto"/>
          <w:szCs w:val="24"/>
          <w:highlight w:val="none"/>
        </w:rPr>
      </w:pPr>
      <w:r>
        <w:rPr>
          <w:rStyle w:val="1033"/>
          <w:rFonts w:hint="eastAsia" w:ascii="宋体" w:hAnsi="宋体" w:cs="宋体"/>
          <w:color w:val="auto"/>
          <w:szCs w:val="24"/>
          <w:highlight w:val="none"/>
        </w:rPr>
        <w:t xml:space="preserve">日期：   年   月   日</w:t>
      </w:r>
      <w:r/>
    </w:p>
    <w:p>
      <w:pPr>
        <w:pStyle w:val="811"/>
        <w:ind w:firstLine="0"/>
        <w:rPr>
          <w:rFonts w:ascii="宋体" w:hAnsi="宋体" w:cs="宋体"/>
          <w:color w:val="auto"/>
          <w:highlight w:val="none"/>
        </w:rPr>
      </w:pPr>
      <w:r>
        <w:rPr>
          <w:rFonts w:ascii="宋体" w:hAnsi="宋体" w:cs="宋体"/>
          <w:color w:val="auto"/>
          <w:highlight w:val="none"/>
        </w:rPr>
      </w:r>
      <w:r/>
    </w:p>
    <w:p>
      <w:pPr>
        <w:ind w:left="0"/>
        <w:jc w:val="center"/>
        <w:spacing w:line="360" w:lineRule="auto"/>
        <w:rPr>
          <w:rFonts w:ascii="宋体" w:hAnsi="宋体" w:cs="宋体"/>
          <w:b/>
          <w:color w:val="auto"/>
          <w:sz w:val="44"/>
          <w:szCs w:val="44"/>
          <w:highlight w:val="none"/>
        </w:rPr>
      </w:pPr>
      <w:r/>
      <w:bookmarkStart w:id="88" w:name="_Toc4098"/>
      <w:r/>
      <w:bookmarkStart w:id="89" w:name="_Toc23660"/>
      <w:r/>
      <w:bookmarkStart w:id="90" w:name="_Toc57376408"/>
      <w:r/>
      <w:bookmarkStart w:id="91" w:name="_Toc58248882"/>
      <w:r/>
      <w:bookmarkStart w:id="92" w:name="_Toc6898"/>
      <w:r>
        <w:rPr>
          <w:rFonts w:hint="eastAsia" w:ascii="宋体" w:hAnsi="宋体" w:cs="宋体"/>
          <w:b/>
          <w:color w:val="auto"/>
          <w:sz w:val="44"/>
          <w:szCs w:val="44"/>
          <w:highlight w:val="none"/>
        </w:rPr>
        <w:br w:type="page" w:clear="all"/>
      </w: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bookmarkEnd w:id="88"/>
      <w:r/>
      <w:bookmarkEnd w:id="89"/>
      <w:r/>
      <w:bookmarkEnd w:id="90"/>
      <w:r/>
      <w:bookmarkEnd w:id="91"/>
      <w: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numPr>
          <w:ilvl w:val="0"/>
          <w:numId w:val="4"/>
        </w:numPr>
        <w:ind w:left="0"/>
        <w:jc w:val="center"/>
        <w:spacing w:line="360" w:lineRule="auto"/>
        <w:rPr>
          <w:rFonts w:ascii="宋体" w:hAnsi="宋体" w:cs="宋体"/>
          <w:b/>
          <w:color w:val="auto"/>
          <w:sz w:val="44"/>
          <w:szCs w:val="44"/>
          <w:highlight w:val="none"/>
        </w:rPr>
        <w:outlineLvl w:val="0"/>
      </w:pPr>
      <w:r/>
      <w:bookmarkStart w:id="93" w:name="招标书"/>
      <w:r/>
      <w:bookmarkEnd w:id="93"/>
      <w:r/>
      <w:bookmarkStart w:id="94" w:name="_Toc19236"/>
      <w:r>
        <w:rPr>
          <w:rFonts w:hint="eastAsia" w:ascii="宋体" w:hAnsi="宋体" w:cs="宋体"/>
          <w:b/>
          <w:color w:val="auto"/>
          <w:sz w:val="44"/>
          <w:szCs w:val="44"/>
          <w:highlight w:val="none"/>
        </w:rPr>
        <w:t xml:space="preserve"> </w:t>
      </w:r>
      <w:bookmarkStart w:id="95" w:name="_Toc23981"/>
      <w:r>
        <w:rPr>
          <w:rFonts w:hint="eastAsia" w:ascii="宋体" w:hAnsi="宋体" w:cs="宋体"/>
          <w:b/>
          <w:color w:val="auto"/>
          <w:sz w:val="44"/>
          <w:szCs w:val="44"/>
          <w:highlight w:val="none"/>
        </w:rPr>
        <w:t xml:space="preserve">采购内容</w:t>
      </w:r>
      <w:bookmarkEnd w:id="92"/>
      <w:r/>
      <w:bookmarkEnd w:id="94"/>
      <w:r/>
      <w:bookmarkEnd w:id="95"/>
      <w:r/>
      <w:r/>
    </w:p>
    <w:p>
      <w:pPr>
        <w:pStyle w:val="811"/>
        <w:ind w:firstLine="400"/>
        <w:rPr>
          <w:rFonts w:ascii="宋体" w:hAnsi="宋体" w:cs="宋体"/>
          <w:color w:val="auto"/>
          <w:highlight w:val="none"/>
        </w:rPr>
      </w:pPr>
      <w:r>
        <w:rPr>
          <w:rFonts w:ascii="宋体" w:hAnsi="宋体" w:cs="宋体"/>
          <w:color w:val="auto"/>
          <w:highlight w:val="none"/>
        </w:rPr>
      </w:r>
      <w:r/>
    </w:p>
    <w:p>
      <w:pPr>
        <w:ind w:left="0"/>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Style w:val="1033"/>
          <w:rFonts w:hint="eastAsia" w:ascii="宋体" w:hAnsi="宋体" w:cs="宋体"/>
          <w:b/>
          <w:color w:val="auto"/>
          <w:sz w:val="28"/>
          <w:szCs w:val="28"/>
          <w:highlight w:val="none"/>
        </w:rPr>
        <w:t xml:space="preserve">采购内容</w:t>
      </w:r>
      <w:r/>
    </w:p>
    <w:p>
      <w:pPr>
        <w:ind w:left="0" w:firstLine="480"/>
        <w:spacing w:line="360" w:lineRule="auto"/>
        <w:rPr>
          <w:rFonts w:ascii="宋体" w:hAnsi="宋体" w:cs="宋体"/>
          <w:color w:val="auto"/>
          <w:sz w:val="21"/>
          <w:szCs w:val="21"/>
          <w:highlight w:val="none"/>
        </w:rPr>
      </w:pPr>
      <w:r>
        <w:rPr>
          <w:rFonts w:hint="eastAsia" w:ascii="宋体" w:hAnsi="宋体" w:cs="宋体"/>
          <w:color w:val="auto"/>
          <w:sz w:val="24"/>
          <w:szCs w:val="24"/>
          <w:highlight w:val="none"/>
        </w:rPr>
        <w:t xml:space="preserve">苏州永正造价师事务所有限公司受</w:t>
      </w:r>
      <w:r>
        <w:rPr>
          <w:rFonts w:hint="eastAsia" w:ascii="宋体" w:hAnsi="宋体" w:cs="宋体"/>
          <w:color w:val="auto"/>
          <w:sz w:val="24"/>
          <w:szCs w:val="24"/>
          <w:highlight w:val="none"/>
          <w:u w:val="single"/>
        </w:rPr>
        <w:t xml:space="preserve">苏州市吴中区交通运输综合行政执法大队</w:t>
      </w:r>
      <w:r>
        <w:rPr>
          <w:rFonts w:hint="eastAsia" w:ascii="宋体" w:hAnsi="宋体" w:cs="宋体"/>
          <w:color w:val="auto"/>
          <w:sz w:val="24"/>
          <w:szCs w:val="24"/>
          <w:highlight w:val="none"/>
        </w:rPr>
        <w:t xml:space="preserve">的委托，就其拟采购的</w:t>
      </w:r>
      <w:r>
        <w:rPr>
          <w:rFonts w:hint="eastAsia" w:ascii="宋体" w:hAnsi="宋体" w:cs="宋体"/>
          <w:color w:val="auto"/>
          <w:sz w:val="24"/>
          <w:szCs w:val="24"/>
          <w:highlight w:val="none"/>
          <w:u w:val="single"/>
        </w:rPr>
        <w:t xml:space="preserve">动态称重监测设施维保服务</w:t>
      </w:r>
      <w:r>
        <w:rPr>
          <w:rFonts w:hint="eastAsia" w:ascii="宋体" w:hAnsi="宋体" w:cs="宋体"/>
          <w:color w:val="auto"/>
          <w:sz w:val="24"/>
          <w:szCs w:val="24"/>
          <w:highlight w:val="none"/>
        </w:rPr>
        <w:t xml:space="preserve">采用竞争性磋商方式进行采购。欢迎符合资格条件的供应商前来报名参加磋商。</w:t>
      </w:r>
      <w:r/>
    </w:p>
    <w:p>
      <w:pPr>
        <w:ind w:left="0" w:firstLine="482"/>
        <w:spacing w:line="360" w:lineRule="auto"/>
        <w:widowControl w:val="off"/>
        <w:rPr>
          <w:rFonts w:ascii="宋体" w:hAnsi="宋体" w:cs="宋体"/>
          <w:b/>
          <w:bCs/>
          <w:color w:val="auto"/>
          <w:sz w:val="24"/>
          <w:szCs w:val="24"/>
          <w:highlight w:val="none"/>
        </w:rPr>
      </w:pPr>
      <w:r/>
      <w:bookmarkStart w:id="96" w:name="_Toc63066515"/>
      <w:r/>
      <w:bookmarkStart w:id="97" w:name="_Toc8564"/>
      <w:r/>
      <w:bookmarkStart w:id="98" w:name="_Toc27667"/>
      <w:r/>
      <w:bookmarkStart w:id="99" w:name="_Toc58248884"/>
      <w:r/>
      <w:bookmarkStart w:id="100" w:name="_Toc57376410"/>
      <w:r>
        <w:rPr>
          <w:rFonts w:hint="eastAsia" w:ascii="宋体" w:hAnsi="宋体" w:cs="宋体"/>
          <w:b/>
          <w:bCs/>
          <w:color w:val="auto"/>
          <w:sz w:val="24"/>
          <w:szCs w:val="24"/>
          <w:highlight w:val="none"/>
        </w:rPr>
        <w:t xml:space="preserve">一、磋商编号：JSZC-320506-YZZJ-C202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-000</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号</w:t>
      </w:r>
      <w:r/>
    </w:p>
    <w:p>
      <w:p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二、项目名称：动态称重监测设施维保服务</w:t>
      </w:r>
      <w:r/>
    </w:p>
    <w:p>
      <w:pPr>
        <w:ind w:left="0" w:firstLine="482"/>
        <w:spacing w:line="240" w:lineRule="auto"/>
        <w:rPr>
          <w:rFonts w:ascii="宋体" w:hAnsi="宋体" w:cs="宋体"/>
          <w:b/>
          <w:color w:val="auto"/>
          <w:sz w:val="24"/>
          <w:highlight w:val="none"/>
        </w:rPr>
      </w:pPr>
      <w:r>
        <w:rPr>
          <w:rFonts w:hint="eastAsia" w:ascii="宋体" w:hAnsi="宋体" w:cs="宋体"/>
          <w:b/>
          <w:bCs/>
          <w:color w:val="auto"/>
          <w:sz w:val="24"/>
          <w:szCs w:val="24"/>
          <w:highlight w:val="none"/>
        </w:rPr>
        <w:t xml:space="preserve">三、</w:t>
      </w:r>
      <w:r>
        <w:rPr>
          <w:rFonts w:hint="eastAsia" w:ascii="宋体" w:hAnsi="宋体" w:cs="宋体"/>
          <w:b/>
          <w:color w:val="auto"/>
          <w:sz w:val="24"/>
          <w:highlight w:val="none"/>
        </w:rPr>
        <w:t xml:space="preserve">项目概况</w:t>
      </w:r>
      <w:r>
        <w:rPr>
          <w:rFonts w:ascii="宋体" w:hAnsi="宋体" w:cs="宋体"/>
          <w:b/>
          <w:color w:val="auto"/>
          <w:sz w:val="24"/>
          <w:highlight w:val="none"/>
        </w:rPr>
        <w:t xml:space="preserve">及服务要求</w:t>
      </w:r>
      <w:r>
        <w:rPr>
          <w:rFonts w:hint="eastAsia" w:ascii="宋体" w:hAnsi="宋体" w:cs="宋体"/>
          <w:b/>
          <w:color w:val="auto"/>
          <w:sz w:val="24"/>
          <w:highlight w:val="none"/>
        </w:rPr>
        <w:t xml:space="preserve">：</w:t>
      </w:r>
      <w:r/>
    </w:p>
    <w:p>
      <w:pPr>
        <w:pStyle w:val="777"/>
        <w:ind w:left="0" w:firstLine="425"/>
        <w:keepLines/>
        <w:keepNext/>
        <w:pageBreakBefore w:val="0"/>
        <w:spacing w:before="0" w:after="0" w:line="360" w:lineRule="auto"/>
        <w:widowControl/>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项目概况</w:t>
      </w:r>
      <w:r/>
    </w:p>
    <w:p>
      <w:pPr>
        <w:ind w:left="0" w:firstLine="424"/>
        <w:pageBreakBefore w:val="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根据《江苏省治理公路规风超载正输办法》《公路车辆动态称重检测系统技术规范》 等要求，动态称重检测设施(包含称重检测设备，车牌识别及记录设备、信息发布设备、数据处理系统等软硬件设施)应做好日常经护及保障工作。为进一步确保吴中区动态称重监测设施正常运行,确保各类设施保证运行正常及相关执法案件数据有效性。拟使用202</w:t>
      </w:r>
      <w:r>
        <w:rPr>
          <w:rFonts w:asciiTheme="minorEastAsia" w:hAnsiTheme="minorEastAsia" w:eastAsiaTheme="minorEastAsia"/>
          <w:color w:val="auto"/>
          <w:sz w:val="24"/>
          <w:szCs w:val="24"/>
          <w:highlight w:val="none"/>
        </w:rPr>
        <w:t xml:space="preserve">6</w:t>
      </w:r>
      <w:r>
        <w:rPr>
          <w:rFonts w:hint="eastAsia" w:asciiTheme="minorEastAsia" w:hAnsiTheme="minorEastAsia" w:eastAsiaTheme="minorEastAsia"/>
          <w:color w:val="auto"/>
          <w:sz w:val="24"/>
          <w:szCs w:val="24"/>
          <w:highlight w:val="none"/>
        </w:rPr>
        <w:t xml:space="preserve">年财政资全</w:t>
      </w:r>
      <w:r>
        <w:rPr>
          <w:rFonts w:asciiTheme="minorEastAsia" w:hAnsiTheme="minorEastAsia" w:eastAsiaTheme="minorEastAsia"/>
          <w:color w:val="auto"/>
          <w:sz w:val="24"/>
          <w:szCs w:val="24"/>
          <w:highlight w:val="none"/>
        </w:rPr>
        <w:t xml:space="preserve">120</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98</w:t>
      </w:r>
      <w:r>
        <w:rPr>
          <w:rFonts w:hint="eastAsia" w:asciiTheme="minorEastAsia" w:hAnsiTheme="minorEastAsia" w:eastAsiaTheme="minorEastAsia"/>
          <w:color w:val="auto"/>
          <w:sz w:val="24"/>
          <w:szCs w:val="24"/>
          <w:highlight w:val="none"/>
        </w:rPr>
        <w:t xml:space="preserve">万适行采购动态称重监测设施维保服务。</w:t>
      </w:r>
      <w:r/>
    </w:p>
    <w:p>
      <w:pPr>
        <w:ind w:left="0" w:firstLine="424"/>
        <w:pageBreakBefore w:val="0"/>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其中一期预算金额40.78万元（其中</w:t>
      </w:r>
      <w:r>
        <w:rPr>
          <w:rFonts w:hint="eastAsia" w:asciiTheme="minorEastAsia" w:hAnsiTheme="minorEastAsia" w:eastAsiaTheme="minorEastAsia"/>
          <w:b/>
          <w:bCs/>
          <w:color w:val="auto"/>
          <w:sz w:val="24"/>
          <w:szCs w:val="24"/>
          <w:highlight w:val="none"/>
          <w:lang w:eastAsia="zh-CN"/>
        </w:rPr>
        <w:t xml:space="preserve">一期硬件</w:t>
      </w:r>
      <w:r>
        <w:rPr>
          <w:rFonts w:hint="eastAsia" w:asciiTheme="minorEastAsia" w:hAnsiTheme="minorEastAsia" w:eastAsiaTheme="minorEastAsia"/>
          <w:b/>
          <w:bCs/>
          <w:color w:val="auto"/>
          <w:sz w:val="24"/>
          <w:szCs w:val="24"/>
          <w:highlight w:val="none"/>
        </w:rPr>
        <w:t xml:space="preserve">专家评审费预算金额为0.21万元</w:t>
      </w:r>
      <w:r>
        <w:rPr>
          <w:rFonts w:hint="eastAsia" w:asciiTheme="minorEastAsia" w:hAnsiTheme="minorEastAsia" w:eastAsiaTheme="minorEastAsia"/>
          <w:b/>
          <w:bCs/>
          <w:color w:val="auto"/>
          <w:sz w:val="24"/>
          <w:szCs w:val="24"/>
          <w:highlight w:val="none"/>
          <w:lang w:eastAsia="zh-CN"/>
        </w:rPr>
        <w:t xml:space="preserve">、软件专家评审费</w:t>
      </w:r>
      <w:r>
        <w:rPr>
          <w:rFonts w:hint="eastAsia" w:asciiTheme="minorEastAsia" w:hAnsiTheme="minorEastAsia" w:eastAsiaTheme="minorEastAsia"/>
          <w:b/>
          <w:bCs/>
          <w:color w:val="auto"/>
          <w:sz w:val="24"/>
          <w:szCs w:val="24"/>
          <w:highlight w:val="none"/>
        </w:rPr>
        <w:t xml:space="preserve">预算金额为</w:t>
      </w:r>
      <w:r>
        <w:rPr>
          <w:rFonts w:hint="eastAsia" w:asciiTheme="minorEastAsia" w:hAnsiTheme="minorEastAsia" w:eastAsiaTheme="minorEastAsia"/>
          <w:b/>
          <w:bCs/>
          <w:color w:val="auto"/>
          <w:sz w:val="24"/>
          <w:szCs w:val="24"/>
          <w:highlight w:val="none"/>
          <w:lang w:eastAsia="zh-CN"/>
        </w:rPr>
        <w:t xml:space="preserve">3.43万元</w:t>
      </w:r>
      <w:r>
        <w:rPr>
          <w:rFonts w:hint="eastAsia" w:asciiTheme="minorEastAsia" w:hAnsiTheme="minorEastAsia" w:eastAsiaTheme="minorEastAsia"/>
          <w:b/>
          <w:bCs/>
          <w:color w:val="auto"/>
          <w:sz w:val="24"/>
          <w:szCs w:val="24"/>
          <w:highlight w:val="none"/>
        </w:rPr>
        <w:t xml:space="preserve">），二期预算金额80.2万元（其中</w:t>
      </w:r>
      <w:r>
        <w:rPr>
          <w:rFonts w:hint="eastAsia" w:asciiTheme="minorEastAsia" w:hAnsiTheme="minorEastAsia" w:eastAsiaTheme="minorEastAsia"/>
          <w:b/>
          <w:bCs/>
          <w:color w:val="auto"/>
          <w:sz w:val="24"/>
          <w:szCs w:val="24"/>
          <w:highlight w:val="none"/>
          <w:lang w:eastAsia="zh-CN"/>
        </w:rPr>
        <w:t xml:space="preserve">二期软件</w:t>
      </w:r>
      <w:r>
        <w:rPr>
          <w:rFonts w:hint="eastAsia" w:asciiTheme="minorEastAsia" w:hAnsiTheme="minorEastAsia" w:eastAsiaTheme="minorEastAsia"/>
          <w:b/>
          <w:bCs/>
          <w:color w:val="auto"/>
          <w:sz w:val="24"/>
          <w:szCs w:val="24"/>
          <w:highlight w:val="none"/>
        </w:rPr>
        <w:t xml:space="preserve">专家评审费预算金额为2.06万元），大数据评审硬件包含服务器，储存设备，网络设备，安全设备以及软件运维费。（分项报价标需单独注明，分项报价不得超过各部分预算金额）</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吴中区</w:t>
      </w:r>
      <w:r>
        <w:rPr>
          <w:rFonts w:asciiTheme="minorEastAsia" w:hAnsiTheme="minorEastAsia" w:eastAsiaTheme="minorEastAsia"/>
          <w:color w:val="auto"/>
          <w:sz w:val="24"/>
          <w:szCs w:val="24"/>
          <w:highlight w:val="none"/>
        </w:rPr>
        <w:t xml:space="preserve">S230东太湖路段</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X207 K5+660</w:t>
      </w:r>
      <w:r>
        <w:rPr>
          <w:rFonts w:hint="eastAsia" w:asciiTheme="minorEastAsia" w:hAnsiTheme="minorEastAsia" w:eastAsiaTheme="minorEastAsia"/>
          <w:color w:val="auto"/>
          <w:sz w:val="24"/>
          <w:szCs w:val="24"/>
          <w:highlight w:val="none"/>
        </w:rPr>
        <w:t xml:space="preserve">路段、吴淞江大道北向南路段、吴淞江大道南向北路段、福东路路段、X207东山大道路段、X207旺家桥路段</w:t>
      </w:r>
      <w:r>
        <w:rPr>
          <w:rFonts w:asciiTheme="minorEastAsia" w:hAnsiTheme="minorEastAsia" w:eastAsiaTheme="minorEastAsia"/>
          <w:color w:val="auto"/>
          <w:sz w:val="24"/>
          <w:szCs w:val="24"/>
          <w:highlight w:val="none"/>
        </w:rPr>
        <w:t xml:space="preserve">7</w:t>
      </w:r>
      <w:r>
        <w:rPr>
          <w:rFonts w:hint="eastAsia" w:asciiTheme="minorEastAsia" w:hAnsiTheme="minorEastAsia" w:eastAsiaTheme="minorEastAsia"/>
          <w:color w:val="auto"/>
          <w:sz w:val="24"/>
          <w:szCs w:val="24"/>
          <w:highlight w:val="none"/>
        </w:rPr>
        <w:t xml:space="preserve">处不停车动态称重系统设施及通信等其他的运维服务，包括但不限于应用软件维保、故障诊断排除、例行巡检报告、设备调试升级、更换软硬件等，保证点位非现场执法系统的实时性、准确性、稳定性。</w:t>
      </w:r>
      <w:r/>
    </w:p>
    <w:p>
      <w:pPr>
        <w:pStyle w:val="777"/>
        <w:ind w:left="0" w:firstLine="424"/>
        <w:pageBreakBefore w:val="0"/>
        <w:spacing w:before="0" w:after="0"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运维方案</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为进一步确保全市治超管控设施正常运行，全面提升治超管控设施使用效率。根据《江苏省公路条例》《江苏省治理公路超限超载运输办法》《江苏省交通运输非现场执法工作指引》《公路车辆动态称重检测系统技术规范》等要求，动态称重检测设施(包含称重检测设备、车牌识别及记录设备、信息发布设备、数据处理系统等软硬件设施)应做好日常维护及保障工作。</w:t>
      </w:r>
      <w:r/>
    </w:p>
    <w:p>
      <w:pPr>
        <w:pStyle w:val="777"/>
        <w:ind w:left="0" w:firstLine="424"/>
        <w:pageBreakBefore w:val="0"/>
        <w:spacing w:before="0" w:after="0"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总体要求</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1.各类设施保证运行正常，设施每月正常运行在线率不低于 90%;</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2.设施发生故障响应时间应当不超过 24 小时;</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3.保证设施每年按照计量检定标准规定进行检定，不得影响相关执法案件数据有效性。</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4.已建设施的路面养护及维保由公路养护部门负责实施。</w:t>
      </w:r>
      <w:r/>
    </w:p>
    <w:p>
      <w:pPr>
        <w:pStyle w:val="811"/>
        <w:ind w:firstLine="0"/>
        <w:pageBreakBefore w:val="0"/>
        <w:spacing w:line="360" w:lineRule="auto"/>
        <w:rPr>
          <w:rFonts w:asciiTheme="minorEastAsia" w:hAnsiTheme="minorEastAsia" w:eastAsiaTheme="minorEastAsia"/>
          <w:color w:val="auto"/>
          <w:sz w:val="24"/>
          <w:szCs w:val="24"/>
          <w:highlight w:val="none"/>
        </w:rPr>
      </w:pPr>
      <w:r>
        <w:rPr>
          <w:rFonts w:hint="eastAsia"/>
          <w:color w:val="auto"/>
          <w:highlight w:val="none"/>
        </w:rPr>
        <w:t xml:space="preserve">   </w:t>
      </w:r>
      <w:r>
        <w:rPr>
          <w:rFonts w:hint="eastAsia" w:asciiTheme="minorEastAsia" w:hAnsiTheme="minorEastAsia" w:eastAsiaTheme="minorEastAsia"/>
          <w:color w:val="auto"/>
          <w:sz w:val="24"/>
          <w:szCs w:val="24"/>
          <w:highlight w:val="none"/>
        </w:rPr>
        <w:t xml:space="preserve"> 5.配合计量院完成相关设备的强制检定，并且取得计量院检定合格证书。</w:t>
      </w:r>
      <w:r/>
    </w:p>
    <w:p>
      <w:pPr>
        <w:pStyle w:val="777"/>
        <w:ind w:left="0" w:firstLine="424"/>
        <w:pageBreakBefore w:val="0"/>
        <w:spacing w:before="0" w:after="0" w:line="360" w:lineRule="auto"/>
        <w:rPr>
          <w:rFonts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具体要</w:t>
      </w:r>
      <w:r>
        <w:rPr>
          <w:rFonts w:hint="eastAsia" w:asciiTheme="minorEastAsia" w:hAnsiTheme="minorEastAsia" w:eastAsiaTheme="minorEastAsia"/>
          <w:color w:val="auto"/>
          <w:sz w:val="24"/>
          <w:szCs w:val="24"/>
          <w:highlight w:val="none"/>
        </w:rPr>
        <w:t xml:space="preserve">求</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设备系统运维服务期内负责提供 7×24小时的电话技术支持服务；设备系统运维服务期内负责提供应急响应服务，电话咨询，故障报修30分钟内服务响应；设备故障2小时内到达服务现场；一般故障 24 小时内修复；需要维修和更换设备的与业主协商修复时间，在协商时间内修复，确保设备系统的正常运行。</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具体运维服务内容要求如下：</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(1)设备系统运维服务期内无限次提供设备系统备品备件的更换、维修及人工服务；</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(2)设备系统运维服务期内负责按月提供当月日常巡检服务或现场维护情况说明相关文档，出具相关服务报告；</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(3)设备系统运维服务期内根据称重设备计量检定周期，协助计量主管部门开展计量检定及校准服务；</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w:t>
      </w:r>
      <w:r>
        <w:rPr>
          <w:rFonts w:hint="eastAsia" w:asciiTheme="minorEastAsia" w:hAnsiTheme="minorEastAsia" w:eastAsiaTheme="minorEastAsia"/>
          <w:color w:val="auto"/>
          <w:sz w:val="24"/>
          <w:szCs w:val="24"/>
          <w:highlight w:val="none"/>
        </w:rPr>
        <w:t xml:space="preserve">)设备系统运维服务期内负责日常故障监测检查服务。</w:t>
      </w:r>
      <w:r/>
    </w:p>
    <w:p>
      <w:pPr>
        <w:pStyle w:val="776"/>
        <w:numPr>
          <w:ilvl w:val="0"/>
          <w:numId w:val="5"/>
        </w:numPr>
        <w:ind w:left="0" w:firstLine="424"/>
        <w:pageBreakBefore w:val="0"/>
        <w:spacing w:before="0" w:after="0"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日常运行服务</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前端设备日常维护：前端设备(应包括但不仅限于摄像头、称重设备、标志牌、各类标示线、立杆、设备箱体及附件混凝土基础、避雷器、受电源适配器、补光设施等)及连接线缆的日常维护、巡检、故障处理及其他保障系统正常运行的维护服务工作。</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(2)传输网络日常维护：传输设备(应包括但不限于各类交换机设备、各类光模块、防火墙、隔离网闸等)及光缆的日常维护、巡检、故障处理及其他保障</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网络线路正常运行的维护服务工作。</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(3)后端设备日常维护：后端设备(应包括但不限于各服务器、硬盘、办公设备等)及连接线缆的日常维护、巡检、故障处理及其他保障系统正常运行的维护服务工作。</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(4)软件平台日常维护：软件平台的日常维护、巡检、故障处理及其他保障系统正常运行的维护服务工作。</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设立项目运维服务中心，并设立专门的技术及维护服务队伍。中心提供24小时服务热线电话，并提供其他备份的方便和迅速的联系方式，在常规运维体系外为本项目提供专项服务，保证在服务期7*24小时专业运维维护服务支持。</w:t>
      </w:r>
      <w:r/>
    </w:p>
    <w:p>
      <w:pPr>
        <w:pStyle w:val="776"/>
        <w:numPr>
          <w:ilvl w:val="0"/>
          <w:numId w:val="5"/>
        </w:numPr>
        <w:ind w:left="0" w:firstLine="424"/>
        <w:pageBreakBefore w:val="0"/>
        <w:spacing w:before="0" w:after="0"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维修保养服务</w:t>
      </w:r>
      <w:r/>
    </w:p>
    <w:p>
      <w:pPr>
        <w:pStyle w:val="777"/>
        <w:numPr>
          <w:ilvl w:val="0"/>
          <w:numId w:val="6"/>
        </w:numPr>
        <w:ind w:left="0" w:firstLine="424"/>
        <w:pageBreakBefore w:val="0"/>
        <w:spacing w:before="0" w:after="0"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定期巡检维护服务</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（1）对前端设备进行巡检，并填写维护记录表；</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（2）每月对范围内的线路、机房进行一次巡检维护，对可能影响线路及前端的情况要及时协调，防止因线路中断等情况造成系统中断。</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（3）主动检测服务：</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利用系统平台，建立设备管理监控机制，有效地对系统的监控设备运作情况和传输线路的性能、通断情况进行实时监控，及早发现问题，排除故障。</w:t>
      </w:r>
      <w:r/>
    </w:p>
    <w:p>
      <w:pPr>
        <w:ind w:left="0" w:firstLine="424"/>
        <w:pageBreakBefore w:val="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适时对每个监控点的图像显示情况进行人工监测，增加故障判定的准确性，以减少故障时间。</w:t>
      </w:r>
      <w:r/>
    </w:p>
    <w:p>
      <w:pPr>
        <w:pStyle w:val="777"/>
        <w:numPr>
          <w:ilvl w:val="0"/>
          <w:numId w:val="6"/>
        </w:numPr>
        <w:ind w:left="0" w:firstLine="424"/>
        <w:pageBreakBefore w:val="0"/>
        <w:spacing w:before="0" w:after="0"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故障修复服务</w:t>
      </w:r>
      <w:r/>
    </w:p>
    <w:p>
      <w:pPr>
        <w:ind w:left="0" w:firstLine="421"/>
        <w:pageBreakBefore w:val="0"/>
        <w:spacing w:line="360" w:lineRule="auto"/>
        <w:rPr>
          <w:rFonts w:cs="宋体" w:asciiTheme="minorEastAsia" w:hAnsiTheme="minorEastAsia" w:eastAsiaTheme="minorEastAsia"/>
          <w:color w:val="auto"/>
          <w:spacing w:val="-1"/>
          <w:sz w:val="24"/>
          <w:szCs w:val="24"/>
          <w:highlight w:val="none"/>
        </w:rPr>
        <w:outlineLvl w:val="4"/>
      </w:pPr>
      <w:r>
        <w:rPr>
          <w:rFonts w:hint="eastAsia" w:cs="宋体" w:asciiTheme="minorEastAsia" w:hAnsiTheme="minorEastAsia" w:eastAsiaTheme="minorEastAsia"/>
          <w:color w:val="auto"/>
          <w:spacing w:val="-1"/>
          <w:sz w:val="24"/>
          <w:szCs w:val="24"/>
          <w:highlight w:val="none"/>
        </w:rPr>
        <w:t xml:space="preserve">(1)紧急抢修</w:t>
      </w:r>
      <w:r/>
    </w:p>
    <w:p>
      <w:pPr>
        <w:ind w:left="0" w:firstLine="421"/>
        <w:pageBreakBefore w:val="0"/>
        <w:spacing w:line="360" w:lineRule="auto"/>
        <w:rPr>
          <w:rFonts w:cs="宋体" w:asciiTheme="minorEastAsia" w:hAnsiTheme="minorEastAsia" w:eastAsiaTheme="minorEastAsia"/>
          <w:color w:val="auto"/>
          <w:spacing w:val="-1"/>
          <w:sz w:val="24"/>
          <w:szCs w:val="24"/>
          <w:highlight w:val="none"/>
        </w:rPr>
      </w:pPr>
      <w:r>
        <w:rPr>
          <w:rFonts w:hint="eastAsia" w:cs="宋体" w:asciiTheme="minorEastAsia" w:hAnsiTheme="minorEastAsia" w:eastAsiaTheme="minorEastAsia"/>
          <w:color w:val="auto"/>
          <w:spacing w:val="-1"/>
          <w:sz w:val="24"/>
          <w:szCs w:val="24"/>
          <w:highlight w:val="none"/>
        </w:rPr>
        <w:t xml:space="preserve">承担合同期内系统发生任何故障的抢修任务。</w:t>
      </w:r>
      <w:r/>
    </w:p>
    <w:p>
      <w:pPr>
        <w:ind w:left="0" w:firstLine="421"/>
        <w:pageBreakBefore w:val="0"/>
        <w:spacing w:line="360" w:lineRule="auto"/>
        <w:rPr>
          <w:rFonts w:cs="宋体" w:asciiTheme="minorEastAsia" w:hAnsiTheme="minorEastAsia" w:eastAsiaTheme="minorEastAsia"/>
          <w:color w:val="auto"/>
          <w:spacing w:val="-1"/>
          <w:sz w:val="24"/>
          <w:szCs w:val="24"/>
          <w:highlight w:val="none"/>
        </w:rPr>
      </w:pPr>
      <w:r>
        <w:rPr>
          <w:rFonts w:hint="eastAsia" w:cs="宋体" w:asciiTheme="minorEastAsia" w:hAnsiTheme="minorEastAsia" w:eastAsiaTheme="minorEastAsia"/>
          <w:color w:val="auto"/>
          <w:spacing w:val="-1"/>
          <w:sz w:val="24"/>
          <w:szCs w:val="24"/>
          <w:highlight w:val="none"/>
        </w:rPr>
        <w:t xml:space="preserve">如特殊原因造成系统无法正常使用(如光纤切割、设备搬迁等)，在线路改造时精心规划，合理安排割接方案，尽量减少对执法使用的影响。</w:t>
      </w:r>
      <w:r/>
    </w:p>
    <w:p>
      <w:pPr>
        <w:ind w:left="0" w:firstLine="421"/>
        <w:pageBreakBefore w:val="0"/>
        <w:spacing w:line="360" w:lineRule="auto"/>
        <w:rPr>
          <w:rFonts w:cs="宋体" w:asciiTheme="minorEastAsia" w:hAnsiTheme="minorEastAsia" w:eastAsiaTheme="minorEastAsia"/>
          <w:color w:val="auto"/>
          <w:spacing w:val="-1"/>
          <w:sz w:val="24"/>
          <w:szCs w:val="24"/>
          <w:highlight w:val="none"/>
        </w:rPr>
        <w:outlineLvl w:val="4"/>
      </w:pPr>
      <w:r>
        <w:rPr>
          <w:rFonts w:hint="eastAsia" w:cs="宋体" w:asciiTheme="minorEastAsia" w:hAnsiTheme="minorEastAsia" w:eastAsiaTheme="minorEastAsia"/>
          <w:color w:val="auto"/>
          <w:spacing w:val="-1"/>
          <w:sz w:val="24"/>
          <w:szCs w:val="24"/>
          <w:highlight w:val="none"/>
        </w:rPr>
        <w:t xml:space="preserve">(2)备品备件</w:t>
      </w:r>
      <w:r/>
    </w:p>
    <w:p>
      <w:pPr>
        <w:ind w:left="0" w:firstLine="421"/>
        <w:pageBreakBefore w:val="0"/>
        <w:spacing w:line="360" w:lineRule="auto"/>
        <w:rPr>
          <w:rFonts w:cs="宋体" w:asciiTheme="minorEastAsia" w:hAnsiTheme="minorEastAsia" w:eastAsiaTheme="minorEastAsia"/>
          <w:color w:val="auto"/>
          <w:spacing w:val="-1"/>
          <w:sz w:val="24"/>
          <w:szCs w:val="24"/>
          <w:highlight w:val="none"/>
        </w:rPr>
      </w:pPr>
      <w:r>
        <w:rPr>
          <w:rFonts w:hint="eastAsia" w:cs="宋体" w:asciiTheme="minorEastAsia" w:hAnsiTheme="minorEastAsia" w:eastAsiaTheme="minorEastAsia"/>
          <w:color w:val="auto"/>
          <w:spacing w:val="-1"/>
          <w:sz w:val="24"/>
          <w:szCs w:val="24"/>
          <w:highlight w:val="none"/>
        </w:rPr>
        <w:t xml:space="preserve">在运行维护中，要求提供足够的备品备件，存放于指定地点，保证损坏的设施设备得到及时更换。</w:t>
      </w:r>
      <w:r/>
    </w:p>
    <w:p>
      <w:pPr>
        <w:ind w:left="0" w:firstLine="421"/>
        <w:pageBreakBefore w:val="0"/>
        <w:spacing w:line="360" w:lineRule="auto"/>
        <w:rPr>
          <w:rFonts w:cs="宋体" w:asciiTheme="minorEastAsia" w:hAnsiTheme="minorEastAsia" w:eastAsiaTheme="minorEastAsia"/>
          <w:color w:val="auto"/>
          <w:spacing w:val="-1"/>
          <w:sz w:val="24"/>
          <w:szCs w:val="24"/>
          <w:highlight w:val="none"/>
        </w:rPr>
        <w:outlineLvl w:val="4"/>
      </w:pPr>
      <w:r>
        <w:rPr>
          <w:rFonts w:hint="eastAsia" w:cs="宋体" w:asciiTheme="minorEastAsia" w:hAnsiTheme="minorEastAsia" w:eastAsiaTheme="minorEastAsia"/>
          <w:color w:val="auto"/>
          <w:spacing w:val="-1"/>
          <w:sz w:val="24"/>
          <w:szCs w:val="24"/>
          <w:highlight w:val="none"/>
        </w:rPr>
        <w:t xml:space="preserve">(3)更换设备</w:t>
      </w:r>
      <w:r/>
    </w:p>
    <w:p>
      <w:pPr>
        <w:ind w:left="0" w:firstLine="421"/>
        <w:pageBreakBefore w:val="0"/>
        <w:spacing w:line="360" w:lineRule="auto"/>
        <w:rPr>
          <w:rFonts w:cs="宋体" w:asciiTheme="minorEastAsia" w:hAnsiTheme="minorEastAsia" w:eastAsiaTheme="minorEastAsia"/>
          <w:color w:val="auto"/>
          <w:spacing w:val="-1"/>
          <w:sz w:val="24"/>
          <w:szCs w:val="24"/>
          <w:highlight w:val="none"/>
        </w:rPr>
      </w:pPr>
      <w:r>
        <w:rPr>
          <w:rFonts w:hint="eastAsia" w:cs="宋体" w:asciiTheme="minorEastAsia" w:hAnsiTheme="minorEastAsia" w:eastAsiaTheme="minorEastAsia"/>
          <w:color w:val="auto"/>
          <w:spacing w:val="-1"/>
          <w:sz w:val="24"/>
          <w:szCs w:val="24"/>
          <w:highlight w:val="none"/>
        </w:rPr>
        <w:t xml:space="preserve">若某个设备在1个月内连续发生3次及以上故障，可要求更换使用新的同型号或者性能不低于原型号的替代产品，以保障设备的连续正常使用能力。</w:t>
      </w:r>
      <w:r/>
    </w:p>
    <w:p>
      <w:pPr>
        <w:pStyle w:val="777"/>
        <w:numPr>
          <w:ilvl w:val="0"/>
          <w:numId w:val="6"/>
        </w:numPr>
        <w:ind w:left="0" w:firstLine="424"/>
        <w:pageBreakBefore w:val="0"/>
        <w:spacing w:before="0" w:after="0"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设备维修服务</w:t>
      </w:r>
      <w:r/>
    </w:p>
    <w:p>
      <w:pPr>
        <w:ind w:left="0" w:firstLine="421"/>
        <w:pageBreakBefore w:val="0"/>
        <w:spacing w:line="360" w:lineRule="auto"/>
        <w:rPr>
          <w:rFonts w:cs="宋体" w:asciiTheme="minorEastAsia" w:hAnsiTheme="minorEastAsia" w:eastAsiaTheme="minorEastAsia"/>
          <w:color w:val="auto"/>
          <w:spacing w:val="-1"/>
          <w:sz w:val="24"/>
          <w:szCs w:val="24"/>
          <w:highlight w:val="none"/>
        </w:rPr>
        <w:outlineLvl w:val="4"/>
      </w:pPr>
      <w:r>
        <w:rPr>
          <w:rFonts w:hint="eastAsia" w:cs="宋体" w:asciiTheme="minorEastAsia" w:hAnsiTheme="minorEastAsia" w:eastAsiaTheme="minorEastAsia"/>
          <w:color w:val="auto"/>
          <w:spacing w:val="-1"/>
          <w:sz w:val="24"/>
          <w:szCs w:val="24"/>
          <w:highlight w:val="none"/>
        </w:rPr>
        <w:t xml:space="preserve">对全项目周期范围内的全部设备免费维修服务。对于正在使用的设备，出现了故障，如果现场维护人员不能及时修复处理，首先要拿到产品维修中心进行检测、检查，查出问题后，能维修的在测试中心及时修复，以保证设备的修复时间。如果维修测试中心不能修复，再交给厂家进行维修，并且维修后的产品的质量水平必须达到执法应用要求。</w:t>
      </w:r>
      <w:r/>
    </w:p>
    <w:p>
      <w:pPr>
        <w:pStyle w:val="777"/>
        <w:numPr>
          <w:ilvl w:val="0"/>
          <w:numId w:val="6"/>
        </w:numPr>
        <w:ind w:left="0" w:firstLine="424"/>
        <w:pageBreakBefore w:val="0"/>
        <w:spacing w:before="0" w:after="0"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特殊保障服务</w:t>
      </w:r>
      <w:r/>
    </w:p>
    <w:p>
      <w:pPr>
        <w:pStyle w:val="1044"/>
        <w:ind w:firstLine="424"/>
        <w:pageBreakBefore w:val="0"/>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临时保障</w:t>
      </w:r>
      <w:r/>
    </w:p>
    <w:p>
      <w:pPr>
        <w:ind w:left="0" w:firstLine="421"/>
        <w:jc w:val="left"/>
        <w:pageBreakBefore w:val="0"/>
        <w:spacing w:line="360" w:lineRule="auto"/>
        <w:rPr>
          <w:rFonts w:cs="宋体" w:asciiTheme="minorEastAsia" w:hAnsiTheme="minorEastAsia" w:eastAsiaTheme="minorEastAsia"/>
          <w:color w:val="auto"/>
          <w:spacing w:val="-1"/>
          <w:sz w:val="24"/>
          <w:szCs w:val="24"/>
          <w:highlight w:val="none"/>
        </w:rPr>
      </w:pPr>
      <w:r>
        <w:rPr>
          <w:rFonts w:hint="eastAsia" w:cs="宋体" w:asciiTheme="minorEastAsia" w:hAnsiTheme="minorEastAsia" w:eastAsiaTheme="minorEastAsia"/>
          <w:color w:val="auto"/>
          <w:spacing w:val="-1"/>
          <w:sz w:val="24"/>
          <w:szCs w:val="24"/>
          <w:highlight w:val="none"/>
        </w:rPr>
        <w:t xml:space="preserve">维护管理中心设应急小组，7×24小时待命，如有重大事件、临时现场监控等较特殊的保障措施， 要求派遣有经验的工程师前往现场，提供保障服务。</w:t>
      </w:r>
      <w:r/>
    </w:p>
    <w:p>
      <w:pPr>
        <w:pStyle w:val="1044"/>
        <w:ind w:firstLine="424"/>
        <w:pageBreakBefore w:val="0"/>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安全保障</w:t>
      </w:r>
      <w:r/>
    </w:p>
    <w:p>
      <w:pPr>
        <w:ind w:left="0" w:firstLine="421"/>
        <w:jc w:val="left"/>
        <w:pageBreakBefore w:val="0"/>
        <w:spacing w:line="360" w:lineRule="auto"/>
        <w:rPr>
          <w:rFonts w:cs="宋体" w:asciiTheme="minorEastAsia" w:hAnsiTheme="minorEastAsia" w:eastAsiaTheme="minorEastAsia"/>
          <w:color w:val="auto"/>
          <w:spacing w:val="-1"/>
          <w:sz w:val="24"/>
          <w:szCs w:val="24"/>
          <w:highlight w:val="none"/>
        </w:rPr>
      </w:pPr>
      <w:r>
        <w:rPr>
          <w:rFonts w:hint="eastAsia" w:cs="宋体" w:asciiTheme="minorEastAsia" w:hAnsiTheme="minorEastAsia" w:eastAsiaTheme="minorEastAsia"/>
          <w:color w:val="auto"/>
          <w:spacing w:val="-1"/>
          <w:sz w:val="24"/>
          <w:szCs w:val="24"/>
          <w:highlight w:val="none"/>
        </w:rPr>
        <w:t xml:space="preserve">如有安全保卫、系统接管等较特殊的要求，按照要求提供解决方案，并第一时间派遣技术人员，提供安全保障服务。</w:t>
      </w:r>
      <w:r/>
    </w:p>
    <w:p>
      <w:pPr>
        <w:pStyle w:val="777"/>
        <w:numPr>
          <w:ilvl w:val="0"/>
          <w:numId w:val="6"/>
        </w:numPr>
        <w:ind w:left="0" w:firstLine="424"/>
        <w:pageBreakBefore w:val="0"/>
        <w:spacing w:before="0" w:after="0" w:line="360" w:lineRule="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计量院检定</w:t>
      </w:r>
      <w:r/>
    </w:p>
    <w:p>
      <w:pPr>
        <w:pageBreakBefore w:val="0"/>
        <w:spacing w:line="360" w:lineRule="auto"/>
        <w:rPr>
          <w:color w:val="auto"/>
          <w:highlight w:val="none"/>
        </w:rPr>
      </w:pPr>
      <w:r>
        <w:rPr>
          <w:rFonts w:hint="eastAsia" w:cs="宋体" w:asciiTheme="minorEastAsia" w:hAnsiTheme="minorEastAsia" w:eastAsiaTheme="minorEastAsia"/>
          <w:color w:val="auto"/>
          <w:spacing w:val="-1"/>
          <w:sz w:val="24"/>
          <w:szCs w:val="24"/>
          <w:highlight w:val="none"/>
        </w:rPr>
        <w:t xml:space="preserve">配合计量院对服务期内的设备进行计量检定，配合业主取得计量院的检定合格证书。</w:t>
      </w:r>
      <w:r/>
    </w:p>
    <w:p>
      <w:pPr>
        <w:pStyle w:val="777"/>
        <w:ind w:left="142"/>
        <w:pageBreakBefore w:val="0"/>
        <w:spacing w:before="0" w:after="0"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.运维</w:t>
      </w:r>
      <w:r>
        <w:rPr>
          <w:rFonts w:hint="eastAsia" w:ascii="宋体" w:hAnsi="宋体" w:eastAsia="宋体"/>
          <w:b/>
          <w:color w:val="auto"/>
          <w:sz w:val="24"/>
          <w:szCs w:val="24"/>
          <w:highlight w:val="none"/>
        </w:rPr>
        <w:t xml:space="preserve">清单</w:t>
      </w:r>
      <w:r/>
    </w:p>
    <w:tbl>
      <w:tblPr>
        <w:tblStyle w:val="78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758"/>
        <w:gridCol w:w="1125"/>
        <w:gridCol w:w="974"/>
        <w:gridCol w:w="936"/>
        <w:gridCol w:w="3351"/>
      </w:tblGrid>
      <w:tr>
        <w:trPr>
          <w:trHeight w:val="324"/>
        </w:trPr>
        <w:tc>
          <w:tcPr>
            <w:shd w:val="clear" w:color="auto" w:fill="auto"/>
            <w:tcW w:w="462" w:type="pct"/>
            <w:vAlign w:val="center"/>
            <w:textDirection w:val="lrTb"/>
            <w:noWrap w:val="false"/>
          </w:tcPr>
          <w:p>
            <w:pPr>
              <w:ind w:left="0"/>
              <w:jc w:val="center"/>
              <w:pageBreakBefore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W w:w="1368" w:type="pct"/>
            <w:vAlign w:val="center"/>
            <w:textDirection w:val="lrTb"/>
            <w:noWrap w:val="false"/>
          </w:tcPr>
          <w:p>
            <w:pPr>
              <w:ind w:left="0"/>
              <w:jc w:val="center"/>
              <w:pageBreakBefore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名称</w:t>
            </w:r>
            <w:r/>
          </w:p>
        </w:tc>
        <w:tc>
          <w:tcPr>
            <w:shd w:val="clear" w:color="auto" w:fill="auto"/>
            <w:tcW w:w="558" w:type="pct"/>
            <w:vAlign w:val="center"/>
            <w:textDirection w:val="lrTb"/>
            <w:noWrap w:val="false"/>
          </w:tcPr>
          <w:p>
            <w:pPr>
              <w:ind w:left="0"/>
              <w:jc w:val="center"/>
              <w:pageBreakBefore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单位</w:t>
            </w:r>
            <w:r/>
          </w:p>
        </w:tc>
        <w:tc>
          <w:tcPr>
            <w:shd w:val="clear" w:color="auto" w:fill="auto"/>
            <w:tcW w:w="483" w:type="pct"/>
            <w:vAlign w:val="center"/>
            <w:textDirection w:val="lrTb"/>
            <w:noWrap w:val="false"/>
          </w:tcPr>
          <w:p>
            <w:pPr>
              <w:ind w:left="0"/>
              <w:jc w:val="center"/>
              <w:pageBreakBefore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tc>
        <w:tc>
          <w:tcPr>
            <w:shd w:val="clear" w:color="auto" w:fill="auto"/>
            <w:tcW w:w="464" w:type="pct"/>
            <w:vAlign w:val="center"/>
            <w:textDirection w:val="lrTb"/>
            <w:noWrap w:val="false"/>
          </w:tcPr>
          <w:p>
            <w:pPr>
              <w:ind w:left="0"/>
              <w:jc w:val="center"/>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shd w:val="clear" w:color="auto" w:fill="auto"/>
            <w:tcW w:w="1662" w:type="pct"/>
            <w:vAlign w:val="center"/>
            <w:textDirection w:val="lrTb"/>
            <w:noWrap w:val="false"/>
          </w:tcPr>
          <w:p>
            <w:pPr>
              <w:ind w:left="0"/>
              <w:jc w:val="center"/>
              <w:pageBreakBefore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trHeight w:val="300"/>
        </w:trPr>
        <w:tc>
          <w:tcPr>
            <w:shd w:val="clear" w:color="auto" w:fill="auto"/>
            <w:tcW w:w="4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W w:w="1368" w:type="pct"/>
            <w:vAlign w:val="center"/>
            <w:textDirection w:val="lrTb"/>
            <w:noWrap w:val="false"/>
          </w:tcPr>
          <w:p>
            <w:pPr>
              <w:ind w:left="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S230东太湖路段南向北</w:t>
            </w:r>
            <w:r/>
          </w:p>
        </w:tc>
        <w:tc>
          <w:tcPr>
            <w:shd w:val="clear" w:color="auto" w:fill="auto"/>
            <w:tcW w:w="558"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auto" w:fill="auto"/>
            <w:tcW w:w="483"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W w:w="464" w:type="pct"/>
            <w:vAlign w:val="center"/>
            <w:textDirection w:val="lrTb"/>
            <w:noWrap w:val="false"/>
          </w:tcPr>
          <w:p>
            <w:pPr>
              <w:ind w:left="0"/>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一期</w:t>
            </w:r>
            <w:r/>
          </w:p>
        </w:tc>
        <w:tc>
          <w:tcPr>
            <w:shd w:val="clear" w:color="auto" w:fill="auto"/>
            <w:tcW w:w="16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全系统维护，含硬件及软件设备</w:t>
            </w:r>
            <w:r/>
          </w:p>
        </w:tc>
      </w:tr>
      <w:tr>
        <w:trPr>
          <w:trHeight w:val="300"/>
        </w:trPr>
        <w:tc>
          <w:tcPr>
            <w:shd w:val="clear" w:color="auto" w:fill="auto"/>
            <w:tcW w:w="4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W w:w="1368" w:type="pct"/>
            <w:vAlign w:val="center"/>
            <w:textDirection w:val="lrTb"/>
            <w:noWrap w:val="false"/>
          </w:tcPr>
          <w:p>
            <w:pPr>
              <w:ind w:left="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X207 K5+660北向南</w:t>
            </w:r>
            <w:r/>
          </w:p>
        </w:tc>
        <w:tc>
          <w:tcPr>
            <w:shd w:val="clear" w:color="auto" w:fill="auto"/>
            <w:tcW w:w="558"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auto" w:fill="auto"/>
            <w:tcW w:w="483"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W w:w="464" w:type="pct"/>
            <w:vAlign w:val="center"/>
            <w:textDirection w:val="lrTb"/>
            <w:noWrap w:val="false"/>
          </w:tcPr>
          <w:p>
            <w:pPr>
              <w:ind w:left="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一期</w:t>
            </w:r>
            <w:r/>
          </w:p>
        </w:tc>
        <w:tc>
          <w:tcPr>
            <w:shd w:val="clear" w:color="auto" w:fill="auto"/>
            <w:tcW w:w="16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全系统维护，含硬件及软件设备</w:t>
            </w:r>
            <w:r/>
          </w:p>
        </w:tc>
      </w:tr>
      <w:tr>
        <w:trPr>
          <w:trHeight w:val="300"/>
        </w:trPr>
        <w:tc>
          <w:tcPr>
            <w:shd w:val="clear" w:color="auto" w:fill="auto"/>
            <w:tcW w:w="4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W w:w="1368" w:type="pct"/>
            <w:vAlign w:val="center"/>
            <w:textDirection w:val="lrTb"/>
            <w:noWrap w:val="false"/>
          </w:tcPr>
          <w:p>
            <w:pPr>
              <w:ind w:left="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吴淞江大道北向南</w:t>
            </w:r>
            <w:r/>
          </w:p>
        </w:tc>
        <w:tc>
          <w:tcPr>
            <w:shd w:val="clear" w:color="auto" w:fill="auto"/>
            <w:tcW w:w="558"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auto" w:fill="auto"/>
            <w:tcW w:w="483"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W w:w="464" w:type="pct"/>
            <w:vAlign w:val="center"/>
            <w:textDirection w:val="lrTb"/>
            <w:noWrap w:val="false"/>
          </w:tcPr>
          <w:p>
            <w:pPr>
              <w:ind w:left="0"/>
              <w:jc w:val="center"/>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二期</w:t>
            </w:r>
            <w:r/>
          </w:p>
        </w:tc>
        <w:tc>
          <w:tcPr>
            <w:shd w:val="clear" w:color="auto" w:fill="auto"/>
            <w:tcW w:w="16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全系统维护，含硬件及软件设备</w:t>
            </w:r>
            <w:r/>
          </w:p>
        </w:tc>
      </w:tr>
      <w:tr>
        <w:trPr>
          <w:trHeight w:val="300"/>
        </w:trPr>
        <w:tc>
          <w:tcPr>
            <w:shd w:val="clear" w:color="auto" w:fill="auto"/>
            <w:tcW w:w="4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W w:w="1368" w:type="pct"/>
            <w:vAlign w:val="center"/>
            <w:textDirection w:val="lrTb"/>
            <w:noWrap w:val="false"/>
          </w:tcPr>
          <w:p>
            <w:pPr>
              <w:ind w:left="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吴淞江大道南向北</w:t>
            </w:r>
            <w:r/>
          </w:p>
        </w:tc>
        <w:tc>
          <w:tcPr>
            <w:shd w:val="clear" w:color="auto" w:fill="auto"/>
            <w:tcW w:w="558"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auto" w:fill="auto"/>
            <w:tcW w:w="483"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W w:w="464" w:type="pct"/>
            <w:vAlign w:val="center"/>
            <w:textDirection w:val="lrTb"/>
            <w:noWrap w:val="false"/>
          </w:tcPr>
          <w:p>
            <w:pPr>
              <w:ind w:left="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二期</w:t>
            </w:r>
            <w:r/>
          </w:p>
        </w:tc>
        <w:tc>
          <w:tcPr>
            <w:shd w:val="clear" w:color="auto" w:fill="auto"/>
            <w:tcW w:w="16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全系统维护，含硬件及软件设备</w:t>
            </w:r>
            <w:r/>
          </w:p>
        </w:tc>
      </w:tr>
      <w:tr>
        <w:trPr>
          <w:trHeight w:val="300"/>
        </w:trPr>
        <w:tc>
          <w:tcPr>
            <w:shd w:val="clear" w:color="auto" w:fill="auto"/>
            <w:tcW w:w="4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W w:w="1368" w:type="pct"/>
            <w:vAlign w:val="center"/>
            <w:textDirection w:val="lrTb"/>
            <w:noWrap w:val="false"/>
          </w:tcPr>
          <w:p>
            <w:pPr>
              <w:ind w:left="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福东路北向南</w:t>
            </w:r>
            <w:r/>
          </w:p>
        </w:tc>
        <w:tc>
          <w:tcPr>
            <w:shd w:val="clear" w:color="auto" w:fill="auto"/>
            <w:tcW w:w="558"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auto" w:fill="auto"/>
            <w:tcW w:w="483"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W w:w="464" w:type="pct"/>
            <w:vAlign w:val="center"/>
            <w:textDirection w:val="lrTb"/>
            <w:noWrap w:val="false"/>
          </w:tcPr>
          <w:p>
            <w:pPr>
              <w:ind w:left="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二期</w:t>
            </w:r>
            <w:r/>
          </w:p>
        </w:tc>
        <w:tc>
          <w:tcPr>
            <w:shd w:val="clear" w:color="auto" w:fill="auto"/>
            <w:tcW w:w="16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全系统维护，含硬件及软件设备</w:t>
            </w:r>
            <w:r/>
          </w:p>
        </w:tc>
      </w:tr>
      <w:tr>
        <w:trPr>
          <w:trHeight w:val="300"/>
        </w:trPr>
        <w:tc>
          <w:tcPr>
            <w:shd w:val="clear" w:color="auto" w:fill="auto"/>
            <w:tcW w:w="4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W w:w="1368" w:type="pct"/>
            <w:vAlign w:val="center"/>
            <w:textDirection w:val="lrTb"/>
            <w:noWrap w:val="false"/>
          </w:tcPr>
          <w:p>
            <w:pPr>
              <w:ind w:left="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东山大道北向南</w:t>
            </w:r>
            <w:r/>
          </w:p>
        </w:tc>
        <w:tc>
          <w:tcPr>
            <w:shd w:val="clear" w:color="auto" w:fill="auto"/>
            <w:tcW w:w="558"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auto" w:fill="auto"/>
            <w:tcW w:w="483"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W w:w="464" w:type="pct"/>
            <w:vAlign w:val="center"/>
            <w:textDirection w:val="lrTb"/>
            <w:noWrap w:val="false"/>
          </w:tcPr>
          <w:p>
            <w:pPr>
              <w:ind w:left="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二期</w:t>
            </w:r>
            <w:r/>
          </w:p>
        </w:tc>
        <w:tc>
          <w:tcPr>
            <w:shd w:val="clear" w:color="auto" w:fill="auto"/>
            <w:tcW w:w="16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全系统维护，含硬件及软件设备</w:t>
            </w:r>
            <w:r/>
          </w:p>
        </w:tc>
      </w:tr>
      <w:tr>
        <w:trPr>
          <w:trHeight w:val="300"/>
        </w:trPr>
        <w:tc>
          <w:tcPr>
            <w:shd w:val="clear" w:color="auto" w:fill="auto"/>
            <w:tcW w:w="4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W w:w="1368" w:type="pct"/>
            <w:vAlign w:val="center"/>
            <w:textDirection w:val="lrTb"/>
            <w:noWrap w:val="false"/>
          </w:tcPr>
          <w:p>
            <w:pPr>
              <w:ind w:left="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X207旺家桥南向北</w:t>
            </w:r>
            <w:r/>
          </w:p>
        </w:tc>
        <w:tc>
          <w:tcPr>
            <w:shd w:val="clear" w:color="auto" w:fill="auto"/>
            <w:tcW w:w="558"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auto" w:fill="auto"/>
            <w:tcW w:w="483"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W w:w="464" w:type="pct"/>
            <w:vAlign w:val="center"/>
            <w:textDirection w:val="lrTb"/>
            <w:noWrap w:val="false"/>
          </w:tcPr>
          <w:p>
            <w:pPr>
              <w:ind w:left="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二期</w:t>
            </w:r>
            <w:r/>
          </w:p>
        </w:tc>
        <w:tc>
          <w:tcPr>
            <w:shd w:val="clear" w:color="auto" w:fill="auto"/>
            <w:tcW w:w="1662" w:type="pct"/>
            <w:vAlign w:val="center"/>
            <w:textDirection w:val="lrTb"/>
            <w:noWrap w:val="false"/>
          </w:tcPr>
          <w:p>
            <w:pPr>
              <w:ind w:left="0"/>
              <w:jc w:val="center"/>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全系统维护，含硬件及软件设备</w:t>
            </w:r>
            <w:r/>
          </w:p>
        </w:tc>
      </w:tr>
    </w:tbl>
    <w:p>
      <w:pPr>
        <w:pStyle w:val="1044"/>
        <w:pageBreakBefore w:val="0"/>
        <w:spacing w:line="360" w:lineRule="auto"/>
        <w:rPr>
          <w:color w:val="auto"/>
          <w:highlight w:val="none"/>
        </w:rPr>
      </w:pPr>
      <w:r>
        <w:rPr>
          <w:color w:val="auto"/>
          <w:highlight w:val="none"/>
        </w:rPr>
      </w:r>
      <w:r/>
    </w:p>
    <w:p>
      <w:pPr>
        <w:ind w:left="-1" w:hanging="29"/>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4</w:t>
      </w:r>
      <w:r>
        <w:rPr>
          <w:rFonts w:ascii="宋体" w:hAnsi="宋体"/>
          <w:b/>
          <w:color w:val="auto"/>
          <w:sz w:val="24"/>
          <w:szCs w:val="24"/>
          <w:highlight w:val="none"/>
        </w:rPr>
        <w:t xml:space="preserve">.运维站点设备</w:t>
      </w:r>
      <w:r/>
    </w:p>
    <w:p>
      <w:pPr>
        <w:pStyle w:val="811"/>
        <w:ind w:firstLine="480"/>
        <w:pageBreakBefore w:val="0"/>
        <w:spacing w:line="360" w:lineRule="auto"/>
        <w:rPr>
          <w:b/>
          <w:color w:val="auto"/>
          <w:sz w:val="24"/>
          <w:highlight w:val="none"/>
        </w:rPr>
      </w:pPr>
      <w:r>
        <w:rPr>
          <w:rStyle w:val="807"/>
          <w:rFonts w:ascii="Segoe UI" w:hAnsi="Segoe UI" w:cs="Segoe UI"/>
          <w:b w:val="0"/>
          <w:color w:val="auto"/>
          <w:sz w:val="24"/>
          <w:highlight w:val="none"/>
          <w:shd w:val="clear" w:color="auto" w:fill="ffffff"/>
        </w:rPr>
        <w:t xml:space="preserve">维护清单涵盖以下核心内容，但不限于以下范围</w:t>
      </w:r>
      <w:r>
        <w:rPr>
          <w:rStyle w:val="807"/>
          <w:rFonts w:hint="eastAsia" w:ascii="Segoe UI" w:hAnsi="Segoe UI" w:cs="Segoe UI"/>
          <w:b w:val="0"/>
          <w:color w:val="auto"/>
          <w:sz w:val="24"/>
          <w:highlight w:val="none"/>
          <w:shd w:val="clear" w:color="auto" w:fill="ffffff"/>
        </w:rPr>
        <w:t xml:space="preserve">。</w:t>
      </w:r>
      <w:r/>
    </w:p>
    <w:p>
      <w:pPr>
        <w:pStyle w:val="811"/>
        <w:ind w:firstLine="0"/>
        <w:jc w:val="left"/>
        <w:pageBreakBefore w:val="0"/>
        <w:spacing w:line="240" w:lineRule="auto"/>
        <w:rPr>
          <w:b/>
          <w:color w:val="auto"/>
          <w:sz w:val="21"/>
          <w:szCs w:val="21"/>
          <w:highlight w:val="none"/>
        </w:rPr>
      </w:pPr>
      <w:r>
        <w:rPr>
          <w:rFonts w:hint="eastAsia"/>
          <w:b/>
          <w:color w:val="auto"/>
          <w:sz w:val="21"/>
          <w:szCs w:val="21"/>
          <w:highlight w:val="none"/>
        </w:rPr>
        <w:t xml:space="preserve">一期设备清单</w:t>
      </w:r>
      <w:r/>
    </w:p>
    <w:tbl>
      <w:tblPr>
        <w:tblStyle w:val="785"/>
        <w:tblW w:w="5003"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335"/>
        <w:gridCol w:w="3954"/>
        <w:gridCol w:w="978"/>
        <w:gridCol w:w="1096"/>
      </w:tblGrid>
      <w:tr>
        <w:trPr>
          <w:trHeight w:val="741"/>
        </w:trPr>
        <w:tc>
          <w:tcPr>
            <w:shd w:val="clear" w:color="auto" w:fill="auto"/>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shd w:val="clear" w:color="auto" w:fill="auto"/>
            <w:tcW w:w="165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产品名称</w:t>
            </w:r>
            <w:r/>
          </w:p>
        </w:tc>
        <w:tc>
          <w:tcPr>
            <w:shd w:val="clear" w:color="auto" w:fill="auto"/>
            <w:tcW w:w="1960"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型号或规格</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r>
      <w:tr>
        <w:trPr>
          <w:trHeight w:val="780"/>
        </w:trPr>
        <w:tc>
          <w:tcPr>
            <w:gridSpan w:val="3"/>
            <w:shd w:val="clear" w:color="000000" w:fill="ffffff"/>
            <w:tcW w:w="3972"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吴中区动态称重检测系统建设项目-S230东太湖路段南向北方向</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6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动态称重子系统</w:t>
            </w:r>
            <w:r/>
          </w:p>
        </w:tc>
        <w:tc>
          <w:tcPr>
            <w:shd w:val="clear" w:color="000000" w:fill="ffffff"/>
            <w:tcW w:w="1960"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6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称重平板主体（宽型）</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盘天ZDG-40-DZ</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6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称重平板主体（标准型）</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盘天 ZDG-40-DZ</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称重传感器</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中航 HB-07</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306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专用高强度快干基础</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产定制含高强灌浆料、钢筋、管材及路面内施工机具人工等费用；水料比14%；容重2200kg/m3；浇筑后无泌水现象，泌水率0%；超细径粒，最大径粒≤2mm；流动性好，初始流动度320mm，30min流动度300mm；微膨胀，3h膨胀率0.1%，24h和3h膨胀率差值0.02；抗油性好，机油浸泡30天后强度增加10%；3小时初凝强度达到C30；7小时终凝强度达到C50；夏季12小时内通行重车；冬季24小时内通行重车。</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车检器</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杭州LVD-6008</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车检线圈</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定制定制FVN 1*15 地感线圈专用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现场数据处理子系统</w:t>
            </w:r>
            <w:r>
              <w:rPr>
                <w:rFonts w:hint="eastAsia" w:ascii="宋体" w:hAnsi="宋体" w:cs="宋体"/>
                <w:color w:val="auto"/>
                <w:sz w:val="21"/>
                <w:szCs w:val="21"/>
                <w:highlight w:val="none"/>
              </w:rPr>
              <w:t xml:space="preserve">　</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现场工控机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研祥IPC-810</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标准称重数据处理单元</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盘天ZDG-40-DZ/TD</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现场控制机柜</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荣恩RE-HWJG</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工业交换机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H3C S1224V2</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车辆特殊过衡行驶行为智能识别系统</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盘云 车辆特殊过衡行驶行为智能识别系统V1.2</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调试检定及运输</w:t>
            </w:r>
            <w:r>
              <w:rPr>
                <w:rFonts w:hint="eastAsia" w:ascii="宋体" w:hAnsi="宋体" w:cs="宋体"/>
                <w:color w:val="auto"/>
                <w:sz w:val="21"/>
                <w:szCs w:val="21"/>
                <w:highlight w:val="none"/>
              </w:rPr>
              <w:t xml:space="preserve">　</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首次计量检定配合服务</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国产定制首次计量检定配合服务费用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称重系统调试</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盘天 实车标定费用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系统联调</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中电鸿信全系统调试费</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车牌识别子系统</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超限高清号牌抓拍相机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iDS-TCV900</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爆闪灯</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SL-1211</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补光灯</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DS-TL2002A</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63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高速智能监控球机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DS-2DE742CHG-A</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402"/>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硬盘录像机NVR</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DS-7708N-I4</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6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L型监控杆杆件</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定制国产杆高：6M；横臂：看路长；镀锌八角杆</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18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室外抱杆设备箱</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定制国产箱体采用Q235工程级冷轧碳钢板。主体无缝焊接，结构稳固；箱体全面的保护，经酸洗淋化防腐蚀防锈处理，防水，防虫、防锈、防紫外线，箱体喷专业室外氟碳烤漆，亮白色；含32A空开。</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8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L型杆件抱杆箱及抓拍系统安装施工费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定制国产含L杆基础施工，吊装，摄像机安装、</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auto" w:fill="auto"/>
            <w:tcW w:w="543"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145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车牌识别系统调试</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国产定制车牌识别系统抓拍调试及匹配调试，包含称重设备同步触发、识别效果统计和提升、前后抓拍系统同步、识别结果和称重结果匹配等调试及需要的人工、车辆和设备。</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8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4.10 </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车尾、侧后抓拍摄像机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海康威视iDS-TCV900</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62"/>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超限信息发布子系统　</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69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LED显示屏屏体（F型）</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苏州友捷 友捷 3.328*1.92 P16 双基色 不含立柱</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96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F型立杆</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定制国产镀锌圆杆，含抱杆箱，抱杆箱离地2.5米。</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5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户外LED屏配电箱</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定制国产含63A空开，</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76"/>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F型杆件及LED显示屏安装施工费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定制国产含基础，预埋件，屏体吊装。</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76"/>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前方超限提醒标志牌</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定制国产F型立杆标志，含基础，立杆，标志牌安装。</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288"/>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传输及供电系统</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70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VPN专线租赁</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中国电信 定制 苏州租用运营商VPN接入公路局内网，100M</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年</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70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供电局市电初装费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中国电力 定制 苏州供电局包装新增用电，挂电表费用，。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75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外部电缆</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定制国产国标全铜电缆3*16平方 （从挂表处接至机柜，含空开100A）</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75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外部电缆施工费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定制国产含外部电缆地埋或架空，含管材（PE</w:t>
            </w:r>
            <w:r>
              <w:rPr>
                <w:rFonts w:hint="eastAsia" w:ascii="MS Gothic" w:hAnsi="MS Gothic" w:eastAsia="MS Gothic" w:cs="MS Gothic"/>
                <w:color w:val="auto"/>
                <w:sz w:val="21"/>
                <w:szCs w:val="21"/>
                <w:highlight w:val="none"/>
              </w:rPr>
              <w:t xml:space="preserve">∅</w:t>
            </w:r>
            <w:r>
              <w:rPr>
                <w:rFonts w:hint="eastAsia" w:ascii="宋体" w:hAnsi="宋体" w:cs="宋体"/>
                <w:color w:val="auto"/>
                <w:sz w:val="21"/>
                <w:szCs w:val="21"/>
                <w:highlight w:val="none"/>
              </w:rPr>
              <w:t xml:space="preserve">50及人工费用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75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内部电缆</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定制国产3*10平方国标铜线电缆（工控机至LED屏）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0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摄像机电源线</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定制国产工控机柜至摄像机，电源线。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150</w:t>
            </w:r>
            <w:r/>
          </w:p>
        </w:tc>
      </w:tr>
      <w:tr>
        <w:trPr>
          <w:trHeight w:val="60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6.7</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摄像机控制线</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定制国产工控机柜485模块至摄像机，信号线，每台摄像机（不含球机）</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320</w:t>
            </w:r>
            <w:r/>
          </w:p>
        </w:tc>
      </w:tr>
      <w:tr>
        <w:trPr>
          <w:trHeight w:val="60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6.8</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接地母线</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定制国产防雷接地引下线，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60</w:t>
            </w:r>
            <w:r/>
          </w:p>
        </w:tc>
      </w:tr>
      <w:tr>
        <w:trPr>
          <w:trHeight w:val="69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6.9</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网线</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定制国产交换机至抱杆箱，抱杆箱至摄像机，后台系统用线，阻水</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300</w:t>
            </w:r>
            <w:r/>
          </w:p>
        </w:tc>
      </w:tr>
      <w:tr>
        <w:trPr>
          <w:trHeight w:val="6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6.10 </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内部光缆</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定制国产室外单模，6芯，工控机至LED屏</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内部光缆电缆施工费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定制国产强弱电共沟不同管，同内部光缆等长。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破路及恢复</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定制国产传输供电施工时沥青或混凝土，人行道路面开挖和恢复</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7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内部光电缆管材</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国产内部传输供电套管材料（PE</w:t>
            </w:r>
            <w:r>
              <w:rPr>
                <w:rFonts w:hint="eastAsia" w:ascii="MS Gothic" w:hAnsi="MS Gothic" w:eastAsia="MS Gothic" w:cs="MS Gothic"/>
                <w:color w:val="auto"/>
                <w:sz w:val="21"/>
                <w:szCs w:val="21"/>
                <w:highlight w:val="none"/>
              </w:rPr>
              <w:t xml:space="preserve">∅</w:t>
            </w:r>
            <w:r>
              <w:rPr>
                <w:rFonts w:hint="eastAsia" w:ascii="宋体" w:hAnsi="宋体" w:cs="宋体"/>
                <w:color w:val="auto"/>
                <w:sz w:val="21"/>
                <w:szCs w:val="21"/>
                <w:highlight w:val="none"/>
              </w:rPr>
              <w:t xml:space="preserve">50），同内部光缆等长。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73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辅料</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定制国产手井、井盖、水泥等，每一个检测方向1项。</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73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网络防雷器</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华联视  HL-100EP-2/PW</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735"/>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防雷接地极</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定制国产Φ20*2000mm</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600"/>
        </w:trPr>
        <w:tc>
          <w:tcPr>
            <w:gridSpan w:val="3"/>
            <w:shd w:val="clear" w:color="000000" w:fill="ffffff"/>
            <w:tcW w:w="3972" w:type="pct"/>
            <w:vAlign w:val="center"/>
            <w:textDirection w:val="lrTb"/>
            <w:noWrap/>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吴中区动态称重检测系统建设项目-X207 k5+660北向南方向</w:t>
            </w:r>
            <w:r/>
          </w:p>
        </w:tc>
        <w:tc>
          <w:tcPr>
            <w:shd w:val="clear" w:color="000000" w:fill="ffffff"/>
            <w:tcW w:w="485" w:type="pct"/>
            <w:vAlign w:val="center"/>
            <w:textDirection w:val="lrTb"/>
            <w:noWrap/>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动态称重子系统</w:t>
            </w:r>
            <w:r>
              <w:rPr>
                <w:rFonts w:hint="eastAsia" w:ascii="宋体" w:hAnsi="宋体" w:cs="宋体"/>
                <w:color w:val="auto"/>
                <w:sz w:val="21"/>
                <w:szCs w:val="21"/>
                <w:highlight w:val="none"/>
              </w:rPr>
              <w:t xml:space="preserve">　</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称重平板主体（标准型）</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盘天 ZDG-40-DZ</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称重传感器</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中航 HB-07</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274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专用高强度快干基础</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产定制含高强灌浆料、钢筋、管材及路面内施工机具人工等费用；水料比14%；容重2200kg/m3；浇筑后无泌水现象，泌水率0%；超细径粒，最大径粒≤2mm；流动性好，初始流动度320mm，30min流动度300mm；微膨胀，3h膨胀率0.1%，24h和3h膨胀率差值0.02；抗油性好，机油浸泡30天后强度增加10%；3小时初凝强度达到C30；7小时终凝强度达到C50；夏季12小时内通行重车；冬季24小时内通行重车。</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车检器</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杭州LVD-6008</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车检线圈</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定制定制FVN 1*15 地感线圈专用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现场数据处理子系统</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现场工控机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研祥IPC-810</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标准称重数据处理单元</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盘天ZDG-40-DZ/TD</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现场控制机柜</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荣恩RE-HWJG</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工业交换机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H3C S1224V2</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车辆特殊过衡行驶行为智能识别系统</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盘云 车辆特殊过衡行驶行为智能识别系统V1.2</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调试检定及运输</w:t>
            </w:r>
            <w:r>
              <w:rPr>
                <w:rFonts w:hint="eastAsia" w:ascii="宋体" w:hAnsi="宋体" w:cs="宋体"/>
                <w:color w:val="auto"/>
                <w:sz w:val="21"/>
                <w:szCs w:val="21"/>
                <w:highlight w:val="none"/>
              </w:rPr>
              <w:t xml:space="preserve">　</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首次计量检定配合服务</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国产定制首次计量检定配合服务费用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称重系统调试</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盘天 实车标定费用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系统联调</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中电鸿信全系统调试费</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车牌识别子系统</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超限高清号牌抓拍相机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iDS-TCV900</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爆闪灯</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SL-1211</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补光灯</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DS-TL2002A</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高速智能监控球机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DS-2DE742CHG-A</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硬盘录像机NVR</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 DS-7708N-I4</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5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L型监控杆杆件</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定制国产杆高：6M；横臂：看路长；镀锌八角杆</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196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室外抱杆设备箱</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定制国产箱体采用Q235工程级冷轧碳钢板。主体无缝焊接，结构稳固；箱体全面的保护，经酸洗淋化防腐蚀防锈处理，防水，防虫、防锈、防紫外线，箱体喷专业室外氟碳烤漆，亮白色；含32A空开。</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88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L型杆件抱杆箱及抓拍系统安装施工费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定制国产含L杆基础施工，吊装，摄像机安装、</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auto" w:fill="auto"/>
            <w:tcW w:w="543"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171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车牌识别系统调试</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国产定制车牌识别系统抓拍调试及匹配调试，包含称重设备同步触发、识别效果统计和提升、前后抓拍系统同步、识别结果和称重结果匹配等调试及需要的人工、车辆和设备。</w:t>
            </w:r>
            <w:r/>
          </w:p>
        </w:tc>
        <w:tc>
          <w:tcPr>
            <w:shd w:val="clear" w:color="auto" w:fill="auto"/>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4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车尾、侧后抓拍摄像机</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海康威视iDS-TCV900</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超限信息发布子系统　</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LED显示屏屏体（F型）</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苏州友捷 友捷 3.328*1.92 P16 双基色 不含立柱</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F型立杆</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定制国产镀锌圆杆，含抱杆箱，抱杆箱离地2.5米。</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户外LED屏配电箱</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定制国产含63A空开，</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F型杆件及LED显示屏安装施工费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定制国产含基础，预埋件，屏体吊装。</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00"/>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前方超限提醒标志牌</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定制国产F型立杆标志，含基础，立杆，标志牌安装。</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auto" w:fill="auto"/>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465"/>
        </w:trPr>
        <w:tc>
          <w:tcPr>
            <w:shd w:val="clear" w:color="000000" w:fill="ffffff"/>
            <w:tcW w:w="359"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传输及供电系统</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VPN专线租赁</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中国电信 定制 苏州租用运营商VPN接入公路局内网，100M</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年</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供电局市电初装费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中国电力 定制 苏州供电局包装新增用电，挂电表费用，</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外部电缆</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定制国产从挂表处接至机柜，含空开100A</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外部电缆施工费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定制国产外部电缆地埋或架空，含管材（PE</w:t>
            </w:r>
            <w:r>
              <w:rPr>
                <w:rFonts w:hint="eastAsia" w:ascii="MS Gothic" w:hAnsi="MS Gothic" w:eastAsia="MS Gothic" w:cs="MS Gothic"/>
                <w:color w:val="auto"/>
                <w:sz w:val="21"/>
                <w:szCs w:val="21"/>
                <w:highlight w:val="none"/>
              </w:rPr>
              <w:t xml:space="preserve">∅</w:t>
            </w:r>
            <w:r>
              <w:rPr>
                <w:rFonts w:hint="eastAsia" w:ascii="宋体" w:hAnsi="宋体" w:cs="宋体"/>
                <w:color w:val="auto"/>
                <w:sz w:val="21"/>
                <w:szCs w:val="21"/>
                <w:highlight w:val="none"/>
              </w:rPr>
              <w:t xml:space="preserve">50）</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内部电缆</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定制国产工控机至LED屏，电源线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摄像机电源线</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定制国产工控机柜至摄像机，电源线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150</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6.7</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摄像机控制线</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定制国产工控机柜485模块至摄像机，信号线，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320</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6.8</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接地母线</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定制国产防雷接地引下线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60</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6.9</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网线</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定制国产交换机至抱杆箱，抱杆箱至摄像机，后台系统用线，阻水</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300</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6.10 </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内部光缆</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定制国产室外单模，6芯，工控机至LED屏</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内部光缆电缆施工费</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定制国产强弱电共沟不同管，同内部光缆等长。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6.12</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破路及恢复</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定制国产传输供电施工时沥青或混凝土，人行道路面开挖和恢复</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6.13</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内部光电缆管材</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国产内部传输供电套管材料（PE</w:t>
            </w:r>
            <w:r>
              <w:rPr>
                <w:rFonts w:hint="eastAsia" w:ascii="MS Gothic" w:hAnsi="MS Gothic" w:eastAsia="MS Gothic" w:cs="MS Gothic"/>
                <w:color w:val="auto"/>
                <w:sz w:val="21"/>
                <w:szCs w:val="21"/>
                <w:highlight w:val="none"/>
              </w:rPr>
              <w:t xml:space="preserve">∅</w:t>
            </w:r>
            <w:r>
              <w:rPr>
                <w:rFonts w:hint="eastAsia" w:ascii="宋体" w:hAnsi="宋体" w:cs="宋体"/>
                <w:color w:val="auto"/>
                <w:sz w:val="21"/>
                <w:szCs w:val="21"/>
                <w:highlight w:val="none"/>
              </w:rPr>
              <w:t xml:space="preserve">50），同内部光缆等长。</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6.14</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辅料</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定制国产手井、井盖、水泥等，每一个检测方向1项。</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6.15</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网络防雷器</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华联视  HL-100EP-2/PW</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540"/>
        </w:trPr>
        <w:tc>
          <w:tcPr>
            <w:shd w:val="clear" w:color="000000" w:fill="ffffff"/>
            <w:tcW w:w="359"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6.16</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防雷接地极</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定制国产Φ20*2000mm</w:t>
            </w:r>
            <w:r/>
          </w:p>
        </w:tc>
        <w:tc>
          <w:tcPr>
            <w:shd w:val="clear" w:color="000000" w:fill="ffffff"/>
            <w:tcW w:w="485"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765"/>
        </w:trPr>
        <w:tc>
          <w:tcPr>
            <w:shd w:val="clear" w:color="000000" w:fill="ffffff"/>
            <w:tcW w:w="359" w:type="pct"/>
            <w:vAlign w:val="center"/>
            <w:textDirection w:val="lrTb"/>
            <w:noWrap/>
          </w:tcPr>
          <w:p>
            <w:pPr>
              <w:ind w:left="0"/>
              <w:jc w:val="center"/>
              <w:pageBreakBefore w:val="0"/>
              <w:spacing w:line="240" w:lineRule="auto"/>
              <w:rPr>
                <w:rFonts w:ascii="宋体" w:hAnsi="宋体" w:cs="宋体"/>
                <w:b/>
                <w:bCs/>
                <w:color w:val="auto"/>
                <w:sz w:val="21"/>
                <w:szCs w:val="21"/>
                <w:highlight w:val="none"/>
              </w:rPr>
            </w:pPr>
            <w:r>
              <w:rPr>
                <w:rFonts w:ascii="宋体" w:hAnsi="宋体" w:cs="宋体"/>
                <w:b/>
                <w:bCs/>
                <w:color w:val="auto"/>
                <w:sz w:val="21"/>
                <w:szCs w:val="21"/>
                <w:highlight w:val="none"/>
              </w:rPr>
              <w:t xml:space="preserve">7</w:t>
            </w:r>
            <w:r/>
          </w:p>
        </w:tc>
        <w:tc>
          <w:tcPr>
            <w:gridSpan w:val="2"/>
            <w:shd w:val="clear" w:color="000000" w:fill="ffffff"/>
            <w:tcW w:w="3613"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吴中区动态称重检测系统建设项目-管理平台、APP应用及云存储</w:t>
            </w:r>
            <w:r/>
          </w:p>
        </w:tc>
        <w:tc>
          <w:tcPr>
            <w:shd w:val="clear" w:color="000000" w:fill="ffffff"/>
            <w:tcW w:w="485"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c>
          <w:tcPr>
            <w:shd w:val="clear" w:color="000000" w:fill="ffffff"/>
            <w:tcW w:w="543" w:type="pct"/>
            <w:vAlign w:val="center"/>
            <w:textDirection w:val="lrTb"/>
            <w:noWrap w:val="false"/>
          </w:tcPr>
          <w:p>
            <w:pPr>
              <w:ind w:left="0"/>
              <w:jc w:val="left"/>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p>
        </w:tc>
      </w:tr>
      <w:tr>
        <w:trPr>
          <w:trHeight w:val="1065"/>
        </w:trPr>
        <w:tc>
          <w:tcPr>
            <w:shd w:val="clear" w:color="000000" w:fill="ffffff"/>
            <w:tcW w:w="359" w:type="pct"/>
            <w:vAlign w:val="center"/>
            <w:textDirection w:val="lrTb"/>
            <w:noWrap w:val="false"/>
          </w:tcPr>
          <w:p>
            <w:pPr>
              <w:ind w:left="0"/>
              <w:jc w:val="center"/>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7.1</w:t>
            </w:r>
            <w:r/>
          </w:p>
        </w:tc>
        <w:tc>
          <w:tcPr>
            <w:shd w:val="clear" w:color="000000" w:fill="ffffff"/>
            <w:tcW w:w="1653"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云存储</w:t>
            </w:r>
            <w:r/>
          </w:p>
        </w:tc>
        <w:tc>
          <w:tcPr>
            <w:shd w:val="clear" w:color="000000" w:fill="ffffff"/>
            <w:tcW w:w="1960"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中国电信 天翼云  40T云存储空间（ 五星级机房、双活、灾备，等保三级。可信云服务、DDoS攻击防护、含2条VPN专线）</w:t>
            </w:r>
            <w:r/>
          </w:p>
        </w:tc>
        <w:tc>
          <w:tcPr>
            <w:shd w:val="clear" w:color="auto" w:fill="auto"/>
            <w:tcW w:w="485" w:type="pct"/>
            <w:vAlign w:val="center"/>
            <w:textDirection w:val="lrTb"/>
            <w:noWrap/>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3"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bl>
    <w:p>
      <w:pPr>
        <w:pStyle w:val="812"/>
        <w:ind w:left="0" w:firstLine="0"/>
        <w:jc w:val="left"/>
        <w:pageBreakBefore w:val="0"/>
        <w:spacing w:line="240" w:lineRule="auto"/>
        <w:rPr>
          <w:color w:val="auto"/>
          <w:sz w:val="21"/>
          <w:szCs w:val="21"/>
          <w:highlight w:val="none"/>
        </w:rPr>
      </w:pPr>
      <w:r>
        <w:rPr>
          <w:color w:val="auto"/>
          <w:sz w:val="21"/>
          <w:szCs w:val="21"/>
          <w:highlight w:val="none"/>
        </w:rPr>
      </w:r>
      <w:r/>
    </w:p>
    <w:p>
      <w:pPr>
        <w:pStyle w:val="811"/>
        <w:ind w:firstLine="0"/>
        <w:jc w:val="left"/>
        <w:pageBreakBefore w:val="0"/>
        <w:spacing w:line="240" w:lineRule="auto"/>
        <w:rPr>
          <w:b/>
          <w:color w:val="auto"/>
          <w:sz w:val="21"/>
          <w:szCs w:val="21"/>
          <w:highlight w:val="none"/>
        </w:rPr>
      </w:pPr>
      <w:r>
        <w:rPr>
          <w:rFonts w:hint="eastAsia"/>
          <w:b/>
          <w:color w:val="auto"/>
          <w:sz w:val="21"/>
          <w:szCs w:val="21"/>
          <w:highlight w:val="none"/>
        </w:rPr>
        <w:t xml:space="preserve">二期设备清单</w:t>
      </w:r>
      <w:r/>
    </w:p>
    <w:tbl>
      <w:tblPr>
        <w:tblStyle w:val="78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963"/>
        <w:gridCol w:w="4291"/>
        <w:gridCol w:w="1011"/>
        <w:gridCol w:w="1093"/>
      </w:tblGrid>
      <w:tr>
        <w:trPr>
          <w:trHeight w:val="480"/>
        </w:trPr>
        <w:tc>
          <w:tcPr>
            <w:shd w:val="clear" w:color="auto" w:fill="auto"/>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shd w:val="clear" w:color="auto" w:fill="auto"/>
            <w:tcW w:w="1469"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产品名称</w:t>
            </w:r>
            <w:r/>
          </w:p>
        </w:tc>
        <w:tc>
          <w:tcPr>
            <w:shd w:val="clear" w:color="auto" w:fill="auto"/>
            <w:tcW w:w="2127"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型号或规格</w:t>
            </w:r>
            <w:r/>
          </w:p>
        </w:tc>
        <w:tc>
          <w:tcPr>
            <w:shd w:val="clear" w:color="auto" w:fill="auto"/>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shd w:val="clear" w:color="auto" w:fill="auto"/>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r>
      <w:tr>
        <w:trPr>
          <w:trHeight w:val="480"/>
        </w:trPr>
        <w:tc>
          <w:tcPr>
            <w:gridSpan w:val="2"/>
            <w:shd w:val="clear" w:color="000000" w:fill="ffffff"/>
            <w:tcW w:w="1827"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称重系统</w:t>
            </w:r>
            <w:r/>
          </w:p>
        </w:tc>
        <w:tc>
          <w:tcPr>
            <w:shd w:val="clear" w:color="000000" w:fill="ffffff"/>
            <w:tcW w:w="2127"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称重平板主体（宽）</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ZDG-40-DZ/2</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称重平板主体（标准）</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ZDG-40-DZ/1</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称重传感器</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HB-07</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188</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专用高强度快干基础</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原厂定制</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车检器</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LVD-6008</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车检线圈</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FVN 1*15 地感线圈专用</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56</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现场工控机</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IPC-810</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标准称重数据处理单元</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ZDG-40-DZ/TD</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现场控制机柜</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RE-HWJG</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工业交换机</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MiniS1224</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车辆特殊过衡行驶行为智能识别系统</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盘云车辆特殊过衡行驶行为智能识别系统V1.5</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计量检定配合服务</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原厂配合服务</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称重 系统调试</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原厂服务</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车道</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系统联调</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系统</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gridSpan w:val="2"/>
            <w:shd w:val="clear" w:color="000000" w:fill="ffffff"/>
            <w:tcW w:w="1827"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识别系统及情报板</w:t>
            </w:r>
            <w:r/>
          </w:p>
        </w:tc>
        <w:tc>
          <w:tcPr>
            <w:shd w:val="clear" w:color="000000" w:fill="ffffff"/>
            <w:tcW w:w="2127"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车头高清号牌抓拍相机</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iDS-TCV900-YFJT</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侧前高清号牌抓拍相机</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iDS-TCV900-YFJT</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爆闪灯</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CXBG-2-MC-SL-1211-1(带光栅)(国内标配)</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补光灯</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CXBG-1-CX-DS-TL2000C-N</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高速智能监控球机</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DS-2DE7420IW-JT</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高清监控半球</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DS-2DF7330IW-A</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硬盘录像机NVR</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DS-8608N-I8（加一块4T盘）</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L型监控杆杆件</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杆高：6M,横臂，镀锌八角杆。及基础浇筑等，包括监控杆安装</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室外抱杆机箱</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箱体采用Q235工程级冷轧碳钢板。主体无缝焊接。防水、防虫、防锈、防紫外线，箱体喷专业室外氟碳烤漆，亮白色，含32A空开</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车尾抓拍摄像机</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iDS-TCV900-ART</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侧后抓拍摄像机</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iDS-TCV900-ART</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r>
      <w:tr>
        <w:trPr>
          <w:trHeight w:val="1521"/>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超限信息发布设备</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3200*1600  可视距离：静态视距≥30m。通信接口：RS485、RS232、RJ45，通信速率：1.2～19.2kbps。防护等级：IP65。工作温度：-40℃～70℃，寒区使用时应具备耐低温性能。包括安装、调试及边框</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F型立杆</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D315无缝钢管  含包杆箱   杆高：7.75M,及基础浇筑等</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插座箱</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户外LED屏配电箱  含63A开关</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879"/>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车辆超限信息取证设备</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尺寸：约2.4m（宽）×1.6m（高）。模块尺寸：约240mm（高）×160mm（宽）。视角：水平视角大于110、垂直视角大于110。包括安装、调试及边框</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T型立杆</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D540无缝钢管  含包杆箱   杆高：5M,及基础浇筑等</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插座箱</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户外LED屏配电箱  含63A开关</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r>
      <w:tr>
        <w:trPr>
          <w:trHeight w:val="741"/>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标志牌</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前方超限提醒标志牌、F型立杆标志D219*7500 ，3米×1.8米标志板,含基础，立杆，标志牌安装</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681"/>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标志牌</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前方左转超限提醒标志牌、F型立杆标志D219*7500 ，3米×1.8米标志板,含基础，立杆，标志牌安装</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72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36</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标志牌</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前方右转超限提醒标志牌、F型立杆标志D219*7500 ，3米×1.8米标志板,含基础，立杆，标志牌安装</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trHeight w:val="699"/>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37</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标志牌</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前方左转超限提醒标志牌、T型立杆标志D219*7500 ，3米×1.8米标志板,含基础，立杆，标志牌安装</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66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标志牌</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前方右转超限提醒标志牌、T型立杆标志D219*7500 ，3米×1.8米标志板,含基础，立杆，标志牌安装</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480"/>
        </w:trPr>
        <w:tc>
          <w:tcPr>
            <w:gridSpan w:val="2"/>
            <w:shd w:val="clear" w:color="000000" w:fill="ffffff"/>
            <w:tcW w:w="1827" w:type="pct"/>
            <w:vAlign w:val="center"/>
            <w:textDirection w:val="lrTb"/>
            <w:noWrap w:val="false"/>
          </w:tcPr>
          <w:p>
            <w:pPr>
              <w:ind w:left="0"/>
              <w:jc w:val="center"/>
              <w:pageBreakBefore w:val="0"/>
              <w:spacing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辅助配套设施</w:t>
            </w:r>
            <w:r/>
          </w:p>
        </w:tc>
        <w:tc>
          <w:tcPr>
            <w:shd w:val="clear" w:color="000000" w:fill="ffffff"/>
            <w:tcW w:w="2127"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39</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通信网络</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VPN线路，100M，3年，</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控制电缆</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外部电缆 RVV-3*10 含接线端子</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1750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配管</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电气 配管PE50   埋地  含挖填土</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1750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控制电缆</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内部电缆YJV-3*6 含接线端子</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1250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配线</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摄像机电源线   RVV-3*1.5</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750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配线</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摄像机控制线   RVVP2*1.0</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2000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接地母线</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接地母线BVR-16mm2</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配线</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超5类线  阻水防鼠咬网线UTP5</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1500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光缆</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1、名称：室外单模，6芯</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1250</w:t>
            </w:r>
            <w:r/>
          </w:p>
        </w:tc>
      </w:tr>
      <w:tr>
        <w:trPr>
          <w:trHeight w:val="741"/>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破路及恢复</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传输供电施工时沥青或混凝土，人行道路面开挖和恢复，按每个检测方向50米预估。</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配管</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过路钢管  DN100镀锌钢管 埋地</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350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配管</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电气 配管PE50   埋地  含挖填土</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1250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人（手）孔井</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电缆手孔井，彻筑，浇护等、井盖</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座</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52</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光纤收发器</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BT-351AB</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53</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HUB</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TL-SG1008D</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避雷器</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HL-100EP-2/PW</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组</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55</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接地极</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镀锌圆钢Φ20*2000mm</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根(块)</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56</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隔离护栏</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钢护栏，4米一柱</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m</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ascii="宋体" w:hAnsi="宋体" w:cs="宋体"/>
                <w:color w:val="auto"/>
                <w:sz w:val="21"/>
                <w:szCs w:val="21"/>
                <w:highlight w:val="none"/>
              </w:rPr>
              <w:t xml:space="preserve">57</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治超数据存储机房托管服务</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年</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ascii="宋体" w:hAnsi="宋体" w:cs="宋体"/>
                <w:color w:val="auto"/>
                <w:sz w:val="21"/>
                <w:szCs w:val="21"/>
                <w:highlight w:val="none"/>
              </w:rPr>
              <w:t xml:space="preserve">58</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机柜</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2000*800*1000</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rHeight w:val="480"/>
        </w:trPr>
        <w:tc>
          <w:tcPr>
            <w:shd w:val="clear" w:color="000000" w:fill="ffffff"/>
            <w:tcW w:w="358"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ascii="宋体" w:hAnsi="宋体" w:cs="宋体"/>
                <w:color w:val="auto"/>
                <w:sz w:val="21"/>
                <w:szCs w:val="21"/>
                <w:highlight w:val="none"/>
              </w:rPr>
              <w:t xml:space="preserve">59</w:t>
            </w:r>
            <w:r/>
          </w:p>
        </w:tc>
        <w:tc>
          <w:tcPr>
            <w:shd w:val="clear" w:color="000000" w:fill="ffffff"/>
            <w:tcW w:w="1469"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治超数据安全机房托管服务</w:t>
            </w:r>
            <w:r/>
          </w:p>
        </w:tc>
        <w:tc>
          <w:tcPr>
            <w:shd w:val="clear" w:color="000000" w:fill="ffffff"/>
            <w:tcW w:w="2127" w:type="pct"/>
            <w:vAlign w:val="center"/>
            <w:textDirection w:val="lrTb"/>
            <w:noWrap w:val="false"/>
          </w:tcPr>
          <w:p>
            <w:pPr>
              <w:ind w:left="0"/>
              <w:jc w:val="left"/>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定制</w:t>
            </w:r>
            <w:r/>
          </w:p>
        </w:tc>
        <w:tc>
          <w:tcPr>
            <w:shd w:val="clear" w:color="000000" w:fill="ffffff"/>
            <w:tcW w:w="501"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年</w:t>
            </w:r>
            <w:r/>
          </w:p>
        </w:tc>
        <w:tc>
          <w:tcPr>
            <w:shd w:val="clear" w:color="000000" w:fill="ffffff"/>
            <w:tcW w:w="542" w:type="pct"/>
            <w:vAlign w:val="center"/>
            <w:textDirection w:val="lrTb"/>
            <w:noWrap w:val="false"/>
          </w:tcPr>
          <w:p>
            <w:pPr>
              <w:ind w:left="0"/>
              <w:jc w:val="center"/>
              <w:pageBreakBefore w:val="0"/>
              <w:spacing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r>
    </w:tbl>
    <w:p>
      <w:pPr>
        <w:pStyle w:val="1044"/>
        <w:ind w:firstLine="198"/>
        <w:pageBreakBefore w:val="0"/>
        <w:spacing w:line="240" w:lineRule="auto"/>
        <w:rPr>
          <w:b/>
          <w:color w:val="auto"/>
          <w:sz w:val="21"/>
          <w:szCs w:val="21"/>
          <w:highlight w:val="none"/>
        </w:rPr>
      </w:pPr>
      <w:r>
        <w:rPr>
          <w:rFonts w:hint="eastAsia"/>
          <w:b/>
          <w:color w:val="auto"/>
          <w:sz w:val="21"/>
          <w:szCs w:val="21"/>
          <w:highlight w:val="none"/>
        </w:rPr>
        <w:t xml:space="preserve">电子政务运维和服务清单</w:t>
      </w:r>
      <w:r/>
    </w:p>
    <w:tbl>
      <w:tblPr>
        <w:tblStyle w:val="78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702"/>
        <w:gridCol w:w="2030"/>
        <w:gridCol w:w="3957"/>
        <w:gridCol w:w="1409"/>
        <w:gridCol w:w="1280"/>
      </w:tblGrid>
      <w:tr>
        <w:trPr>
          <w:trHeight w:val="288"/>
        </w:trPr>
        <w:tc>
          <w:tcPr>
            <w:shd w:val="clear" w:color="auto" w:fill="auto"/>
            <w:tcW w:w="348"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项目</w:t>
            </w:r>
            <w:r/>
          </w:p>
        </w:tc>
        <w:tc>
          <w:tcPr>
            <w:shd w:val="clear" w:color="auto" w:fill="auto"/>
            <w:tcW w:w="348"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类别</w:t>
            </w:r>
            <w:r/>
          </w:p>
        </w:tc>
        <w:tc>
          <w:tcPr>
            <w:shd w:val="clear" w:color="auto" w:fill="auto"/>
            <w:tcW w:w="1007"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名称</w:t>
            </w:r>
            <w:r/>
          </w:p>
        </w:tc>
        <w:tc>
          <w:tcPr>
            <w:shd w:val="clear" w:color="auto" w:fill="auto"/>
            <w:tcW w:w="1963"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型号或规格</w:t>
            </w:r>
            <w:r/>
          </w:p>
        </w:tc>
        <w:tc>
          <w:tcPr>
            <w:shd w:val="clear" w:color="auto" w:fill="auto"/>
            <w:tcW w:w="699"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单位</w:t>
            </w:r>
            <w:r/>
          </w:p>
        </w:tc>
        <w:tc>
          <w:tcPr>
            <w:shd w:val="clear" w:color="auto" w:fill="auto"/>
            <w:tcW w:w="635"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数量</w:t>
            </w:r>
            <w:r/>
          </w:p>
        </w:tc>
      </w:tr>
      <w:tr>
        <w:trPr>
          <w:trHeight w:val="288"/>
        </w:trPr>
        <w:tc>
          <w:tcPr>
            <w:shd w:val="clear" w:color="auto" w:fill="auto"/>
            <w:tcW w:w="348"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一期</w:t>
            </w:r>
            <w:r/>
          </w:p>
        </w:tc>
        <w:tc>
          <w:tcPr>
            <w:shd w:val="clear" w:color="auto" w:fill="auto"/>
            <w:tcW w:w="348"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c>
          <w:tcPr>
            <w:shd w:val="clear" w:color="auto" w:fill="auto"/>
            <w:tcW w:w="1007"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c>
          <w:tcPr>
            <w:shd w:val="clear" w:color="auto" w:fill="auto"/>
            <w:tcW w:w="1963"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c>
          <w:tcPr>
            <w:shd w:val="clear" w:color="auto" w:fill="auto"/>
            <w:tcW w:w="699"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c>
          <w:tcPr>
            <w:shd w:val="clear" w:color="auto" w:fill="auto"/>
            <w:tcW w:w="635"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r>
      <w:tr>
        <w:trPr>
          <w:trHeight w:val="288"/>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硬件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光纤收发器</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百通普天BT-351AB</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台</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w:t>
            </w:r>
            <w:r/>
          </w:p>
        </w:tc>
      </w:tr>
      <w:tr>
        <w:trPr>
          <w:trHeight w:val="312"/>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硬件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HUB</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水星 TL-SG1008D</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台</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p>
        </w:tc>
      </w:tr>
      <w:tr>
        <w:trPr>
          <w:trHeight w:val="288"/>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硬件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数据服务器</w:t>
            </w:r>
            <w:r/>
          </w:p>
        </w:tc>
        <w:tc>
          <w:tcPr>
            <w:shd w:val="clear" w:color="000000" w:fill="ffffff"/>
            <w:tcW w:w="1963"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华为2288HV5</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台</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p>
        </w:tc>
      </w:tr>
      <w:tr>
        <w:trPr>
          <w:trHeight w:val="288"/>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硬件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中心机房交换机</w:t>
            </w:r>
            <w:r/>
          </w:p>
        </w:tc>
        <w:tc>
          <w:tcPr>
            <w:shd w:val="clear" w:color="000000" w:fill="ffffff"/>
            <w:tcW w:w="1963"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华为S5720-28P-SI</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台</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p>
        </w:tc>
      </w:tr>
      <w:tr>
        <w:trPr>
          <w:trHeight w:val="576"/>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软件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车辆动态称重检测系统</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盘云 车辆动态称重检测系统V1.5</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套</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p>
        </w:tc>
      </w:tr>
      <w:tr>
        <w:trPr>
          <w:trHeight w:val="576"/>
        </w:trPr>
        <w:tc>
          <w:tcPr>
            <w:shd w:val="clear" w:color="000000" w:fill="ffffff"/>
            <w:tcW w:w="348"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软件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超限信息传输与服务系统</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盘云 超限信息传输与服务系统V1.4</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套</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w:t>
            </w:r>
            <w:r/>
          </w:p>
        </w:tc>
      </w:tr>
      <w:tr>
        <w:trPr>
          <w:trHeight w:val="576"/>
        </w:trPr>
        <w:tc>
          <w:tcPr>
            <w:shd w:val="clear" w:color="000000" w:fill="ffffff"/>
            <w:tcW w:w="348"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7</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软件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超限检测与运行监管系统</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浙江盘云盘云杭州定制开发满足招标文件要求</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套</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w:t>
            </w:r>
            <w:r/>
          </w:p>
        </w:tc>
      </w:tr>
      <w:tr>
        <w:trPr>
          <w:trHeight w:val="288"/>
        </w:trPr>
        <w:tc>
          <w:tcPr>
            <w:shd w:val="clear" w:color="auto" w:fill="auto"/>
            <w:tcW w:w="348" w:type="pct"/>
            <w:vAlign w:val="center"/>
            <w:textDirection w:val="lrTb"/>
            <w:noWrap/>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二期</w:t>
            </w:r>
            <w:r/>
          </w:p>
        </w:tc>
        <w:tc>
          <w:tcPr>
            <w:shd w:val="clear" w:color="auto" w:fill="auto"/>
            <w:tcW w:w="348"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c>
          <w:tcPr>
            <w:shd w:val="clear" w:color="auto" w:fill="auto"/>
            <w:tcW w:w="1007"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c>
          <w:tcPr>
            <w:shd w:val="clear" w:color="auto" w:fill="auto"/>
            <w:tcW w:w="1963"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tc>
        <w:tc>
          <w:tcPr>
            <w:shd w:val="clear" w:color="auto" w:fill="auto"/>
            <w:tcW w:w="699"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c>
          <w:tcPr>
            <w:shd w:val="clear" w:color="auto" w:fill="auto"/>
            <w:tcW w:w="635" w:type="pct"/>
            <w:vAlign w:val="center"/>
            <w:textDirection w:val="lrTb"/>
            <w:noWrap/>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tc>
      </w:tr>
      <w:tr>
        <w:trPr>
          <w:trHeight w:val="576"/>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8</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软件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车辆动态称重检测系统</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盘云车辆动态称重检测系统V1.8</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套</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w:t>
            </w:r>
            <w:r/>
          </w:p>
        </w:tc>
      </w:tr>
      <w:tr>
        <w:trPr>
          <w:trHeight w:val="576"/>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9</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软件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超限信息传输与服务系统</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盘云超限信息传输与服务系统V1.4</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套</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w:t>
            </w:r>
            <w:r/>
          </w:p>
        </w:tc>
      </w:tr>
      <w:tr>
        <w:trPr>
          <w:trHeight w:val="288"/>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10</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软件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车牌识别系统</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定制</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套</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w:t>
            </w:r>
            <w:r/>
          </w:p>
        </w:tc>
      </w:tr>
      <w:tr>
        <w:trPr>
          <w:trHeight w:val="1152"/>
        </w:trPr>
        <w:tc>
          <w:tcPr>
            <w:shd w:val="clear" w:color="000000" w:fill="ffffff"/>
            <w:tcW w:w="348"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11</w:t>
            </w:r>
            <w:r/>
          </w:p>
        </w:tc>
        <w:tc>
          <w:tcPr>
            <w:shd w:val="clear" w:color="000000" w:fill="ffffff"/>
            <w:tcW w:w="348"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软件</w:t>
            </w:r>
            <w:r/>
          </w:p>
        </w:tc>
        <w:tc>
          <w:tcPr>
            <w:shd w:val="clear" w:color="000000" w:fill="ffffff"/>
            <w:tcW w:w="1007"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超限检测与运行监管系统（授权）</w:t>
            </w:r>
            <w:r/>
          </w:p>
        </w:tc>
        <w:tc>
          <w:tcPr>
            <w:shd w:val="clear" w:color="000000" w:fill="ffffff"/>
            <w:tcW w:w="1963" w:type="pct"/>
            <w:vAlign w:val="center"/>
            <w:textDirection w:val="lrTb"/>
            <w:noWrap w:val="false"/>
          </w:tcPr>
          <w:p>
            <w:pPr>
              <w:ind w:left="0"/>
              <w:jc w:val="left"/>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盘云超限检测与运行监管系统V1.6原有系统软件授权：增加本五个站点的软件管理授权license，新站点与上级平台传输链路对接</w:t>
            </w:r>
            <w:r/>
          </w:p>
        </w:tc>
        <w:tc>
          <w:tcPr>
            <w:shd w:val="clear" w:color="000000" w:fill="ffffff"/>
            <w:tcW w:w="699"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套</w:t>
            </w:r>
            <w:r/>
          </w:p>
        </w:tc>
        <w:tc>
          <w:tcPr>
            <w:shd w:val="clear" w:color="000000" w:fill="ffffff"/>
            <w:tcW w:w="635" w:type="pct"/>
            <w:vAlign w:val="center"/>
            <w:textDirection w:val="lrTb"/>
            <w:noWrap w:val="false"/>
          </w:tcPr>
          <w:p>
            <w:pPr>
              <w:ind w:left="0"/>
              <w:jc w:val="center"/>
              <w:pageBreakBefore w:val="0"/>
              <w:spacing w:line="24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w:t>
            </w:r>
            <w:r/>
          </w:p>
        </w:tc>
      </w:tr>
    </w:tbl>
    <w:p>
      <w:pPr>
        <w:ind w:left="0" w:firstLine="482"/>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五、综合说明：</w:t>
      </w:r>
      <w:r/>
    </w:p>
    <w:p>
      <w:pPr>
        <w:pStyle w:val="812"/>
        <w:ind w:left="0"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Style w:val="1033"/>
          <w:rFonts w:hint="eastAsia" w:ascii="宋体" w:hAnsi="宋体"/>
          <w:color w:val="auto"/>
          <w:sz w:val="24"/>
          <w:szCs w:val="24"/>
          <w:highlight w:val="none"/>
        </w:rPr>
        <w:t xml:space="preserve">磋商</w:t>
      </w:r>
      <w:r>
        <w:rPr>
          <w:rStyle w:val="1033"/>
          <w:rFonts w:ascii="宋体" w:hAnsi="宋体"/>
          <w:color w:val="auto"/>
          <w:sz w:val="24"/>
          <w:szCs w:val="24"/>
          <w:highlight w:val="none"/>
        </w:rPr>
        <w:t xml:space="preserve">供应商</w:t>
      </w:r>
      <w:r>
        <w:rPr>
          <w:rStyle w:val="1033"/>
          <w:rFonts w:hint="eastAsia" w:ascii="宋体" w:hAnsi="宋体"/>
          <w:color w:val="auto"/>
          <w:sz w:val="24"/>
          <w:szCs w:val="24"/>
          <w:highlight w:val="none"/>
        </w:rPr>
        <w:t xml:space="preserve">需</w:t>
      </w:r>
      <w:r>
        <w:rPr>
          <w:rStyle w:val="1033"/>
          <w:rFonts w:ascii="宋体" w:hAnsi="宋体"/>
          <w:color w:val="auto"/>
          <w:sz w:val="24"/>
          <w:szCs w:val="24"/>
          <w:highlight w:val="none"/>
        </w:rPr>
        <w:t xml:space="preserve">在响应文件中明确服务内容</w:t>
      </w:r>
      <w:r>
        <w:rPr>
          <w:rStyle w:val="1033"/>
          <w:rFonts w:hint="eastAsia" w:ascii="宋体" w:hAnsi="宋体"/>
          <w:color w:val="auto"/>
          <w:sz w:val="24"/>
          <w:szCs w:val="24"/>
          <w:highlight w:val="none"/>
        </w:rPr>
        <w:t xml:space="preserve">和服务方案</w:t>
      </w:r>
      <w:r>
        <w:rPr>
          <w:rStyle w:val="1033"/>
          <w:rFonts w:ascii="宋体" w:hAnsi="宋体"/>
          <w:color w:val="auto"/>
          <w:sz w:val="24"/>
          <w:szCs w:val="24"/>
          <w:highlight w:val="none"/>
        </w:rPr>
        <w:t xml:space="preserve">。</w:t>
      </w:r>
      <w:r/>
    </w:p>
    <w:p>
      <w:pPr>
        <w:pStyle w:val="812"/>
        <w:ind w:left="0"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2、磋商供应商必须承诺文件中提出的全部要求，如果其中某些条款不响应时，应在文件中逐条列出，未列出的视同响应。</w:t>
      </w:r>
      <w:r/>
    </w:p>
    <w:p>
      <w:pPr>
        <w:pStyle w:val="812"/>
        <w:ind w:left="0" w:firstLine="48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3、磋商供应商应对所投项目的全部内容进行报价，只投其中部分内容者或出现选择性报价的，其响应文件将被拒绝。</w:t>
      </w:r>
      <w:r/>
    </w:p>
    <w:p>
      <w:pPr>
        <w:pStyle w:val="812"/>
        <w:ind w:left="0"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4、其他要求：</w:t>
      </w:r>
      <w:r/>
    </w:p>
    <w:p>
      <w:pPr>
        <w:pStyle w:val="812"/>
        <w:ind w:left="0"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4.1供应商在项目进行过程中产生的任何安全、损坏等责任事故一律由供应商自行承担。如遇突发情况，供应商需协助采购人完成需要配合的服务。</w:t>
      </w:r>
      <w:r/>
    </w:p>
    <w:p>
      <w:pPr>
        <w:pStyle w:val="812"/>
        <w:ind w:left="0"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4.2供应商需严格按采购文件中规定的时间完成项目全部工作内容，如在实施的过程中出现错误、误差的，供应商需及时更正至采购人确认并经主管部门验收合格。</w:t>
      </w:r>
      <w:r/>
    </w:p>
    <w:p>
      <w:pPr>
        <w:pStyle w:val="812"/>
        <w:ind w:left="0" w:firstLine="48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4.3本项目不允许转包、分包，发现查实者一律取消合同。</w:t>
      </w:r>
      <w:r/>
    </w:p>
    <w:p>
      <w:pPr>
        <w:ind w:left="0"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4.4供应商应对服务危险性、潜在危险认真考虑周全，对所有项目安全负责，并承担由此可能产生的一切费用，采购人不承担任何责任；如需采购人配合的工作，供应商需及时通知采购方。</w:t>
      </w:r>
      <w:r/>
    </w:p>
    <w:p>
      <w:pPr>
        <w:ind w:left="0"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5、本项目报价</w:t>
      </w:r>
      <w:r>
        <w:rPr>
          <w:rStyle w:val="1033"/>
          <w:rFonts w:hint="eastAsia" w:ascii="宋体" w:hAnsi="宋体" w:cs="宋体"/>
          <w:color w:val="auto"/>
          <w:sz w:val="24"/>
          <w:szCs w:val="24"/>
          <w:highlight w:val="none"/>
        </w:rPr>
        <w:t xml:space="preserve">包括完成该项目所需的全部人工费、材料费、交通费用、餐费、人员培训、售后服务、管理费、利润、规费、税金以及代理服务费等一切费用。</w:t>
      </w:r>
      <w:r/>
    </w:p>
    <w:p>
      <w:pPr>
        <w:ind w:left="0"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6、服务时间：</w:t>
      </w:r>
      <w:r/>
    </w:p>
    <w:p>
      <w:pPr>
        <w:ind w:lef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一期(S230东太湖路段点位，X207K5+660北向南点位)六车道，服务时间:2026年4月1日起至2027年5月31日止。</w:t>
      </w:r>
      <w:r/>
    </w:p>
    <w:p>
      <w:pPr>
        <w:ind w:left="0"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二期(吴淞江大道北向南点位，吴淞江大道南向北点位，福东路点位，东山大道点位，X207旺佳桥南向北点位)服务时间:2026年6月1日起至2027年5月31日止。</w:t>
      </w:r>
      <w:r/>
    </w:p>
    <w:p>
      <w:pPr>
        <w:ind w:left="0"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服务地点：采购人指定地点。</w:t>
      </w:r>
      <w:r/>
    </w:p>
    <w:p>
      <w:pPr>
        <w:ind w:lef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8、验收标准：符合采购文件规定的要求，由采购单位组织人员考核验收。（具体验收要求参照苏财规【2024】7号文）</w:t>
      </w:r>
      <w:r/>
    </w:p>
    <w:p>
      <w:pPr>
        <w:ind w:lef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（1）按照磋商文件要求和考核标准，供应商需要配合采购人在履约期内进行考核验收。</w:t>
      </w:r>
      <w:r/>
    </w:p>
    <w:p>
      <w:pPr>
        <w:ind w:lef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（2）根据考核结果进行相应扣款，不符合采购要求的，采购方有权终止合同，一切损失由成交方承担。</w:t>
      </w:r>
      <w:r/>
    </w:p>
    <w:p>
      <w:pPr>
        <w:ind w:left="0"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9、服务要求：</w:t>
      </w:r>
      <w:r>
        <w:rPr>
          <w:rFonts w:hint="eastAsia" w:ascii="宋体" w:hAnsi="宋体" w:cs="宋体"/>
          <w:color w:val="auto"/>
          <w:sz w:val="24"/>
          <w:highlight w:val="none"/>
        </w:rPr>
        <w:t xml:space="preserve">成交供应商应提供7*24小时服务支持，服务期内出现问题，成交供应商必须20分钟内响应，1.5小时到达现场，2小时内解决问题。其他未尽事宜按其响应人所提供的相应承诺执行。</w:t>
      </w:r>
      <w:r/>
    </w:p>
    <w:p>
      <w:pPr>
        <w:ind w:left="0" w:firstLine="482"/>
        <w:pageBreakBefore w:val="0"/>
        <w:spacing w:line="360" w:lineRule="auto"/>
        <w:widowControl w:val="off"/>
        <w:rPr>
          <w:rFonts w:ascii="宋体" w:hAnsi="宋体" w:cs="宋体"/>
          <w:color w:val="auto"/>
          <w:sz w:val="24"/>
          <w:szCs w:val="24"/>
          <w:highlight w:val="none"/>
          <w:lang w:val="zh-CN"/>
        </w:rPr>
      </w:pPr>
      <w:r>
        <w:rPr>
          <w:rFonts w:hint="eastAsia" w:ascii="宋体" w:hAnsi="宋体" w:cs="宋体"/>
          <w:b/>
          <w:bCs/>
          <w:color w:val="auto"/>
          <w:sz w:val="24"/>
          <w:szCs w:val="24"/>
          <w:highlight w:val="none"/>
        </w:rPr>
        <w:t xml:space="preserve">10、付款方式：</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zh-CN"/>
        </w:rPr>
        <w:t xml:space="preserve">，甲方向乙方支付</w:t>
      </w:r>
      <w:r>
        <w:rPr>
          <w:rFonts w:hint="eastAsia" w:ascii="宋体" w:hAnsi="宋体" w:cs="宋体"/>
          <w:color w:val="auto"/>
          <w:sz w:val="24"/>
          <w:szCs w:val="24"/>
          <w:highlight w:val="none"/>
        </w:rPr>
        <w:t xml:space="preserve">合同金额</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CN"/>
        </w:rPr>
        <w:t xml:space="preserve">%作为预付款；在服务期限</w:t>
      </w:r>
      <w:r>
        <w:rPr>
          <w:rFonts w:hint="eastAsia" w:ascii="宋体" w:hAnsi="宋体" w:cs="宋体"/>
          <w:color w:val="auto"/>
          <w:sz w:val="24"/>
          <w:szCs w:val="24"/>
          <w:highlight w:val="none"/>
        </w:rPr>
        <w:t xml:space="preserve">满</w:t>
      </w:r>
      <w:r>
        <w:rPr>
          <w:rFonts w:hint="eastAsia" w:ascii="宋体" w:hAnsi="宋体" w:cs="宋体"/>
          <w:color w:val="auto"/>
          <w:sz w:val="24"/>
          <w:szCs w:val="24"/>
          <w:highlight w:val="none"/>
          <w:lang w:val="zh-CN"/>
        </w:rPr>
        <w:t xml:space="preserve">并经甲方验收合格后，配合甲方在相应检定期内取得计量院检定证书甲方向乙方支付</w:t>
      </w:r>
      <w:r>
        <w:rPr>
          <w:rFonts w:hint="eastAsia" w:ascii="宋体" w:hAnsi="宋体" w:cs="宋体"/>
          <w:color w:val="auto"/>
          <w:sz w:val="24"/>
          <w:szCs w:val="24"/>
          <w:highlight w:val="none"/>
        </w:rPr>
        <w:t xml:space="preserve">剩余合同价款</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rPr>
        <w:t xml:space="preserve">50</w:t>
      </w:r>
      <w:r>
        <w:rPr>
          <w:rFonts w:hint="eastAsia" w:ascii="宋体" w:hAnsi="宋体" w:cs="宋体"/>
          <w:color w:val="auto"/>
          <w:sz w:val="24"/>
          <w:szCs w:val="24"/>
          <w:highlight w:val="none"/>
          <w:lang w:val="zh-CN"/>
        </w:rPr>
        <w:t xml:space="preserve">%。</w:t>
      </w:r>
      <w:r/>
    </w:p>
    <w:p>
      <w:pPr>
        <w:ind w:left="0"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注：上述付款方式可在甲乙双方签订合同时根据《苏财购[2022]42号》文件相关内容进行调整。</w:t>
      </w:r>
      <w:r/>
    </w:p>
    <w:p>
      <w:pPr>
        <w:ind w:left="0" w:firstLine="480"/>
        <w:spacing w:line="360" w:lineRule="auto"/>
        <w:widowControl w:val="off"/>
        <w:rPr>
          <w:rStyle w:val="1033"/>
          <w:rFonts w:ascii="宋体" w:hAnsi="宋体" w:cs="宋体"/>
          <w:color w:val="auto"/>
          <w:sz w:val="24"/>
          <w:szCs w:val="24"/>
          <w:highlight w:val="none"/>
        </w:rPr>
      </w:pPr>
      <w:r>
        <w:rPr>
          <w:rStyle w:val="1033"/>
          <w:rFonts w:hint="eastAsia" w:ascii="宋体" w:hAnsi="宋体" w:cs="宋体"/>
          <w:color w:val="auto"/>
          <w:sz w:val="24"/>
          <w:szCs w:val="24"/>
          <w:highlight w:val="none"/>
        </w:rPr>
        <w:t xml:space="preserve">付款前，乙方需先向甲方提供：</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（1）合格的发票。</w:t>
      </w:r>
      <w:r/>
    </w:p>
    <w:p>
      <w:pPr>
        <w:ind w:left="0" w:firstLine="480"/>
        <w:spacing w:line="360" w:lineRule="auto"/>
        <w:widowControl w:val="off"/>
        <w:rPr>
          <w:rFonts w:ascii="宋体" w:hAnsi="宋体" w:cs="宋体"/>
          <w:color w:val="auto"/>
          <w:sz w:val="21"/>
          <w:szCs w:val="21"/>
          <w:highlight w:val="none"/>
        </w:rPr>
      </w:pPr>
      <w:r>
        <w:rPr>
          <w:rFonts w:hint="eastAsia" w:ascii="宋体" w:hAnsi="宋体" w:cs="宋体"/>
          <w:color w:val="auto"/>
          <w:sz w:val="24"/>
          <w:szCs w:val="24"/>
          <w:highlight w:val="none"/>
        </w:rPr>
        <w:t xml:space="preserve">（2）由甲乙双方及采购代理机构签章的《政府采购合同履行验收报告》。</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4"/>
          <w:szCs w:val="24"/>
          <w:highlight w:val="none"/>
        </w:rPr>
        <w:t xml:space="preserve">11、凡涉及采购文件的补充说明和修改，均以最后在苏州市政府采购网发布的内容为准。</w:t>
      </w:r>
      <w:r/>
    </w:p>
    <w:p>
      <w:pPr>
        <w:jc w:val="center"/>
        <w:spacing w:before="340" w:after="330" w:line="578" w:lineRule="auto"/>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before="340" w:after="330" w:line="578" w:lineRule="auto"/>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before="340" w:after="330" w:line="578" w:lineRule="auto"/>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before="340" w:after="330" w:line="578" w:lineRule="auto"/>
        <w:rPr>
          <w:rFonts w:ascii="宋体" w:hAnsi="宋体" w:cs="宋体"/>
          <w:b/>
          <w:color w:val="auto"/>
          <w:sz w:val="44"/>
          <w:szCs w:val="44"/>
          <w:highlight w:val="none"/>
        </w:rPr>
      </w:pPr>
      <w:r>
        <w:rPr>
          <w:rFonts w:ascii="宋体" w:hAnsi="宋体" w:cs="宋体"/>
          <w:b/>
          <w:color w:val="auto"/>
          <w:sz w:val="44"/>
          <w:szCs w:val="44"/>
          <w:highlight w:val="none"/>
        </w:rPr>
      </w:r>
      <w:r/>
    </w:p>
    <w:p>
      <w:pPr>
        <w:numPr>
          <w:ilvl w:val="0"/>
          <w:numId w:val="4"/>
        </w:numPr>
        <w:ind w:left="0"/>
        <w:jc w:val="center"/>
        <w:spacing w:before="340" w:after="330" w:line="579" w:lineRule="auto"/>
        <w:rPr>
          <w:rFonts w:ascii="宋体" w:hAnsi="宋体" w:cs="宋体"/>
          <w:b/>
          <w:color w:val="auto"/>
          <w:sz w:val="44"/>
          <w:szCs w:val="44"/>
          <w:highlight w:val="none"/>
        </w:rPr>
        <w:outlineLvl w:val="0"/>
      </w:pPr>
      <w:r/>
      <w:bookmarkStart w:id="101" w:name="合同的特殊条款"/>
      <w:r/>
      <w:bookmarkEnd w:id="101"/>
      <w:r/>
      <w:bookmarkStart w:id="102" w:name="_Toc3589"/>
      <w:r>
        <w:rPr>
          <w:rFonts w:hint="eastAsia" w:ascii="宋体" w:hAnsi="宋体" w:cs="宋体"/>
          <w:b/>
          <w:color w:val="auto"/>
          <w:sz w:val="44"/>
          <w:szCs w:val="44"/>
          <w:highlight w:val="none"/>
        </w:rPr>
        <w:t xml:space="preserve"> </w:t>
      </w:r>
      <w:bookmarkStart w:id="103" w:name="_Toc26481"/>
      <w:r>
        <w:rPr>
          <w:rFonts w:hint="eastAsia" w:ascii="宋体" w:hAnsi="宋体" w:cs="宋体"/>
          <w:b/>
          <w:color w:val="auto"/>
          <w:sz w:val="44"/>
          <w:szCs w:val="44"/>
          <w:highlight w:val="none"/>
        </w:rPr>
        <w:t xml:space="preserve">合同及主要条款</w:t>
      </w:r>
      <w:bookmarkEnd w:id="96"/>
      <w:r/>
      <w:bookmarkEnd w:id="102"/>
      <w:r/>
      <w:bookmarkEnd w:id="103"/>
      <w:r/>
      <w:r/>
    </w:p>
    <w:p>
      <w:pPr>
        <w:pStyle w:val="811"/>
        <w:ind w:firstLine="0"/>
        <w:rPr>
          <w:rFonts w:ascii="宋体" w:hAnsi="宋体" w:cs="宋体"/>
          <w:color w:val="auto"/>
          <w:highlight w:val="none"/>
        </w:rPr>
      </w:pPr>
      <w:r>
        <w:rPr>
          <w:rFonts w:ascii="宋体" w:hAnsi="宋体" w:cs="宋体"/>
          <w:color w:val="auto"/>
          <w:highlight w:val="none"/>
        </w:rPr>
      </w:r>
      <w:r/>
    </w:p>
    <w:p>
      <w:pPr>
        <w:ind w:left="0"/>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104" w:name="_Toc32730"/>
      <w:r>
        <w:rPr>
          <w:rFonts w:hint="eastAsia" w:ascii="宋体" w:hAnsi="宋体" w:cs="宋体"/>
          <w:b/>
          <w:color w:val="auto"/>
          <w:sz w:val="32"/>
          <w:szCs w:val="32"/>
          <w:highlight w:val="none"/>
        </w:rPr>
        <w:t xml:space="preserve">合同主要条款</w:t>
      </w:r>
      <w:r/>
    </w:p>
    <w:p>
      <w:pPr>
        <w:ind w:left="0"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依据甲方委托</w:t>
      </w:r>
      <w:r>
        <w:rPr>
          <w:rFonts w:hint="eastAsia" w:ascii="宋体" w:hAnsi="宋体" w:cs="宋体"/>
          <w:color w:val="auto"/>
          <w:sz w:val="24"/>
          <w:szCs w:val="24"/>
          <w:highlight w:val="none"/>
        </w:rPr>
        <w:t xml:space="preserve">苏州永正造价师事务所有限公司</w:t>
      </w:r>
      <w:r>
        <w:rPr>
          <w:rFonts w:hint="eastAsia" w:ascii="宋体" w:hAnsi="宋体" w:cs="宋体"/>
          <w:color w:val="auto"/>
          <w:sz w:val="24"/>
          <w:szCs w:val="24"/>
          <w:highlight w:val="none"/>
          <w:lang w:val="zh-CN"/>
        </w:rPr>
        <w:t xml:space="preserve">进行本项目政府采购（采购编号：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）的采购结果，确定乙方为本次成交供应商，现依照采购文件、乙方的响应文件及相关文件的内容，签订本合同书。</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一、合同标的物和合同价格组成</w:t>
      </w:r>
      <w:r/>
    </w:p>
    <w:p>
      <w:pPr>
        <w:pStyle w:val="812"/>
        <w:ind w:left="0" w:firstLine="480"/>
        <w:spacing w:line="360" w:lineRule="auto"/>
        <w:tabs>
          <w:tab w:val="left" w:pos="75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1.1采购的服务内容概述；</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1.2服务具体范围，</w:t>
      </w:r>
      <w:r>
        <w:rPr>
          <w:rFonts w:hint="eastAsia" w:ascii="宋体" w:hAnsi="宋体" w:cs="宋体"/>
          <w:b/>
          <w:color w:val="auto"/>
          <w:sz w:val="24"/>
          <w:szCs w:val="24"/>
          <w:highlight w:val="none"/>
        </w:rPr>
        <w:t xml:space="preserve">详见第四章；</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1.3服务期限，</w:t>
      </w:r>
      <w:r>
        <w:rPr>
          <w:rFonts w:hint="eastAsia" w:ascii="宋体" w:hAnsi="宋体" w:cs="宋体"/>
          <w:b/>
          <w:color w:val="auto"/>
          <w:sz w:val="24"/>
          <w:szCs w:val="24"/>
          <w:highlight w:val="none"/>
        </w:rPr>
        <w:t xml:space="preserve">详见第四章；</w:t>
      </w:r>
      <w:r/>
    </w:p>
    <w:p>
      <w:pPr>
        <w:ind w:left="0" w:firstLine="480"/>
        <w:spacing w:line="360" w:lineRule="auto"/>
        <w:widowControl w:val="off"/>
        <w:rPr>
          <w:rFonts w:ascii="宋体" w:hAnsi="宋体" w:cs="宋体"/>
          <w:b/>
          <w:color w:val="auto"/>
          <w:sz w:val="24"/>
          <w:szCs w:val="24"/>
          <w:highlight w:val="none"/>
        </w:rPr>
      </w:pPr>
      <w:r>
        <w:rPr>
          <w:rFonts w:hint="eastAsia" w:ascii="宋体" w:hAnsi="宋体" w:cs="宋体"/>
          <w:color w:val="auto"/>
          <w:sz w:val="24"/>
          <w:szCs w:val="24"/>
          <w:highlight w:val="none"/>
        </w:rPr>
        <w:t xml:space="preserve">1.4合同价款的组成：合同价款包含甲方应付乙方的全部款项，</w:t>
      </w:r>
      <w:r>
        <w:rPr>
          <w:rFonts w:hint="eastAsia" w:ascii="宋体" w:hAnsi="宋体" w:cs="宋体"/>
          <w:b/>
          <w:color w:val="auto"/>
          <w:sz w:val="24"/>
          <w:szCs w:val="24"/>
          <w:highlight w:val="none"/>
        </w:rPr>
        <w:t xml:space="preserve">详见第四章。</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二、下列文件为本合同不可分割部分</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2.1成交通知书；</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2.2乙方成交的响应文件；</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2.3采购文件；</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2.4乙方在磋商过程中所作的其它承诺、声明、书面澄清等。</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三、合同价格支付</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3.1支付步骤和比例：</w:t>
      </w:r>
      <w:r>
        <w:rPr>
          <w:rFonts w:hint="eastAsia" w:ascii="宋体" w:hAnsi="宋体" w:cs="宋体"/>
          <w:b/>
          <w:color w:val="auto"/>
          <w:sz w:val="24"/>
          <w:szCs w:val="24"/>
          <w:highlight w:val="none"/>
        </w:rPr>
        <w:t xml:space="preserve">详见第四章。</w:t>
      </w:r>
      <w:r/>
    </w:p>
    <w:p>
      <w:pPr>
        <w:ind w:left="0" w:firstLine="480"/>
        <w:spacing w:line="360" w:lineRule="auto"/>
        <w:widowControl w:val="off"/>
        <w:rPr>
          <w:rFonts w:ascii="宋体" w:hAnsi="宋体" w:cs="宋体"/>
          <w:i/>
          <w:iCs/>
          <w:color w:val="auto"/>
          <w:sz w:val="24"/>
          <w:szCs w:val="24"/>
          <w:highlight w:val="none"/>
        </w:rPr>
      </w:pPr>
      <w:r>
        <w:rPr>
          <w:rFonts w:hint="eastAsia" w:ascii="宋体" w:hAnsi="宋体" w:cs="宋体"/>
          <w:color w:val="auto"/>
          <w:sz w:val="24"/>
          <w:szCs w:val="24"/>
          <w:highlight w:val="none"/>
        </w:rPr>
        <w:t xml:space="preserve">3.2根据现行税法对甲方征收的与本合同有关的一切税费均由甲方承担；根据现行税法对乙方征收的与本合同有关的一切税费均由乙方承担。</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3.3乙方要求付款应提供以下资料：</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（1）合格的发票。</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（2）由甲乙双方及采购代理机构签章的《政府采购履约验收书》。</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3.4、支付方式：银行转账、银行汇票或转账支票，具体支付方式甲方有权根据财务安排自主选择。</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四、服务工作管理：</w:t>
      </w:r>
      <w:r>
        <w:rPr>
          <w:rFonts w:hint="eastAsia" w:ascii="宋体" w:hAnsi="宋体" w:cs="宋体"/>
          <w:b/>
          <w:color w:val="auto"/>
          <w:sz w:val="24"/>
          <w:szCs w:val="24"/>
          <w:highlight w:val="none"/>
        </w:rPr>
        <w:t xml:space="preserve">详见第四章</w:t>
      </w:r>
      <w:r>
        <w:rPr>
          <w:rFonts w:hint="eastAsia" w:ascii="宋体" w:hAnsi="宋体" w:cs="宋体"/>
          <w:color w:val="auto"/>
          <w:sz w:val="24"/>
          <w:szCs w:val="24"/>
          <w:highlight w:val="none"/>
        </w:rPr>
        <w:t xml:space="preserve">。</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五、不可抗力</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5.1因不可抗力不能履行合同的，根据不可抗力的影响，部分或者全部免除责任。但合同一方延迟履行后发生不可抗力的，不能免除责任。</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5.2合同一方因不可抗力不能履行合同的，应当及时通知对方，以减轻可能给对方造成的损失，并应当在合理期限内提供证明。</w:t>
      </w: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六、合同的解除和转让</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6.1甲方和乙方协商一致，可以解除合同。</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6.2有下列情形之一，合同一方可以解除合同：</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（1）因不可抗力致使不能实现合同目的，未受不可抗力影响的一方有权解除合同；</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（2）因合同一方违约导致合同不能履行，另一方有权解除合同；</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（3）因乙方在履行合同过程中造成社会不良影响的，甲方有权解除合同。</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6.3有权解除合同的一方，应当在违约事实或不可抗力发生之后三十天内书面通知对方以主张解除合同，合同在书面通知到达对方时解除。</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6.4合同的部分和全部都不得转让。</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七、违约责任</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7.1合同一方不履行合同义务或者履行合同义务不符合约定的，应当承担继续履行、采取补救措施或赔偿损失等违约责任。</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7.2甲方违约责任。甲方未按照约定时间支付合同价款的，应当承担逾期付款违约责任。</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7.3乙方违约责任。</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（1）甲方有权按照规定对乙方进行考核，并按照考核办法的规定要求乙方承担相应责任。</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（2）乙方承担的违约金不足以赔偿甲方实际损失的，甲方有权要求乙方继续赔偿。</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（3）乙方履行合同不符合合同要求的，甲方有权责令乙方立即改正，乙方拒不改正或已经造成不良社会影响的，甲方有权要求乙方承担责任。</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八、争议解决办法</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因本合同或与本合同有关的一切事项发生争议，由双方友好协商解决。协商不成的，任何一方均可以向甲方所在地人民法院起诉。</w:t>
      </w: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九、合同生效</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本合同在双方签字盖章后生效。</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十、其他</w:t>
      </w:r>
      <w:r/>
    </w:p>
    <w:p>
      <w:pPr>
        <w:ind w:left="0" w:firstLine="480"/>
        <w:spacing w:line="360" w:lineRule="auto"/>
        <w:widowControl w:val="off"/>
        <w:rPr>
          <w:color w:val="auto"/>
          <w:highlight w:val="none"/>
        </w:rPr>
      </w:pPr>
      <w:r>
        <w:rPr>
          <w:rFonts w:hint="eastAsia" w:ascii="宋体" w:hAnsi="宋体" w:cs="宋体"/>
          <w:color w:val="auto"/>
          <w:sz w:val="24"/>
          <w:szCs w:val="24"/>
          <w:highlight w:val="none"/>
        </w:rPr>
        <w:t xml:space="preserve">10.1乙方指定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为本项目项目负责人，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为本项目项目组成员。</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10.2乙方除应做好服务人员的安全教育外，还应为服务人员提供必要的劳动保护条件，为服务人员办理作业时的人身安全保险和意外伤害险，一切安全责任事故均由乙方负责（保险种类由乙方自行选择）。</w:t>
      </w: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十一、附则</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11.1本合同一式四份，甲方、乙方各执一份，政府采购监督管理部门备案一份，采购代理机构一份。</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11.2本合同文件使用中文书写、解释和说明。</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11.3本合同履行过程中产生的纪要、协议以及成交通知书、响应文件和采购文件为本合同的附件，与合同具有同等效力。</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11.4未尽事宜</w:t>
      </w:r>
      <w:r/>
    </w:p>
    <w:p>
      <w:pPr>
        <w:ind w:left="0"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4"/>
          <w:szCs w:val="24"/>
          <w:highlight w:val="none"/>
        </w:rPr>
        <w:t xml:space="preserve">按《中华人民共和国政府采购法》及其他有关的法律法规的规定执行。</w:t>
      </w:r>
      <w:r/>
    </w:p>
    <w:p>
      <w:pPr>
        <w:pStyle w:val="998"/>
        <w:ind w:left="0" w:firstLine="0"/>
        <w:rPr>
          <w:rFonts w:ascii="宋体" w:hAnsi="宋体" w:cs="宋体"/>
          <w:bCs/>
          <w:color w:val="auto"/>
          <w:sz w:val="24"/>
          <w:szCs w:val="24"/>
          <w:highlight w:val="none"/>
        </w:rPr>
      </w:pPr>
      <w:r/>
      <w:bookmarkStart w:id="105" w:name="评分要点"/>
      <w:r/>
      <w:bookmarkEnd w:id="105"/>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ascii="宋体" w:hAnsi="宋体" w:cs="宋体"/>
          <w:bCs/>
          <w:color w:val="auto"/>
          <w:sz w:val="24"/>
          <w:szCs w:val="24"/>
          <w:highlight w:val="none"/>
        </w:rPr>
      </w:r>
      <w:r/>
    </w:p>
    <w:p>
      <w:pPr>
        <w:pStyle w:val="998"/>
        <w:ind w:left="0" w:firstLine="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附件：</w:t>
      </w:r>
      <w:r/>
    </w:p>
    <w:p>
      <w:pPr>
        <w:pStyle w:val="998"/>
        <w:ind w:left="0"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政府采购合同信用融资政策告知函</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各政府采购供应商:</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欢迎贵公司参加苏州市政府采购活动!</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998"/>
        <w:ind w:left="0" w:firstLine="0"/>
        <w:jc w:val="center"/>
        <w:rPr>
          <w:rFonts w:ascii="宋体" w:hAnsi="宋体" w:cs="宋体"/>
          <w:b/>
          <w:color w:val="auto"/>
          <w:sz w:val="44"/>
          <w:szCs w:val="44"/>
          <w:highlight w:val="none"/>
        </w:rPr>
      </w:pPr>
      <w:r>
        <w:rPr>
          <w:rFonts w:ascii="宋体" w:hAnsi="宋体" w:cs="宋体"/>
          <w:b/>
          <w:color w:val="auto"/>
          <w:sz w:val="44"/>
          <w:szCs w:val="44"/>
          <w:highlight w:val="none"/>
        </w:rPr>
      </w:r>
      <w:r/>
    </w:p>
    <w:p>
      <w:pPr>
        <w:pStyle w:val="998"/>
        <w:ind w:left="0" w:firstLine="0"/>
        <w:rPr>
          <w:rFonts w:ascii="宋体" w:hAnsi="宋体" w:cs="宋体"/>
          <w:b/>
          <w:color w:val="auto"/>
          <w:sz w:val="44"/>
          <w:szCs w:val="44"/>
          <w:highlight w:val="none"/>
        </w:rPr>
      </w:pPr>
      <w:r>
        <w:rPr>
          <w:rFonts w:ascii="宋体" w:hAnsi="宋体" w:cs="宋体"/>
          <w:b/>
          <w:color w:val="auto"/>
          <w:sz w:val="44"/>
          <w:szCs w:val="44"/>
          <w:highlight w:val="none"/>
        </w:rPr>
      </w:r>
      <w:r/>
    </w:p>
    <w:p>
      <w:pPr>
        <w:rPr>
          <w:color w:val="auto"/>
          <w:highlight w:val="none"/>
        </w:rPr>
      </w:pPr>
      <w:r>
        <w:rPr>
          <w:rFonts w:hint="eastAsia"/>
          <w:color w:val="auto"/>
          <w:highlight w:val="none"/>
        </w:rPr>
        <w:br w:type="page" w:clear="all"/>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1025"/>
        <w:ind w:firstLine="400"/>
        <w:rPr>
          <w:color w:val="auto"/>
          <w:highlight w:val="none"/>
        </w:rPr>
      </w:pPr>
      <w:r>
        <w:rPr>
          <w:color w:val="auto"/>
          <w:highlight w:val="none"/>
        </w:rPr>
      </w:r>
      <w:r/>
    </w:p>
    <w:p>
      <w:pPr>
        <w:pStyle w:val="998"/>
        <w:numPr>
          <w:ilvl w:val="0"/>
          <w:numId w:val="4"/>
        </w:numPr>
        <w:ind w:left="0" w:firstLine="0"/>
        <w:jc w:val="center"/>
        <w:spacing w:line="579" w:lineRule="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 </w:t>
      </w:r>
      <w:bookmarkStart w:id="106" w:name="_Toc16154"/>
      <w:r/>
      <w:bookmarkStart w:id="107" w:name="_Toc27775"/>
      <w:r>
        <w:rPr>
          <w:rFonts w:hint="eastAsia" w:ascii="宋体" w:hAnsi="宋体" w:cs="宋体"/>
          <w:b/>
          <w:color w:val="auto"/>
          <w:sz w:val="44"/>
          <w:szCs w:val="44"/>
          <w:highlight w:val="none"/>
        </w:rPr>
        <w:t xml:space="preserve">评审办法</w:t>
      </w:r>
      <w:bookmarkEnd w:id="97"/>
      <w:r/>
      <w:bookmarkEnd w:id="98"/>
      <w:r/>
      <w:bookmarkEnd w:id="99"/>
      <w:r/>
      <w:bookmarkEnd w:id="100"/>
      <w:r/>
      <w:bookmarkEnd w:id="104"/>
      <w:r/>
      <w:bookmarkEnd w:id="106"/>
      <w:r/>
      <w:bookmarkEnd w:id="107"/>
      <w:r/>
      <w:r/>
    </w:p>
    <w:p>
      <w:pPr>
        <w:rPr>
          <w:rFonts w:ascii="宋体" w:hAnsi="宋体" w:cs="宋体"/>
          <w:b/>
          <w:color w:val="auto"/>
          <w:sz w:val="24"/>
          <w:szCs w:val="24"/>
          <w:highlight w:val="none"/>
        </w:rPr>
      </w:pPr>
      <w:r>
        <w:rPr>
          <w:rFonts w:ascii="宋体" w:hAnsi="宋体" w:cs="宋体"/>
          <w:b/>
          <w:color w:val="auto"/>
          <w:sz w:val="24"/>
          <w:szCs w:val="24"/>
          <w:highlight w:val="none"/>
        </w:rPr>
      </w:r>
      <w:r/>
    </w:p>
    <w:p>
      <w:pPr>
        <w:pStyle w:val="811"/>
        <w:rPr>
          <w:rFonts w:ascii="宋体" w:hAnsi="宋体" w:cs="宋体"/>
          <w:color w:val="auto"/>
          <w:sz w:val="24"/>
          <w:szCs w:val="24"/>
          <w:highlight w:val="none"/>
        </w:rPr>
      </w:pPr>
      <w:r>
        <w:rPr>
          <w:rFonts w:ascii="宋体" w:hAnsi="宋体" w:cs="宋体"/>
          <w:color w:val="auto"/>
          <w:sz w:val="24"/>
          <w:szCs w:val="24"/>
          <w:highlight w:val="none"/>
        </w:rPr>
      </w:r>
      <w:r/>
    </w:p>
    <w:p>
      <w:pPr>
        <w:ind w:left="0" w:firstLine="480"/>
        <w:spacing w:line="360" w:lineRule="auto"/>
        <w:rPr>
          <w:rStyle w:val="1033"/>
          <w:rFonts w:ascii="宋体" w:hAnsi="宋体" w:cs="宋体"/>
          <w:b/>
          <w:bCs/>
          <w:color w:val="auto"/>
          <w:sz w:val="24"/>
          <w:highlight w:val="none"/>
        </w:rPr>
      </w:pPr>
      <w:r>
        <w:rPr>
          <w:rFonts w:hint="eastAsia" w:ascii="宋体" w:hAnsi="宋体" w:cs="宋体"/>
          <w:color w:val="auto"/>
          <w:sz w:val="24"/>
          <w:szCs w:val="24"/>
          <w:highlight w:val="none"/>
        </w:rPr>
        <w:br w:type="page" w:clear="all"/>
      </w:r>
      <w:r>
        <w:rPr>
          <w:rStyle w:val="1033"/>
          <w:rFonts w:hint="eastAsia" w:ascii="宋体" w:hAnsi="宋体" w:cs="宋体"/>
          <w:b/>
          <w:bCs/>
          <w:color w:val="auto"/>
          <w:sz w:val="24"/>
          <w:highlight w:val="none"/>
        </w:rPr>
        <w:t xml:space="preserve">一、评审方法</w:t>
      </w:r>
      <w:r/>
    </w:p>
    <w:p>
      <w:pPr>
        <w:ind w:left="0" w:firstLine="480"/>
        <w:spacing w:line="360" w:lineRule="auto"/>
        <w:widowControl w:val="off"/>
        <w:rPr>
          <w:rStyle w:val="1033"/>
          <w:rFonts w:ascii="宋体" w:hAnsi="宋体" w:cs="宋体"/>
          <w:color w:val="auto"/>
          <w:sz w:val="24"/>
          <w:highlight w:val="none"/>
        </w:rPr>
      </w:pPr>
      <w:r>
        <w:rPr>
          <w:rStyle w:val="1033"/>
          <w:rFonts w:hint="eastAsia" w:ascii="宋体" w:hAnsi="宋体" w:cs="宋体"/>
          <w:color w:val="auto"/>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p>
    <w:p>
      <w:pPr>
        <w:ind w:left="0" w:firstLine="480"/>
        <w:spacing w:line="360" w:lineRule="auto"/>
        <w:widowControl w:val="off"/>
        <w:rPr>
          <w:rStyle w:val="1033"/>
          <w:rFonts w:ascii="宋体" w:hAnsi="宋体" w:cs="宋体"/>
          <w:color w:val="auto"/>
          <w:sz w:val="24"/>
          <w:highlight w:val="none"/>
        </w:rPr>
      </w:pPr>
      <w:r>
        <w:rPr>
          <w:rStyle w:val="1033"/>
          <w:rFonts w:hint="eastAsia" w:ascii="宋体" w:hAnsi="宋体" w:cs="宋体"/>
          <w:color w:val="auto"/>
          <w:sz w:val="24"/>
          <w:highlight w:val="none"/>
        </w:rPr>
        <w:t xml:space="preserve">2、评审小组各成员独立对每个进入打分程序的有效磋商供应商的响应文件技术和资质部分以打分的形式进行评审和评价。</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3、对评委的评分（除价格分外）进行统计汇总，直接算术平均计算出每个磋商供应商的得分，加上价格得分即为每个磋商供应商的综合得分。</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注：评审过程中出现下列情形之一的，评审委员会应当启动异常低价投标(响应)审查程序：</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（1）投标(响应)报价低于采购项目预算50%的，即投标(响应)报价&lt;采购项目预算*50%；</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（2）投标(响应)报价低于采购项目最高限价45%的，即投标(响应)报价&lt;采购项目最高限价*45%；</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（3）评审委员会认定的供应商报价过低、有可能影响产品质量或者不能诚信履约的其他情形。</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lang w:val="en-US" w:eastAsia="zh-CN"/>
        </w:rPr>
        <w:t xml:space="preserve">5</w:t>
      </w:r>
      <w:r>
        <w:rPr>
          <w:rStyle w:val="1033"/>
          <w:rFonts w:hint="eastAsia" w:ascii="宋体" w:hAnsi="宋体" w:cs="宋体"/>
          <w:color w:val="auto"/>
          <w:sz w:val="24"/>
          <w:highlight w:val="none"/>
        </w:rPr>
        <w:t xml:space="preserve">、针对小微企业、残疾人福利性单位及监狱企业的价格分评审：</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本采购项目对应的中小企业划分标准所属行业为：其他未列明行业。根据《政府采购促进中小企业发展管理办法》（财库﹝2020﹞46号）、《关于促进残疾人就业政府采购政策的通知》（财库〔2017〕141号）、《关于政府采购支持监狱企业发展有关问题的通知》（财库〔2014〕68号）、《关于新冠肺炎疫情防控期间加大政府采购支持中小微企业力度的通知》苏财购〔2020〕19号等文件的精神，对属于小微企业、监狱企业、残疾人福利性单位给予价格评审加分。</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1）如响应单位属于小型或微型企业且提供服务的，对其报价给予20%的扣除；用扣除后的价格参与价格评审；如响应单位属于残疾人福利性单位或监狱企业的，其价格在评审时给予6%的扣除，用扣除后的价格参与评审。</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注：残疾人福利性单位和监狱企业属于小型、微型企业的，不重复享受政策。</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2）中小微企业在响应文件中，必须提供企业注册地经信部门出具的中小微企业认定书，或提供《中小企业声明函》。未在响应文件中提供中小微企业认定书或《中小企业声明函》，不享受促进中小微企业发展的相关政府采购政策。</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（3）以上规定未尽事项，按《政府采购促进中小企业发展暂行办法》等有关制度规定执行。</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注：①填报“中小企业声明函”需严格按“工信部联企业〔2011〕300号通知”中的《中小企业划型标准规定》进行。</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②若响应单位提供的 “中小企业声明函”（详见第</w:t>
      </w:r>
      <w:r>
        <w:rPr>
          <w:rStyle w:val="1033"/>
          <w:rFonts w:hint="eastAsia" w:ascii="宋体" w:hAnsi="宋体" w:cs="宋体"/>
          <w:color w:val="auto"/>
          <w:sz w:val="24"/>
          <w:highlight w:val="none"/>
          <w:lang w:eastAsia="zh-CN"/>
        </w:rPr>
        <w:t xml:space="preserve">三</w:t>
      </w:r>
      <w:r>
        <w:rPr>
          <w:rStyle w:val="1033"/>
          <w:rFonts w:hint="eastAsia" w:ascii="宋体" w:hAnsi="宋体" w:cs="宋体"/>
          <w:color w:val="auto"/>
          <w:sz w:val="24"/>
          <w:highlight w:val="none"/>
        </w:rPr>
        <w:t xml:space="preserve">章） 或认定证明为虚假声明则视同提供虚假材料，按“政府采购法”相关规定处理并报请政府监管部门给予行政处罚。</w:t>
      </w:r>
      <w:r/>
    </w:p>
    <w:p>
      <w:pPr>
        <w:ind w:left="0" w:firstLine="480"/>
        <w:spacing w:line="360" w:lineRule="auto"/>
        <w:widowControl w:val="off"/>
        <w:rPr>
          <w:rStyle w:val="1033"/>
          <w:rFonts w:hint="eastAsia" w:ascii="宋体" w:hAnsi="宋体" w:cs="宋体"/>
          <w:color w:val="auto"/>
          <w:sz w:val="24"/>
          <w:highlight w:val="none"/>
        </w:rPr>
      </w:pPr>
      <w:r>
        <w:rPr>
          <w:rStyle w:val="1033"/>
          <w:rFonts w:hint="eastAsia" w:ascii="宋体" w:hAnsi="宋体" w:cs="宋体"/>
          <w:color w:val="auto"/>
          <w:sz w:val="24"/>
          <w:highlight w:val="none"/>
        </w:rPr>
        <w:t xml:space="preserve">③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pStyle w:val="1034"/>
        <w:ind w:left="0" w:firstLine="482"/>
        <w:jc w:val="both"/>
        <w:spacing w:line="360" w:lineRule="auto"/>
        <w:widowControl w:val="off"/>
        <w:rPr>
          <w:rStyle w:val="1033"/>
          <w:rFonts w:ascii="宋体" w:hAnsi="宋体" w:cs="宋体"/>
          <w:b/>
          <w:color w:val="auto"/>
          <w:highlight w:val="none"/>
        </w:rPr>
      </w:pPr>
      <w:r>
        <w:rPr>
          <w:rStyle w:val="1033"/>
          <w:rFonts w:hint="eastAsia" w:ascii="宋体" w:hAnsi="宋体" w:cs="宋体"/>
          <w:b/>
          <w:color w:val="auto"/>
          <w:highlight w:val="none"/>
        </w:rPr>
        <w:t xml:space="preserve">二、评分标准</w:t>
      </w:r>
      <w:r/>
    </w:p>
    <w:p>
      <w:pPr>
        <w:ind w:left="0" w:firstLine="482"/>
        <w:spacing w:line="360" w:lineRule="auto"/>
        <w:widowControl w:val="off"/>
        <w:rPr>
          <w:rStyle w:val="1033"/>
          <w:rFonts w:ascii="宋体" w:hAnsi="宋体" w:cs="宋体"/>
          <w:b/>
          <w:color w:val="auto"/>
          <w:sz w:val="24"/>
          <w:highlight w:val="none"/>
        </w:rPr>
        <w:outlineLvl w:val="2"/>
      </w:pPr>
      <w:r>
        <w:rPr>
          <w:rStyle w:val="1033"/>
          <w:rFonts w:hint="eastAsia" w:ascii="宋体" w:hAnsi="宋体" w:cs="宋体"/>
          <w:b/>
          <w:color w:val="auto"/>
          <w:sz w:val="24"/>
          <w:highlight w:val="none"/>
        </w:rPr>
        <w:t xml:space="preserve">（一）价格基准分：10分</w:t>
      </w:r>
      <w:r/>
    </w:p>
    <w:p>
      <w:pPr>
        <w:ind w:left="0" w:firstLine="480"/>
        <w:spacing w:line="360" w:lineRule="auto"/>
        <w:widowControl w:val="off"/>
        <w:rPr>
          <w:rStyle w:val="1033"/>
          <w:rFonts w:ascii="宋体" w:hAnsi="宋体"/>
          <w:color w:val="auto"/>
          <w:sz w:val="24"/>
          <w:highlight w:val="none"/>
        </w:rPr>
      </w:pPr>
      <w:r>
        <w:rPr>
          <w:rStyle w:val="1033"/>
          <w:rFonts w:ascii="宋体" w:hAnsi="宋体"/>
          <w:color w:val="auto"/>
          <w:sz w:val="24"/>
          <w:highlight w:val="none"/>
        </w:rPr>
        <w:t xml:space="preserve">第一步：磋商报价低于或等于财政预算价格的，为有效磋商报价。超财政预算的磋商报价文件为未实质性响应文件，不参与评审。</w:t>
      </w:r>
      <w:r/>
    </w:p>
    <w:p>
      <w:pPr>
        <w:ind w:left="0" w:firstLine="480"/>
        <w:spacing w:line="360" w:lineRule="auto"/>
        <w:widowControl w:val="off"/>
        <w:rPr>
          <w:rStyle w:val="1033"/>
          <w:rFonts w:ascii="宋体" w:hAnsi="宋体"/>
          <w:color w:val="auto"/>
          <w:sz w:val="24"/>
          <w:highlight w:val="none"/>
        </w:rPr>
      </w:pPr>
      <w:r>
        <w:rPr>
          <w:rStyle w:val="1033"/>
          <w:rFonts w:ascii="宋体" w:hAnsi="宋体"/>
          <w:color w:val="auto"/>
          <w:sz w:val="24"/>
          <w:highlight w:val="none"/>
        </w:rPr>
        <w:t xml:space="preserve">第二步：在所有有效磋商报价中满足采购文件要求，且磋商价格最低的磋商报价为评标基准价，其价格分为</w:t>
      </w:r>
      <w:r>
        <w:rPr>
          <w:rStyle w:val="1033"/>
          <w:rFonts w:hint="eastAsia" w:ascii="宋体" w:hAnsi="宋体"/>
          <w:color w:val="auto"/>
          <w:sz w:val="24"/>
          <w:highlight w:val="none"/>
        </w:rPr>
        <w:t xml:space="preserve">10</w:t>
      </w:r>
      <w:r>
        <w:rPr>
          <w:rStyle w:val="1033"/>
          <w:rFonts w:ascii="宋体" w:hAnsi="宋体"/>
          <w:color w:val="auto"/>
          <w:sz w:val="24"/>
          <w:highlight w:val="none"/>
        </w:rPr>
        <w:t xml:space="preserve">分，其他磋商供应商的价格分按照下列公式计算（计算结果四舍五入保留两位小数）。</w:t>
      </w:r>
      <w:r/>
    </w:p>
    <w:p>
      <w:pPr>
        <w:ind w:left="0" w:firstLine="480"/>
        <w:spacing w:line="360" w:lineRule="auto"/>
        <w:widowControl w:val="off"/>
        <w:rPr>
          <w:rStyle w:val="1033"/>
          <w:rFonts w:ascii="宋体" w:hAnsi="宋体"/>
          <w:color w:val="auto"/>
          <w:sz w:val="24"/>
          <w:highlight w:val="none"/>
        </w:rPr>
      </w:pPr>
      <w:r>
        <w:rPr>
          <w:rStyle w:val="1033"/>
          <w:rFonts w:ascii="宋体" w:hAnsi="宋体"/>
          <w:color w:val="auto"/>
          <w:sz w:val="24"/>
          <w:highlight w:val="none"/>
        </w:rPr>
        <w:t xml:space="preserve">磋商报价得分＝（评标基准价/磋商报价）×</w:t>
      </w:r>
      <w:r>
        <w:rPr>
          <w:rStyle w:val="1033"/>
          <w:rFonts w:hint="eastAsia" w:ascii="宋体" w:hAnsi="宋体"/>
          <w:color w:val="auto"/>
          <w:sz w:val="24"/>
          <w:highlight w:val="none"/>
        </w:rPr>
        <w:t xml:space="preserve">10</w:t>
      </w:r>
      <w:r>
        <w:rPr>
          <w:rStyle w:val="1033"/>
          <w:rFonts w:ascii="宋体" w:hAnsi="宋体"/>
          <w:color w:val="auto"/>
          <w:sz w:val="24"/>
          <w:highlight w:val="none"/>
        </w:rPr>
        <w:t xml:space="preserve">%×100。</w:t>
      </w:r>
      <w:r/>
    </w:p>
    <w:p>
      <w:pPr>
        <w:ind w:left="0" w:firstLine="482"/>
        <w:spacing w:line="360" w:lineRule="auto"/>
        <w:widowControl w:val="off"/>
        <w:rPr>
          <w:rStyle w:val="1033"/>
          <w:rFonts w:ascii="宋体" w:hAnsi="宋体" w:cs="宋体"/>
          <w:b/>
          <w:bCs/>
          <w:color w:val="auto"/>
          <w:sz w:val="24"/>
          <w:highlight w:val="none"/>
        </w:rPr>
      </w:pPr>
      <w:r>
        <w:rPr>
          <w:rStyle w:val="1033"/>
          <w:rFonts w:hint="eastAsia" w:ascii="宋体" w:hAnsi="宋体" w:cs="宋体"/>
          <w:b/>
          <w:bCs/>
          <w:color w:val="auto"/>
          <w:sz w:val="24"/>
          <w:highlight w:val="none"/>
        </w:rPr>
        <w:t xml:space="preserve">（二）服务组织方案（</w:t>
      </w:r>
      <w:r>
        <w:rPr>
          <w:rStyle w:val="1033"/>
          <w:rFonts w:hint="eastAsia" w:ascii="宋体" w:hAnsi="宋体" w:cs="宋体"/>
          <w:b/>
          <w:bCs/>
          <w:color w:val="auto"/>
          <w:sz w:val="24"/>
          <w:highlight w:val="none"/>
          <w:lang w:val="en-US" w:eastAsia="zh-CN"/>
        </w:rPr>
        <w:t xml:space="preserve">61</w:t>
      </w:r>
      <w:r>
        <w:rPr>
          <w:rStyle w:val="1033"/>
          <w:rFonts w:hint="eastAsia" w:ascii="宋体" w:hAnsi="宋体" w:cs="宋体"/>
          <w:b/>
          <w:bCs/>
          <w:color w:val="auto"/>
          <w:sz w:val="24"/>
          <w:highlight w:val="none"/>
        </w:rPr>
        <w:t xml:space="preserve">分）</w:t>
      </w:r>
      <w:r/>
    </w:p>
    <w:p>
      <w:pPr>
        <w:ind w:left="0" w:firstLine="48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、响应单位对项目建设的重点、难点、风险及应用措施方案：措施方案描述科学合理，措施全面清晰，可操作性强的得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分；措施方案描述较科学合理，措施较全面清晰，可操作性较强的得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分；措施方案描述科学合理性一般，措施不够全面清晰，可操作性一般的得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分；其他情况不得分。</w:t>
      </w:r>
      <w:r/>
    </w:p>
    <w:p>
      <w:pPr>
        <w:ind w:left="0" w:firstLine="48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、响应单位对本项目的治超电子检测系统维保方案（包括：点位情况、维保方式、维保频率、维护过程中的质量把控）：维保方案描述科学合理，措施全面清晰，可操作性强的得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分；维保方案描述较科学合理，措施较全面清晰，可操作性较强的得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分；维保方案描述科学合理性一般，措施不够全面清晰，可操作性一般的得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分；其他情况不得分。</w:t>
      </w:r>
      <w:r/>
    </w:p>
    <w:p>
      <w:pPr>
        <w:ind w:left="0" w:firstLine="48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、响应单位对本项目的应用软件维保服务方案（包括：维保方式、维保过程中软件BUG问题处理以及软件的升级方案、维护过程中的质量把控）：维保方案描述科学合理，措施全面清晰，可操作性强的得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分；维保方案描述较科学合理，措施较全面清晰，可操作性较强的得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分；维保方案描述科学合理性一般，措施不够全面清晰，可操作性一般的得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分；其他情况不得分。</w:t>
      </w:r>
      <w:r/>
    </w:p>
    <w:p>
      <w:pPr>
        <w:ind w:left="0" w:firstLine="48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、响应单位对本项目的现场巡检服务方案（包括：巡检频率、巡检内容、巡检过程中对于发现问题的处理方案）：方案描述科学合理，措施全面清晰，可操作性强的得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分；方案描述较科学合理，措施较全面清晰，可操作性较强的得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分；方案描述科学合理性一般，措施不够全面清晰，可操作性一般的得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分；其他情况不得分。</w:t>
      </w:r>
      <w:r/>
    </w:p>
    <w:p>
      <w:pPr>
        <w:ind w:left="0" w:firstLine="48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、响应单位针对本项目的零配件及材料更换方案（包括：零配件及材料备货方案、零配件及材料更换方案）：方案描述科学合理，措施全面清晰，可操作性强的得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分；措施方案描述较科学合理，措施较全面清晰，可操作性较强的得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分；措施方案描述科学合理性一般，措施不够全面清晰，可操作性一般的得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分；其他情况不得分。</w:t>
      </w:r>
      <w:r/>
    </w:p>
    <w:p>
      <w:pPr>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、响应单位针对本项目的培训方案（包括：培训时间和周期安排、培训材料情况、培训师资安排情况、详细培训方案）：培训方案安排科学合理、内容丰富、流程清晰，操作性强的得</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分；培训方案安排合理、内容较丰富、流程较清晰</w:t>
      </w:r>
      <w:bookmarkStart w:id="108" w:name="_GoBack"/>
      <w:r/>
      <w:bookmarkEnd w:id="108"/>
      <w:r>
        <w:rPr>
          <w:rFonts w:hint="eastAsia" w:ascii="宋体" w:hAnsi="宋体" w:cs="宋体"/>
          <w:color w:val="auto"/>
          <w:sz w:val="24"/>
          <w:szCs w:val="24"/>
          <w:highlight w:val="none"/>
        </w:rPr>
        <w:t xml:space="preserve">，操作性较强的得5分；计划方案安排一般、内容一般、流程一般，操作性一般的得2分；其他情况不得分。</w:t>
      </w:r>
      <w:r/>
    </w:p>
    <w:p>
      <w:pPr>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、响应单位针对本项目的故障维护响应方案（包括维护人员、响应时间、故障解决方案）:方案完整详细，科学合理，可行性高的得</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分；方案较为完整详细，较为科学合理，可行性较高的得</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分；方案简单粗略，科学合理性及可行性一般的得2分；其他情况不得分。</w:t>
      </w:r>
      <w:r/>
    </w:p>
    <w:p>
      <w:pPr>
        <w:ind w:left="0" w:firstLine="482"/>
        <w:spacing w:line="360" w:lineRule="auto"/>
        <w:rPr>
          <w:rFonts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（三）供应商履约能力（</w:t>
      </w:r>
      <w:r>
        <w:rPr>
          <w:rFonts w:hint="eastAsia" w:ascii="宋体" w:hAnsi="宋体" w:cs="宋体"/>
          <w:b/>
          <w:bCs/>
          <w:color w:val="auto"/>
          <w:sz w:val="24"/>
          <w:szCs w:val="24"/>
          <w:highlight w:val="none"/>
          <w:lang w:val="en-US" w:eastAsia="zh-CN"/>
        </w:rPr>
        <w:t xml:space="preserve">29</w:t>
      </w:r>
      <w:r>
        <w:rPr>
          <w:rFonts w:hint="eastAsia" w:ascii="宋体" w:hAnsi="宋体" w:cs="宋体"/>
          <w:b/>
          <w:bCs/>
          <w:color w:val="auto"/>
          <w:sz w:val="24"/>
          <w:szCs w:val="24"/>
          <w:highlight w:val="none"/>
        </w:rPr>
        <w:t xml:space="preserve">分）</w:t>
      </w: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1、响应单位类似业绩（1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响应单位提供202</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年1月1日承担过</w:t>
      </w:r>
      <w:r>
        <w:rPr>
          <w:rFonts w:hint="eastAsia" w:ascii="宋体" w:hAnsi="宋体" w:cs="宋体"/>
          <w:color w:val="auto"/>
          <w:sz w:val="24"/>
          <w:szCs w:val="24"/>
          <w:highlight w:val="none"/>
          <w:lang w:eastAsia="zh-CN"/>
        </w:rPr>
        <w:t xml:space="preserve">类似业绩</w:t>
      </w:r>
      <w:r>
        <w:rPr>
          <w:rFonts w:hint="eastAsia" w:ascii="宋体" w:hAnsi="宋体" w:cs="宋体"/>
          <w:color w:val="auto"/>
          <w:sz w:val="24"/>
          <w:szCs w:val="24"/>
          <w:highlight w:val="none"/>
        </w:rPr>
        <w:t xml:space="preserve">的，每提供一份得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ind w:left="0"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注：①时间以合同签订日期为准；②响应文件中提供对应合同复印件。</w:t>
      </w: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2、响应单位具有售后服务工单管理系统、数字服务中心管理系统、站点运行情况报告生成系统、证据链完整性分析系统、治超运维管理系统软件著作权的每个得2分，最高10分，未提供的不得分。</w:t>
      </w:r>
      <w:r/>
    </w:p>
    <w:p>
      <w:pPr>
        <w:ind w:left="0"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注：响应文件中提供对应证书复印件。</w:t>
      </w:r>
      <w:r/>
    </w:p>
    <w:p>
      <w:pPr>
        <w:ind w:left="0"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供应商具有有效期内的售后服务体系完善程度认证、全国商品售后服务达标认证、售后服务成熟度认证，每证3分，最高9分。</w:t>
      </w:r>
      <w:r/>
    </w:p>
    <w:p>
      <w:pPr>
        <w:ind w:left="0"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注：响应文件中提供证书复印件，同时需提供该证书在中国国家认证认可监督管理委员会网站http://www.cnca.gov.cn/上查询的页面截图，材料不提供或提供不全或无法认定的，对应项不得分。</w:t>
      </w:r>
      <w:r/>
    </w:p>
    <w:p>
      <w:pPr>
        <w:ind w:left="0"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1032"/>
        <w:ind w:left="0"/>
        <w:jc w:val="right"/>
        <w:rPr>
          <w:rStyle w:val="1033"/>
          <w:rFonts w:ascii="宋体" w:hAnsi="宋体" w:eastAsia="宋体" w:cs="宋体"/>
          <w:b/>
          <w:bCs/>
          <w:color w:val="auto"/>
          <w:sz w:val="24"/>
          <w:szCs w:val="24"/>
          <w:highlight w:val="none"/>
        </w:rPr>
      </w:pPr>
      <w:r>
        <w:rPr>
          <w:rStyle w:val="1033"/>
          <w:rFonts w:hint="eastAsia" w:ascii="宋体" w:hAnsi="宋体" w:eastAsia="宋体" w:cs="宋体"/>
          <w:b/>
          <w:bCs/>
          <w:color w:val="auto"/>
          <w:sz w:val="24"/>
          <w:szCs w:val="24"/>
          <w:highlight w:val="none"/>
        </w:rPr>
        <w:t xml:space="preserve">（全文完）</w:t>
      </w:r>
      <w:r/>
    </w:p>
    <w:sectPr>
      <w:footerReference w:type="default" r:id="rId17"/>
      <w:footerReference w:type="first" r:id="rId18"/>
      <w:footnotePr/>
      <w:endnotePr/>
      <w:type w:val="nextPage"/>
      <w:pgSz w:w="11906" w:h="16838" w:orient="portrait"/>
      <w:pgMar w:top="1418" w:right="1021" w:bottom="1418" w:left="1021" w:header="794"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w:panose1 w:val="020B0502040204020203"/>
  </w:font>
  <w:font w:name="Symbol">
    <w:panose1 w:val="05050102010706020507"/>
  </w:font>
  <w:font w:name="Wingdings">
    <w:panose1 w:val="05000000000000000000"/>
  </w:font>
  <w:font w:name="楷体_GB2312">
    <w:panose1 w:val="02010609060101010101"/>
  </w:font>
  <w:font w:name="等线">
    <w:panose1 w:val="02010600030101010101"/>
  </w:font>
  <w:font w:name="Courier New">
    <w:panose1 w:val="02070309020205020404"/>
  </w:font>
  <w:font w:name="Cambria">
    <w:panose1 w:val="02040503050406030204"/>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Style w:val="1021"/>
      </w:rPr>
      <w:framePr w:wrap="around" w:vAnchor="text" w:hAnchor="margin" w:xAlign="center" w:y="1"/>
    </w:pPr>
    <w:r>
      <w:rPr>
        <w:rStyle w:val="1021"/>
      </w:rPr>
      <w:fldChar w:fldCharType="begin"/>
    </w:r>
    <w:r>
      <w:rPr>
        <w:rStyle w:val="1021"/>
      </w:rPr>
      <w:instrText xml:space="preserve"> PAGE </w:instrText>
    </w:r>
    <w:r>
      <w:rPr>
        <w:rStyle w:val="1021"/>
      </w:rPr>
      <w:fldChar w:fldCharType="end"/>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rPr>
        <w:rFonts w:ascii="Times New Roman" w:hAnsi="Times New Roman"/>
        <w:sz w:val="18"/>
      </w:rPr>
    </w:pPr>
    <w:r>
      <w:rPr>
        <w:rFonts w:ascii="Times New Roman" w:hAnsi="Times New Roman"/>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苏州永正造价师事务所有限公司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JSZC-320506-YZZJ-C2026-0001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苏州永正造价师事务所有限公司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highlight w:val="none"/>
      </w:rPr>
      <w:t xml:space="preserve"> 项目编号：</w:t>
    </w:r>
    <w:r>
      <w:rPr>
        <w:rFonts w:hint="eastAsia" w:ascii="宋体" w:hAnsi="宋体"/>
        <w:sz w:val="18"/>
        <w:highlight w:val="none"/>
        <w:lang w:eastAsia="zh-CN"/>
      </w:rPr>
      <w:t xml:space="preserve">JSZC-320506-YZZJ-C2026-0001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0"/>
      <w:jc w:val="left"/>
      <w:pBdr>
        <w:bottom w:val="single" w:color="000000" w:sz="4" w:space="0"/>
      </w:pBdr>
    </w:pPr>
    <w:r>
      <w:rPr>
        <w:rFonts w:hint="eastAsia" w:ascii="宋体" w:hAnsi="宋体"/>
        <w:sz w:val="18"/>
      </w:rPr>
      <w:t xml:space="preserve">苏州永正造价师事务所有限公司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JSZC-320506-YZZJ-C2026-0001</w:t>
    </w:r>
    <w:r>
      <w:rPr>
        <w:rFonts w:hint="eastAsia" w:ascii="宋体" w:hAnsi="宋体"/>
        <w:sz w:val="18"/>
      </w:rPr>
      <w:t xml:space="preserve">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129" w:hanging="420"/>
      </w:pPr>
      <w:rPr>
        <w:rFonts w:hint="default" w:ascii="Wingdings" w:hAnsi="Wingdings"/>
      </w:rPr>
    </w:lvl>
    <w:lvl w:ilvl="1">
      <w:start w:val="1"/>
      <w:numFmt w:val="bullet"/>
      <w:isLgl w:val="false"/>
      <w:suff w:val="tab"/>
      <w:lvlText w:val=""/>
      <w:lvlJc w:val="left"/>
      <w:pPr>
        <w:ind w:left="1322" w:hanging="420"/>
      </w:pPr>
      <w:rPr>
        <w:rFonts w:hint="default" w:ascii="Wingdings" w:hAnsi="Wingdings"/>
      </w:rPr>
    </w:lvl>
    <w:lvl w:ilvl="2">
      <w:start w:val="1"/>
      <w:numFmt w:val="bullet"/>
      <w:isLgl w:val="false"/>
      <w:suff w:val="tab"/>
      <w:lvlText w:val=""/>
      <w:lvlJc w:val="left"/>
      <w:pPr>
        <w:ind w:left="1742" w:hanging="420"/>
      </w:pPr>
      <w:rPr>
        <w:rFonts w:hint="default" w:ascii="Wingdings" w:hAnsi="Wingdings"/>
      </w:rPr>
    </w:lvl>
    <w:lvl w:ilvl="3">
      <w:start w:val="1"/>
      <w:numFmt w:val="bullet"/>
      <w:isLgl w:val="false"/>
      <w:suff w:val="tab"/>
      <w:lvlText w:val=""/>
      <w:lvlJc w:val="left"/>
      <w:pPr>
        <w:ind w:left="2162" w:hanging="420"/>
      </w:pPr>
      <w:rPr>
        <w:rFonts w:hint="default" w:ascii="Wingdings" w:hAnsi="Wingdings"/>
      </w:rPr>
    </w:lvl>
    <w:lvl w:ilvl="4">
      <w:start w:val="1"/>
      <w:numFmt w:val="bullet"/>
      <w:isLgl w:val="false"/>
      <w:suff w:val="tab"/>
      <w:lvlText w:val=""/>
      <w:lvlJc w:val="left"/>
      <w:pPr>
        <w:ind w:left="2582" w:hanging="420"/>
      </w:pPr>
      <w:rPr>
        <w:rFonts w:hint="default" w:ascii="Wingdings" w:hAnsi="Wingdings"/>
      </w:rPr>
    </w:lvl>
    <w:lvl w:ilvl="5">
      <w:start w:val="1"/>
      <w:numFmt w:val="bullet"/>
      <w:isLgl w:val="false"/>
      <w:suff w:val="tab"/>
      <w:lvlText w:val=""/>
      <w:lvlJc w:val="left"/>
      <w:pPr>
        <w:ind w:left="3002" w:hanging="420"/>
      </w:pPr>
      <w:rPr>
        <w:rFonts w:hint="default" w:ascii="Wingdings" w:hAnsi="Wingdings"/>
      </w:rPr>
    </w:lvl>
    <w:lvl w:ilvl="6">
      <w:start w:val="1"/>
      <w:numFmt w:val="bullet"/>
      <w:isLgl w:val="false"/>
      <w:suff w:val="tab"/>
      <w:lvlText w:val=""/>
      <w:lvlJc w:val="left"/>
      <w:pPr>
        <w:ind w:left="3422" w:hanging="420"/>
      </w:pPr>
      <w:rPr>
        <w:rFonts w:hint="default" w:ascii="Wingdings" w:hAnsi="Wingdings"/>
      </w:rPr>
    </w:lvl>
    <w:lvl w:ilvl="7">
      <w:start w:val="1"/>
      <w:numFmt w:val="bullet"/>
      <w:isLgl w:val="false"/>
      <w:suff w:val="tab"/>
      <w:lvlText w:val=""/>
      <w:lvlJc w:val="left"/>
      <w:pPr>
        <w:ind w:left="3842" w:hanging="420"/>
      </w:pPr>
      <w:rPr>
        <w:rFonts w:hint="default" w:ascii="Wingdings" w:hAnsi="Wingdings"/>
      </w:rPr>
    </w:lvl>
    <w:lvl w:ilvl="8">
      <w:start w:val="1"/>
      <w:numFmt w:val="bullet"/>
      <w:isLgl w:val="false"/>
      <w:suff w:val="tab"/>
      <w:lvlText w:val=""/>
      <w:lvlJc w:val="left"/>
      <w:pPr>
        <w:ind w:left="4262" w:hanging="420"/>
      </w:pPr>
      <w:rPr>
        <w:rFonts w:hint="default" w:ascii="Wingdings" w:hAnsi="Wingdings"/>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ind w:left="1024"/>
      <w:jc w:val="both"/>
    </w:pPr>
    <w:rPr>
      <w:rFonts w:ascii="Calibri" w:hAnsi="Calibri" w:eastAsia="宋体" w:cs="Times New Roman"/>
      <w:lang w:val="en-US" w:eastAsia="zh-CN" w:bidi="ar-SA"/>
    </w:rPr>
  </w:style>
  <w:style w:type="paragraph" w:styleId="775">
    <w:name w:val="Heading 1"/>
    <w:basedOn w:val="774"/>
    <w:next w:val="774"/>
    <w:link w:val="850"/>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51"/>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52"/>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53"/>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54"/>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55"/>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57"/>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58"/>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ody Text Indent"/>
    <w:basedOn w:val="774"/>
    <w:next w:val="774"/>
    <w:uiPriority w:val="0"/>
    <w:qFormat/>
    <w:pPr>
      <w:ind w:left="570"/>
      <w:spacing w:line="520" w:lineRule="exact"/>
    </w:pPr>
    <w:rPr>
      <w:rFonts w:ascii="方正仿宋简体" w:hAnsi="创艺简仿宋" w:eastAsia="方正仿宋简体"/>
      <w:sz w:val="24"/>
    </w:rPr>
  </w:style>
  <w:style w:type="paragraph" w:styleId="787">
    <w:name w:val="toc 7"/>
    <w:basedOn w:val="774"/>
    <w:next w:val="774"/>
    <w:uiPriority w:val="39"/>
    <w:unhideWhenUsed/>
    <w:qFormat/>
    <w:pPr>
      <w:ind w:left="1701"/>
      <w:spacing w:after="57"/>
    </w:pPr>
  </w:style>
  <w:style w:type="paragraph" w:styleId="788">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toc 5"/>
    <w:basedOn w:val="774"/>
    <w:next w:val="774"/>
    <w:uiPriority w:val="39"/>
    <w:unhideWhenUsed/>
    <w:qFormat/>
    <w:pPr>
      <w:ind w:left="1134"/>
      <w:spacing w:after="57"/>
    </w:pPr>
  </w:style>
  <w:style w:type="paragraph" w:styleId="790">
    <w:name w:val="toc 3"/>
    <w:basedOn w:val="774"/>
    <w:next w:val="774"/>
    <w:uiPriority w:val="39"/>
    <w:unhideWhenUsed/>
    <w:qFormat/>
    <w:pPr>
      <w:ind w:left="567"/>
      <w:spacing w:after="57"/>
    </w:pPr>
  </w:style>
  <w:style w:type="paragraph" w:styleId="791">
    <w:name w:val="toc 8"/>
    <w:basedOn w:val="774"/>
    <w:next w:val="774"/>
    <w:uiPriority w:val="39"/>
    <w:unhideWhenUsed/>
    <w:qFormat/>
    <w:pPr>
      <w:ind w:left="1984"/>
      <w:spacing w:after="57"/>
    </w:pPr>
  </w:style>
  <w:style w:type="paragraph" w:styleId="792">
    <w:name w:val="endnote text"/>
    <w:basedOn w:val="774"/>
    <w:link w:val="996"/>
    <w:uiPriority w:val="99"/>
    <w:semiHidden/>
    <w:unhideWhenUsed/>
    <w:qFormat/>
  </w:style>
  <w:style w:type="paragraph" w:styleId="793">
    <w:name w:val="Balloon Text"/>
    <w:basedOn w:val="774"/>
    <w:link w:val="1051"/>
    <w:uiPriority w:val="99"/>
    <w:semiHidden/>
    <w:unhideWhenUsed/>
    <w:qFormat/>
    <w:rPr>
      <w:sz w:val="18"/>
      <w:szCs w:val="18"/>
    </w:rPr>
  </w:style>
  <w:style w:type="paragraph" w:styleId="794">
    <w:name w:val="Footer"/>
    <w:basedOn w:val="774"/>
    <w:link w:val="869"/>
    <w:uiPriority w:val="99"/>
    <w:unhideWhenUsed/>
    <w:qFormat/>
    <w:pPr>
      <w:tabs>
        <w:tab w:val="center" w:pos="7143" w:leader="none"/>
        <w:tab w:val="right" w:pos="14287" w:leader="none"/>
      </w:tabs>
    </w:pPr>
  </w:style>
  <w:style w:type="paragraph" w:styleId="795">
    <w:name w:val="Header"/>
    <w:basedOn w:val="774"/>
    <w:link w:val="867"/>
    <w:uiPriority w:val="99"/>
    <w:unhideWhenUsed/>
    <w:qFormat/>
    <w:pPr>
      <w:tabs>
        <w:tab w:val="center" w:pos="7143" w:leader="none"/>
        <w:tab w:val="right" w:pos="14287" w:leader="none"/>
      </w:tabs>
    </w:pPr>
  </w:style>
  <w:style w:type="paragraph" w:styleId="796">
    <w:name w:val="toc 1"/>
    <w:basedOn w:val="774"/>
    <w:next w:val="774"/>
    <w:uiPriority w:val="39"/>
    <w:unhideWhenUsed/>
    <w:qFormat/>
    <w:pPr>
      <w:ind w:left="0"/>
      <w:spacing w:after="57"/>
    </w:pPr>
  </w:style>
  <w:style w:type="paragraph" w:styleId="797">
    <w:name w:val="toc 4"/>
    <w:basedOn w:val="774"/>
    <w:next w:val="774"/>
    <w:uiPriority w:val="39"/>
    <w:unhideWhenUsed/>
    <w:qFormat/>
    <w:pPr>
      <w:ind w:left="850"/>
      <w:spacing w:after="57"/>
    </w:pPr>
  </w:style>
  <w:style w:type="paragraph" w:styleId="798">
    <w:name w:val="Subtitle"/>
    <w:basedOn w:val="774"/>
    <w:next w:val="774"/>
    <w:link w:val="862"/>
    <w:uiPriority w:val="11"/>
    <w:qFormat/>
    <w:pPr>
      <w:spacing w:before="200" w:after="200"/>
    </w:pPr>
    <w:rPr>
      <w:sz w:val="24"/>
      <w:szCs w:val="24"/>
    </w:rPr>
  </w:style>
  <w:style w:type="paragraph" w:styleId="799">
    <w:name w:val="footnote text"/>
    <w:basedOn w:val="774"/>
    <w:link w:val="995"/>
    <w:uiPriority w:val="99"/>
    <w:semiHidden/>
    <w:unhideWhenUsed/>
    <w:qFormat/>
    <w:pPr>
      <w:spacing w:after="40"/>
    </w:pPr>
    <w:rPr>
      <w:sz w:val="18"/>
    </w:rPr>
  </w:style>
  <w:style w:type="paragraph" w:styleId="800">
    <w:name w:val="toc 6"/>
    <w:basedOn w:val="774"/>
    <w:next w:val="774"/>
    <w:uiPriority w:val="39"/>
    <w:unhideWhenUsed/>
    <w:qFormat/>
    <w:pPr>
      <w:ind w:left="1417"/>
      <w:spacing w:after="57"/>
    </w:pPr>
  </w:style>
  <w:style w:type="paragraph" w:styleId="801">
    <w:name w:val="table of figures"/>
    <w:basedOn w:val="774"/>
    <w:next w:val="774"/>
    <w:uiPriority w:val="99"/>
    <w:unhideWhenUsed/>
    <w:qFormat/>
  </w:style>
  <w:style w:type="paragraph" w:styleId="802">
    <w:name w:val="toc 2"/>
    <w:basedOn w:val="774"/>
    <w:next w:val="774"/>
    <w:uiPriority w:val="39"/>
    <w:unhideWhenUsed/>
    <w:qFormat/>
    <w:pPr>
      <w:ind w:left="283"/>
      <w:spacing w:after="57"/>
    </w:pPr>
  </w:style>
  <w:style w:type="paragraph" w:styleId="803">
    <w:name w:val="toc 9"/>
    <w:basedOn w:val="774"/>
    <w:next w:val="774"/>
    <w:uiPriority w:val="39"/>
    <w:unhideWhenUsed/>
    <w:qFormat/>
    <w:pPr>
      <w:ind w:left="2268"/>
      <w:spacing w:after="57"/>
    </w:pPr>
  </w:style>
  <w:style w:type="paragraph" w:styleId="804">
    <w:name w:val="Normal (Web)"/>
    <w:basedOn w:val="774"/>
    <w:uiPriority w:val="99"/>
    <w:semiHidden/>
    <w:unhideWhenUsed/>
    <w:qFormat/>
    <w:rPr>
      <w:sz w:val="24"/>
    </w:rPr>
  </w:style>
  <w:style w:type="paragraph" w:styleId="805">
    <w:name w:val="Title"/>
    <w:basedOn w:val="774"/>
    <w:next w:val="774"/>
    <w:link w:val="861"/>
    <w:uiPriority w:val="10"/>
    <w:qFormat/>
    <w:pPr>
      <w:contextualSpacing/>
      <w:spacing w:before="300" w:after="200"/>
    </w:pPr>
    <w:rPr>
      <w:sz w:val="48"/>
      <w:szCs w:val="48"/>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84"/>
    <w:uiPriority w:val="22"/>
    <w:qFormat/>
    <w:rPr>
      <w:b/>
      <w:bCs/>
    </w:r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footnote reference"/>
    <w:uiPriority w:val="99"/>
    <w:unhideWhenUsed/>
    <w:qFormat/>
    <w:rPr>
      <w:vertAlign w:val="superscript"/>
    </w:rPr>
  </w:style>
  <w:style w:type="paragraph" w:styleId="811" w:customStyle="1">
    <w:name w:val="正文文本1"/>
    <w:basedOn w:val="774"/>
    <w:next w:val="812"/>
    <w:uiPriority w:val="0"/>
    <w:qFormat/>
    <w:pPr>
      <w:ind w:left="0" w:firstLine="2560"/>
    </w:pPr>
  </w:style>
  <w:style w:type="paragraph" w:styleId="812" w:customStyle="1">
    <w:name w:val="正文缩进1"/>
    <w:basedOn w:val="774"/>
    <w:next w:val="774"/>
    <w:uiPriority w:val="0"/>
    <w:qFormat/>
    <w:pPr>
      <w:ind w:left="420" w:firstLine="4772"/>
    </w:pPr>
  </w:style>
  <w:style w:type="character" w:styleId="813" w:customStyle="1">
    <w:name w:val="Heading 1 Char"/>
    <w:basedOn w:val="784"/>
    <w:uiPriority w:val="9"/>
    <w:qFormat/>
    <w:rPr>
      <w:rFonts w:ascii="Arial" w:hAnsi="Arial" w:eastAsia="Arial" w:cs="Arial"/>
      <w:sz w:val="40"/>
      <w:szCs w:val="40"/>
    </w:rPr>
  </w:style>
  <w:style w:type="character" w:styleId="814" w:customStyle="1">
    <w:name w:val="Heading 2 Char"/>
    <w:basedOn w:val="784"/>
    <w:uiPriority w:val="9"/>
    <w:qFormat/>
    <w:rPr>
      <w:rFonts w:ascii="Arial" w:hAnsi="Arial" w:eastAsia="Arial" w:cs="Arial"/>
      <w:sz w:val="34"/>
    </w:rPr>
  </w:style>
  <w:style w:type="character" w:styleId="815" w:customStyle="1">
    <w:name w:val="Heading 3 Char"/>
    <w:basedOn w:val="784"/>
    <w:uiPriority w:val="9"/>
    <w:qFormat/>
    <w:rPr>
      <w:rFonts w:ascii="Arial" w:hAnsi="Arial" w:eastAsia="Arial" w:cs="Arial"/>
      <w:sz w:val="30"/>
      <w:szCs w:val="30"/>
    </w:rPr>
  </w:style>
  <w:style w:type="character" w:styleId="816" w:customStyle="1">
    <w:name w:val="Heading 4 Char"/>
    <w:basedOn w:val="784"/>
    <w:uiPriority w:val="9"/>
    <w:qFormat/>
    <w:rPr>
      <w:rFonts w:ascii="Arial" w:hAnsi="Arial" w:eastAsia="Arial" w:cs="Arial"/>
      <w:b/>
      <w:bCs/>
      <w:sz w:val="26"/>
      <w:szCs w:val="26"/>
    </w:rPr>
  </w:style>
  <w:style w:type="character" w:styleId="817" w:customStyle="1">
    <w:name w:val="Heading 5 Char"/>
    <w:basedOn w:val="784"/>
    <w:uiPriority w:val="9"/>
    <w:qFormat/>
    <w:rPr>
      <w:rFonts w:ascii="Arial" w:hAnsi="Arial" w:eastAsia="Arial" w:cs="Arial"/>
      <w:b/>
      <w:bCs/>
      <w:sz w:val="24"/>
      <w:szCs w:val="24"/>
    </w:rPr>
  </w:style>
  <w:style w:type="character" w:styleId="818" w:customStyle="1">
    <w:name w:val="Heading 6 Char"/>
    <w:basedOn w:val="784"/>
    <w:uiPriority w:val="9"/>
    <w:qFormat/>
    <w:rPr>
      <w:rFonts w:ascii="Arial" w:hAnsi="Arial" w:eastAsia="Arial" w:cs="Arial"/>
      <w:b/>
      <w:bCs/>
      <w:sz w:val="22"/>
      <w:szCs w:val="22"/>
    </w:rPr>
  </w:style>
  <w:style w:type="character" w:styleId="819" w:customStyle="1">
    <w:name w:val="Heading 7 Char"/>
    <w:basedOn w:val="784"/>
    <w:uiPriority w:val="9"/>
    <w:qFormat/>
    <w:rPr>
      <w:rFonts w:ascii="Arial" w:hAnsi="Arial" w:eastAsia="Arial" w:cs="Arial"/>
      <w:b/>
      <w:bCs/>
      <w:i/>
      <w:iCs/>
      <w:sz w:val="22"/>
      <w:szCs w:val="22"/>
    </w:rPr>
  </w:style>
  <w:style w:type="character" w:styleId="820" w:customStyle="1">
    <w:name w:val="Heading 8 Char"/>
    <w:basedOn w:val="784"/>
    <w:uiPriority w:val="9"/>
    <w:qFormat/>
    <w:rPr>
      <w:rFonts w:ascii="Arial" w:hAnsi="Arial" w:eastAsia="Arial" w:cs="Arial"/>
      <w:i/>
      <w:iCs/>
      <w:sz w:val="22"/>
      <w:szCs w:val="22"/>
    </w:rPr>
  </w:style>
  <w:style w:type="character" w:styleId="821" w:customStyle="1">
    <w:name w:val="Heading 9 Char"/>
    <w:basedOn w:val="784"/>
    <w:uiPriority w:val="9"/>
    <w:qFormat/>
    <w:rPr>
      <w:rFonts w:ascii="Arial" w:hAnsi="Arial" w:eastAsia="Arial" w:cs="Arial"/>
      <w:i/>
      <w:iCs/>
      <w:sz w:val="21"/>
      <w:szCs w:val="21"/>
    </w:rPr>
  </w:style>
  <w:style w:type="character" w:styleId="822" w:customStyle="1">
    <w:name w:val="Title Char"/>
    <w:basedOn w:val="784"/>
    <w:uiPriority w:val="10"/>
    <w:qFormat/>
    <w:rPr>
      <w:sz w:val="48"/>
      <w:szCs w:val="48"/>
    </w:rPr>
  </w:style>
  <w:style w:type="character" w:styleId="823" w:customStyle="1">
    <w:name w:val="Subtitle Char"/>
    <w:basedOn w:val="784"/>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Header Char"/>
    <w:basedOn w:val="784"/>
    <w:uiPriority w:val="99"/>
    <w:qFormat/>
  </w:style>
  <w:style w:type="character" w:styleId="827" w:customStyle="1">
    <w:name w:val="Caption Char"/>
    <w:uiPriority w:val="99"/>
    <w:qFormat/>
  </w:style>
  <w:style w:type="table" w:styleId="828" w:customStyle="1">
    <w:name w:val="Plain Table 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3"/>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5 Dark"/>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6 Colorful"/>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7 Colorful"/>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1 Light"/>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2"/>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3"/>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5 Dark"/>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7 Colorful"/>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Heading"/>
    <w:uiPriority w:val="39"/>
    <w:unhideWhenUsed/>
    <w:qFormat/>
    <w:rPr>
      <w:rFonts w:ascii="Times New Roman" w:hAnsi="Times New Roman" w:eastAsia="宋体" w:cs="Times New Roman"/>
      <w:lang w:val="en-US" w:eastAsia="zh-CN" w:bidi="ar-SA"/>
    </w:rPr>
  </w:style>
  <w:style w:type="character" w:styleId="850" w:customStyle="1">
    <w:name w:val="标题 1 字符"/>
    <w:link w:val="775"/>
    <w:uiPriority w:val="9"/>
    <w:qFormat/>
    <w:rPr>
      <w:rFonts w:ascii="Arial" w:hAnsi="Arial" w:eastAsia="Arial" w:cs="Arial"/>
      <w:sz w:val="40"/>
      <w:szCs w:val="40"/>
    </w:rPr>
  </w:style>
  <w:style w:type="character" w:styleId="851" w:customStyle="1">
    <w:name w:val="标题 2 字符"/>
    <w:link w:val="776"/>
    <w:uiPriority w:val="9"/>
    <w:qFormat/>
    <w:rPr>
      <w:rFonts w:ascii="Arial" w:hAnsi="Arial" w:eastAsia="Arial" w:cs="Arial"/>
      <w:sz w:val="34"/>
    </w:rPr>
  </w:style>
  <w:style w:type="character" w:styleId="852" w:customStyle="1">
    <w:name w:val="标题 3 字符"/>
    <w:link w:val="777"/>
    <w:uiPriority w:val="9"/>
    <w:qFormat/>
    <w:rPr>
      <w:rFonts w:ascii="Arial" w:hAnsi="Arial" w:eastAsia="Arial" w:cs="Arial"/>
      <w:sz w:val="30"/>
      <w:szCs w:val="30"/>
    </w:rPr>
  </w:style>
  <w:style w:type="character" w:styleId="853" w:customStyle="1">
    <w:name w:val="标题 4 字符"/>
    <w:link w:val="778"/>
    <w:uiPriority w:val="9"/>
    <w:qFormat/>
    <w:rPr>
      <w:rFonts w:ascii="Arial" w:hAnsi="Arial" w:eastAsia="Arial" w:cs="Arial"/>
      <w:b/>
      <w:bCs/>
      <w:sz w:val="26"/>
      <w:szCs w:val="26"/>
    </w:rPr>
  </w:style>
  <w:style w:type="character" w:styleId="854" w:customStyle="1">
    <w:name w:val="标题 5 字符"/>
    <w:link w:val="779"/>
    <w:uiPriority w:val="9"/>
    <w:qFormat/>
    <w:rPr>
      <w:rFonts w:ascii="Arial" w:hAnsi="Arial" w:eastAsia="Arial" w:cs="Arial"/>
      <w:b/>
      <w:bCs/>
      <w:sz w:val="24"/>
      <w:szCs w:val="24"/>
    </w:rPr>
  </w:style>
  <w:style w:type="character" w:styleId="855" w:customStyle="1">
    <w:name w:val="标题 6 字符"/>
    <w:link w:val="780"/>
    <w:uiPriority w:val="9"/>
    <w:qFormat/>
    <w:rPr>
      <w:rFonts w:ascii="Arial" w:hAnsi="Arial" w:eastAsia="Arial" w:cs="Arial"/>
      <w:b/>
      <w:bCs/>
      <w:sz w:val="22"/>
      <w:szCs w:val="22"/>
    </w:rPr>
  </w:style>
  <w:style w:type="character" w:styleId="856" w:customStyle="1">
    <w:name w:val="标题 7 字符"/>
    <w:link w:val="781"/>
    <w:uiPriority w:val="9"/>
    <w:qFormat/>
    <w:rPr>
      <w:rFonts w:ascii="Arial" w:hAnsi="Arial" w:eastAsia="Arial" w:cs="Arial"/>
      <w:b/>
      <w:bCs/>
      <w:i/>
      <w:iCs/>
      <w:sz w:val="22"/>
      <w:szCs w:val="22"/>
    </w:rPr>
  </w:style>
  <w:style w:type="character" w:styleId="857" w:customStyle="1">
    <w:name w:val="标题 8 字符"/>
    <w:link w:val="782"/>
    <w:uiPriority w:val="9"/>
    <w:qFormat/>
    <w:rPr>
      <w:rFonts w:ascii="Arial" w:hAnsi="Arial" w:eastAsia="Arial" w:cs="Arial"/>
      <w:i/>
      <w:iCs/>
      <w:sz w:val="22"/>
      <w:szCs w:val="22"/>
    </w:rPr>
  </w:style>
  <w:style w:type="character" w:styleId="858" w:customStyle="1">
    <w:name w:val="标题 9 字符"/>
    <w:link w:val="783"/>
    <w:uiPriority w:val="9"/>
    <w:qFormat/>
    <w:rPr>
      <w:rFonts w:ascii="Arial" w:hAnsi="Arial" w:eastAsia="Arial" w:cs="Arial"/>
      <w:i/>
      <w:iCs/>
      <w:sz w:val="21"/>
      <w:szCs w:val="21"/>
    </w:rPr>
  </w:style>
  <w:style w:type="paragraph" w:styleId="859">
    <w:name w:val="List Paragraph"/>
    <w:basedOn w:val="774"/>
    <w:uiPriority w:val="34"/>
    <w:qFormat/>
    <w:pPr>
      <w:contextualSpacing/>
      <w:ind w:left="720"/>
    </w:pPr>
  </w:style>
  <w:style w:type="paragraph" w:styleId="860">
    <w:name w:val="No Spacing"/>
    <w:uiPriority w:val="1"/>
    <w:qFormat/>
    <w:rPr>
      <w:rFonts w:ascii="Times New Roman" w:hAnsi="Times New Roman" w:eastAsia="宋体" w:cs="Times New Roman"/>
      <w:lang w:val="en-US" w:eastAsia="zh-CN" w:bidi="ar-SA"/>
    </w:rPr>
  </w:style>
  <w:style w:type="character" w:styleId="861" w:customStyle="1">
    <w:name w:val="标题 字符"/>
    <w:link w:val="805"/>
    <w:uiPriority w:val="10"/>
    <w:qFormat/>
    <w:rPr>
      <w:sz w:val="48"/>
      <w:szCs w:val="48"/>
    </w:rPr>
  </w:style>
  <w:style w:type="character" w:styleId="862" w:customStyle="1">
    <w:name w:val="副标题 字符"/>
    <w:link w:val="798"/>
    <w:uiPriority w:val="11"/>
    <w:qFormat/>
    <w:rPr>
      <w:sz w:val="24"/>
      <w:szCs w:val="24"/>
    </w:rPr>
  </w:style>
  <w:style w:type="paragraph" w:styleId="863">
    <w:name w:val="Quote"/>
    <w:basedOn w:val="774"/>
    <w:next w:val="774"/>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74"/>
    <w:next w:val="774"/>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眉 字符"/>
    <w:link w:val="795"/>
    <w:uiPriority w:val="99"/>
    <w:qFormat/>
  </w:style>
  <w:style w:type="character" w:styleId="868" w:customStyle="1">
    <w:name w:val="Footer Char"/>
    <w:uiPriority w:val="99"/>
    <w:qFormat/>
  </w:style>
  <w:style w:type="character" w:styleId="869" w:customStyle="1">
    <w:name w:val="页脚 字符"/>
    <w:link w:val="794"/>
    <w:uiPriority w:val="99"/>
    <w:qFormat/>
  </w:style>
  <w:style w:type="table" w:styleId="8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脚注文本 字符"/>
    <w:link w:val="799"/>
    <w:uiPriority w:val="99"/>
    <w:qFormat/>
    <w:rPr>
      <w:sz w:val="18"/>
    </w:rPr>
  </w:style>
  <w:style w:type="character" w:styleId="996" w:customStyle="1">
    <w:name w:val="尾注文本 字符"/>
    <w:link w:val="792"/>
    <w:uiPriority w:val="99"/>
    <w:qFormat/>
    <w:rPr>
      <w:sz w:val="20"/>
    </w:rPr>
  </w:style>
  <w:style w:type="paragraph" w:styleId="997" w:customStyle="1">
    <w:name w:val="TOC 标题1"/>
    <w:uiPriority w:val="39"/>
    <w:unhideWhenUsed/>
    <w:qFormat/>
    <w:rPr>
      <w:rFonts w:ascii="Times New Roman" w:hAnsi="Times New Roman" w:eastAsia="宋体" w:cs="Times New Roman"/>
      <w:lang w:val="en-US" w:eastAsia="zh-CN" w:bidi="ar-SA"/>
    </w:rPr>
  </w:style>
  <w:style w:type="paragraph" w:styleId="998" w:customStyle="1">
    <w:name w:val="标题 11"/>
    <w:basedOn w:val="774"/>
    <w:next w:val="774"/>
    <w:uiPriority w:val="0"/>
    <w:qFormat/>
    <w:pPr>
      <w:ind w:left="432" w:firstLine="18"/>
      <w:spacing w:before="340" w:after="330" w:line="578" w:lineRule="auto"/>
      <w:outlineLvl w:val="0"/>
    </w:pPr>
  </w:style>
  <w:style w:type="paragraph" w:styleId="999" w:customStyle="1">
    <w:name w:val="标题 21"/>
    <w:basedOn w:val="774"/>
    <w:next w:val="774"/>
    <w:uiPriority w:val="0"/>
    <w:qFormat/>
    <w:pPr>
      <w:keepNext/>
      <w:spacing w:before="240" w:after="60"/>
      <w:outlineLvl w:val="1"/>
    </w:pPr>
    <w:rPr>
      <w:rFonts w:ascii="Arial" w:hAnsi="Arial"/>
      <w:b/>
      <w:bCs/>
      <w:i/>
      <w:iCs/>
      <w:sz w:val="28"/>
      <w:szCs w:val="28"/>
    </w:rPr>
  </w:style>
  <w:style w:type="paragraph" w:styleId="1000" w:customStyle="1">
    <w:name w:val="标题 31"/>
    <w:basedOn w:val="998"/>
    <w:next w:val="774"/>
    <w:uiPriority w:val="0"/>
    <w:qFormat/>
    <w:pPr>
      <w:jc w:val="left"/>
      <w:spacing w:before="100" w:beforeAutospacing="1" w:after="100" w:afterAutospacing="1"/>
      <w:outlineLvl w:val="2"/>
    </w:pPr>
    <w:rPr>
      <w:rFonts w:hint="eastAsia" w:ascii="宋体" w:hAnsi="宋体"/>
      <w:b/>
      <w:bCs/>
      <w:sz w:val="27"/>
      <w:szCs w:val="27"/>
    </w:rPr>
  </w:style>
  <w:style w:type="paragraph" w:styleId="1001" w:customStyle="1">
    <w:name w:val="标题 41"/>
    <w:basedOn w:val="774"/>
    <w:next w:val="774"/>
    <w:uiPriority w:val="0"/>
    <w:qFormat/>
    <w:pPr>
      <w:keepLines/>
      <w:keepNext/>
      <w:spacing w:before="280" w:after="290" w:line="372" w:lineRule="auto"/>
      <w:outlineLvl w:val="3"/>
    </w:pPr>
    <w:rPr>
      <w:rFonts w:ascii="Cambria" w:hAnsi="Cambria"/>
      <w:b/>
      <w:bCs/>
      <w:szCs w:val="28"/>
    </w:rPr>
  </w:style>
  <w:style w:type="character" w:styleId="1002" w:customStyle="1">
    <w:name w:val="默认段落字体1"/>
    <w:uiPriority w:val="0"/>
    <w:semiHidden/>
    <w:qFormat/>
  </w:style>
  <w:style w:type="table" w:styleId="1003" w:customStyle="1">
    <w:name w:val="普通表格1"/>
    <w:uiPriority w:val="0"/>
    <w:semiHidden/>
    <w:qFormat/>
    <w:tblPr>
      <w:tblCellMar>
        <w:left w:w="0" w:type="dxa"/>
        <w:top w:w="0" w:type="dxa"/>
        <w:right w:w="0" w:type="dxa"/>
        <w:bottom w:w="0" w:type="dxa"/>
      </w:tblCellMar>
    </w:tblPr>
  </w:style>
  <w:style w:type="paragraph" w:styleId="1004" w:customStyle="1">
    <w:name w:val="批注文字1"/>
    <w:basedOn w:val="774"/>
    <w:next w:val="774"/>
    <w:uiPriority w:val="0"/>
    <w:qFormat/>
    <w:pPr>
      <w:ind w:left="0" w:firstLine="3584"/>
      <w:spacing w:line="360" w:lineRule="auto"/>
    </w:pPr>
  </w:style>
  <w:style w:type="paragraph" w:styleId="1005" w:customStyle="1">
    <w:name w:val="正文文本缩进1"/>
    <w:basedOn w:val="774"/>
    <w:uiPriority w:val="0"/>
    <w:qFormat/>
    <w:pPr>
      <w:ind w:left="420" w:firstLine="1188"/>
      <w:spacing w:line="360" w:lineRule="exact"/>
    </w:pPr>
  </w:style>
  <w:style w:type="paragraph" w:styleId="1006" w:customStyle="1">
    <w:name w:val="列表编号 31"/>
    <w:basedOn w:val="998"/>
    <w:next w:val="774"/>
    <w:uiPriority w:val="0"/>
    <w:qFormat/>
    <w:pPr>
      <w:numPr>
        <w:ilvl w:val="0"/>
        <w:numId w:val="1"/>
      </w:numPr>
    </w:pPr>
  </w:style>
  <w:style w:type="paragraph" w:styleId="1007" w:customStyle="1">
    <w:name w:val="纯文本11"/>
    <w:basedOn w:val="774"/>
    <w:uiPriority w:val="0"/>
    <w:qFormat/>
    <w:rPr>
      <w:rFonts w:hAnsi="Courier New"/>
      <w:sz w:val="21"/>
    </w:rPr>
  </w:style>
  <w:style w:type="paragraph" w:styleId="1008" w:customStyle="1">
    <w:name w:val="列表项目符号 51"/>
    <w:basedOn w:val="998"/>
    <w:next w:val="1009"/>
    <w:uiPriority w:val="0"/>
    <w:qFormat/>
    <w:pPr>
      <w:numPr>
        <w:ilvl w:val="0"/>
        <w:numId w:val="2"/>
      </w:numPr>
    </w:pPr>
  </w:style>
  <w:style w:type="paragraph" w:styleId="1009" w:customStyle="1">
    <w:name w:val="正文首行缩进1"/>
    <w:next w:val="1006"/>
    <w:uiPriority w:val="0"/>
    <w:qFormat/>
    <w:pPr>
      <w:ind w:left="420" w:firstLine="2724"/>
      <w:spacing w:after="120" w:line="360" w:lineRule="auto"/>
    </w:pPr>
    <w:rPr>
      <w:rFonts w:ascii="Calibri" w:hAnsi="Calibri" w:eastAsia="宋体" w:cs="Times New Roman"/>
      <w:lang w:val="en-US" w:eastAsia="zh-CN" w:bidi="ar-SA"/>
    </w:rPr>
  </w:style>
  <w:style w:type="paragraph" w:styleId="1010" w:customStyle="1">
    <w:name w:val="日期1"/>
    <w:basedOn w:val="998"/>
    <w:next w:val="774"/>
    <w:uiPriority w:val="0"/>
    <w:qFormat/>
    <w:pPr>
      <w:ind w:left="0" w:firstLine="2560"/>
      <w:spacing w:before="0" w:after="0" w:line="240" w:lineRule="auto"/>
    </w:pPr>
  </w:style>
  <w:style w:type="paragraph" w:styleId="1011" w:customStyle="1">
    <w:name w:val="批注框文本1"/>
    <w:basedOn w:val="774"/>
    <w:uiPriority w:val="0"/>
    <w:unhideWhenUsed/>
    <w:qFormat/>
    <w:rPr>
      <w:sz w:val="18"/>
      <w:szCs w:val="18"/>
    </w:rPr>
  </w:style>
  <w:style w:type="paragraph" w:styleId="1012" w:customStyle="1">
    <w:name w:val="页脚1"/>
    <w:basedOn w:val="998"/>
    <w:next w:val="1013"/>
    <w:uiPriority w:val="99"/>
    <w:qFormat/>
    <w:pPr>
      <w:ind w:left="0" w:firstLine="3584"/>
      <w:spacing w:before="0" w:after="0" w:line="240" w:lineRule="auto"/>
    </w:pPr>
  </w:style>
  <w:style w:type="paragraph" w:styleId="1013" w:customStyle="1">
    <w:name w:val="Char Char Char Char Char Char Char Char Char Char Char Char Char"/>
    <w:basedOn w:val="998"/>
    <w:next w:val="774"/>
    <w:uiPriority w:val="0"/>
    <w:qFormat/>
    <w:pPr>
      <w:ind w:left="0" w:firstLine="3584"/>
      <w:spacing w:before="0" w:after="160" w:line="240" w:lineRule="exact"/>
    </w:pPr>
  </w:style>
  <w:style w:type="paragraph" w:styleId="1014" w:customStyle="1">
    <w:name w:val="寄信人地址1"/>
    <w:basedOn w:val="774"/>
    <w:uiPriority w:val="99"/>
    <w:unhideWhenUsed/>
    <w:qFormat/>
    <w:rPr>
      <w:rFonts w:ascii="Arial" w:hAnsi="Arial"/>
    </w:rPr>
  </w:style>
  <w:style w:type="paragraph" w:styleId="1015" w:customStyle="1">
    <w:name w:val="页眉1"/>
    <w:basedOn w:val="998"/>
    <w:next w:val="1010"/>
    <w:uiPriority w:val="99"/>
    <w:qFormat/>
    <w:pPr>
      <w:ind w:left="0" w:firstLine="3584"/>
      <w:jc w:val="center"/>
      <w:spacing w:before="0" w:after="0" w:line="240" w:lineRule="auto"/>
      <w:pBdr>
        <w:bottom w:val="none" w:color="000000" w:sz="0" w:space="0"/>
      </w:pBdr>
    </w:pPr>
  </w:style>
  <w:style w:type="paragraph" w:styleId="1016" w:customStyle="1">
    <w:name w:val="目录 11"/>
    <w:basedOn w:val="998"/>
    <w:next w:val="774"/>
    <w:uiPriority w:val="39"/>
    <w:qFormat/>
    <w:pPr>
      <w:ind w:left="0" w:firstLine="4608"/>
      <w:spacing w:before="0" w:after="0" w:line="240" w:lineRule="auto"/>
    </w:pPr>
  </w:style>
  <w:style w:type="paragraph" w:styleId="1017" w:customStyle="1">
    <w:name w:val="目录 21"/>
    <w:basedOn w:val="774"/>
    <w:next w:val="774"/>
    <w:uiPriority w:val="0"/>
    <w:qFormat/>
    <w:pPr>
      <w:ind w:left="420"/>
    </w:pPr>
  </w:style>
  <w:style w:type="paragraph" w:styleId="1018" w:customStyle="1">
    <w:name w:val="普通(网站)1"/>
    <w:basedOn w:val="774"/>
    <w:uiPriority w:val="0"/>
    <w:qFormat/>
    <w:rPr>
      <w:sz w:val="24"/>
    </w:rPr>
  </w:style>
  <w:style w:type="paragraph" w:styleId="1019" w:customStyle="1">
    <w:name w:val="正文首行缩进 21"/>
    <w:basedOn w:val="1005"/>
    <w:next w:val="774"/>
    <w:uiPriority w:val="0"/>
    <w:qFormat/>
    <w:pPr>
      <w:ind w:firstLine="420"/>
      <w:spacing w:after="120" w:line="240" w:lineRule="auto"/>
    </w:pPr>
    <w:rPr>
      <w:rFonts w:ascii="等线"/>
      <w:sz w:val="21"/>
      <w:szCs w:val="24"/>
    </w:rPr>
  </w:style>
  <w:style w:type="table" w:styleId="1020" w:customStyle="1">
    <w:name w:val="网格型1"/>
    <w:basedOn w:val="1003"/>
    <w:uiPriority w:val="59"/>
    <w:qFormat/>
    <w:tblPr/>
  </w:style>
  <w:style w:type="character" w:styleId="1021" w:customStyle="1">
    <w:name w:val="页码1"/>
    <w:uiPriority w:val="0"/>
    <w:qFormat/>
    <w:rPr>
      <w:sz w:val="20"/>
    </w:rPr>
  </w:style>
  <w:style w:type="character" w:styleId="1022" w:customStyle="1">
    <w:name w:val="已访问的超链接1"/>
    <w:uiPriority w:val="0"/>
    <w:qFormat/>
    <w:rPr>
      <w:color w:val="333333"/>
      <w:u w:val="none"/>
    </w:rPr>
  </w:style>
  <w:style w:type="character" w:styleId="1023" w:customStyle="1">
    <w:name w:val="强调1"/>
    <w:uiPriority w:val="0"/>
    <w:qFormat/>
  </w:style>
  <w:style w:type="character" w:styleId="1024" w:customStyle="1">
    <w:name w:val="超链接1"/>
    <w:uiPriority w:val="99"/>
    <w:qFormat/>
    <w:rPr>
      <w:color w:val="333333"/>
      <w:sz w:val="20"/>
      <w:u w:val="none"/>
    </w:rPr>
  </w:style>
  <w:style w:type="paragraph" w:styleId="1025" w:customStyle="1">
    <w:name w:val="首行缩进"/>
    <w:basedOn w:val="774"/>
    <w:uiPriority w:val="0"/>
    <w:qFormat/>
    <w:pPr>
      <w:ind w:firstLine="480"/>
    </w:pPr>
    <w:rPr>
      <w:lang w:val="zh-CN"/>
    </w:rPr>
  </w:style>
  <w:style w:type="paragraph" w:styleId="1026" w:customStyle="1">
    <w:name w:val="Default"/>
    <w:next w:val="1008"/>
    <w:uiPriority w:val="0"/>
    <w:qFormat/>
    <w:pPr>
      <w:ind w:firstLine="5120"/>
      <w:widowControl w:val="off"/>
    </w:pPr>
    <w:rPr>
      <w:rFonts w:ascii="Calibri" w:hAnsi="Calibri" w:eastAsia="宋体" w:cs="Times New Roman"/>
      <w:lang w:val="en-US" w:eastAsia="zh-CN" w:bidi="ar-SA"/>
    </w:rPr>
  </w:style>
  <w:style w:type="paragraph" w:styleId="1027" w:customStyle="1">
    <w:name w:val="段"/>
    <w:next w:val="774"/>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28" w:customStyle="1">
    <w:name w:val="_Style 6"/>
    <w:basedOn w:val="998"/>
    <w:next w:val="77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29" w:customStyle="1">
    <w:name w:val="纯文本3"/>
    <w:basedOn w:val="774"/>
    <w:uiPriority w:val="0"/>
    <w:qFormat/>
    <w:rPr>
      <w:rFonts w:ascii="宋体" w:hAnsi="Courier New"/>
    </w:rPr>
  </w:style>
  <w:style w:type="character" w:styleId="1030" w:customStyle="1">
    <w:name w:val="font11"/>
    <w:uiPriority w:val="0"/>
    <w:qFormat/>
    <w:rPr>
      <w:rFonts w:ascii="Times New Roman" w:hAnsi="Times New Roman" w:cs="Times New Roman"/>
      <w:color w:val="000000"/>
      <w:sz w:val="21"/>
      <w:szCs w:val="21"/>
      <w:u w:val="none"/>
    </w:rPr>
  </w:style>
  <w:style w:type="character" w:styleId="1031" w:customStyle="1">
    <w:name w:val="font21"/>
    <w:uiPriority w:val="0"/>
    <w:qFormat/>
    <w:rPr>
      <w:rFonts w:hint="eastAsia" w:ascii="宋体" w:hAnsi="宋体" w:eastAsia="宋体" w:cs="宋体"/>
      <w:color w:val="000000"/>
      <w:sz w:val="21"/>
      <w:szCs w:val="21"/>
      <w:u w:val="none"/>
    </w:rPr>
  </w:style>
  <w:style w:type="paragraph" w:styleId="1032" w:customStyle="1">
    <w:name w:val="纯文本1"/>
    <w:basedOn w:val="774"/>
    <w:uiPriority w:val="0"/>
    <w:qFormat/>
    <w:rPr>
      <w:rFonts w:hAnsi="Courier New" w:eastAsia="楷体_GB2312"/>
      <w:sz w:val="28"/>
    </w:rPr>
  </w:style>
  <w:style w:type="character" w:styleId="1033" w:customStyle="1">
    <w:name w:val="NormalCharacter1"/>
    <w:uiPriority w:val="0"/>
    <w:semiHidden/>
    <w:qFormat/>
  </w:style>
  <w:style w:type="paragraph" w:styleId="1034" w:customStyle="1">
    <w:name w:val="NormalIndent1"/>
    <w:basedOn w:val="774"/>
    <w:uiPriority w:val="0"/>
    <w:qFormat/>
    <w:pPr>
      <w:ind w:firstLine="420"/>
      <w:jc w:val="left"/>
    </w:pPr>
    <w:rPr>
      <w:sz w:val="24"/>
    </w:rPr>
  </w:style>
  <w:style w:type="paragraph" w:styleId="1035" w:customStyle="1">
    <w:name w:val="UserStyle_34"/>
    <w:basedOn w:val="774"/>
    <w:uiPriority w:val="0"/>
    <w:qFormat/>
    <w:pPr>
      <w:ind w:firstLine="200"/>
      <w:spacing w:before="50" w:after="50" w:line="360" w:lineRule="auto"/>
    </w:pPr>
    <w:rPr>
      <w:sz w:val="24"/>
      <w:szCs w:val="24"/>
    </w:rPr>
  </w:style>
  <w:style w:type="paragraph" w:styleId="1036" w:customStyle="1">
    <w:name w:val="UserStyle_28"/>
    <w:basedOn w:val="774"/>
    <w:uiPriority w:val="0"/>
    <w:qFormat/>
    <w:pPr>
      <w:ind w:firstLine="480"/>
      <w:spacing w:line="360" w:lineRule="auto"/>
    </w:pPr>
    <w:rPr>
      <w:sz w:val="24"/>
    </w:rPr>
  </w:style>
  <w:style w:type="paragraph" w:styleId="1037" w:customStyle="1">
    <w:name w:val="Acetate1"/>
    <w:basedOn w:val="774"/>
    <w:uiPriority w:val="0"/>
    <w:semiHidden/>
    <w:qFormat/>
    <w:rPr>
      <w:sz w:val="18"/>
      <w:szCs w:val="18"/>
    </w:rPr>
  </w:style>
  <w:style w:type="paragraph" w:styleId="1038" w:customStyle="1">
    <w:name w:val="PlainText1"/>
    <w:basedOn w:val="774"/>
    <w:uiPriority w:val="0"/>
    <w:qFormat/>
    <w:rPr>
      <w:rFonts w:ascii="宋体" w:hAnsi="Courier New"/>
    </w:rPr>
  </w:style>
  <w:style w:type="paragraph" w:styleId="1039" w:customStyle="1">
    <w:name w:val="纯文本4"/>
    <w:basedOn w:val="774"/>
    <w:uiPriority w:val="0"/>
    <w:qFormat/>
    <w:pPr>
      <w:widowControl w:val="off"/>
    </w:pPr>
    <w:rPr>
      <w:rFonts w:ascii="宋体" w:hAnsi="Courier New"/>
      <w:lang w:val="zh-CN"/>
    </w:rPr>
  </w:style>
  <w:style w:type="paragraph" w:styleId="1040" w:customStyle="1">
    <w:name w:val="Andy_正文"/>
    <w:basedOn w:val="774"/>
    <w:uiPriority w:val="0"/>
    <w:qFormat/>
    <w:pPr>
      <w:ind w:firstLine="480"/>
      <w:spacing w:line="360" w:lineRule="auto"/>
      <w:widowControl w:val="off"/>
    </w:pPr>
    <w:rPr>
      <w:sz w:val="24"/>
    </w:rPr>
  </w:style>
  <w:style w:type="paragraph" w:styleId="1041" w:customStyle="1">
    <w:name w:val="WPSOffice手动目录 1"/>
    <w:uiPriority w:val="0"/>
    <w:qFormat/>
    <w:rPr>
      <w:rFonts w:ascii="Times New Roman" w:hAnsi="Times New Roman" w:eastAsia="宋体" w:cs="Times New Roman"/>
      <w:lang w:val="en-US" w:eastAsia="zh-CN" w:bidi="ar-SA"/>
    </w:rPr>
  </w:style>
  <w:style w:type="paragraph" w:styleId="1042" w:customStyle="1">
    <w:name w:val="UserStyle_62"/>
    <w:basedOn w:val="774"/>
    <w:uiPriority w:val="0"/>
    <w:qFormat/>
    <w:rPr>
      <w:rFonts w:ascii="宋体" w:hAnsi="Courier New"/>
    </w:rPr>
  </w:style>
  <w:style w:type="paragraph" w:styleId="1043" w:customStyle="1">
    <w:name w:val="Plain Text1"/>
    <w:basedOn w:val="774"/>
    <w:uiPriority w:val="0"/>
    <w:qFormat/>
    <w:pPr>
      <w:widowControl w:val="off"/>
    </w:pPr>
    <w:rPr>
      <w:rFonts w:hint="eastAsia" w:ascii="宋体" w:hAnsi="Courier New"/>
      <w:sz w:val="28"/>
    </w:rPr>
  </w:style>
  <w:style w:type="paragraph" w:styleId="1044"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character" w:styleId="1045" w:customStyle="1">
    <w:name w:val="bds_more2"/>
    <w:uiPriority w:val="0"/>
    <w:qFormat/>
    <w:rPr>
      <w:rFonts w:hint="eastAsia" w:ascii="宋体" w:hAnsi="宋体" w:eastAsia="宋体" w:cs="宋体"/>
    </w:rPr>
  </w:style>
  <w:style w:type="character" w:styleId="1046" w:customStyle="1">
    <w:name w:val="bds_more3"/>
    <w:uiPriority w:val="0"/>
    <w:qFormat/>
  </w:style>
  <w:style w:type="character" w:styleId="1047" w:customStyle="1">
    <w:name w:val="bds_more4"/>
    <w:uiPriority w:val="0"/>
    <w:qFormat/>
  </w:style>
  <w:style w:type="character" w:styleId="1048" w:customStyle="1">
    <w:name w:val="bds_nopic"/>
    <w:uiPriority w:val="0"/>
    <w:qFormat/>
  </w:style>
  <w:style w:type="character" w:styleId="1049" w:customStyle="1">
    <w:name w:val="bds_nopic1"/>
    <w:uiPriority w:val="0"/>
    <w:qFormat/>
  </w:style>
  <w:style w:type="character" w:styleId="1050" w:customStyle="1">
    <w:name w:val="bds_nopic2"/>
    <w:uiPriority w:val="0"/>
    <w:qFormat/>
  </w:style>
  <w:style w:type="character" w:styleId="1051" w:customStyle="1">
    <w:name w:val="批注框文本 字符"/>
    <w:basedOn w:val="784"/>
    <w:link w:val="793"/>
    <w:uiPriority w:val="99"/>
    <w:semiHidden/>
    <w:qFormat/>
    <w:rPr>
      <w:rFonts w:ascii="Calibri" w:hAnsi="Calibri"/>
      <w:sz w:val="18"/>
      <w:szCs w:val="18"/>
    </w:rPr>
  </w:style>
  <w:style w:type="character" w:styleId="1052" w:customStyle="1">
    <w:name w:val="要点1"/>
    <w:basedOn w:val="1002"/>
    <w:uiPriority w:val="0"/>
    <w:qFormat/>
    <w:rPr>
      <w:rFonts w:ascii="Times New Roman" w:hAnsi="Times New Roman" w:eastAsia="宋体" w:cs="Times New Roman"/>
      <w:b/>
    </w:rPr>
  </w:style>
  <w:style w:type="paragraph" w:styleId="1053" w:customStyle="1">
    <w:name w:val="正文缩进11"/>
    <w:basedOn w:val="774"/>
    <w:next w:val="774"/>
    <w:uiPriority w:val="0"/>
    <w:qFormat/>
    <w:pPr>
      <w:ind w:firstLine="420"/>
      <w:jc w:val="left"/>
    </w:pPr>
    <w:rPr>
      <w:rFonts w:eastAsia="楷体_GB2312"/>
      <w:sz w:val="24"/>
      <w:szCs w:val="20"/>
    </w:rPr>
  </w:style>
  <w:style w:type="paragraph" w:styleId="1054" w:customStyle="1">
    <w:name w:val="正文文本缩进 31"/>
    <w:basedOn w:val="774"/>
    <w:uiPriority w:val="0"/>
    <w:qFormat/>
    <w:pPr>
      <w:ind w:firstLine="617"/>
      <w:spacing w:line="360" w:lineRule="auto"/>
    </w:pPr>
    <w:rPr>
      <w:sz w:val="24"/>
      <w:szCs w:val="24"/>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蒋杰</cp:lastModifiedBy>
  <cp:revision>21</cp:revision>
  <dcterms:created xsi:type="dcterms:W3CDTF">2026-02-26T03:49:00Z</dcterms:created>
  <dcterms:modified xsi:type="dcterms:W3CDTF">2026-03-11T05:07:09Z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63523757C4434BA1A103AB5DD216CF05_13</vt:lpwstr>
  </property>
  <property fmtid="{D5CDD505-2E9C-101B-9397-08002B2CF9AE}" pid="4" name="KSOTemplateDocerSaveRecord">
    <vt:lpwstr>eyJoZGlkIjoiNzE3ZWZhOTQ2MWJmYjY5YTI3NWFmZTUxZGJjYzU1ZDIiLCJ1c2VySWQiOiIxMzk0Nzg1MjYwIn0=</vt:lpwstr>
  </property>
</Properties>
</file>