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22674"/>
    <w:p w14:paraId="7CD64641">
      <w:pPr>
        <w:rPr>
          <w:b/>
          <w:sz w:val="96"/>
          <w:szCs w:val="96"/>
        </w:rPr>
      </w:pPr>
    </w:p>
    <w:p w14:paraId="408A6EFE">
      <w:pPr>
        <w:spacing w:before="120" w:after="120" w:line="360" w:lineRule="auto"/>
        <w:jc w:val="center"/>
        <w:rPr>
          <w:b/>
          <w:sz w:val="96"/>
          <w:szCs w:val="72"/>
        </w:rPr>
      </w:pPr>
      <w:r>
        <w:rPr>
          <w:rFonts w:ascii="Arial" w:hAnsi="Arial" w:cs="Arial"/>
          <w:b/>
          <w:bCs/>
          <w:color w:val="000000"/>
          <w:sz w:val="84"/>
          <w:szCs w:val="84"/>
        </w:rPr>
        <w:t>竞争性磋商文件</w:t>
      </w:r>
    </w:p>
    <w:p w14:paraId="4FC2D152"/>
    <w:p w14:paraId="376F89AC"/>
    <w:p w14:paraId="7415D3EF"/>
    <w:p w14:paraId="260EC76D"/>
    <w:p w14:paraId="2CDC3A15">
      <w:pPr>
        <w:rPr>
          <w:rFonts w:hint="eastAsia"/>
          <w:b/>
          <w:sz w:val="44"/>
          <w:szCs w:val="44"/>
        </w:rPr>
      </w:pPr>
    </w:p>
    <w:p w14:paraId="1F2F2CD6">
      <w:pPr>
        <w:rPr>
          <w:b/>
          <w:sz w:val="44"/>
          <w:szCs w:val="44"/>
        </w:rPr>
      </w:pPr>
    </w:p>
    <w:p w14:paraId="5E8FE8A7">
      <w:pPr>
        <w:ind w:firstLine="1767"/>
        <w:rPr>
          <w:rFonts w:hint="eastAsia"/>
          <w:b/>
          <w:sz w:val="44"/>
          <w:szCs w:val="44"/>
        </w:rPr>
      </w:pPr>
    </w:p>
    <w:p w14:paraId="46937CEF">
      <w:pPr>
        <w:jc w:val="left"/>
        <w:rPr>
          <w:rFonts w:hint="eastAsia" w:eastAsia="宋体"/>
          <w:b/>
          <w:sz w:val="44"/>
          <w:szCs w:val="44"/>
          <w:lang w:eastAsia="zh-CN"/>
        </w:rPr>
      </w:pPr>
      <w:r>
        <w:rPr>
          <w:b/>
          <w:sz w:val="44"/>
          <w:szCs w:val="44"/>
        </w:rPr>
        <w:t>项目名称：</w:t>
      </w:r>
      <w:r>
        <w:rPr>
          <w:rFonts w:hint="eastAsia"/>
          <w:b/>
          <w:sz w:val="44"/>
          <w:szCs w:val="44"/>
          <w:lang w:eastAsia="zh-CN"/>
        </w:rPr>
        <w:t>常熟市2026-2027年度储备地块绿化移植和养护项目</w:t>
      </w:r>
    </w:p>
    <w:p w14:paraId="4E9AD9B2">
      <w:pPr>
        <w:jc w:val="left"/>
        <w:rPr>
          <w:rFonts w:hint="eastAsia" w:eastAsia="宋体"/>
          <w:b/>
          <w:sz w:val="44"/>
          <w:szCs w:val="44"/>
          <w:lang w:eastAsia="zh-CN"/>
        </w:rPr>
      </w:pPr>
      <w:r>
        <w:rPr>
          <w:b/>
          <w:sz w:val="44"/>
          <w:szCs w:val="44"/>
        </w:rPr>
        <w:t>项目编号</w:t>
      </w:r>
      <w:r>
        <w:rPr>
          <w:rFonts w:hint="eastAsia"/>
          <w:b/>
          <w:sz w:val="44"/>
          <w:szCs w:val="44"/>
          <w:lang w:eastAsia="zh-CN"/>
        </w:rPr>
        <w:t>：JSZC-320581-CSXC-C2026-0012</w:t>
      </w:r>
    </w:p>
    <w:p w14:paraId="54801A18">
      <w:pPr>
        <w:jc w:val="left"/>
        <w:rPr>
          <w:b/>
          <w:sz w:val="44"/>
          <w:szCs w:val="44"/>
        </w:rPr>
      </w:pPr>
      <w:r>
        <w:rPr>
          <w:b/>
          <w:sz w:val="44"/>
          <w:szCs w:val="44"/>
        </w:rPr>
        <w:t>项目属性：</w:t>
      </w:r>
      <w:r>
        <w:rPr>
          <w:rFonts w:hint="eastAsia"/>
          <w:b/>
          <w:sz w:val="44"/>
          <w:szCs w:val="44"/>
          <w:lang w:val="en-US" w:eastAsia="zh-CN"/>
        </w:rPr>
        <w:t>工程</w:t>
      </w:r>
      <w:r>
        <w:rPr>
          <w:rFonts w:hint="eastAsia"/>
          <w:b/>
          <w:sz w:val="44"/>
          <w:szCs w:val="44"/>
        </w:rPr>
        <w:t>类</w:t>
      </w:r>
      <w:r>
        <w:rPr>
          <w:b/>
          <w:sz w:val="44"/>
          <w:szCs w:val="44"/>
        </w:rPr>
        <w:t>项目</w:t>
      </w:r>
    </w:p>
    <w:p w14:paraId="1C8679A9">
      <w:pPr>
        <w:rPr>
          <w:b/>
          <w:sz w:val="44"/>
          <w:szCs w:val="44"/>
        </w:rPr>
      </w:pPr>
    </w:p>
    <w:p w14:paraId="2B1EC89B">
      <w:pPr>
        <w:rPr>
          <w:b/>
          <w:sz w:val="44"/>
          <w:szCs w:val="44"/>
        </w:rPr>
      </w:pPr>
    </w:p>
    <w:p w14:paraId="03CF16AE">
      <w:pPr>
        <w:rPr>
          <w:b/>
          <w:sz w:val="44"/>
          <w:szCs w:val="44"/>
        </w:rPr>
      </w:pPr>
    </w:p>
    <w:p w14:paraId="1B42C181">
      <w:pPr>
        <w:rPr>
          <w:rFonts w:hint="eastAsia"/>
          <w:b/>
          <w:sz w:val="44"/>
          <w:szCs w:val="44"/>
        </w:rPr>
      </w:pPr>
    </w:p>
    <w:p w14:paraId="7DADC0F2">
      <w:pPr>
        <w:pStyle w:val="19"/>
        <w:rPr>
          <w:rFonts w:hint="eastAsia"/>
        </w:rPr>
      </w:pPr>
    </w:p>
    <w:p w14:paraId="13C13992"/>
    <w:p w14:paraId="4165CDE1">
      <w:pPr>
        <w:jc w:val="center"/>
        <w:rPr>
          <w:rFonts w:hint="eastAsia"/>
          <w:b/>
          <w:sz w:val="44"/>
          <w:szCs w:val="44"/>
          <w:highlight w:val="none"/>
        </w:rPr>
      </w:pPr>
      <w:r>
        <w:rPr>
          <w:rFonts w:hint="eastAsia"/>
          <w:b/>
          <w:sz w:val="44"/>
          <w:szCs w:val="44"/>
        </w:rPr>
        <w:t>江</w:t>
      </w:r>
      <w:r>
        <w:rPr>
          <w:rFonts w:hint="eastAsia"/>
          <w:b/>
          <w:sz w:val="44"/>
          <w:szCs w:val="44"/>
          <w:highlight w:val="none"/>
        </w:rPr>
        <w:t>苏协诚工程咨询有限公司</w:t>
      </w:r>
    </w:p>
    <w:p w14:paraId="3A2DE0E2">
      <w:pPr>
        <w:jc w:val="center"/>
        <w:rPr>
          <w:rFonts w:hint="eastAsia"/>
          <w:b/>
          <w:sz w:val="44"/>
          <w:szCs w:val="44"/>
          <w:highlight w:val="none"/>
        </w:rPr>
      </w:pPr>
      <w:r>
        <w:rPr>
          <w:rFonts w:hint="eastAsia"/>
          <w:b/>
          <w:sz w:val="44"/>
          <w:szCs w:val="44"/>
          <w:highlight w:val="none"/>
          <w:lang w:eastAsia="zh-CN"/>
        </w:rPr>
        <w:t>202</w:t>
      </w:r>
      <w:r>
        <w:rPr>
          <w:rFonts w:hint="eastAsia"/>
          <w:b/>
          <w:sz w:val="44"/>
          <w:szCs w:val="44"/>
          <w:highlight w:val="none"/>
          <w:lang w:val="en-US" w:eastAsia="zh-CN"/>
        </w:rPr>
        <w:t>6</w:t>
      </w:r>
      <w:r>
        <w:rPr>
          <w:rFonts w:hint="eastAsia"/>
          <w:b/>
          <w:sz w:val="44"/>
          <w:szCs w:val="44"/>
          <w:highlight w:val="none"/>
        </w:rPr>
        <w:t>年</w:t>
      </w:r>
      <w:r>
        <w:rPr>
          <w:rFonts w:hint="eastAsia"/>
          <w:b/>
          <w:sz w:val="44"/>
          <w:szCs w:val="44"/>
          <w:highlight w:val="none"/>
          <w:lang w:val="en-US" w:eastAsia="zh-CN"/>
        </w:rPr>
        <w:t>3</w:t>
      </w:r>
      <w:r>
        <w:rPr>
          <w:rFonts w:hint="eastAsia"/>
          <w:b/>
          <w:sz w:val="44"/>
          <w:szCs w:val="44"/>
          <w:highlight w:val="none"/>
        </w:rPr>
        <w:t>月</w:t>
      </w:r>
      <w:r>
        <w:rPr>
          <w:rFonts w:hint="eastAsia"/>
          <w:b/>
          <w:sz w:val="44"/>
          <w:szCs w:val="44"/>
          <w:highlight w:val="none"/>
          <w:lang w:val="en-US" w:eastAsia="zh-CN"/>
        </w:rPr>
        <w:t>13</w:t>
      </w:r>
      <w:r>
        <w:rPr>
          <w:rFonts w:hint="eastAsia"/>
          <w:b/>
          <w:sz w:val="44"/>
          <w:szCs w:val="44"/>
          <w:highlight w:val="none"/>
        </w:rPr>
        <w:t>日</w:t>
      </w:r>
    </w:p>
    <w:p w14:paraId="0BCCCC6D">
      <w:pPr>
        <w:jc w:val="center"/>
        <w:rPr>
          <w:b/>
          <w:sz w:val="36"/>
          <w:szCs w:val="36"/>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570983E0">
      <w:pPr>
        <w:jc w:val="center"/>
        <w:rPr>
          <w:b/>
          <w:sz w:val="36"/>
          <w:szCs w:val="36"/>
        </w:rPr>
      </w:pPr>
      <w:r>
        <w:rPr>
          <w:b/>
          <w:sz w:val="36"/>
          <w:szCs w:val="36"/>
        </w:rPr>
        <w:t>目   录</w:t>
      </w:r>
    </w:p>
    <w:p w14:paraId="2A0A2B37">
      <w:pPr>
        <w:pStyle w:val="36"/>
        <w:tabs>
          <w:tab w:val="right" w:leader="dot" w:pos="9753"/>
          <w:tab w:val="clear" w:pos="9450"/>
        </w:tabs>
      </w:pPr>
      <w:r>
        <w:fldChar w:fldCharType="begin"/>
      </w:r>
      <w:r>
        <w:instrText xml:space="preserve">TOC \o "1-3" \h \u </w:instrText>
      </w:r>
      <w:r>
        <w:fldChar w:fldCharType="separate"/>
      </w:r>
      <w:r>
        <w:fldChar w:fldCharType="begin"/>
      </w:r>
      <w:r>
        <w:instrText xml:space="preserve"> HYPERLINK \l _Toc2025 </w:instrText>
      </w:r>
      <w:r>
        <w:fldChar w:fldCharType="separate"/>
      </w:r>
      <w:r>
        <w:t>第一章</w:t>
      </w:r>
      <w:r>
        <w:rPr>
          <w:rFonts w:hint="eastAsia"/>
        </w:rPr>
        <w:t xml:space="preserve">  磋商</w:t>
      </w:r>
      <w:r>
        <w:t>邀请</w:t>
      </w:r>
      <w:r>
        <w:tab/>
      </w:r>
      <w:r>
        <w:fldChar w:fldCharType="begin"/>
      </w:r>
      <w:r>
        <w:instrText xml:space="preserve"> PAGEREF _Toc2025 \h </w:instrText>
      </w:r>
      <w:r>
        <w:fldChar w:fldCharType="separate"/>
      </w:r>
      <w:r>
        <w:t>3</w:t>
      </w:r>
      <w:r>
        <w:fldChar w:fldCharType="end"/>
      </w:r>
      <w:r>
        <w:fldChar w:fldCharType="end"/>
      </w:r>
    </w:p>
    <w:p w14:paraId="288C5855">
      <w:pPr>
        <w:pStyle w:val="36"/>
        <w:tabs>
          <w:tab w:val="right" w:leader="dot" w:pos="9753"/>
          <w:tab w:val="clear" w:pos="9450"/>
        </w:tabs>
      </w:pPr>
      <w:r>
        <w:fldChar w:fldCharType="begin"/>
      </w:r>
      <w:r>
        <w:instrText xml:space="preserve"> HYPERLINK \l _Toc20882 </w:instrText>
      </w:r>
      <w:r>
        <w:fldChar w:fldCharType="separate"/>
      </w:r>
      <w:r>
        <w:t xml:space="preserve">第二章  </w:t>
      </w:r>
      <w:r>
        <w:rPr>
          <w:rFonts w:hint="eastAsia"/>
        </w:rPr>
        <w:t>供应商</w:t>
      </w:r>
      <w:r>
        <w:t>须知</w:t>
      </w:r>
      <w:r>
        <w:tab/>
      </w:r>
      <w:r>
        <w:fldChar w:fldCharType="begin"/>
      </w:r>
      <w:r>
        <w:instrText xml:space="preserve"> PAGEREF _Toc20882 \h </w:instrText>
      </w:r>
      <w:r>
        <w:fldChar w:fldCharType="separate"/>
      </w:r>
      <w:r>
        <w:t>7</w:t>
      </w:r>
      <w:r>
        <w:fldChar w:fldCharType="end"/>
      </w:r>
      <w:r>
        <w:fldChar w:fldCharType="end"/>
      </w:r>
    </w:p>
    <w:p w14:paraId="34295557">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_Toc28442 </w:instrText>
      </w:r>
      <w:r>
        <w:rPr>
          <w:rFonts w:ascii="Times New Roman" w:hAnsi="Times New Roman" w:eastAsia="宋体" w:cs="Times New Roman"/>
        </w:rPr>
        <w:fldChar w:fldCharType="separate"/>
      </w:r>
      <w:r>
        <w:rPr>
          <w:rFonts w:ascii="Times New Roman" w:hAnsi="Times New Roman" w:eastAsia="宋体" w:cs="Times New Roman"/>
        </w:rPr>
        <w:t>一、总则</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_Toc28442 \h </w:instrText>
      </w:r>
      <w:r>
        <w:rPr>
          <w:rFonts w:ascii="Times New Roman" w:hAnsi="Times New Roman" w:eastAsia="宋体" w:cs="Times New Roman"/>
        </w:rPr>
        <w:fldChar w:fldCharType="separate"/>
      </w:r>
      <w:r>
        <w:rPr>
          <w:rFonts w:ascii="Times New Roman" w:hAnsi="Times New Roman" w:eastAsia="宋体" w:cs="Times New Roman"/>
        </w:rPr>
        <w:t>7</w:t>
      </w:r>
      <w:r>
        <w:rPr>
          <w:rFonts w:ascii="Times New Roman" w:hAnsi="Times New Roman" w:eastAsia="宋体" w:cs="Times New Roman"/>
        </w:rPr>
        <w:fldChar w:fldCharType="end"/>
      </w:r>
      <w:r>
        <w:rPr>
          <w:rFonts w:ascii="Times New Roman" w:hAnsi="Times New Roman" w:eastAsia="宋体" w:cs="Times New Roman"/>
        </w:rPr>
        <w:fldChar w:fldCharType="end"/>
      </w:r>
    </w:p>
    <w:p w14:paraId="3C77DB5B">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_Toc20074 </w:instrText>
      </w:r>
      <w:r>
        <w:rPr>
          <w:rFonts w:ascii="Times New Roman" w:hAnsi="Times New Roman" w:eastAsia="宋体" w:cs="Times New Roman"/>
        </w:rPr>
        <w:fldChar w:fldCharType="separate"/>
      </w:r>
      <w:r>
        <w:rPr>
          <w:rFonts w:ascii="Times New Roman" w:hAnsi="Times New Roman" w:eastAsia="宋体" w:cs="Times New Roman"/>
        </w:rPr>
        <w:t>二、磋商文件</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_Toc20074 \h </w:instrText>
      </w:r>
      <w:r>
        <w:rPr>
          <w:rFonts w:ascii="Times New Roman" w:hAnsi="Times New Roman" w:eastAsia="宋体" w:cs="Times New Roman"/>
        </w:rPr>
        <w:fldChar w:fldCharType="separate"/>
      </w:r>
      <w:r>
        <w:rPr>
          <w:rFonts w:ascii="Times New Roman" w:hAnsi="Times New Roman" w:eastAsia="宋体" w:cs="Times New Roman"/>
        </w:rPr>
        <w:t>7</w:t>
      </w:r>
      <w:r>
        <w:rPr>
          <w:rFonts w:ascii="Times New Roman" w:hAnsi="Times New Roman" w:eastAsia="宋体" w:cs="Times New Roman"/>
        </w:rPr>
        <w:fldChar w:fldCharType="end"/>
      </w:r>
      <w:r>
        <w:rPr>
          <w:rFonts w:ascii="Times New Roman" w:hAnsi="Times New Roman" w:eastAsia="宋体" w:cs="Times New Roman"/>
        </w:rPr>
        <w:fldChar w:fldCharType="end"/>
      </w:r>
    </w:p>
    <w:p w14:paraId="0F1ABF30">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_Toc21110 </w:instrText>
      </w:r>
      <w:r>
        <w:rPr>
          <w:rFonts w:ascii="Times New Roman" w:hAnsi="Times New Roman" w:eastAsia="宋体" w:cs="Times New Roman"/>
        </w:rPr>
        <w:fldChar w:fldCharType="separate"/>
      </w:r>
      <w:r>
        <w:rPr>
          <w:rFonts w:ascii="Times New Roman" w:hAnsi="Times New Roman" w:eastAsia="宋体" w:cs="Times New Roman"/>
        </w:rPr>
        <w:t>三、响应文件的编制</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_Toc21110 \h </w:instrText>
      </w:r>
      <w:r>
        <w:rPr>
          <w:rFonts w:ascii="Times New Roman" w:hAnsi="Times New Roman" w:eastAsia="宋体" w:cs="Times New Roman"/>
        </w:rPr>
        <w:fldChar w:fldCharType="separate"/>
      </w:r>
      <w:r>
        <w:rPr>
          <w:rFonts w:ascii="Times New Roman" w:hAnsi="Times New Roman" w:eastAsia="宋体" w:cs="Times New Roman"/>
        </w:rPr>
        <w:t>8</w:t>
      </w:r>
      <w:r>
        <w:rPr>
          <w:rFonts w:ascii="Times New Roman" w:hAnsi="Times New Roman" w:eastAsia="宋体" w:cs="Times New Roman"/>
        </w:rPr>
        <w:fldChar w:fldCharType="end"/>
      </w:r>
      <w:r>
        <w:rPr>
          <w:rFonts w:ascii="Times New Roman" w:hAnsi="Times New Roman" w:eastAsia="宋体" w:cs="Times New Roman"/>
        </w:rPr>
        <w:fldChar w:fldCharType="end"/>
      </w:r>
    </w:p>
    <w:p w14:paraId="6BB10DE6">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_Toc17230 </w:instrText>
      </w:r>
      <w:r>
        <w:rPr>
          <w:rFonts w:ascii="Times New Roman" w:hAnsi="Times New Roman" w:eastAsia="宋体" w:cs="Times New Roman"/>
        </w:rPr>
        <w:fldChar w:fldCharType="separate"/>
      </w:r>
      <w:r>
        <w:rPr>
          <w:rFonts w:ascii="Times New Roman" w:hAnsi="Times New Roman" w:eastAsia="宋体" w:cs="Times New Roman"/>
        </w:rPr>
        <w:t>四、响应文件的递交</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_Toc17230 \h </w:instrText>
      </w:r>
      <w:r>
        <w:rPr>
          <w:rFonts w:ascii="Times New Roman" w:hAnsi="Times New Roman" w:eastAsia="宋体" w:cs="Times New Roman"/>
        </w:rPr>
        <w:fldChar w:fldCharType="separate"/>
      </w:r>
      <w:r>
        <w:rPr>
          <w:rFonts w:ascii="Times New Roman" w:hAnsi="Times New Roman" w:eastAsia="宋体" w:cs="Times New Roman"/>
        </w:rPr>
        <w:t>9</w:t>
      </w:r>
      <w:r>
        <w:rPr>
          <w:rFonts w:ascii="Times New Roman" w:hAnsi="Times New Roman" w:eastAsia="宋体" w:cs="Times New Roman"/>
        </w:rPr>
        <w:fldChar w:fldCharType="end"/>
      </w:r>
      <w:r>
        <w:rPr>
          <w:rFonts w:ascii="Times New Roman" w:hAnsi="Times New Roman" w:eastAsia="宋体" w:cs="Times New Roman"/>
        </w:rPr>
        <w:fldChar w:fldCharType="end"/>
      </w:r>
    </w:p>
    <w:p w14:paraId="0850AD32">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_Toc4354 </w:instrText>
      </w:r>
      <w:r>
        <w:rPr>
          <w:rFonts w:ascii="Times New Roman" w:hAnsi="Times New Roman" w:eastAsia="宋体" w:cs="Times New Roman"/>
        </w:rPr>
        <w:fldChar w:fldCharType="separate"/>
      </w:r>
      <w:r>
        <w:rPr>
          <w:rFonts w:ascii="Times New Roman" w:hAnsi="Times New Roman" w:eastAsia="宋体" w:cs="Times New Roman"/>
        </w:rPr>
        <w:t>五</w:t>
      </w:r>
      <w:r>
        <w:rPr>
          <w:rFonts w:hint="eastAsia" w:ascii="Times New Roman" w:hAnsi="Times New Roman" w:eastAsia="宋体" w:cs="Times New Roman"/>
        </w:rPr>
        <w:t>、磋商与评审</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_Toc4354 \h </w:instrText>
      </w:r>
      <w:r>
        <w:rPr>
          <w:rFonts w:ascii="Times New Roman" w:hAnsi="Times New Roman" w:eastAsia="宋体" w:cs="Times New Roman"/>
        </w:rPr>
        <w:fldChar w:fldCharType="separate"/>
      </w:r>
      <w:r>
        <w:rPr>
          <w:rFonts w:ascii="Times New Roman" w:hAnsi="Times New Roman" w:eastAsia="宋体" w:cs="Times New Roman"/>
        </w:rPr>
        <w:t>10</w:t>
      </w:r>
      <w:r>
        <w:rPr>
          <w:rFonts w:ascii="Times New Roman" w:hAnsi="Times New Roman" w:eastAsia="宋体" w:cs="Times New Roman"/>
        </w:rPr>
        <w:fldChar w:fldCharType="end"/>
      </w:r>
      <w:r>
        <w:rPr>
          <w:rFonts w:ascii="Times New Roman" w:hAnsi="Times New Roman" w:eastAsia="宋体" w:cs="Times New Roman"/>
        </w:rPr>
        <w:fldChar w:fldCharType="end"/>
      </w:r>
    </w:p>
    <w:p w14:paraId="17C46879">
      <w:pPr>
        <w:pStyle w:val="47"/>
        <w:tabs>
          <w:tab w:val="right" w:leader="dot" w:pos="9753"/>
          <w:tab w:val="clear" w:pos="9450"/>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_Toc16801 </w:instrText>
      </w:r>
      <w:r>
        <w:rPr>
          <w:rFonts w:ascii="Times New Roman" w:hAnsi="Times New Roman" w:eastAsia="宋体" w:cs="Times New Roman"/>
        </w:rPr>
        <w:fldChar w:fldCharType="separate"/>
      </w:r>
      <w:r>
        <w:rPr>
          <w:rFonts w:ascii="Times New Roman" w:hAnsi="Times New Roman" w:eastAsia="宋体" w:cs="Times New Roman"/>
        </w:rPr>
        <w:t>六、成交</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_Toc16801 \h </w:instrText>
      </w:r>
      <w:r>
        <w:rPr>
          <w:rFonts w:ascii="Times New Roman" w:hAnsi="Times New Roman" w:eastAsia="宋体" w:cs="Times New Roman"/>
        </w:rPr>
        <w:fldChar w:fldCharType="separate"/>
      </w:r>
      <w:r>
        <w:rPr>
          <w:rFonts w:ascii="Times New Roman" w:hAnsi="Times New Roman" w:eastAsia="宋体" w:cs="Times New Roman"/>
        </w:rPr>
        <w:t>15</w:t>
      </w:r>
      <w:r>
        <w:rPr>
          <w:rFonts w:ascii="Times New Roman" w:hAnsi="Times New Roman" w:eastAsia="宋体" w:cs="Times New Roman"/>
        </w:rPr>
        <w:fldChar w:fldCharType="end"/>
      </w:r>
      <w:r>
        <w:rPr>
          <w:rFonts w:ascii="Times New Roman" w:hAnsi="Times New Roman" w:eastAsia="宋体" w:cs="Times New Roman"/>
        </w:rPr>
        <w:fldChar w:fldCharType="end"/>
      </w:r>
    </w:p>
    <w:p w14:paraId="1066E6CD">
      <w:pPr>
        <w:pStyle w:val="47"/>
        <w:tabs>
          <w:tab w:val="right" w:leader="dot" w:pos="9753"/>
          <w:tab w:val="clear" w:pos="9450"/>
        </w:tabs>
      </w:pPr>
      <w:r>
        <w:rPr>
          <w:rFonts w:ascii="Times New Roman" w:hAnsi="Times New Roman" w:eastAsia="宋体" w:cs="Times New Roman"/>
        </w:rPr>
        <w:fldChar w:fldCharType="begin"/>
      </w:r>
      <w:r>
        <w:rPr>
          <w:rFonts w:ascii="Times New Roman" w:hAnsi="Times New Roman" w:eastAsia="宋体" w:cs="Times New Roman"/>
        </w:rPr>
        <w:instrText xml:space="preserve"> HYPERLINK \l _Toc13119 </w:instrText>
      </w:r>
      <w:r>
        <w:rPr>
          <w:rFonts w:ascii="Times New Roman" w:hAnsi="Times New Roman" w:eastAsia="宋体" w:cs="Times New Roman"/>
        </w:rPr>
        <w:fldChar w:fldCharType="separate"/>
      </w:r>
      <w:r>
        <w:rPr>
          <w:rFonts w:ascii="Times New Roman" w:hAnsi="Times New Roman" w:eastAsia="宋体" w:cs="Times New Roman"/>
        </w:rPr>
        <w:t>七、授予合同</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_Toc13119 \h </w:instrText>
      </w:r>
      <w:r>
        <w:rPr>
          <w:rFonts w:ascii="Times New Roman" w:hAnsi="Times New Roman" w:eastAsia="宋体" w:cs="Times New Roman"/>
        </w:rPr>
        <w:fldChar w:fldCharType="separate"/>
      </w:r>
      <w:r>
        <w:rPr>
          <w:rFonts w:ascii="Times New Roman" w:hAnsi="Times New Roman" w:eastAsia="宋体" w:cs="Times New Roman"/>
        </w:rPr>
        <w:t>16</w:t>
      </w:r>
      <w:r>
        <w:rPr>
          <w:rFonts w:ascii="Times New Roman" w:hAnsi="Times New Roman" w:eastAsia="宋体" w:cs="Times New Roman"/>
        </w:rPr>
        <w:fldChar w:fldCharType="end"/>
      </w:r>
      <w:r>
        <w:rPr>
          <w:rFonts w:ascii="Times New Roman" w:hAnsi="Times New Roman" w:eastAsia="宋体" w:cs="Times New Roman"/>
        </w:rPr>
        <w:fldChar w:fldCharType="end"/>
      </w:r>
    </w:p>
    <w:p w14:paraId="10099821">
      <w:pPr>
        <w:pStyle w:val="36"/>
        <w:tabs>
          <w:tab w:val="right" w:leader="dot" w:pos="9753"/>
          <w:tab w:val="clear" w:pos="9450"/>
        </w:tabs>
      </w:pPr>
      <w:r>
        <w:fldChar w:fldCharType="begin"/>
      </w:r>
      <w:r>
        <w:instrText xml:space="preserve"> HYPERLINK \l _Toc8676 </w:instrText>
      </w:r>
      <w:r>
        <w:fldChar w:fldCharType="separate"/>
      </w:r>
      <w:r>
        <w:rPr>
          <w:rFonts w:hint="eastAsia"/>
        </w:rPr>
        <w:t xml:space="preserve">第三章 </w:t>
      </w:r>
      <w:r>
        <w:rPr>
          <w:szCs w:val="36"/>
        </w:rPr>
        <w:t>合同</w:t>
      </w:r>
      <w:r>
        <w:rPr>
          <w:rFonts w:hint="eastAsia"/>
          <w:szCs w:val="36"/>
        </w:rPr>
        <w:t>文本</w:t>
      </w:r>
      <w:r>
        <w:tab/>
      </w:r>
      <w:r>
        <w:fldChar w:fldCharType="begin"/>
      </w:r>
      <w:r>
        <w:instrText xml:space="preserve"> PAGEREF _Toc8676 \h </w:instrText>
      </w:r>
      <w:r>
        <w:fldChar w:fldCharType="separate"/>
      </w:r>
      <w:r>
        <w:t>17</w:t>
      </w:r>
      <w:r>
        <w:fldChar w:fldCharType="end"/>
      </w:r>
      <w:r>
        <w:fldChar w:fldCharType="end"/>
      </w:r>
    </w:p>
    <w:p w14:paraId="7932778E">
      <w:pPr>
        <w:pStyle w:val="36"/>
        <w:tabs>
          <w:tab w:val="right" w:leader="dot" w:pos="9753"/>
          <w:tab w:val="clear" w:pos="9450"/>
        </w:tabs>
      </w:pPr>
      <w:r>
        <w:fldChar w:fldCharType="begin"/>
      </w:r>
      <w:r>
        <w:instrText xml:space="preserve"> HYPERLINK \l _Toc24999 </w:instrText>
      </w:r>
      <w:r>
        <w:fldChar w:fldCharType="separate"/>
      </w:r>
      <w:r>
        <w:rPr>
          <w:szCs w:val="22"/>
        </w:rPr>
        <w:t xml:space="preserve">第四章  </w:t>
      </w:r>
      <w:r>
        <w:rPr>
          <w:rFonts w:hint="eastAsia"/>
          <w:szCs w:val="22"/>
        </w:rPr>
        <w:t>采购需求</w:t>
      </w:r>
      <w:r>
        <w:tab/>
      </w:r>
      <w:r>
        <w:fldChar w:fldCharType="begin"/>
      </w:r>
      <w:r>
        <w:instrText xml:space="preserve"> PAGEREF _Toc24999 \h </w:instrText>
      </w:r>
      <w:r>
        <w:fldChar w:fldCharType="separate"/>
      </w:r>
      <w:r>
        <w:t>22</w:t>
      </w:r>
      <w:r>
        <w:fldChar w:fldCharType="end"/>
      </w:r>
      <w:r>
        <w:fldChar w:fldCharType="end"/>
      </w:r>
    </w:p>
    <w:p w14:paraId="5212837E">
      <w:pPr>
        <w:pStyle w:val="36"/>
        <w:tabs>
          <w:tab w:val="right" w:leader="dot" w:pos="9753"/>
          <w:tab w:val="clear" w:pos="9450"/>
        </w:tabs>
      </w:pPr>
      <w:r>
        <w:fldChar w:fldCharType="begin"/>
      </w:r>
      <w:r>
        <w:instrText xml:space="preserve"> HYPERLINK \l _Toc15548 </w:instrText>
      </w:r>
      <w:r>
        <w:fldChar w:fldCharType="separate"/>
      </w:r>
      <w:r>
        <w:rPr>
          <w:szCs w:val="22"/>
        </w:rPr>
        <w:t>第</w:t>
      </w:r>
      <w:r>
        <w:rPr>
          <w:rFonts w:hint="eastAsia"/>
          <w:szCs w:val="22"/>
        </w:rPr>
        <w:t>五</w:t>
      </w:r>
      <w:r>
        <w:rPr>
          <w:szCs w:val="22"/>
        </w:rPr>
        <w:t xml:space="preserve">章  </w:t>
      </w:r>
      <w:r>
        <w:rPr>
          <w:rFonts w:hint="eastAsia"/>
          <w:bCs/>
          <w:szCs w:val="22"/>
        </w:rPr>
        <w:t>评审方法与评审标准</w:t>
      </w:r>
      <w:r>
        <w:tab/>
      </w:r>
      <w:r>
        <w:fldChar w:fldCharType="begin"/>
      </w:r>
      <w:r>
        <w:instrText xml:space="preserve"> PAGEREF _Toc15548 \h </w:instrText>
      </w:r>
      <w:r>
        <w:fldChar w:fldCharType="separate"/>
      </w:r>
      <w:r>
        <w:t>28</w:t>
      </w:r>
      <w:r>
        <w:fldChar w:fldCharType="end"/>
      </w:r>
      <w:r>
        <w:fldChar w:fldCharType="end"/>
      </w:r>
    </w:p>
    <w:p w14:paraId="721E234C">
      <w:pPr>
        <w:pStyle w:val="36"/>
        <w:tabs>
          <w:tab w:val="right" w:leader="dot" w:pos="9753"/>
          <w:tab w:val="clear" w:pos="9450"/>
        </w:tabs>
      </w:pPr>
      <w:r>
        <w:fldChar w:fldCharType="begin"/>
      </w:r>
      <w:r>
        <w:instrText xml:space="preserve"> HYPERLINK \l _Toc25617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_Toc25617 \h </w:instrText>
      </w:r>
      <w:r>
        <w:fldChar w:fldCharType="separate"/>
      </w:r>
      <w:r>
        <w:t>33</w:t>
      </w:r>
      <w:r>
        <w:fldChar w:fldCharType="end"/>
      </w:r>
      <w:r>
        <w:fldChar w:fldCharType="end"/>
      </w:r>
    </w:p>
    <w:p w14:paraId="0650DE5A">
      <w:pPr>
        <w:pStyle w:val="47"/>
        <w:tabs>
          <w:tab w:val="right" w:leader="dot" w:pos="9753"/>
          <w:tab w:val="clear" w:pos="9450"/>
        </w:tabs>
      </w:pPr>
      <w:r>
        <w:fldChar w:fldCharType="begin"/>
      </w:r>
      <w:r>
        <w:instrText xml:space="preserve"> HYPERLINK \l _Toc27972 </w:instrText>
      </w:r>
      <w:r>
        <w:fldChar w:fldCharType="separate"/>
      </w:r>
      <w:r>
        <w:rPr>
          <w:rFonts w:hint="eastAsia"/>
          <w:szCs w:val="24"/>
        </w:rPr>
        <w:t>附件1 报价一览表</w:t>
      </w:r>
      <w:r>
        <w:tab/>
      </w:r>
      <w:r>
        <w:fldChar w:fldCharType="begin"/>
      </w:r>
      <w:r>
        <w:instrText xml:space="preserve"> PAGEREF _Toc27972 \h </w:instrText>
      </w:r>
      <w:r>
        <w:fldChar w:fldCharType="separate"/>
      </w:r>
      <w:r>
        <w:t>35</w:t>
      </w:r>
      <w:r>
        <w:fldChar w:fldCharType="end"/>
      </w:r>
      <w:r>
        <w:fldChar w:fldCharType="end"/>
      </w:r>
    </w:p>
    <w:p w14:paraId="78DD43EA">
      <w:pPr>
        <w:pStyle w:val="47"/>
        <w:tabs>
          <w:tab w:val="right" w:leader="dot" w:pos="9753"/>
          <w:tab w:val="clear" w:pos="9450"/>
        </w:tabs>
      </w:pPr>
      <w:r>
        <w:fldChar w:fldCharType="begin"/>
      </w:r>
      <w:r>
        <w:instrText xml:space="preserve"> HYPERLINK \l _Toc6475 </w:instrText>
      </w:r>
      <w:r>
        <w:fldChar w:fldCharType="separate"/>
      </w:r>
      <w:r>
        <w:rPr>
          <w:rFonts w:hint="eastAsia"/>
          <w:szCs w:val="24"/>
        </w:rPr>
        <w:t>附件</w:t>
      </w:r>
      <w:r>
        <w:rPr>
          <w:rFonts w:hint="eastAsia"/>
          <w:szCs w:val="24"/>
          <w:lang w:val="en-US" w:eastAsia="zh-CN"/>
        </w:rPr>
        <w:t>2</w:t>
      </w:r>
      <w:r>
        <w:rPr>
          <w:rFonts w:hint="eastAsia"/>
          <w:szCs w:val="24"/>
        </w:rPr>
        <w:t xml:space="preserve"> 具备履行合同所必需的设备和专业技术能力的书面声明</w:t>
      </w:r>
      <w:r>
        <w:tab/>
      </w:r>
      <w:r>
        <w:fldChar w:fldCharType="begin"/>
      </w:r>
      <w:r>
        <w:instrText xml:space="preserve"> PAGEREF _Toc6475 \h </w:instrText>
      </w:r>
      <w:r>
        <w:fldChar w:fldCharType="separate"/>
      </w:r>
      <w:r>
        <w:t>36</w:t>
      </w:r>
      <w:r>
        <w:fldChar w:fldCharType="end"/>
      </w:r>
      <w:r>
        <w:fldChar w:fldCharType="end"/>
      </w:r>
    </w:p>
    <w:p w14:paraId="18C5FD1D">
      <w:pPr>
        <w:pStyle w:val="47"/>
        <w:tabs>
          <w:tab w:val="right" w:leader="dot" w:pos="9753"/>
          <w:tab w:val="clear" w:pos="9450"/>
        </w:tabs>
      </w:pPr>
      <w:r>
        <w:fldChar w:fldCharType="begin"/>
      </w:r>
      <w:r>
        <w:instrText xml:space="preserve"> HYPERLINK \l _Toc11969 </w:instrText>
      </w:r>
      <w:r>
        <w:fldChar w:fldCharType="separate"/>
      </w:r>
      <w:r>
        <w:rPr>
          <w:rFonts w:hint="eastAsia"/>
          <w:szCs w:val="24"/>
        </w:rPr>
        <w:t>附件</w:t>
      </w:r>
      <w:r>
        <w:rPr>
          <w:rFonts w:hint="eastAsia"/>
          <w:szCs w:val="24"/>
          <w:lang w:val="en-US" w:eastAsia="zh-CN"/>
        </w:rPr>
        <w:t>3</w:t>
      </w:r>
      <w:r>
        <w:rPr>
          <w:szCs w:val="24"/>
        </w:rPr>
        <w:t xml:space="preserve"> </w:t>
      </w:r>
      <w:r>
        <w:rPr>
          <w:rFonts w:hint="eastAsia"/>
          <w:szCs w:val="24"/>
        </w:rPr>
        <w:t>参加政府采购活动前 3 年内在经营活动中没有重大违法记录的书面声明</w:t>
      </w:r>
      <w:r>
        <w:tab/>
      </w:r>
      <w:r>
        <w:fldChar w:fldCharType="begin"/>
      </w:r>
      <w:r>
        <w:instrText xml:space="preserve"> PAGEREF _Toc11969 \h </w:instrText>
      </w:r>
      <w:r>
        <w:fldChar w:fldCharType="separate"/>
      </w:r>
      <w:r>
        <w:t>37</w:t>
      </w:r>
      <w:r>
        <w:fldChar w:fldCharType="end"/>
      </w:r>
      <w:r>
        <w:fldChar w:fldCharType="end"/>
      </w:r>
    </w:p>
    <w:p w14:paraId="74E56666">
      <w:pPr>
        <w:pStyle w:val="47"/>
        <w:tabs>
          <w:tab w:val="right" w:leader="dot" w:pos="9753"/>
          <w:tab w:val="clear" w:pos="9450"/>
        </w:tabs>
      </w:pPr>
      <w:r>
        <w:fldChar w:fldCharType="begin"/>
      </w:r>
      <w:r>
        <w:instrText xml:space="preserve"> HYPERLINK \l _Toc4203 </w:instrText>
      </w:r>
      <w:r>
        <w:fldChar w:fldCharType="separate"/>
      </w:r>
      <w:r>
        <w:rPr>
          <w:rFonts w:hint="eastAsia"/>
          <w:szCs w:val="24"/>
        </w:rPr>
        <w:t>附件</w:t>
      </w:r>
      <w:r>
        <w:rPr>
          <w:rFonts w:hint="eastAsia"/>
          <w:szCs w:val="24"/>
          <w:lang w:val="en-US" w:eastAsia="zh-CN"/>
        </w:rPr>
        <w:t>4</w:t>
      </w:r>
      <w:r>
        <w:rPr>
          <w:szCs w:val="24"/>
        </w:rPr>
        <w:t xml:space="preserve"> </w:t>
      </w:r>
      <w:r>
        <w:rPr>
          <w:rFonts w:hint="eastAsia"/>
          <w:szCs w:val="24"/>
        </w:rPr>
        <w:t>法人授权书</w:t>
      </w:r>
      <w:r>
        <w:tab/>
      </w:r>
      <w:r>
        <w:fldChar w:fldCharType="begin"/>
      </w:r>
      <w:r>
        <w:instrText xml:space="preserve"> PAGEREF _Toc4203 \h </w:instrText>
      </w:r>
      <w:r>
        <w:fldChar w:fldCharType="separate"/>
      </w:r>
      <w:r>
        <w:t>38</w:t>
      </w:r>
      <w:r>
        <w:fldChar w:fldCharType="end"/>
      </w:r>
      <w:r>
        <w:fldChar w:fldCharType="end"/>
      </w:r>
    </w:p>
    <w:p w14:paraId="6DE29034">
      <w:pPr>
        <w:pStyle w:val="47"/>
        <w:tabs>
          <w:tab w:val="right" w:leader="dot" w:pos="9753"/>
          <w:tab w:val="clear" w:pos="9450"/>
        </w:tabs>
      </w:pPr>
      <w:r>
        <w:fldChar w:fldCharType="begin"/>
      </w:r>
      <w:r>
        <w:instrText xml:space="preserve"> HYPERLINK \l _Toc31034 </w:instrText>
      </w:r>
      <w:r>
        <w:fldChar w:fldCharType="separate"/>
      </w:r>
      <w:r>
        <w:rPr>
          <w:rFonts w:hint="eastAsia"/>
          <w:szCs w:val="24"/>
        </w:rPr>
        <w:t>附件</w:t>
      </w:r>
      <w:r>
        <w:rPr>
          <w:rFonts w:hint="eastAsia"/>
          <w:szCs w:val="24"/>
          <w:lang w:val="en-US" w:eastAsia="zh-CN"/>
        </w:rPr>
        <w:t>5</w:t>
      </w:r>
      <w:r>
        <w:rPr>
          <w:rFonts w:hint="eastAsia"/>
          <w:szCs w:val="24"/>
        </w:rPr>
        <w:t xml:space="preserve"> 磋商响应</w:t>
      </w:r>
      <w:r>
        <w:rPr>
          <w:szCs w:val="24"/>
        </w:rPr>
        <w:t>函</w:t>
      </w:r>
      <w:r>
        <w:tab/>
      </w:r>
      <w:r>
        <w:fldChar w:fldCharType="begin"/>
      </w:r>
      <w:r>
        <w:instrText xml:space="preserve"> PAGEREF _Toc31034 \h </w:instrText>
      </w:r>
      <w:r>
        <w:fldChar w:fldCharType="separate"/>
      </w:r>
      <w:r>
        <w:t>39</w:t>
      </w:r>
      <w:r>
        <w:fldChar w:fldCharType="end"/>
      </w:r>
      <w:r>
        <w:fldChar w:fldCharType="end"/>
      </w:r>
    </w:p>
    <w:p w14:paraId="39F4C91C">
      <w:pPr>
        <w:pStyle w:val="47"/>
        <w:tabs>
          <w:tab w:val="right" w:leader="dot" w:pos="9753"/>
          <w:tab w:val="clear" w:pos="9450"/>
        </w:tabs>
      </w:pPr>
      <w:r>
        <w:fldChar w:fldCharType="begin"/>
      </w:r>
      <w:r>
        <w:instrText xml:space="preserve"> HYPERLINK \l _Toc31131 </w:instrText>
      </w:r>
      <w:r>
        <w:fldChar w:fldCharType="separate"/>
      </w:r>
      <w:r>
        <w:rPr>
          <w:rFonts w:hint="eastAsia"/>
          <w:szCs w:val="24"/>
        </w:rPr>
        <w:t>附件</w:t>
      </w:r>
      <w:r>
        <w:rPr>
          <w:rFonts w:hint="eastAsia"/>
          <w:szCs w:val="24"/>
          <w:lang w:val="en-US" w:eastAsia="zh-CN"/>
        </w:rPr>
        <w:t>6</w:t>
      </w:r>
      <w:r>
        <w:rPr>
          <w:rFonts w:hint="eastAsia"/>
          <w:szCs w:val="24"/>
        </w:rPr>
        <w:t xml:space="preserve"> 中小企业声明函</w:t>
      </w:r>
      <w:r>
        <w:tab/>
      </w:r>
      <w:r>
        <w:fldChar w:fldCharType="begin"/>
      </w:r>
      <w:r>
        <w:instrText xml:space="preserve"> PAGEREF _Toc31131 \h </w:instrText>
      </w:r>
      <w:r>
        <w:fldChar w:fldCharType="separate"/>
      </w:r>
      <w:r>
        <w:t>40</w:t>
      </w:r>
      <w:r>
        <w:fldChar w:fldCharType="end"/>
      </w:r>
      <w:r>
        <w:fldChar w:fldCharType="end"/>
      </w:r>
    </w:p>
    <w:p w14:paraId="0F54B3E1">
      <w:pPr>
        <w:pStyle w:val="47"/>
        <w:tabs>
          <w:tab w:val="right" w:leader="dot" w:pos="9753"/>
          <w:tab w:val="clear" w:pos="9450"/>
        </w:tabs>
      </w:pPr>
      <w:r>
        <w:fldChar w:fldCharType="begin"/>
      </w:r>
      <w:r>
        <w:instrText xml:space="preserve"> HYPERLINK \l _Toc23420 </w:instrText>
      </w:r>
      <w:r>
        <w:fldChar w:fldCharType="separate"/>
      </w:r>
      <w:r>
        <w:rPr>
          <w:rFonts w:hint="eastAsia"/>
          <w:szCs w:val="24"/>
        </w:rPr>
        <w:t>附件</w:t>
      </w:r>
      <w:r>
        <w:rPr>
          <w:rFonts w:hint="eastAsia"/>
          <w:szCs w:val="24"/>
          <w:lang w:val="en-US" w:eastAsia="zh-CN"/>
        </w:rPr>
        <w:t>7</w:t>
      </w:r>
      <w:r>
        <w:rPr>
          <w:rFonts w:hint="eastAsia"/>
          <w:szCs w:val="24"/>
        </w:rPr>
        <w:t xml:space="preserve"> 残疾人福利性单位声明函</w:t>
      </w:r>
      <w:r>
        <w:tab/>
      </w:r>
      <w:r>
        <w:fldChar w:fldCharType="begin"/>
      </w:r>
      <w:r>
        <w:instrText xml:space="preserve"> PAGEREF _Toc23420 \h </w:instrText>
      </w:r>
      <w:r>
        <w:fldChar w:fldCharType="separate"/>
      </w:r>
      <w:r>
        <w:t>41</w:t>
      </w:r>
      <w:r>
        <w:fldChar w:fldCharType="end"/>
      </w:r>
      <w:r>
        <w:fldChar w:fldCharType="end"/>
      </w:r>
    </w:p>
    <w:p w14:paraId="4C0089C1">
      <w:pPr>
        <w:pStyle w:val="47"/>
        <w:tabs>
          <w:tab w:val="right" w:leader="dot" w:pos="9753"/>
          <w:tab w:val="clear" w:pos="9450"/>
        </w:tabs>
      </w:pPr>
      <w:r>
        <w:fldChar w:fldCharType="begin"/>
      </w:r>
      <w:r>
        <w:instrText xml:space="preserve"> HYPERLINK \l _Toc4730 </w:instrText>
      </w:r>
      <w:r>
        <w:fldChar w:fldCharType="separate"/>
      </w:r>
      <w:r>
        <w:rPr>
          <w:rFonts w:hint="eastAsia" w:ascii="Times New Roman" w:hAnsi="Times New Roman"/>
          <w:bCs/>
          <w:szCs w:val="28"/>
        </w:rPr>
        <w:t>附件</w:t>
      </w:r>
      <w:r>
        <w:rPr>
          <w:rFonts w:hint="eastAsia"/>
          <w:bCs/>
          <w:szCs w:val="28"/>
          <w:lang w:val="en-US" w:eastAsia="zh-CN"/>
        </w:rPr>
        <w:t>8</w:t>
      </w:r>
      <w:r>
        <w:rPr>
          <w:rFonts w:hint="eastAsia" w:ascii="Times New Roman" w:hAnsi="Times New Roman"/>
          <w:bCs/>
          <w:szCs w:val="28"/>
        </w:rPr>
        <w:t xml:space="preserve"> 实质性要求响应及偏离表</w:t>
      </w:r>
      <w:r>
        <w:tab/>
      </w:r>
      <w:r>
        <w:fldChar w:fldCharType="begin"/>
      </w:r>
      <w:r>
        <w:instrText xml:space="preserve"> PAGEREF _Toc4730 \h </w:instrText>
      </w:r>
      <w:r>
        <w:fldChar w:fldCharType="separate"/>
      </w:r>
      <w:r>
        <w:t>42</w:t>
      </w:r>
      <w:r>
        <w:fldChar w:fldCharType="end"/>
      </w:r>
      <w:r>
        <w:fldChar w:fldCharType="end"/>
      </w:r>
    </w:p>
    <w:p w14:paraId="21DA187A">
      <w:pPr>
        <w:pStyle w:val="47"/>
        <w:tabs>
          <w:tab w:val="right" w:leader="dot" w:pos="9753"/>
          <w:tab w:val="clear" w:pos="9450"/>
        </w:tabs>
      </w:pPr>
      <w:r>
        <w:fldChar w:fldCharType="begin"/>
      </w:r>
      <w:r>
        <w:instrText xml:space="preserve"> HYPERLINK \l _Toc1682 </w:instrText>
      </w:r>
      <w:r>
        <w:fldChar w:fldCharType="separate"/>
      </w:r>
      <w:r>
        <w:rPr>
          <w:rFonts w:hint="eastAsia"/>
          <w:szCs w:val="24"/>
        </w:rPr>
        <w:t>附件</w:t>
      </w:r>
      <w:r>
        <w:rPr>
          <w:rFonts w:hint="eastAsia"/>
          <w:szCs w:val="24"/>
          <w:lang w:val="en-US" w:eastAsia="zh-CN"/>
        </w:rPr>
        <w:t xml:space="preserve">9 </w:t>
      </w:r>
      <w:r>
        <w:rPr>
          <w:rFonts w:hint="eastAsia"/>
          <w:szCs w:val="24"/>
        </w:rPr>
        <w:t>项目实施方案</w:t>
      </w:r>
      <w:r>
        <w:tab/>
      </w:r>
      <w:r>
        <w:fldChar w:fldCharType="begin"/>
      </w:r>
      <w:r>
        <w:instrText xml:space="preserve"> PAGEREF _Toc1682 \h </w:instrText>
      </w:r>
      <w:r>
        <w:fldChar w:fldCharType="separate"/>
      </w:r>
      <w:r>
        <w:t>44</w:t>
      </w:r>
      <w:r>
        <w:fldChar w:fldCharType="end"/>
      </w:r>
      <w:r>
        <w:fldChar w:fldCharType="end"/>
      </w:r>
    </w:p>
    <w:p w14:paraId="35D297A0">
      <w:pPr>
        <w:pStyle w:val="47"/>
        <w:tabs>
          <w:tab w:val="right" w:leader="dot" w:pos="9753"/>
          <w:tab w:val="clear" w:pos="9450"/>
        </w:tabs>
      </w:pPr>
      <w:r>
        <w:fldChar w:fldCharType="begin"/>
      </w:r>
      <w:r>
        <w:instrText xml:space="preserve"> HYPERLINK \l _Toc4672 </w:instrText>
      </w:r>
      <w:r>
        <w:fldChar w:fldCharType="separate"/>
      </w:r>
      <w:r>
        <w:rPr>
          <w:rFonts w:hint="eastAsia"/>
          <w:szCs w:val="24"/>
        </w:rPr>
        <w:t>附件</w:t>
      </w:r>
      <w:r>
        <w:rPr>
          <w:rFonts w:hint="eastAsia"/>
          <w:szCs w:val="24"/>
          <w:lang w:val="en-US" w:eastAsia="zh-CN"/>
        </w:rPr>
        <w:t>10</w:t>
      </w:r>
      <w:r>
        <w:rPr>
          <w:rFonts w:hint="eastAsia"/>
          <w:szCs w:val="24"/>
        </w:rPr>
        <w:t xml:space="preserve"> </w:t>
      </w:r>
      <w:r>
        <w:rPr>
          <w:szCs w:val="24"/>
        </w:rPr>
        <w:t>业绩一览表</w:t>
      </w:r>
      <w:r>
        <w:tab/>
      </w:r>
      <w:r>
        <w:fldChar w:fldCharType="begin"/>
      </w:r>
      <w:r>
        <w:instrText xml:space="preserve"> PAGEREF _Toc4672 \h </w:instrText>
      </w:r>
      <w:r>
        <w:fldChar w:fldCharType="separate"/>
      </w:r>
      <w:r>
        <w:t>45</w:t>
      </w:r>
      <w:r>
        <w:fldChar w:fldCharType="end"/>
      </w:r>
      <w:r>
        <w:fldChar w:fldCharType="end"/>
      </w:r>
    </w:p>
    <w:p w14:paraId="5F684231">
      <w:pPr>
        <w:pStyle w:val="47"/>
        <w:tabs>
          <w:tab w:val="right" w:leader="dot" w:pos="9753"/>
          <w:tab w:val="clear" w:pos="9450"/>
        </w:tabs>
      </w:pPr>
      <w:r>
        <w:fldChar w:fldCharType="begin"/>
      </w:r>
      <w:r>
        <w:instrText xml:space="preserve"> HYPERLINK \l _Toc24003 </w:instrText>
      </w:r>
      <w:r>
        <w:fldChar w:fldCharType="separate"/>
      </w:r>
      <w:r>
        <w:rPr>
          <w:rFonts w:hint="eastAsia" w:ascii="Times New Roman" w:hAnsi="Times New Roman" w:eastAsia="宋体" w:cs="Times New Roman"/>
          <w:szCs w:val="24"/>
        </w:rPr>
        <w:t>附件1</w:t>
      </w:r>
      <w:r>
        <w:rPr>
          <w:rFonts w:hint="eastAsia" w:ascii="Times New Roman" w:hAnsi="Times New Roman" w:eastAsia="宋体" w:cs="Times New Roman"/>
          <w:szCs w:val="24"/>
          <w:lang w:val="en-US" w:eastAsia="zh-CN"/>
        </w:rPr>
        <w:t>1</w:t>
      </w:r>
      <w:r>
        <w:rPr>
          <w:rFonts w:hint="eastAsia" w:ascii="Times New Roman" w:hAnsi="Times New Roman" w:eastAsia="宋体" w:cs="Times New Roman"/>
          <w:szCs w:val="24"/>
        </w:rPr>
        <w:t xml:space="preserve"> 商务条件响应表</w:t>
      </w:r>
      <w:r>
        <w:tab/>
      </w:r>
      <w:r>
        <w:fldChar w:fldCharType="begin"/>
      </w:r>
      <w:r>
        <w:instrText xml:space="preserve"> PAGEREF _Toc24003 \h </w:instrText>
      </w:r>
      <w:r>
        <w:fldChar w:fldCharType="separate"/>
      </w:r>
      <w:r>
        <w:t>46</w:t>
      </w:r>
      <w:r>
        <w:fldChar w:fldCharType="end"/>
      </w:r>
      <w:r>
        <w:fldChar w:fldCharType="end"/>
      </w:r>
    </w:p>
    <w:p w14:paraId="46FA9BF1">
      <w:pPr>
        <w:pStyle w:val="47"/>
        <w:tabs>
          <w:tab w:val="right" w:leader="dot" w:pos="9753"/>
          <w:tab w:val="clear" w:pos="9450"/>
        </w:tabs>
      </w:pPr>
      <w:r>
        <w:fldChar w:fldCharType="begin"/>
      </w:r>
      <w:r>
        <w:instrText xml:space="preserve"> HYPERLINK \l _Toc31815 </w:instrText>
      </w:r>
      <w:r>
        <w:fldChar w:fldCharType="separate"/>
      </w:r>
      <w:r>
        <w:rPr>
          <w:rFonts w:hint="eastAsia" w:ascii="Times New Roman" w:hAnsi="Times New Roman" w:eastAsia="宋体" w:cs="Times New Roman"/>
          <w:szCs w:val="24"/>
        </w:rPr>
        <w:t>附件12 人员配备情况</w:t>
      </w:r>
      <w:r>
        <w:tab/>
      </w:r>
      <w:r>
        <w:fldChar w:fldCharType="begin"/>
      </w:r>
      <w:r>
        <w:instrText xml:space="preserve"> PAGEREF _Toc31815 \h </w:instrText>
      </w:r>
      <w:r>
        <w:fldChar w:fldCharType="separate"/>
      </w:r>
      <w:r>
        <w:t>47</w:t>
      </w:r>
      <w:r>
        <w:fldChar w:fldCharType="end"/>
      </w:r>
      <w:r>
        <w:fldChar w:fldCharType="end"/>
      </w:r>
    </w:p>
    <w:p w14:paraId="64B62897">
      <w:pPr>
        <w:pStyle w:val="47"/>
        <w:tabs>
          <w:tab w:val="right" w:leader="dot" w:pos="9753"/>
          <w:tab w:val="clear" w:pos="9450"/>
        </w:tabs>
      </w:pPr>
      <w:r>
        <w:fldChar w:fldCharType="begin"/>
      </w:r>
      <w:r>
        <w:instrText xml:space="preserve"> HYPERLINK \l _Toc30593 </w:instrText>
      </w:r>
      <w:r>
        <w:fldChar w:fldCharType="separate"/>
      </w:r>
      <w:r>
        <w:rPr>
          <w:rFonts w:hint="eastAsia" w:ascii="Times New Roman" w:hAnsi="Times New Roman" w:eastAsia="宋体" w:cs="Times New Roman"/>
          <w:szCs w:val="24"/>
        </w:rPr>
        <w:t>附件1</w:t>
      </w:r>
      <w:r>
        <w:rPr>
          <w:rFonts w:hint="eastAsia" w:ascii="Times New Roman" w:hAnsi="Times New Roman" w:eastAsia="宋体" w:cs="Times New Roman"/>
          <w:szCs w:val="24"/>
          <w:lang w:val="en-US" w:eastAsia="zh-CN"/>
        </w:rPr>
        <w:t>3</w:t>
      </w:r>
      <w:r>
        <w:rPr>
          <w:rFonts w:hint="eastAsia" w:ascii="Times New Roman" w:hAnsi="Times New Roman" w:eastAsia="宋体" w:cs="Times New Roman"/>
          <w:szCs w:val="24"/>
        </w:rPr>
        <w:t>保险购买承诺函</w:t>
      </w:r>
      <w:r>
        <w:tab/>
      </w:r>
      <w:r>
        <w:fldChar w:fldCharType="begin"/>
      </w:r>
      <w:r>
        <w:instrText xml:space="preserve"> PAGEREF _Toc30593 \h </w:instrText>
      </w:r>
      <w:r>
        <w:fldChar w:fldCharType="separate"/>
      </w:r>
      <w:r>
        <w:t>48</w:t>
      </w:r>
      <w:r>
        <w:fldChar w:fldCharType="end"/>
      </w:r>
      <w:r>
        <w:fldChar w:fldCharType="end"/>
      </w:r>
    </w:p>
    <w:p w14:paraId="18D54EC7">
      <w:pPr>
        <w:ind w:left="525"/>
        <w:rPr>
          <w:rFonts w:hint="eastAsia"/>
        </w:rPr>
      </w:pPr>
      <w:r>
        <w:fldChar w:fldCharType="end"/>
      </w:r>
    </w:p>
    <w:p w14:paraId="78F85BF9">
      <w:pPr>
        <w:pStyle w:val="2"/>
        <w:rPr>
          <w:rFonts w:hint="eastAsia"/>
        </w:rPr>
      </w:pPr>
      <w:r>
        <w:rPr/>
        <w:br w:type="page" w:clear="all"/>
      </w:r>
      <w:bookmarkStart w:id="0" w:name="_Toc2025"/>
      <w:bookmarkStart w:id="1" w:name="_Toc159312646"/>
      <w:bookmarkStart w:id="2" w:name="_Toc103080641"/>
      <w:r>
        <w:t>第一章</w:t>
      </w:r>
      <w:r>
        <w:rPr>
          <w:rFonts w:hint="eastAsia"/>
        </w:rPr>
        <w:t xml:space="preserve">  磋商</w:t>
      </w:r>
      <w:r>
        <w:t>邀请</w:t>
      </w:r>
      <w:bookmarkEnd w:id="0"/>
      <w:bookmarkEnd w:id="1"/>
      <w:bookmarkEnd w:id="2"/>
    </w:p>
    <w:p w14:paraId="5D7961A0">
      <w:pPr>
        <w:widowControl/>
        <w:spacing w:line="440" w:lineRule="exact"/>
        <w:ind w:firstLine="480"/>
        <w:rPr>
          <w:rFonts w:hint="eastAsia"/>
          <w:sz w:val="24"/>
          <w:szCs w:val="24"/>
        </w:rPr>
      </w:pPr>
      <w:r>
        <w:rPr>
          <w:rFonts w:hint="eastAsia"/>
          <w:sz w:val="24"/>
          <w:szCs w:val="24"/>
        </w:rPr>
        <w:t>受</w:t>
      </w:r>
      <w:r>
        <w:rPr>
          <w:rFonts w:hint="eastAsia"/>
          <w:sz w:val="24"/>
          <w:szCs w:val="24"/>
          <w:lang w:eastAsia="zh-CN"/>
        </w:rPr>
        <w:t>常熟市自然资源和规划局</w:t>
      </w:r>
      <w:r>
        <w:rPr>
          <w:rFonts w:hint="eastAsia"/>
          <w:sz w:val="24"/>
          <w:szCs w:val="24"/>
        </w:rPr>
        <w:t>的委托，</w:t>
      </w:r>
      <w:r>
        <w:rPr>
          <w:sz w:val="24"/>
          <w:szCs w:val="24"/>
        </w:rPr>
        <w:t>江苏协诚工程咨询有限公司</w:t>
      </w:r>
      <w:r>
        <w:rPr>
          <w:rFonts w:hint="eastAsia"/>
          <w:sz w:val="24"/>
          <w:szCs w:val="24"/>
        </w:rPr>
        <w:t>就</w:t>
      </w:r>
      <w:r>
        <w:rPr>
          <w:rFonts w:hint="eastAsia" w:cs="Segoe UI Symbol"/>
          <w:sz w:val="24"/>
          <w:szCs w:val="24"/>
          <w:lang w:eastAsia="zh-CN"/>
        </w:rPr>
        <w:t>常熟市2026-2027年度储备地块绿化移植和养护项目</w:t>
      </w:r>
      <w:r>
        <w:rPr>
          <w:rFonts w:hint="eastAsia"/>
          <w:sz w:val="24"/>
          <w:szCs w:val="24"/>
        </w:rPr>
        <w:t>(</w:t>
      </w:r>
      <w:r>
        <w:rPr>
          <w:rFonts w:hint="eastAsia"/>
          <w:sz w:val="24"/>
          <w:szCs w:val="24"/>
          <w:lang w:eastAsia="zh-CN"/>
        </w:rPr>
        <w:t>JSZC-320581-CSXC-C2026-0012</w:t>
      </w:r>
      <w:r>
        <w:rPr>
          <w:rFonts w:hint="eastAsia"/>
          <w:sz w:val="24"/>
          <w:szCs w:val="24"/>
        </w:rPr>
        <w:t>)项目进行竞争性磋商采购，欢迎符合条件的供应商参加磋商。</w:t>
      </w:r>
    </w:p>
    <w:p w14:paraId="0AE17FD8">
      <w:pPr>
        <w:pBdr>
          <w:top w:val="single" w:color="auto" w:sz="4" w:space="1"/>
          <w:left w:val="single" w:color="auto" w:sz="4" w:space="0"/>
          <w:bottom w:val="single" w:color="auto" w:sz="4" w:space="1"/>
          <w:right w:val="single" w:color="auto" w:sz="4" w:space="4"/>
        </w:pBdr>
        <w:spacing w:line="440" w:lineRule="exact"/>
        <w:rPr>
          <w:rFonts w:hint="eastAsia"/>
          <w:b/>
          <w:sz w:val="24"/>
          <w:szCs w:val="24"/>
        </w:rPr>
      </w:pPr>
      <w:r>
        <w:rPr>
          <w:rFonts w:hint="eastAsia"/>
          <w:b/>
          <w:sz w:val="24"/>
          <w:szCs w:val="24"/>
        </w:rPr>
        <w:t>项目概况</w:t>
      </w:r>
    </w:p>
    <w:p w14:paraId="4146DA59">
      <w:pPr>
        <w:pBdr>
          <w:top w:val="single" w:color="auto" w:sz="4" w:space="1"/>
          <w:left w:val="single" w:color="auto" w:sz="4" w:space="0"/>
          <w:bottom w:val="single" w:color="auto" w:sz="4" w:space="1"/>
          <w:right w:val="single" w:color="auto" w:sz="4" w:space="4"/>
        </w:pBdr>
        <w:spacing w:line="440" w:lineRule="exact"/>
        <w:ind w:firstLine="480"/>
        <w:rPr>
          <w:rFonts w:hint="eastAsia"/>
          <w:sz w:val="24"/>
          <w:szCs w:val="24"/>
        </w:rPr>
      </w:pPr>
      <w:r>
        <w:rPr>
          <w:rFonts w:hint="eastAsia" w:cs="Segoe UI Symbol"/>
          <w:sz w:val="24"/>
          <w:szCs w:val="24"/>
          <w:u w:val="single"/>
          <w:lang w:eastAsia="zh-CN"/>
        </w:rPr>
        <w:t>常熟市2026-2027年度储备地块绿化移植和养护项目</w:t>
      </w:r>
      <w:r>
        <w:rPr>
          <w:rFonts w:hint="eastAsia"/>
          <w:sz w:val="24"/>
          <w:szCs w:val="24"/>
        </w:rPr>
        <w:t>采购项目的潜在供应商应在“苏采云政府采购一体化平台”中参与项目获取采购文件，并于</w:t>
      </w:r>
      <w:r>
        <w:rPr>
          <w:rFonts w:hint="eastAsia"/>
          <w:sz w:val="24"/>
          <w:szCs w:val="24"/>
          <w:u w:val="single"/>
          <w:lang w:eastAsia="zh-CN"/>
        </w:rPr>
        <w:t>202</w:t>
      </w:r>
      <w:r>
        <w:rPr>
          <w:rFonts w:hint="eastAsia"/>
          <w:sz w:val="24"/>
          <w:szCs w:val="24"/>
          <w:u w:val="single"/>
          <w:lang w:val="en-US" w:eastAsia="zh-CN"/>
        </w:rPr>
        <w:t>6</w:t>
      </w:r>
      <w:r>
        <w:rPr>
          <w:rFonts w:hint="eastAsia"/>
          <w:sz w:val="24"/>
          <w:szCs w:val="24"/>
          <w:u w:val="single"/>
        </w:rPr>
        <w:t>年</w:t>
      </w:r>
      <w:r>
        <w:rPr>
          <w:rFonts w:hint="eastAsia"/>
          <w:sz w:val="24"/>
          <w:szCs w:val="24"/>
          <w:u w:val="single"/>
          <w:lang w:val="en-US" w:eastAsia="zh-CN"/>
        </w:rPr>
        <w:t>3</w:t>
      </w:r>
      <w:r>
        <w:rPr>
          <w:sz w:val="24"/>
          <w:u w:val="single"/>
        </w:rPr>
        <w:t>月</w:t>
      </w:r>
      <w:r>
        <w:rPr>
          <w:rFonts w:hint="eastAsia"/>
          <w:sz w:val="24"/>
          <w:u w:val="single"/>
          <w:lang w:val="en-US" w:eastAsia="zh-CN"/>
        </w:rPr>
        <w:t>24</w:t>
      </w:r>
      <w:r>
        <w:rPr>
          <w:sz w:val="24"/>
          <w:u w:val="single"/>
        </w:rPr>
        <w:t>日</w:t>
      </w:r>
      <w:r>
        <w:rPr>
          <w:rFonts w:hint="eastAsia"/>
          <w:sz w:val="24"/>
          <w:szCs w:val="24"/>
          <w:u w:val="single"/>
          <w:lang w:val="en-US" w:eastAsia="zh-CN"/>
        </w:rPr>
        <w:t>9</w:t>
      </w:r>
      <w:r>
        <w:rPr>
          <w:rFonts w:hint="eastAsia"/>
          <w:sz w:val="24"/>
          <w:szCs w:val="24"/>
          <w:u w:val="single"/>
        </w:rPr>
        <w:t>点00分</w:t>
      </w:r>
      <w:r>
        <w:rPr>
          <w:rFonts w:hint="eastAsia"/>
          <w:sz w:val="24"/>
          <w:szCs w:val="24"/>
        </w:rPr>
        <w:t>（北京时间）前按规定提交响应</w:t>
      </w:r>
      <w:r>
        <w:rPr>
          <w:sz w:val="24"/>
          <w:szCs w:val="24"/>
        </w:rPr>
        <w:t>文件</w:t>
      </w:r>
      <w:r>
        <w:rPr>
          <w:rFonts w:hint="eastAsia"/>
          <w:sz w:val="24"/>
          <w:szCs w:val="24"/>
        </w:rPr>
        <w:t>。</w:t>
      </w:r>
    </w:p>
    <w:p w14:paraId="1C3DFF89">
      <w:pPr>
        <w:spacing w:line="440" w:lineRule="exact"/>
        <w:rPr>
          <w:rFonts w:hint="eastAsia"/>
          <w:b/>
          <w:sz w:val="24"/>
          <w:szCs w:val="24"/>
        </w:rPr>
      </w:pPr>
      <w:r>
        <w:rPr>
          <w:b/>
          <w:sz w:val="24"/>
          <w:szCs w:val="24"/>
        </w:rPr>
        <w:t>一、项目</w:t>
      </w:r>
      <w:r>
        <w:rPr>
          <w:rFonts w:hint="eastAsia"/>
          <w:b/>
          <w:sz w:val="24"/>
          <w:szCs w:val="24"/>
        </w:rPr>
        <w:t>基本情况</w:t>
      </w:r>
    </w:p>
    <w:p w14:paraId="3E32EC82">
      <w:pPr>
        <w:spacing w:line="440" w:lineRule="exact"/>
        <w:ind w:firstLine="480"/>
        <w:rPr>
          <w:rFonts w:hint="eastAsia" w:eastAsia="宋体"/>
          <w:sz w:val="24"/>
          <w:szCs w:val="24"/>
          <w:lang w:eastAsia="zh-CN"/>
        </w:rPr>
      </w:pPr>
      <w:r>
        <w:rPr>
          <w:sz w:val="24"/>
          <w:szCs w:val="24"/>
        </w:rPr>
        <w:t>项目名称：</w:t>
      </w:r>
      <w:r>
        <w:rPr>
          <w:rFonts w:hint="eastAsia" w:cs="Segoe UI Symbol"/>
          <w:sz w:val="24"/>
          <w:szCs w:val="24"/>
          <w:lang w:eastAsia="zh-CN"/>
        </w:rPr>
        <w:t>常熟市2026-2027年度储备地块绿化移植和养护项目</w:t>
      </w:r>
    </w:p>
    <w:p w14:paraId="658D45BA">
      <w:pPr>
        <w:spacing w:line="440" w:lineRule="exact"/>
        <w:ind w:firstLine="480"/>
        <w:rPr>
          <w:rFonts w:hint="eastAsia" w:eastAsia="宋体"/>
          <w:sz w:val="24"/>
          <w:szCs w:val="24"/>
          <w:lang w:eastAsia="zh-CN"/>
        </w:rPr>
      </w:pPr>
      <w:r>
        <w:rPr>
          <w:sz w:val="24"/>
          <w:szCs w:val="24"/>
        </w:rPr>
        <w:t>项目编号：</w:t>
      </w:r>
      <w:bookmarkStart w:id="116" w:name="_GoBack"/>
      <w:r>
        <w:rPr>
          <w:rFonts w:hint="eastAsia"/>
          <w:sz w:val="24"/>
          <w:szCs w:val="24"/>
          <w:lang w:eastAsia="zh-CN"/>
        </w:rPr>
        <w:t>JSZC-320581-CSXC-C2026-0012</w:t>
      </w:r>
      <w:bookmarkEnd w:id="116"/>
    </w:p>
    <w:p w14:paraId="17460CE2">
      <w:pPr>
        <w:spacing w:line="440" w:lineRule="exact"/>
        <w:ind w:firstLine="480"/>
        <w:rPr>
          <w:sz w:val="24"/>
          <w:szCs w:val="24"/>
          <w:highlight w:val="none"/>
        </w:rPr>
      </w:pPr>
      <w:r>
        <w:rPr>
          <w:rFonts w:hint="eastAsia"/>
          <w:sz w:val="24"/>
          <w:szCs w:val="24"/>
          <w:highlight w:val="none"/>
        </w:rPr>
        <w:t>采购方式：竞争性磋商</w:t>
      </w:r>
    </w:p>
    <w:p w14:paraId="78B308A3">
      <w:pPr>
        <w:spacing w:line="440" w:lineRule="exact"/>
        <w:ind w:firstLine="480"/>
        <w:rPr>
          <w:rFonts w:hint="eastAsia"/>
          <w:sz w:val="24"/>
          <w:szCs w:val="24"/>
          <w:highlight w:val="none"/>
        </w:rPr>
      </w:pPr>
      <w:r>
        <w:rPr>
          <w:rFonts w:hint="eastAsia"/>
          <w:sz w:val="24"/>
          <w:szCs w:val="24"/>
          <w:highlight w:val="none"/>
        </w:rPr>
        <w:t>预算金额：人民币</w:t>
      </w:r>
      <w:r>
        <w:rPr>
          <w:rFonts w:hint="eastAsia"/>
          <w:sz w:val="24"/>
          <w:szCs w:val="24"/>
          <w:highlight w:val="none"/>
          <w:lang w:val="en-US" w:eastAsia="zh-CN"/>
        </w:rPr>
        <w:t>2500000</w:t>
      </w:r>
      <w:r>
        <w:rPr>
          <w:rFonts w:hint="eastAsia"/>
          <w:sz w:val="24"/>
          <w:szCs w:val="24"/>
          <w:highlight w:val="none"/>
        </w:rPr>
        <w:t>.00元整。</w:t>
      </w:r>
    </w:p>
    <w:p w14:paraId="1299F254">
      <w:pPr>
        <w:spacing w:line="440" w:lineRule="exact"/>
        <w:ind w:firstLine="480"/>
        <w:rPr>
          <w:rFonts w:hint="eastAsia"/>
          <w:sz w:val="24"/>
          <w:szCs w:val="24"/>
          <w:highlight w:val="none"/>
        </w:rPr>
      </w:pPr>
      <w:r>
        <w:rPr>
          <w:rFonts w:hint="eastAsia"/>
          <w:sz w:val="24"/>
          <w:szCs w:val="24"/>
          <w:highlight w:val="none"/>
        </w:rPr>
        <w:t>采购需求：</w:t>
      </w:r>
      <w:r>
        <w:rPr>
          <w:rFonts w:hint="eastAsia"/>
          <w:sz w:val="24"/>
          <w:szCs w:val="24"/>
          <w:highlight w:val="none"/>
          <w:lang w:eastAsia="zh-CN"/>
        </w:rPr>
        <w:t>常熟市自然资源和规划局</w:t>
      </w:r>
      <w:r>
        <w:rPr>
          <w:rFonts w:hint="eastAsia"/>
          <w:sz w:val="24"/>
          <w:szCs w:val="24"/>
          <w:highlight w:val="none"/>
        </w:rPr>
        <w:t>所需的</w:t>
      </w:r>
      <w:r>
        <w:rPr>
          <w:rFonts w:hint="eastAsia"/>
          <w:sz w:val="24"/>
          <w:szCs w:val="24"/>
          <w:highlight w:val="none"/>
          <w:lang w:eastAsia="zh-CN"/>
        </w:rPr>
        <w:t>常熟市2026-2027年度储备地块绿化移植和养护项目</w:t>
      </w:r>
      <w:r>
        <w:rPr>
          <w:rFonts w:hint="eastAsia"/>
          <w:sz w:val="24"/>
          <w:szCs w:val="24"/>
          <w:highlight w:val="none"/>
        </w:rPr>
        <w:t>。</w:t>
      </w:r>
    </w:p>
    <w:p w14:paraId="683D5A4B">
      <w:pPr>
        <w:spacing w:line="440" w:lineRule="exact"/>
        <w:ind w:firstLine="480"/>
        <w:rPr>
          <w:rFonts w:hint="eastAsia"/>
          <w:sz w:val="24"/>
          <w:szCs w:val="24"/>
          <w:highlight w:val="none"/>
        </w:rPr>
      </w:pPr>
      <w:r>
        <w:rPr>
          <w:rFonts w:hint="eastAsia"/>
          <w:sz w:val="24"/>
          <w:szCs w:val="24"/>
          <w:highlight w:val="none"/>
        </w:rPr>
        <w:t>合同履行期限：</w:t>
      </w:r>
      <w:r>
        <w:rPr>
          <w:rFonts w:hint="eastAsia"/>
          <w:sz w:val="24"/>
          <w:szCs w:val="24"/>
          <w:highlight w:val="none"/>
          <w:lang w:val="en-US" w:eastAsia="zh-CN"/>
        </w:rPr>
        <w:t>绿化移植服务期限为自合同签订之日起两年，绿化养护服务期限为项目竣工之日起五年。</w:t>
      </w:r>
    </w:p>
    <w:p w14:paraId="3899BA6B">
      <w:pPr>
        <w:spacing w:line="440" w:lineRule="exact"/>
        <w:ind w:firstLine="480"/>
        <w:rPr>
          <w:rFonts w:hint="eastAsia"/>
          <w:sz w:val="24"/>
          <w:szCs w:val="24"/>
        </w:rPr>
      </w:pPr>
      <w:r>
        <w:rPr>
          <w:rFonts w:hint="eastAsia"/>
          <w:sz w:val="24"/>
          <w:szCs w:val="24"/>
        </w:rPr>
        <w:t>本项目不接受联合体投标。</w:t>
      </w:r>
    </w:p>
    <w:p w14:paraId="057A317B">
      <w:pPr>
        <w:spacing w:line="440" w:lineRule="exact"/>
        <w:rPr>
          <w:rFonts w:hint="eastAsia"/>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3976E51D">
      <w:pPr>
        <w:spacing w:line="440" w:lineRule="exact"/>
        <w:ind w:firstLine="480"/>
        <w:rPr>
          <w:rFonts w:hint="eastAsia"/>
          <w:color w:val="333333"/>
          <w:sz w:val="24"/>
          <w:szCs w:val="24"/>
        </w:rPr>
      </w:pPr>
      <w:r>
        <w:rPr>
          <w:color w:val="333333"/>
          <w:sz w:val="24"/>
          <w:szCs w:val="24"/>
        </w:rPr>
        <w:t>1、</w:t>
      </w:r>
      <w:r>
        <w:rPr>
          <w:rFonts w:hint="eastAsia"/>
          <w:color w:val="333333"/>
          <w:sz w:val="24"/>
          <w:szCs w:val="24"/>
        </w:rPr>
        <w:t>满足《中华人民共和国政府采购法》第二十二条规定：</w:t>
      </w:r>
    </w:p>
    <w:p w14:paraId="0CEAADDA">
      <w:pPr>
        <w:spacing w:line="440" w:lineRule="exact"/>
        <w:ind w:firstLine="480"/>
        <w:rPr>
          <w:rFonts w:hint="eastAsia"/>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50FEF677">
      <w:pPr>
        <w:spacing w:line="440" w:lineRule="exact"/>
        <w:ind w:firstLine="480"/>
        <w:rPr>
          <w:rFonts w:hint="eastAsia"/>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4C8C90FC">
      <w:pPr>
        <w:spacing w:line="440" w:lineRule="exact"/>
        <w:ind w:firstLine="480"/>
        <w:rPr>
          <w:rFonts w:hint="eastAsia"/>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229F5C9A">
      <w:pPr>
        <w:spacing w:line="440" w:lineRule="exact"/>
        <w:ind w:firstLine="480"/>
        <w:rPr>
          <w:rFonts w:hint="eastAsia"/>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57D74EF9">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6D773AE2">
      <w:pPr>
        <w:spacing w:line="440" w:lineRule="exact"/>
        <w:ind w:firstLine="482"/>
        <w:rPr>
          <w:rFonts w:hint="eastAsia"/>
          <w:sz w:val="24"/>
          <w:szCs w:val="24"/>
          <w:highlight w:val="none"/>
        </w:rPr>
      </w:pPr>
      <w:r>
        <w:rPr>
          <w:rFonts w:hint="eastAsia" w:cs="宋体"/>
          <w:sz w:val="24"/>
          <w:szCs w:val="24"/>
        </w:rPr>
        <w:t>2、</w:t>
      </w:r>
      <w:r>
        <w:rPr>
          <w:rFonts w:hint="eastAsia"/>
          <w:sz w:val="24"/>
          <w:szCs w:val="24"/>
        </w:rPr>
        <w:t>落实政府采购政策需满足的资格要求：本项目专门面向中小企业采购，所属行业为建筑业，响应文件中须提供《中小企业声明函》（注：对残疾人福利性单位、监狱企业视同小型、微型企业，但须按要求提供有关声明函或证明文件）。</w:t>
      </w:r>
    </w:p>
    <w:p w14:paraId="3A81DB6E">
      <w:pPr>
        <w:keepNext w:val="0"/>
        <w:keepLines w:val="0"/>
        <w:pageBreakBefore w:val="0"/>
        <w:numPr>
          <w:ilvl w:val="0"/>
          <w:numId w:val="0"/>
        </w:numPr>
        <w:spacing w:line="440" w:lineRule="exact"/>
        <w:ind w:firstLine="482"/>
        <w:rPr>
          <w:rFonts w:hint="eastAsia"/>
          <w:sz w:val="24"/>
          <w:szCs w:val="24"/>
          <w:highlight w:val="none"/>
        </w:rPr>
      </w:pPr>
      <w:r>
        <w:rPr>
          <w:rFonts w:hint="default" w:cs="宋体"/>
          <w:sz w:val="24"/>
          <w:szCs w:val="24"/>
          <w:lang w:val="en-US" w:eastAsia="zh-CN"/>
        </w:rPr>
        <w:t>3</w:t>
      </w:r>
      <w:r>
        <w:rPr>
          <w:rFonts w:hint="default" w:ascii="Times New Roman" w:hAnsi="Times New Roman" w:eastAsia="宋体" w:cs="Times New Roman"/>
          <w:sz w:val="21"/>
          <w:lang w:val="en-US" w:eastAsia="zh-CN" w:bidi="ar-SA"/>
        </w:rPr>
        <w:t>、</w:t>
      </w:r>
      <w:r>
        <w:rPr>
          <w:rFonts w:hint="eastAsia"/>
          <w:sz w:val="24"/>
          <w:szCs w:val="24"/>
          <w:highlight w:val="none"/>
        </w:rPr>
        <w:t>本项目的特定资格要求：</w:t>
      </w:r>
    </w:p>
    <w:p w14:paraId="7AB3B950">
      <w:pPr>
        <w:keepNext w:val="0"/>
        <w:keepLines w:val="0"/>
        <w:pageBreakBefore w:val="0"/>
        <w:numPr>
          <w:ilvl w:val="0"/>
          <w:numId w:val="0"/>
        </w:numPr>
        <w:spacing w:line="440" w:lineRule="exact"/>
        <w:ind w:firstLine="482"/>
        <w:rPr>
          <w:rFonts w:hint="eastAsia"/>
          <w:sz w:val="24"/>
          <w:szCs w:val="24"/>
          <w:highlight w:val="none"/>
          <w:lang w:val="en-US" w:eastAsia="zh-CN"/>
        </w:rPr>
      </w:pPr>
      <w:r>
        <w:rPr>
          <w:rFonts w:hint="eastAsia"/>
          <w:sz w:val="24"/>
          <w:szCs w:val="24"/>
          <w:highlight w:val="none"/>
          <w:lang w:val="en-US" w:eastAsia="zh-CN"/>
        </w:rPr>
        <w:t xml:space="preserve"> 3.1项目负责人必须满足下列条件：</w:t>
      </w:r>
    </w:p>
    <w:p w14:paraId="6025898B">
      <w:pPr>
        <w:keepNext w:val="0"/>
        <w:keepLines w:val="0"/>
        <w:pageBreakBefore w:val="0"/>
        <w:numPr>
          <w:ilvl w:val="0"/>
          <w:numId w:val="0"/>
        </w:numPr>
        <w:spacing w:line="440" w:lineRule="exact"/>
        <w:ind w:firstLine="482"/>
        <w:rPr>
          <w:rFonts w:hint="eastAsia"/>
          <w:sz w:val="24"/>
          <w:szCs w:val="24"/>
          <w:highlight w:val="none"/>
          <w:lang w:val="en-US" w:eastAsia="zh-CN"/>
        </w:rPr>
      </w:pPr>
      <w:r>
        <w:rPr>
          <w:rFonts w:hint="eastAsia"/>
          <w:sz w:val="24"/>
          <w:szCs w:val="24"/>
          <w:highlight w:val="none"/>
          <w:lang w:val="en-US" w:eastAsia="zh-CN"/>
        </w:rPr>
        <w:t>（1）项目负责人具备绿化相关中级或以上工程师职称；</w:t>
      </w:r>
    </w:p>
    <w:p w14:paraId="432C6CB7">
      <w:pPr>
        <w:keepNext w:val="0"/>
        <w:keepLines w:val="0"/>
        <w:pageBreakBefore w:val="0"/>
        <w:numPr>
          <w:ilvl w:val="0"/>
          <w:numId w:val="0"/>
        </w:numPr>
        <w:spacing w:line="440" w:lineRule="exact"/>
        <w:ind w:firstLine="482"/>
        <w:rPr>
          <w:rFonts w:hint="eastAsia"/>
          <w:sz w:val="24"/>
          <w:szCs w:val="24"/>
          <w:highlight w:val="none"/>
          <w:lang w:val="en-US" w:eastAsia="zh-CN"/>
        </w:rPr>
      </w:pPr>
      <w:r>
        <w:rPr>
          <w:rFonts w:hint="eastAsia"/>
          <w:sz w:val="24"/>
          <w:szCs w:val="24"/>
          <w:highlight w:val="none"/>
          <w:lang w:val="en-US" w:eastAsia="zh-CN"/>
        </w:rPr>
        <w:t>（2）项目负责人不得同时在两个或者两个以上单位受聘或者执业；</w:t>
      </w:r>
    </w:p>
    <w:p w14:paraId="3C63EFD5">
      <w:pPr>
        <w:keepNext w:val="0"/>
        <w:keepLines w:val="0"/>
        <w:pageBreakBefore w:val="0"/>
        <w:numPr>
          <w:ilvl w:val="0"/>
          <w:numId w:val="0"/>
        </w:numPr>
        <w:spacing w:line="440" w:lineRule="exact"/>
        <w:ind w:firstLine="482"/>
        <w:rPr>
          <w:rFonts w:hint="eastAsia"/>
          <w:sz w:val="24"/>
          <w:szCs w:val="24"/>
          <w:highlight w:val="none"/>
          <w:lang w:val="en-US" w:eastAsia="zh-CN"/>
        </w:rPr>
      </w:pPr>
      <w:r>
        <w:rPr>
          <w:rFonts w:hint="eastAsia"/>
          <w:sz w:val="24"/>
          <w:szCs w:val="24"/>
          <w:highlight w:val="none"/>
          <w:lang w:val="en-US" w:eastAsia="zh-CN"/>
        </w:rPr>
        <w:t>（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4AB22C9">
      <w:pPr>
        <w:keepNext w:val="0"/>
        <w:keepLines w:val="0"/>
        <w:pageBreakBefore w:val="0"/>
        <w:numPr>
          <w:ilvl w:val="0"/>
          <w:numId w:val="0"/>
        </w:numPr>
        <w:spacing w:line="440" w:lineRule="exact"/>
        <w:ind w:firstLine="482"/>
        <w:rPr>
          <w:rFonts w:hint="eastAsia"/>
          <w:sz w:val="24"/>
          <w:szCs w:val="24"/>
          <w:highlight w:val="none"/>
          <w:lang w:val="en-US" w:eastAsia="zh-CN"/>
        </w:rPr>
      </w:pPr>
      <w:r>
        <w:rPr>
          <w:rFonts w:hint="eastAsia"/>
          <w:sz w:val="24"/>
          <w:szCs w:val="24"/>
          <w:highlight w:val="none"/>
          <w:lang w:val="en-US" w:eastAsia="zh-CN"/>
        </w:rPr>
        <w:t>（4）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p>
    <w:p w14:paraId="2319CC23">
      <w:pPr>
        <w:keepNext w:val="0"/>
        <w:keepLines w:val="0"/>
        <w:pageBreakBefore w:val="0"/>
        <w:numPr>
          <w:ilvl w:val="0"/>
          <w:numId w:val="0"/>
        </w:numPr>
        <w:spacing w:line="440" w:lineRule="exact"/>
        <w:ind w:firstLine="482"/>
        <w:rPr>
          <w:rFonts w:hint="default" w:eastAsia="宋体"/>
          <w:sz w:val="24"/>
          <w:szCs w:val="24"/>
          <w:highlight w:val="none"/>
          <w:lang w:val="en-US" w:eastAsia="zh-CN"/>
        </w:rPr>
      </w:pPr>
      <w:r>
        <w:rPr>
          <w:rFonts w:hint="eastAsia"/>
          <w:sz w:val="24"/>
          <w:szCs w:val="24"/>
          <w:highlight w:val="none"/>
          <w:lang w:val="en-US" w:eastAsia="zh-CN"/>
        </w:rPr>
        <w:t>（5）项目负责人无行贿犯罪行为记录；或有行贿犯罪行为记录，但自记录之日起至本项目采购公告之日已超过5年的。</w:t>
      </w:r>
    </w:p>
    <w:p w14:paraId="5753EF88">
      <w:pPr>
        <w:spacing w:line="440" w:lineRule="exact"/>
        <w:rPr>
          <w:b/>
          <w:sz w:val="24"/>
          <w:szCs w:val="24"/>
        </w:rPr>
      </w:pPr>
      <w:r>
        <w:rPr>
          <w:rFonts w:hint="eastAsia"/>
          <w:b/>
          <w:sz w:val="24"/>
          <w:szCs w:val="24"/>
        </w:rPr>
        <w:t>三</w:t>
      </w:r>
      <w:r>
        <w:rPr>
          <w:b/>
          <w:sz w:val="24"/>
          <w:szCs w:val="24"/>
        </w:rPr>
        <w:t>、</w:t>
      </w:r>
      <w:r>
        <w:rPr>
          <w:rFonts w:hint="eastAsia"/>
          <w:b/>
          <w:sz w:val="24"/>
          <w:szCs w:val="24"/>
        </w:rPr>
        <w:t>获取采购文件</w:t>
      </w:r>
    </w:p>
    <w:p w14:paraId="3654C3A0">
      <w:pPr>
        <w:spacing w:line="460" w:lineRule="exact"/>
        <w:ind w:firstLine="480"/>
        <w:rPr>
          <w:rFonts w:ascii="宋体" w:hAnsi="宋体" w:cs="宋体"/>
          <w:b/>
          <w:bCs/>
          <w:color w:val="000000"/>
          <w:sz w:val="24"/>
          <w:szCs w:val="24"/>
        </w:rPr>
      </w:pPr>
      <w:r>
        <w:rPr>
          <w:rFonts w:hint="eastAsia" w:ascii="宋体" w:hAnsi="宋体" w:cs="宋体"/>
          <w:sz w:val="24"/>
          <w:szCs w:val="24"/>
        </w:rPr>
        <w:t>1、时间：自磋商文件公告发布之日起五个工作日。</w:t>
      </w:r>
    </w:p>
    <w:p w14:paraId="0878F76B">
      <w:pPr>
        <w:spacing w:line="440" w:lineRule="exact"/>
        <w:ind w:firstLine="480"/>
        <w:rPr>
          <w:sz w:val="24"/>
          <w:szCs w:val="24"/>
        </w:rPr>
      </w:pPr>
      <w:r>
        <w:rPr>
          <w:sz w:val="24"/>
          <w:szCs w:val="24"/>
        </w:rPr>
        <w:t>2</w:t>
      </w:r>
      <w:r>
        <w:rPr>
          <w:rFonts w:hint="eastAsia"/>
          <w:sz w:val="24"/>
          <w:szCs w:val="24"/>
        </w:rPr>
        <w:t>、方式：在“苏采云政府采购一体化平台”自行免费下载磋商文件。</w:t>
      </w:r>
    </w:p>
    <w:p w14:paraId="522738BF">
      <w:pPr>
        <w:spacing w:line="440" w:lineRule="exact"/>
        <w:ind w:firstLine="480"/>
        <w:rPr>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证书登陆“苏采云”系统后选择具体项目，点击“我要参与”并签章提交《投标供应商确认函》，提交《投标供应商确认函》日期视同为依法获取磋商文件日期。对《投标供应商确认函》供应商应予打印保留。</w:t>
      </w:r>
    </w:p>
    <w:p w14:paraId="6492EF60">
      <w:pPr>
        <w:spacing w:line="440" w:lineRule="exact"/>
        <w:ind w:firstLine="480"/>
        <w:rPr>
          <w:sz w:val="24"/>
          <w:szCs w:val="24"/>
        </w:rPr>
      </w:pPr>
      <w:r>
        <w:rPr>
          <w:rFonts w:hint="eastAsia"/>
          <w:sz w:val="24"/>
          <w:szCs w:val="24"/>
        </w:rPr>
        <w:t>（</w:t>
      </w:r>
      <w:r>
        <w:rPr>
          <w:sz w:val="24"/>
          <w:szCs w:val="24"/>
        </w:rPr>
        <w:t>2</w:t>
      </w:r>
      <w:r>
        <w:rPr>
          <w:rFonts w:hint="eastAsia"/>
          <w:sz w:val="24"/>
          <w:szCs w:val="24"/>
        </w:rPr>
        <w:t>）电子投标准备：供应商在“苏采云”系统中操作成功参与项目后，必须在“已参与项目”界面中下载电子磋商文件（后缀名为“</w:t>
      </w:r>
      <w:r>
        <w:rPr>
          <w:sz w:val="24"/>
          <w:szCs w:val="24"/>
        </w:rPr>
        <w:t>.kedt</w:t>
      </w:r>
      <w:r>
        <w:rPr>
          <w:rFonts w:hint="eastAsia"/>
          <w:sz w:val="24"/>
          <w:szCs w:val="24"/>
        </w:rPr>
        <w:t>”）并导入政府采购客户端工具后方可进行电子响应文件的制作和提交（具体详见《苏采云系统供应商操作手册》，网址链接</w:t>
      </w:r>
      <w:r>
        <w:rPr>
          <w:sz w:val="24"/>
          <w:szCs w:val="24"/>
        </w:rPr>
        <w:t>https://czju.suzhou.gov.cn/zfcg/html/content/20231220161910031.shtml</w:t>
      </w:r>
      <w:r>
        <w:rPr>
          <w:rFonts w:hint="eastAsia"/>
          <w:sz w:val="24"/>
          <w:szCs w:val="24"/>
        </w:rPr>
        <w:t>）。</w:t>
      </w:r>
    </w:p>
    <w:p w14:paraId="711E27B3">
      <w:pPr>
        <w:spacing w:line="440" w:lineRule="exact"/>
        <w:rPr>
          <w:b/>
          <w:sz w:val="24"/>
          <w:szCs w:val="24"/>
        </w:rPr>
      </w:pPr>
      <w:r>
        <w:rPr>
          <w:rFonts w:hint="eastAsia"/>
          <w:b/>
          <w:sz w:val="24"/>
          <w:szCs w:val="24"/>
        </w:rPr>
        <w:t>四</w:t>
      </w:r>
      <w:r>
        <w:rPr>
          <w:b/>
          <w:sz w:val="24"/>
          <w:szCs w:val="24"/>
        </w:rPr>
        <w:t>、</w:t>
      </w:r>
      <w:r>
        <w:rPr>
          <w:rFonts w:hint="eastAsia"/>
          <w:b/>
          <w:sz w:val="24"/>
          <w:szCs w:val="21"/>
        </w:rPr>
        <w:t>响应文件提交</w:t>
      </w:r>
    </w:p>
    <w:p w14:paraId="2B9D0832">
      <w:pPr>
        <w:spacing w:line="440" w:lineRule="exact"/>
        <w:ind w:firstLine="480"/>
        <w:rPr>
          <w:sz w:val="24"/>
          <w:szCs w:val="24"/>
        </w:rPr>
      </w:pPr>
      <w:r>
        <w:rPr>
          <w:rFonts w:hint="eastAsia"/>
          <w:sz w:val="24"/>
          <w:szCs w:val="24"/>
        </w:rPr>
        <w:t>1、截止</w:t>
      </w:r>
      <w:r>
        <w:rPr>
          <w:sz w:val="24"/>
          <w:szCs w:val="24"/>
        </w:rPr>
        <w:t>时间：</w:t>
      </w:r>
      <w:r>
        <w:rPr>
          <w:rFonts w:hint="eastAsia"/>
          <w:sz w:val="24"/>
          <w:szCs w:val="24"/>
        </w:rPr>
        <w:t>202</w:t>
      </w:r>
      <w:r>
        <w:rPr>
          <w:rFonts w:hint="eastAsia"/>
          <w:sz w:val="24"/>
          <w:szCs w:val="24"/>
          <w:lang w:val="en-US" w:eastAsia="zh-CN"/>
        </w:rPr>
        <w:t>6</w:t>
      </w:r>
      <w:r>
        <w:rPr>
          <w:rFonts w:hint="eastAsia"/>
          <w:sz w:val="24"/>
          <w:szCs w:val="24"/>
        </w:rPr>
        <w:t>年</w:t>
      </w:r>
      <w:r>
        <w:rPr>
          <w:rFonts w:hint="eastAsia"/>
          <w:sz w:val="24"/>
          <w:szCs w:val="24"/>
          <w:lang w:val="en-US" w:eastAsia="zh-CN"/>
        </w:rPr>
        <w:t>3</w:t>
      </w:r>
      <w:r>
        <w:rPr>
          <w:rFonts w:hint="eastAsia"/>
          <w:sz w:val="24"/>
          <w:szCs w:val="24"/>
        </w:rPr>
        <w:t>月</w:t>
      </w:r>
      <w:r>
        <w:rPr>
          <w:rFonts w:hint="eastAsia"/>
          <w:sz w:val="24"/>
          <w:szCs w:val="24"/>
          <w:lang w:val="en-US" w:eastAsia="zh-CN"/>
        </w:rPr>
        <w:t>24</w:t>
      </w:r>
      <w:r>
        <w:rPr>
          <w:rFonts w:hint="eastAsia"/>
          <w:sz w:val="24"/>
          <w:szCs w:val="24"/>
        </w:rPr>
        <w:t>日</w:t>
      </w:r>
      <w:r>
        <w:rPr>
          <w:rFonts w:hint="eastAsia"/>
          <w:sz w:val="24"/>
          <w:szCs w:val="24"/>
          <w:lang w:val="en-US" w:eastAsia="zh-CN"/>
        </w:rPr>
        <w:t>9</w:t>
      </w:r>
      <w:r>
        <w:rPr>
          <w:rFonts w:hint="eastAsia"/>
          <w:sz w:val="24"/>
          <w:szCs w:val="24"/>
        </w:rPr>
        <w:t>点00分（北京时间）</w:t>
      </w:r>
    </w:p>
    <w:p w14:paraId="37D06FC3">
      <w:pPr>
        <w:spacing w:line="440" w:lineRule="exact"/>
        <w:ind w:firstLine="480"/>
        <w:rPr>
          <w:sz w:val="24"/>
          <w:szCs w:val="24"/>
        </w:rPr>
      </w:pPr>
      <w:r>
        <w:rPr>
          <w:sz w:val="24"/>
          <w:szCs w:val="24"/>
        </w:rPr>
        <w:t>2</w:t>
      </w:r>
      <w:r>
        <w:rPr>
          <w:rFonts w:hint="eastAsia"/>
          <w:sz w:val="24"/>
          <w:szCs w:val="24"/>
        </w:rPr>
        <w:t>、开标地点：苏采云系统网上开标大厅</w:t>
      </w:r>
    </w:p>
    <w:p w14:paraId="176CA973">
      <w:pPr>
        <w:spacing w:line="440" w:lineRule="exact"/>
        <w:ind w:firstLine="480"/>
        <w:rPr>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083871BF">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1852805A">
      <w:pPr>
        <w:spacing w:line="440" w:lineRule="exact"/>
        <w:ind w:firstLine="480"/>
        <w:rPr>
          <w:sz w:val="24"/>
          <w:szCs w:val="24"/>
        </w:rPr>
      </w:pPr>
      <w:r>
        <w:rPr>
          <w:rFonts w:hint="eastAsia"/>
          <w:sz w:val="24"/>
          <w:szCs w:val="24"/>
        </w:rPr>
        <w:t>请供应商确保电脑、系统及其他设备（视频输入输出设备等）无误，且开启直至项目结束始终保持系统在线状态。</w:t>
      </w:r>
    </w:p>
    <w:p w14:paraId="4C794216">
      <w:pPr>
        <w:spacing w:line="440" w:lineRule="exact"/>
        <w:rPr>
          <w:b/>
          <w:bCs/>
          <w:sz w:val="24"/>
          <w:szCs w:val="21"/>
        </w:rPr>
      </w:pPr>
      <w:r>
        <w:rPr>
          <w:rFonts w:hint="eastAsia"/>
          <w:b/>
          <w:sz w:val="24"/>
          <w:szCs w:val="24"/>
        </w:rPr>
        <w:t>五</w:t>
      </w:r>
      <w:r>
        <w:rPr>
          <w:b/>
          <w:sz w:val="24"/>
          <w:szCs w:val="24"/>
        </w:rPr>
        <w:t>、</w:t>
      </w:r>
      <w:r>
        <w:rPr>
          <w:rFonts w:hint="eastAsia"/>
          <w:b/>
          <w:bCs/>
          <w:sz w:val="24"/>
          <w:szCs w:val="21"/>
        </w:rPr>
        <w:t>公告期限</w:t>
      </w:r>
    </w:p>
    <w:p w14:paraId="0B404CDA">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231B7A00">
      <w:pPr>
        <w:spacing w:line="440" w:lineRule="exact"/>
        <w:rPr>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6869EF4A">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76D11EE4">
      <w:pPr>
        <w:shd w:val="clear" w:color="auto" w:fill="FFFFFF"/>
        <w:spacing w:line="440" w:lineRule="exact"/>
        <w:ind w:firstLine="480"/>
        <w:rPr>
          <w:sz w:val="24"/>
          <w:szCs w:val="22"/>
        </w:rPr>
      </w:pPr>
      <w:r>
        <w:rPr>
          <w:sz w:val="24"/>
          <w:szCs w:val="22"/>
        </w:rPr>
        <w:t>2</w:t>
      </w:r>
      <w:r>
        <w:rPr>
          <w:rFonts w:hint="eastAsia"/>
          <w:sz w:val="24"/>
          <w:szCs w:val="22"/>
        </w:rPr>
        <w:t>、供应商在“苏采云”系统操作过程中如有疑问，请按以下方式联系：</w:t>
      </w:r>
    </w:p>
    <w:p w14:paraId="17E86C20">
      <w:pPr>
        <w:shd w:val="clear" w:color="auto" w:fill="FFFFFF"/>
        <w:spacing w:line="440" w:lineRule="exact"/>
        <w:ind w:firstLine="480"/>
        <w:rPr>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6EBE9A69">
      <w:pPr>
        <w:shd w:val="clear" w:color="auto" w:fill="FFFFFF"/>
        <w:spacing w:line="440" w:lineRule="exact"/>
        <w:ind w:firstLine="480"/>
        <w:rPr>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25E2659E">
      <w:pPr>
        <w:shd w:val="clear" w:color="auto" w:fill="FFFFFF"/>
        <w:spacing w:line="440" w:lineRule="exact"/>
        <w:ind w:firstLine="480"/>
        <w:rPr>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694511B5">
      <w:pPr>
        <w:shd w:val="clear" w:color="auto" w:fill="FFFFFF"/>
        <w:spacing w:line="440" w:lineRule="exact"/>
        <w:ind w:firstLine="480"/>
        <w:rPr>
          <w:sz w:val="24"/>
          <w:szCs w:val="22"/>
        </w:rPr>
      </w:pPr>
      <w:r>
        <w:rPr>
          <w:sz w:val="24"/>
          <w:szCs w:val="22"/>
        </w:rPr>
        <w:t>5</w:t>
      </w:r>
      <w:r>
        <w:rPr>
          <w:rFonts w:hint="eastAsia"/>
          <w:sz w:val="24"/>
          <w:szCs w:val="22"/>
        </w:rPr>
        <w:t>、本次招标不收取投标保证金。</w:t>
      </w:r>
    </w:p>
    <w:p w14:paraId="5FD1F6A6">
      <w:pPr>
        <w:shd w:val="clear" w:color="auto" w:fill="FFFFFF"/>
        <w:spacing w:line="440" w:lineRule="exact"/>
        <w:ind w:firstLine="480"/>
        <w:rPr>
          <w:sz w:val="24"/>
          <w:szCs w:val="22"/>
        </w:rPr>
      </w:pPr>
      <w:r>
        <w:rPr>
          <w:rFonts w:hint="eastAsia"/>
          <w:sz w:val="24"/>
          <w:szCs w:val="22"/>
        </w:rPr>
        <w:t>6、公告媒体：苏州市政府采购网、江苏政府采购网</w:t>
      </w:r>
    </w:p>
    <w:p w14:paraId="3A7ADE71">
      <w:pPr>
        <w:spacing w:line="440" w:lineRule="exact"/>
        <w:rPr>
          <w:rFonts w:hint="eastAsia"/>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0D70A42F">
      <w:pPr>
        <w:widowControl/>
        <w:spacing w:line="440" w:lineRule="exact"/>
        <w:ind w:firstLine="480"/>
        <w:rPr>
          <w:sz w:val="24"/>
          <w:szCs w:val="24"/>
        </w:rPr>
      </w:pPr>
      <w:r>
        <w:rPr>
          <w:rFonts w:hint="eastAsia"/>
          <w:sz w:val="24"/>
          <w:szCs w:val="24"/>
        </w:rPr>
        <w:t>1、采购人信息</w:t>
      </w:r>
    </w:p>
    <w:p w14:paraId="38F34FE3">
      <w:pPr>
        <w:widowControl/>
        <w:spacing w:line="440" w:lineRule="exact"/>
        <w:ind w:firstLine="480"/>
        <w:rPr>
          <w:rFonts w:hint="eastAsia" w:eastAsia="宋体"/>
          <w:sz w:val="24"/>
          <w:szCs w:val="24"/>
          <w:lang w:eastAsia="zh-CN"/>
        </w:rPr>
      </w:pPr>
      <w:r>
        <w:rPr>
          <w:rFonts w:hint="eastAsia"/>
          <w:sz w:val="24"/>
          <w:szCs w:val="24"/>
        </w:rPr>
        <w:t>名称：</w:t>
      </w:r>
      <w:r>
        <w:rPr>
          <w:rFonts w:hint="eastAsia"/>
          <w:sz w:val="24"/>
          <w:szCs w:val="24"/>
          <w:lang w:eastAsia="zh-CN"/>
        </w:rPr>
        <w:t>常熟市自然资源和规划局</w:t>
      </w:r>
    </w:p>
    <w:p w14:paraId="52D93319">
      <w:pPr>
        <w:widowControl/>
        <w:spacing w:line="440" w:lineRule="exact"/>
        <w:ind w:firstLine="480"/>
        <w:rPr>
          <w:sz w:val="24"/>
          <w:szCs w:val="24"/>
          <w:highlight w:val="none"/>
        </w:rPr>
      </w:pPr>
      <w:r>
        <w:rPr>
          <w:rFonts w:hint="eastAsia"/>
          <w:sz w:val="24"/>
          <w:szCs w:val="24"/>
          <w:highlight w:val="none"/>
        </w:rPr>
        <w:t>地址：常熟市新世纪大道1079号</w:t>
      </w:r>
    </w:p>
    <w:p w14:paraId="5B7D770B">
      <w:pPr>
        <w:widowControl/>
        <w:spacing w:line="440" w:lineRule="exact"/>
        <w:ind w:firstLine="480"/>
        <w:rPr>
          <w:sz w:val="24"/>
          <w:szCs w:val="24"/>
          <w:highlight w:val="none"/>
        </w:rPr>
      </w:pPr>
      <w:r>
        <w:rPr>
          <w:rFonts w:hint="eastAsia"/>
          <w:sz w:val="24"/>
          <w:szCs w:val="24"/>
          <w:highlight w:val="none"/>
        </w:rPr>
        <w:t>联系方式：0512-52221768（金潮）</w:t>
      </w:r>
    </w:p>
    <w:p w14:paraId="58971BD8">
      <w:pPr>
        <w:spacing w:line="440" w:lineRule="exact"/>
        <w:ind w:firstLine="480"/>
        <w:rPr>
          <w:sz w:val="24"/>
          <w:szCs w:val="24"/>
          <w:highlight w:val="none"/>
        </w:rPr>
      </w:pPr>
      <w:r>
        <w:rPr>
          <w:sz w:val="24"/>
          <w:szCs w:val="24"/>
          <w:highlight w:val="none"/>
        </w:rPr>
        <w:t>2、采购代理机构信息</w:t>
      </w:r>
    </w:p>
    <w:p w14:paraId="26C4AFA8">
      <w:pPr>
        <w:spacing w:line="440" w:lineRule="exact"/>
        <w:ind w:firstLine="480"/>
        <w:rPr>
          <w:sz w:val="24"/>
          <w:szCs w:val="24"/>
          <w:highlight w:val="none"/>
        </w:rPr>
      </w:pPr>
      <w:r>
        <w:rPr>
          <w:sz w:val="24"/>
          <w:szCs w:val="24"/>
          <w:highlight w:val="none"/>
        </w:rPr>
        <w:t>名    称：江苏协诚工程咨询有限公司</w:t>
      </w:r>
    </w:p>
    <w:p w14:paraId="4C3CCC4A">
      <w:pPr>
        <w:spacing w:line="440" w:lineRule="exact"/>
        <w:ind w:firstLine="480"/>
        <w:rPr>
          <w:sz w:val="24"/>
          <w:szCs w:val="24"/>
          <w:highlight w:val="none"/>
        </w:rPr>
      </w:pPr>
      <w:r>
        <w:rPr>
          <w:sz w:val="24"/>
          <w:szCs w:val="24"/>
          <w:highlight w:val="none"/>
        </w:rPr>
        <w:t>地    址：</w:t>
      </w:r>
      <w:r>
        <w:rPr>
          <w:rFonts w:hint="eastAsia"/>
          <w:sz w:val="24"/>
          <w:szCs w:val="24"/>
          <w:highlight w:val="none"/>
        </w:rPr>
        <w:t>常熟市勤丰路泰慈新村4号</w:t>
      </w:r>
    </w:p>
    <w:p w14:paraId="579BB81E">
      <w:pPr>
        <w:spacing w:line="440" w:lineRule="exact"/>
        <w:ind w:firstLine="480"/>
        <w:rPr>
          <w:sz w:val="24"/>
          <w:szCs w:val="24"/>
        </w:rPr>
      </w:pPr>
      <w:r>
        <w:rPr>
          <w:sz w:val="24"/>
          <w:szCs w:val="24"/>
        </w:rPr>
        <w:t>联系方式：0512-52213738（</w:t>
      </w:r>
      <w:r>
        <w:rPr>
          <w:rFonts w:hint="eastAsia"/>
          <w:sz w:val="24"/>
          <w:szCs w:val="24"/>
          <w:lang w:val="en-US" w:eastAsia="zh-CN"/>
        </w:rPr>
        <w:t>杨雯</w:t>
      </w:r>
      <w:r>
        <w:rPr>
          <w:sz w:val="24"/>
          <w:szCs w:val="24"/>
        </w:rPr>
        <w:t>）</w:t>
      </w:r>
    </w:p>
    <w:p w14:paraId="2F261891">
      <w:pPr>
        <w:spacing w:line="440" w:lineRule="exact"/>
        <w:ind w:firstLine="480"/>
        <w:rPr>
          <w:sz w:val="24"/>
          <w:szCs w:val="24"/>
        </w:rPr>
      </w:pPr>
      <w:r>
        <w:rPr>
          <w:sz w:val="24"/>
          <w:szCs w:val="24"/>
        </w:rPr>
        <w:t>3、项目联系方式</w:t>
      </w:r>
    </w:p>
    <w:p w14:paraId="608B7A45">
      <w:pPr>
        <w:spacing w:line="440" w:lineRule="exact"/>
        <w:ind w:firstLine="480"/>
        <w:rPr>
          <w:rFonts w:hint="eastAsia" w:eastAsia="宋体"/>
          <w:sz w:val="24"/>
          <w:szCs w:val="24"/>
          <w:lang w:eastAsia="zh-CN"/>
        </w:rPr>
      </w:pPr>
      <w:r>
        <w:rPr>
          <w:sz w:val="24"/>
          <w:szCs w:val="24"/>
        </w:rPr>
        <w:t>项目联系人：</w:t>
      </w:r>
      <w:r>
        <w:rPr>
          <w:rFonts w:hint="eastAsia"/>
          <w:sz w:val="24"/>
          <w:szCs w:val="24"/>
          <w:lang w:val="en-US" w:eastAsia="zh-CN"/>
        </w:rPr>
        <w:t>杨雯</w:t>
      </w:r>
    </w:p>
    <w:p w14:paraId="39E199F6">
      <w:pPr>
        <w:spacing w:line="440" w:lineRule="exact"/>
        <w:ind w:firstLine="480"/>
        <w:rPr>
          <w:sz w:val="24"/>
          <w:szCs w:val="24"/>
        </w:rPr>
      </w:pPr>
      <w:r>
        <w:rPr>
          <w:sz w:val="24"/>
          <w:szCs w:val="24"/>
        </w:rPr>
        <w:t>电    话：0512-52213738</w:t>
      </w:r>
    </w:p>
    <w:p w14:paraId="74D780D6">
      <w:pPr>
        <w:pStyle w:val="2"/>
        <w:rPr>
          <w:rFonts w:hint="eastAsia"/>
        </w:rPr>
      </w:pPr>
      <w:r>
        <w:rPr/>
        <w:br w:type="page" w:clear="all"/>
      </w:r>
      <w:bookmarkStart w:id="3" w:name="_Toc20882"/>
      <w:bookmarkStart w:id="4" w:name="_Toc159312647"/>
      <w:bookmarkStart w:id="5" w:name="_Toc103080642"/>
      <w:r>
        <w:t xml:space="preserve">第二章  </w:t>
      </w:r>
      <w:r>
        <w:rPr>
          <w:rFonts w:hint="eastAsia"/>
        </w:rPr>
        <w:t>供应商</w:t>
      </w:r>
      <w:r>
        <w:t>须知</w:t>
      </w:r>
      <w:bookmarkEnd w:id="3"/>
      <w:bookmarkEnd w:id="4"/>
      <w:bookmarkEnd w:id="5"/>
    </w:p>
    <w:p w14:paraId="06F7FAAF">
      <w:pPr>
        <w:keepNext/>
        <w:keepLines/>
        <w:spacing w:line="440" w:lineRule="exact"/>
        <w:outlineLvl w:val="2"/>
        <w:rPr>
          <w:b/>
          <w:bCs/>
          <w:color w:val="000000"/>
          <w:sz w:val="32"/>
          <w:szCs w:val="32"/>
        </w:rPr>
      </w:pPr>
      <w:bookmarkStart w:id="6" w:name="_Toc159312648"/>
      <w:bookmarkStart w:id="7" w:name="_Toc28442"/>
      <w:r>
        <w:rPr>
          <w:b/>
          <w:bCs/>
          <w:color w:val="000000"/>
          <w:sz w:val="32"/>
          <w:szCs w:val="32"/>
        </w:rPr>
        <w:t>一、总则</w:t>
      </w:r>
      <w:bookmarkEnd w:id="6"/>
      <w:bookmarkEnd w:id="7"/>
    </w:p>
    <w:p w14:paraId="277D6426">
      <w:pPr>
        <w:keepNext/>
        <w:keepLines/>
        <w:spacing w:line="440" w:lineRule="exact"/>
        <w:ind w:firstLine="138"/>
        <w:rPr>
          <w:b/>
          <w:sz w:val="24"/>
          <w:szCs w:val="24"/>
        </w:rPr>
      </w:pPr>
      <w:r>
        <w:rPr>
          <w:b/>
          <w:color w:val="000000"/>
          <w:sz w:val="28"/>
          <w:szCs w:val="28"/>
        </w:rPr>
        <w:t>1、采购方式及适用法律</w:t>
      </w:r>
    </w:p>
    <w:p w14:paraId="34653BFA">
      <w:pPr>
        <w:spacing w:line="440" w:lineRule="exact"/>
        <w:ind w:firstLine="480"/>
        <w:rPr>
          <w:rFonts w:hint="eastAsia"/>
          <w:color w:val="000000"/>
          <w:sz w:val="24"/>
          <w:szCs w:val="24"/>
        </w:rPr>
      </w:pPr>
      <w:r>
        <w:rPr>
          <w:color w:val="000000"/>
          <w:sz w:val="24"/>
          <w:szCs w:val="24"/>
        </w:rPr>
        <w:t>1.1 本次政府采购活动采取竞争性磋商(以下简称磋商)方式，本磋商文件仅适用于磋商公告中所述项目。</w:t>
      </w:r>
    </w:p>
    <w:p w14:paraId="71B2C2B3">
      <w:pPr>
        <w:spacing w:line="440" w:lineRule="exact"/>
        <w:ind w:firstLine="480"/>
        <w:rPr>
          <w:rFonts w:hint="eastAsia"/>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1A1881FC">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2D005688">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20766A5E">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3578E32C">
      <w:pPr>
        <w:spacing w:line="440" w:lineRule="exact"/>
        <w:ind w:firstLine="480"/>
        <w:rPr>
          <w:rFonts w:hint="eastAsia"/>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56F4B195">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3F76CD11">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2E22B409">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.2满足本文件实质性要求和条件的规定。</w:t>
      </w:r>
    </w:p>
    <w:p w14:paraId="70BCD913">
      <w:pPr>
        <w:spacing w:line="440" w:lineRule="exact"/>
        <w:ind w:firstLine="480"/>
        <w:rPr>
          <w:rFonts w:hint="eastAsia"/>
          <w:color w:val="000000"/>
          <w:sz w:val="24"/>
          <w:szCs w:val="24"/>
        </w:rPr>
      </w:pPr>
      <w:r>
        <w:rPr>
          <w:rFonts w:hint="eastAsia"/>
          <w:color w:val="000000"/>
          <w:sz w:val="24"/>
          <w:szCs w:val="24"/>
        </w:rPr>
        <w:t>3.3单位负责人为同一人或者存在直接控股、管理关系的不同供应商，不得参加同一合同项下的政府采购活动。</w:t>
      </w:r>
    </w:p>
    <w:p w14:paraId="21722B7C">
      <w:pPr>
        <w:keepNext/>
        <w:keepLines/>
        <w:spacing w:line="440" w:lineRule="exact"/>
        <w:ind w:firstLine="138"/>
        <w:rPr>
          <w:b/>
          <w:color w:val="000000"/>
          <w:sz w:val="28"/>
          <w:szCs w:val="28"/>
        </w:rPr>
      </w:pPr>
      <w:r>
        <w:rPr>
          <w:b/>
          <w:color w:val="000000"/>
          <w:sz w:val="28"/>
          <w:szCs w:val="28"/>
        </w:rPr>
        <w:t>4、磋商费用</w:t>
      </w:r>
    </w:p>
    <w:p w14:paraId="135E6F66">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16FFDA26">
      <w:pPr>
        <w:spacing w:line="440" w:lineRule="exact"/>
        <w:ind w:firstLine="480"/>
        <w:rPr>
          <w:rFonts w:hint="eastAsia"/>
          <w:color w:val="000000"/>
          <w:sz w:val="24"/>
          <w:szCs w:val="24"/>
        </w:rPr>
      </w:pPr>
      <w:r>
        <w:rPr>
          <w:color w:val="000000"/>
          <w:sz w:val="24"/>
          <w:szCs w:val="24"/>
        </w:rPr>
        <w:t>4.2本次磋商</w:t>
      </w:r>
      <w:r>
        <w:rPr>
          <w:rFonts w:hint="eastAsia"/>
          <w:color w:val="000000"/>
          <w:sz w:val="24"/>
          <w:szCs w:val="24"/>
        </w:rPr>
        <w:t>采购代理机构</w:t>
      </w:r>
      <w:r>
        <w:rPr>
          <w:color w:val="000000"/>
          <w:sz w:val="24"/>
          <w:szCs w:val="24"/>
        </w:rPr>
        <w:t>和采购人不收取标书工本费。</w:t>
      </w:r>
    </w:p>
    <w:p w14:paraId="28BCA5D8">
      <w:pPr>
        <w:spacing w:line="440" w:lineRule="exact"/>
        <w:ind w:firstLine="480"/>
        <w:rPr>
          <w:rFonts w:hint="eastAsia"/>
          <w:color w:val="000000"/>
          <w:sz w:val="24"/>
          <w:szCs w:val="24"/>
        </w:rPr>
      </w:pPr>
      <w:r>
        <w:rPr>
          <w:rFonts w:hint="eastAsia"/>
          <w:color w:val="000000"/>
          <w:sz w:val="24"/>
          <w:szCs w:val="24"/>
        </w:rPr>
        <w:t>4.3本项目成交服务费为：人民币</w:t>
      </w:r>
      <w:r>
        <w:rPr>
          <w:rFonts w:hint="eastAsia"/>
          <w:color w:val="000000"/>
          <w:sz w:val="24"/>
          <w:szCs w:val="24"/>
          <w:highlight w:val="none"/>
          <w:lang w:val="en-US" w:eastAsia="zh-CN"/>
        </w:rPr>
        <w:t>18900.00</w:t>
      </w:r>
      <w:r>
        <w:rPr>
          <w:rFonts w:hint="eastAsia"/>
          <w:color w:val="000000"/>
          <w:sz w:val="24"/>
          <w:szCs w:val="24"/>
          <w:highlight w:val="none"/>
        </w:rPr>
        <w:t>元整，在</w:t>
      </w:r>
      <w:r>
        <w:rPr>
          <w:rFonts w:hint="eastAsia"/>
          <w:color w:val="000000"/>
          <w:sz w:val="24"/>
          <w:szCs w:val="24"/>
        </w:rPr>
        <w:t>发成交通知书时由各成交供应商向采购代理机构支付，一次性付清。</w:t>
      </w:r>
    </w:p>
    <w:p w14:paraId="4CE2813F">
      <w:pPr>
        <w:keepNext/>
        <w:keepLines/>
        <w:spacing w:line="440" w:lineRule="exact"/>
        <w:ind w:firstLine="138"/>
        <w:rPr>
          <w:b/>
          <w:color w:val="000000"/>
          <w:sz w:val="28"/>
          <w:szCs w:val="28"/>
        </w:rPr>
      </w:pPr>
      <w:r>
        <w:rPr>
          <w:b/>
          <w:color w:val="000000"/>
          <w:sz w:val="28"/>
          <w:szCs w:val="28"/>
        </w:rPr>
        <w:t>5、磋商文件的约束力</w:t>
      </w:r>
    </w:p>
    <w:p w14:paraId="710B1ACA">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75A8B9B1">
      <w:pPr>
        <w:keepNext/>
        <w:keepLines/>
        <w:spacing w:line="440" w:lineRule="exact"/>
        <w:outlineLvl w:val="2"/>
        <w:rPr>
          <w:b/>
          <w:bCs/>
          <w:color w:val="000000"/>
          <w:sz w:val="32"/>
          <w:szCs w:val="32"/>
        </w:rPr>
      </w:pPr>
      <w:bookmarkStart w:id="8" w:name="_Toc159312649"/>
      <w:bookmarkStart w:id="9" w:name="_Toc20074"/>
      <w:r>
        <w:rPr>
          <w:b/>
          <w:bCs/>
          <w:color w:val="000000"/>
          <w:sz w:val="32"/>
          <w:szCs w:val="32"/>
        </w:rPr>
        <w:t>二、磋商文件</w:t>
      </w:r>
      <w:bookmarkEnd w:id="8"/>
      <w:bookmarkEnd w:id="9"/>
    </w:p>
    <w:p w14:paraId="17CEB58B">
      <w:pPr>
        <w:keepNext/>
        <w:keepLines/>
        <w:spacing w:line="440" w:lineRule="exact"/>
        <w:ind w:firstLine="138"/>
        <w:rPr>
          <w:b/>
          <w:color w:val="000000"/>
          <w:sz w:val="28"/>
          <w:szCs w:val="28"/>
        </w:rPr>
      </w:pPr>
      <w:r>
        <w:rPr>
          <w:b/>
          <w:color w:val="000000"/>
          <w:sz w:val="28"/>
          <w:szCs w:val="28"/>
        </w:rPr>
        <w:t>6、磋商文件构成</w:t>
      </w:r>
    </w:p>
    <w:p w14:paraId="2C98B172">
      <w:pPr>
        <w:spacing w:line="440" w:lineRule="exact"/>
        <w:ind w:firstLine="480"/>
        <w:rPr>
          <w:color w:val="000000"/>
          <w:sz w:val="24"/>
          <w:szCs w:val="24"/>
        </w:rPr>
      </w:pPr>
      <w:r>
        <w:rPr>
          <w:color w:val="000000"/>
          <w:sz w:val="24"/>
          <w:szCs w:val="24"/>
        </w:rPr>
        <w:t>6.1磋商文件由以下部分组成：</w:t>
      </w:r>
    </w:p>
    <w:p w14:paraId="53CA56C0">
      <w:pPr>
        <w:spacing w:line="440" w:lineRule="exact"/>
        <w:ind w:firstLine="650"/>
        <w:rPr>
          <w:sz w:val="24"/>
          <w:szCs w:val="24"/>
        </w:rPr>
      </w:pPr>
      <w:r>
        <w:rPr>
          <w:color w:val="000000"/>
          <w:sz w:val="24"/>
          <w:szCs w:val="24"/>
        </w:rPr>
        <w:t>（1）磋商邀请</w:t>
      </w:r>
    </w:p>
    <w:p w14:paraId="5687AFA8">
      <w:pPr>
        <w:spacing w:line="440" w:lineRule="exact"/>
        <w:ind w:firstLine="650"/>
        <w:rPr>
          <w:sz w:val="24"/>
          <w:szCs w:val="24"/>
        </w:rPr>
      </w:pPr>
      <w:r>
        <w:rPr>
          <w:color w:val="000000"/>
          <w:sz w:val="24"/>
          <w:szCs w:val="24"/>
        </w:rPr>
        <w:t>（2）供应商须知</w:t>
      </w:r>
    </w:p>
    <w:p w14:paraId="5B180193">
      <w:pPr>
        <w:spacing w:line="440" w:lineRule="exact"/>
        <w:ind w:firstLine="650"/>
        <w:rPr>
          <w:sz w:val="24"/>
          <w:szCs w:val="24"/>
        </w:rPr>
      </w:pPr>
      <w:r>
        <w:rPr>
          <w:color w:val="000000"/>
          <w:sz w:val="24"/>
          <w:szCs w:val="24"/>
        </w:rPr>
        <w:t>（3）合同文本</w:t>
      </w:r>
    </w:p>
    <w:p w14:paraId="4A60BA97">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42E0D51B">
      <w:pPr>
        <w:spacing w:line="440" w:lineRule="exact"/>
        <w:ind w:firstLine="650"/>
        <w:rPr>
          <w:color w:val="000000"/>
          <w:sz w:val="24"/>
          <w:szCs w:val="24"/>
        </w:rPr>
      </w:pPr>
      <w:r>
        <w:rPr>
          <w:color w:val="000000"/>
          <w:sz w:val="24"/>
          <w:szCs w:val="24"/>
        </w:rPr>
        <w:t>（5）评审方法与评审标准</w:t>
      </w:r>
    </w:p>
    <w:p w14:paraId="210AFF09">
      <w:pPr>
        <w:spacing w:line="440" w:lineRule="exact"/>
        <w:ind w:firstLine="650"/>
        <w:rPr>
          <w:color w:val="000000"/>
          <w:sz w:val="24"/>
          <w:szCs w:val="24"/>
        </w:rPr>
      </w:pPr>
      <w:r>
        <w:rPr>
          <w:color w:val="000000"/>
          <w:sz w:val="24"/>
          <w:szCs w:val="24"/>
        </w:rPr>
        <w:t>（6）磋商响应文件格式</w:t>
      </w:r>
    </w:p>
    <w:p w14:paraId="728ADA80">
      <w:pPr>
        <w:spacing w:line="440" w:lineRule="exact"/>
        <w:ind w:firstLine="787"/>
        <w:rPr>
          <w:sz w:val="24"/>
          <w:szCs w:val="24"/>
        </w:rPr>
      </w:pPr>
      <w:r>
        <w:rPr>
          <w:color w:val="000000"/>
          <w:sz w:val="24"/>
          <w:szCs w:val="24"/>
        </w:rPr>
        <w:t>请仔细检查磋商文件是否齐全，如有缺漏请立即与代理机构联系解决。</w:t>
      </w:r>
    </w:p>
    <w:p w14:paraId="7DCFEF2E">
      <w:pPr>
        <w:spacing w:line="440" w:lineRule="exact"/>
        <w:ind w:firstLine="480"/>
        <w:rPr>
          <w:rFonts w:hint="eastAsia"/>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21223D1">
      <w:pPr>
        <w:spacing w:line="440" w:lineRule="exact"/>
        <w:ind w:firstLine="480"/>
        <w:rPr>
          <w:rFonts w:hint="eastAsia"/>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文件及其更正事项如不是直接从指定媒体地址下载获得的，采购人或代理机构对招标文件及其补遗的真实性、完整性不承担任何责任。</w:t>
      </w:r>
    </w:p>
    <w:p w14:paraId="2FDFFE9E">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5652D4D5">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55676FB4">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44862C9C">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7929C853">
      <w:pPr>
        <w:keepNext/>
        <w:keepLines/>
        <w:spacing w:line="440" w:lineRule="exact"/>
        <w:outlineLvl w:val="2"/>
        <w:rPr>
          <w:b/>
          <w:bCs/>
          <w:color w:val="000000"/>
          <w:sz w:val="32"/>
          <w:szCs w:val="32"/>
        </w:rPr>
      </w:pPr>
      <w:bookmarkStart w:id="10" w:name="_Toc21110"/>
      <w:bookmarkStart w:id="11" w:name="_Toc159312650"/>
      <w:r>
        <w:rPr>
          <w:b/>
          <w:bCs/>
          <w:color w:val="000000"/>
          <w:sz w:val="32"/>
          <w:szCs w:val="32"/>
        </w:rPr>
        <w:t>三、响应文件的编制</w:t>
      </w:r>
      <w:bookmarkEnd w:id="10"/>
      <w:bookmarkEnd w:id="11"/>
    </w:p>
    <w:p w14:paraId="7E12BB94">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3B669B8D">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543D7998">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0DFD1883">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42D61CF4">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w:t>
      </w:r>
      <w:r>
        <w:rPr>
          <w:rFonts w:hint="eastAsia"/>
          <w:color w:val="000000"/>
          <w:sz w:val="24"/>
          <w:szCs w:val="24"/>
        </w:rPr>
        <w:t>投入</w:t>
      </w:r>
      <w:r>
        <w:rPr>
          <w:color w:val="000000"/>
          <w:sz w:val="24"/>
          <w:szCs w:val="24"/>
        </w:rPr>
        <w:t>费用明细表、磋商响应函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5C21DA54">
      <w:pPr>
        <w:spacing w:line="440" w:lineRule="exact"/>
        <w:ind w:firstLine="480"/>
        <w:rPr>
          <w:rFonts w:hint="eastAsia"/>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70B129F7">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3EF1FA44">
      <w:pPr>
        <w:spacing w:line="440" w:lineRule="exact"/>
        <w:ind w:firstLine="480"/>
        <w:rPr>
          <w:rFonts w:hint="eastAsia"/>
          <w:color w:val="000000"/>
          <w:sz w:val="24"/>
          <w:szCs w:val="24"/>
        </w:rPr>
      </w:pPr>
      <w:r>
        <w:rPr>
          <w:rFonts w:hint="eastAsia"/>
          <w:color w:val="000000"/>
          <w:sz w:val="24"/>
          <w:szCs w:val="24"/>
        </w:rPr>
        <w:t>10.1供应商应按照磋商文件要求提交证明文件，证明其及磋商响应标的符合磋商文件规定。</w:t>
      </w:r>
    </w:p>
    <w:p w14:paraId="20B1CBD7">
      <w:pPr>
        <w:spacing w:line="440" w:lineRule="exact"/>
        <w:ind w:firstLine="480"/>
        <w:rPr>
          <w:rFonts w:hint="eastAsia"/>
          <w:color w:val="000000"/>
          <w:sz w:val="24"/>
          <w:szCs w:val="24"/>
        </w:rPr>
      </w:pPr>
      <w:r>
        <w:rPr>
          <w:rFonts w:hint="eastAsia"/>
          <w:color w:val="000000"/>
          <w:sz w:val="24"/>
          <w:szCs w:val="24"/>
        </w:rPr>
        <w:t>10.2磋商文件对证明文件无明确形式要求的，证明文件可以以文字资料、图纸和数据等形式提交。</w:t>
      </w:r>
    </w:p>
    <w:p w14:paraId="7ECD38D8">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w:t>
      </w:r>
      <w:r>
        <w:rPr>
          <w:rFonts w:hint="eastAsia"/>
          <w:b/>
          <w:color w:val="000000"/>
          <w:sz w:val="28"/>
          <w:szCs w:val="28"/>
          <w:lang w:val="en-US" w:eastAsia="zh-CN"/>
        </w:rPr>
        <w:t>响应</w:t>
      </w:r>
      <w:r>
        <w:rPr>
          <w:b/>
          <w:color w:val="000000"/>
          <w:sz w:val="28"/>
          <w:szCs w:val="28"/>
        </w:rPr>
        <w:t>函和报价一览表</w:t>
      </w:r>
    </w:p>
    <w:p w14:paraId="5668D989">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p>
    <w:p w14:paraId="2B486118">
      <w:pPr>
        <w:keepNext/>
        <w:keepLines/>
        <w:spacing w:line="440" w:lineRule="exact"/>
        <w:ind w:firstLine="138"/>
        <w:rPr>
          <w:rFonts w:hint="eastAsia" w:eastAsia="宋体"/>
          <w:b/>
          <w:color w:val="000000"/>
          <w:sz w:val="28"/>
          <w:szCs w:val="28"/>
          <w:lang w:eastAsia="zh-CN"/>
        </w:rPr>
      </w:pPr>
      <w:r>
        <w:rPr>
          <w:rFonts w:hint="eastAsia"/>
          <w:b/>
          <w:color w:val="000000"/>
          <w:sz w:val="28"/>
          <w:szCs w:val="28"/>
        </w:rPr>
        <w:t>12</w:t>
      </w:r>
      <w:r>
        <w:rPr>
          <w:b/>
          <w:color w:val="000000"/>
          <w:sz w:val="28"/>
          <w:szCs w:val="28"/>
        </w:rPr>
        <w:t>、</w:t>
      </w:r>
      <w:r>
        <w:rPr>
          <w:rFonts w:hint="eastAsia"/>
          <w:b/>
          <w:color w:val="000000"/>
          <w:sz w:val="28"/>
          <w:szCs w:val="28"/>
        </w:rPr>
        <w:t>服务（或商务）</w:t>
      </w:r>
      <w:r>
        <w:rPr>
          <w:b/>
          <w:color w:val="000000"/>
          <w:sz w:val="28"/>
          <w:szCs w:val="28"/>
        </w:rPr>
        <w:t>要求响应及偏离表</w:t>
      </w:r>
      <w:r>
        <w:rPr>
          <w:rFonts w:hint="eastAsia"/>
          <w:b/>
          <w:color w:val="000000"/>
          <w:sz w:val="28"/>
          <w:szCs w:val="28"/>
          <w:lang w:eastAsia="zh-CN"/>
        </w:rPr>
        <w:t>（</w:t>
      </w:r>
      <w:r>
        <w:rPr>
          <w:rFonts w:hint="eastAsia"/>
          <w:b/>
          <w:color w:val="000000"/>
          <w:sz w:val="28"/>
          <w:szCs w:val="28"/>
          <w:lang w:val="en-US" w:eastAsia="zh-CN"/>
        </w:rPr>
        <w:t>如有</w:t>
      </w:r>
      <w:r>
        <w:rPr>
          <w:rFonts w:hint="eastAsia"/>
          <w:b/>
          <w:color w:val="000000"/>
          <w:sz w:val="28"/>
          <w:szCs w:val="28"/>
          <w:lang w:eastAsia="zh-CN"/>
        </w:rPr>
        <w:t>）</w:t>
      </w:r>
    </w:p>
    <w:p w14:paraId="500256D3">
      <w:pPr>
        <w:spacing w:line="440" w:lineRule="exact"/>
        <w:ind w:firstLine="480"/>
        <w:rPr>
          <w:rFonts w:hint="eastAsia"/>
          <w:color w:val="000000"/>
          <w:sz w:val="24"/>
          <w:szCs w:val="24"/>
        </w:rPr>
      </w:pPr>
      <w:r>
        <w:rPr>
          <w:rFonts w:hint="eastAsia"/>
          <w:color w:val="000000"/>
          <w:sz w:val="24"/>
          <w:szCs w:val="24"/>
        </w:rPr>
        <w:t>12.1供应商需对磋商文件中的服务要求与商务要求逐项作出响应或偏离，并说明原因。</w:t>
      </w:r>
    </w:p>
    <w:p w14:paraId="32D7EC7E">
      <w:pPr>
        <w:spacing w:line="440" w:lineRule="exact"/>
        <w:ind w:firstLine="480"/>
        <w:rPr>
          <w:rFonts w:hint="eastAsia"/>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供应商需按照磋商文件要求，在响应文件中提供与服务要求和商务要求相关的证明材料。</w:t>
      </w:r>
    </w:p>
    <w:p w14:paraId="2D7E8330">
      <w:pPr>
        <w:keepNext/>
        <w:keepLines/>
        <w:spacing w:line="440" w:lineRule="exact"/>
        <w:ind w:firstLine="141"/>
        <w:rPr>
          <w:rFonts w:hint="eastAsia"/>
          <w:b/>
          <w:color w:val="000000"/>
          <w:sz w:val="28"/>
          <w:szCs w:val="28"/>
        </w:rPr>
      </w:pPr>
      <w:r>
        <w:rPr>
          <w:rFonts w:hint="eastAsia"/>
          <w:b/>
          <w:color w:val="000000"/>
          <w:sz w:val="28"/>
          <w:szCs w:val="28"/>
        </w:rPr>
        <w:t>13、项目实施方案、人员情况、业绩情况及其他</w:t>
      </w:r>
    </w:p>
    <w:p w14:paraId="01A60E50">
      <w:pPr>
        <w:spacing w:line="440" w:lineRule="exact"/>
        <w:ind w:firstLine="480"/>
        <w:rPr>
          <w:rFonts w:hint="eastAsia"/>
          <w:color w:val="000000"/>
          <w:sz w:val="24"/>
          <w:szCs w:val="24"/>
        </w:rPr>
      </w:pPr>
      <w:r>
        <w:rPr>
          <w:rFonts w:hint="eastAsia"/>
          <w:color w:val="000000"/>
          <w:sz w:val="24"/>
          <w:szCs w:val="24"/>
        </w:rPr>
        <w:t>13.1供应商需根据磋商文件要求提供有关项目实施方案。</w:t>
      </w:r>
    </w:p>
    <w:p w14:paraId="351D7437">
      <w:pPr>
        <w:spacing w:line="440" w:lineRule="exact"/>
        <w:ind w:firstLine="480"/>
        <w:rPr>
          <w:rFonts w:hint="eastAsia"/>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01621795">
      <w:pPr>
        <w:spacing w:line="440" w:lineRule="exact"/>
        <w:ind w:firstLine="480"/>
        <w:rPr>
          <w:rFonts w:hint="eastAsia"/>
          <w:color w:val="000000"/>
          <w:sz w:val="24"/>
          <w:szCs w:val="24"/>
        </w:rPr>
      </w:pPr>
      <w:r>
        <w:rPr>
          <w:rFonts w:hint="eastAsia"/>
          <w:color w:val="000000"/>
          <w:sz w:val="24"/>
          <w:szCs w:val="24"/>
        </w:rPr>
        <w:t>13.3供应商需根据磋商文件要求提供实施的类似项目业绩情况。</w:t>
      </w:r>
      <w:bookmarkStart w:id="12" w:name="_Toc49090510"/>
      <w:bookmarkEnd w:id="12"/>
      <w:bookmarkStart w:id="13" w:name="_Toc14577359"/>
      <w:bookmarkEnd w:id="13"/>
    </w:p>
    <w:p w14:paraId="08EA512C">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72024329">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0CCC8CE9">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7779898A">
      <w:pPr>
        <w:spacing w:line="440" w:lineRule="exact"/>
        <w:ind w:firstLine="480"/>
        <w:rPr>
          <w:rFonts w:hint="eastAsia"/>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3DD2F9A4">
      <w:pPr>
        <w:keepNext/>
        <w:keepLines/>
        <w:spacing w:line="440" w:lineRule="exact"/>
        <w:outlineLvl w:val="2"/>
        <w:rPr>
          <w:b/>
          <w:bCs/>
          <w:color w:val="000000"/>
          <w:sz w:val="32"/>
          <w:szCs w:val="32"/>
        </w:rPr>
      </w:pPr>
      <w:bookmarkStart w:id="14" w:name="_Toc17230"/>
      <w:bookmarkStart w:id="15" w:name="_Toc159312651"/>
      <w:r>
        <w:rPr>
          <w:b/>
          <w:bCs/>
          <w:color w:val="000000"/>
          <w:sz w:val="32"/>
          <w:szCs w:val="32"/>
        </w:rPr>
        <w:t>四、响应文件的递交</w:t>
      </w:r>
      <w:bookmarkEnd w:id="14"/>
      <w:bookmarkEnd w:id="15"/>
    </w:p>
    <w:p w14:paraId="796FDE7F">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021BF5B5">
      <w:pPr>
        <w:spacing w:line="440" w:lineRule="exact"/>
        <w:ind w:firstLine="480"/>
        <w:rPr>
          <w:rFonts w:hint="eastAsia"/>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08E6513B">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3B5862E8">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027A9525">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1B513C79">
      <w:pPr>
        <w:spacing w:line="440" w:lineRule="exact"/>
        <w:ind w:firstLine="480"/>
        <w:rPr>
          <w:rFonts w:hint="eastAsia"/>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5D70092A">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379B6B6B">
      <w:pPr>
        <w:spacing w:line="440" w:lineRule="exact"/>
        <w:ind w:firstLine="480"/>
        <w:rPr>
          <w:rFonts w:hint="eastAsia"/>
          <w:color w:val="000000"/>
          <w:sz w:val="24"/>
          <w:szCs w:val="24"/>
        </w:rPr>
      </w:pPr>
      <w:r>
        <w:rPr>
          <w:rFonts w:hint="eastAsia"/>
          <w:color w:val="000000"/>
          <w:sz w:val="24"/>
          <w:szCs w:val="24"/>
        </w:rPr>
        <w:t>18.1代理机构拒绝接收在其规定的提交响应文件截止时间后上传的任何电子响应文件。</w:t>
      </w:r>
    </w:p>
    <w:p w14:paraId="63041036">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2174A3B7">
      <w:pPr>
        <w:spacing w:line="440" w:lineRule="exact"/>
        <w:ind w:firstLine="480"/>
        <w:rPr>
          <w:rFonts w:hint="eastAsia"/>
          <w:color w:val="000000"/>
          <w:sz w:val="24"/>
          <w:szCs w:val="24"/>
        </w:rPr>
      </w:pPr>
      <w:r>
        <w:rPr>
          <w:rFonts w:hint="eastAsia"/>
          <w:color w:val="000000"/>
          <w:sz w:val="24"/>
          <w:szCs w:val="24"/>
        </w:rPr>
        <w:t>19.1响应文件的撤回</w:t>
      </w:r>
    </w:p>
    <w:p w14:paraId="35A237FD">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047930D6">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6742CEF7">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6D962438">
      <w:pPr>
        <w:spacing w:line="440" w:lineRule="exact"/>
        <w:ind w:firstLine="480"/>
        <w:rPr>
          <w:rFonts w:hint="eastAsia"/>
          <w:color w:val="000000"/>
          <w:sz w:val="24"/>
          <w:szCs w:val="24"/>
        </w:rPr>
      </w:pPr>
      <w:r>
        <w:rPr>
          <w:rFonts w:hint="eastAsia"/>
          <w:color w:val="000000"/>
          <w:sz w:val="24"/>
          <w:szCs w:val="24"/>
        </w:rPr>
        <w:t>19.2响应文件的修改</w:t>
      </w:r>
    </w:p>
    <w:p w14:paraId="4311F78F">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6AE4F8DD">
      <w:pPr>
        <w:spacing w:line="440" w:lineRule="exact"/>
        <w:ind w:firstLine="480"/>
        <w:rPr>
          <w:rFonts w:hint="eastAsia"/>
          <w:color w:val="000000"/>
          <w:sz w:val="24"/>
          <w:szCs w:val="24"/>
        </w:rPr>
      </w:pPr>
      <w:r>
        <w:rPr>
          <w:rFonts w:hint="eastAsia"/>
          <w:color w:val="000000"/>
          <w:sz w:val="24"/>
          <w:szCs w:val="24"/>
        </w:rPr>
        <w:t>19.3在提交响应文件截止时间之后，供应商不得对其电子响应文件作任何修改。</w:t>
      </w:r>
    </w:p>
    <w:p w14:paraId="506A331C">
      <w:pPr>
        <w:spacing w:line="440" w:lineRule="exact"/>
        <w:ind w:firstLine="480"/>
        <w:rPr>
          <w:rFonts w:hint="eastAsia"/>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1586CF74">
      <w:pPr>
        <w:keepNext/>
        <w:keepLines/>
        <w:spacing w:line="440" w:lineRule="exact"/>
        <w:outlineLvl w:val="2"/>
        <w:rPr>
          <w:b/>
          <w:bCs/>
          <w:color w:val="000000"/>
          <w:sz w:val="32"/>
          <w:szCs w:val="32"/>
        </w:rPr>
      </w:pPr>
      <w:bookmarkStart w:id="16" w:name="_Toc159312652"/>
      <w:bookmarkStart w:id="17" w:name="_Toc4354"/>
      <w:r>
        <w:rPr>
          <w:b/>
          <w:bCs/>
          <w:color w:val="000000"/>
          <w:sz w:val="32"/>
          <w:szCs w:val="32"/>
        </w:rPr>
        <w:t>五</w:t>
      </w:r>
      <w:r>
        <w:rPr>
          <w:rFonts w:hint="eastAsia"/>
          <w:b/>
          <w:bCs/>
          <w:color w:val="000000"/>
          <w:sz w:val="32"/>
          <w:szCs w:val="32"/>
        </w:rPr>
        <w:t>、磋商与评审</w:t>
      </w:r>
      <w:bookmarkEnd w:id="16"/>
      <w:bookmarkEnd w:id="17"/>
    </w:p>
    <w:p w14:paraId="682E4843">
      <w:pPr>
        <w:keepNext/>
        <w:keepLines/>
        <w:spacing w:line="440" w:lineRule="exact"/>
        <w:ind w:firstLine="138"/>
        <w:rPr>
          <w:rFonts w:hint="eastAsia"/>
          <w:b/>
          <w:color w:val="000000"/>
          <w:sz w:val="28"/>
          <w:szCs w:val="28"/>
        </w:rPr>
      </w:pPr>
      <w:r>
        <w:rPr>
          <w:rFonts w:hint="eastAsia"/>
          <w:b/>
          <w:color w:val="000000"/>
          <w:sz w:val="28"/>
          <w:szCs w:val="28"/>
        </w:rPr>
        <w:t>20、开标</w:t>
      </w:r>
    </w:p>
    <w:p w14:paraId="64BAD6E0">
      <w:pPr>
        <w:spacing w:line="440" w:lineRule="exact"/>
        <w:ind w:firstLine="480"/>
        <w:rPr>
          <w:rFonts w:hint="eastAsia"/>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4E49D9B8">
      <w:pPr>
        <w:spacing w:line="440" w:lineRule="exact"/>
        <w:ind w:firstLine="480"/>
        <w:rPr>
          <w:rFonts w:hint="eastAsia"/>
          <w:color w:val="000000"/>
          <w:sz w:val="24"/>
          <w:szCs w:val="24"/>
        </w:rPr>
      </w:pPr>
      <w:r>
        <w:rPr>
          <w:rFonts w:hint="eastAsia"/>
          <w:color w:val="000000"/>
          <w:sz w:val="24"/>
          <w:szCs w:val="24"/>
        </w:rPr>
        <w:t>20.2开标仪式由代理机构组织。苏采云系统将自动对项目进行开标，并宣布各供应商名称。</w:t>
      </w:r>
    </w:p>
    <w:p w14:paraId="35DCD959">
      <w:pPr>
        <w:spacing w:line="440" w:lineRule="exact"/>
        <w:ind w:firstLine="480"/>
        <w:rPr>
          <w:rFonts w:hint="eastAsia"/>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1EF7A15B">
      <w:pPr>
        <w:spacing w:line="440" w:lineRule="exact"/>
        <w:ind w:firstLine="480"/>
        <w:rPr>
          <w:rFonts w:hint="eastAsia"/>
          <w:color w:val="000000"/>
          <w:sz w:val="24"/>
          <w:szCs w:val="24"/>
        </w:rPr>
      </w:pPr>
      <w:r>
        <w:rPr>
          <w:rFonts w:hint="eastAsia"/>
          <w:color w:val="000000"/>
          <w:sz w:val="24"/>
          <w:szCs w:val="24"/>
        </w:rPr>
        <w:t>20.4供应商如果对开标过程和开标记录有疑义，应当根据《操作手册》规定提出。</w:t>
      </w:r>
    </w:p>
    <w:p w14:paraId="3A9D74C7">
      <w:pPr>
        <w:keepNext/>
        <w:keepLines/>
        <w:spacing w:line="440" w:lineRule="exact"/>
        <w:ind w:firstLine="138"/>
        <w:rPr>
          <w:rFonts w:hint="eastAsia"/>
          <w:b/>
          <w:color w:val="000000"/>
          <w:sz w:val="28"/>
          <w:szCs w:val="28"/>
        </w:rPr>
      </w:pPr>
      <w:r>
        <w:rPr>
          <w:rFonts w:hint="eastAsia"/>
          <w:b/>
          <w:color w:val="000000"/>
          <w:sz w:val="28"/>
          <w:szCs w:val="28"/>
        </w:rPr>
        <w:t>21、磋商小组</w:t>
      </w:r>
    </w:p>
    <w:p w14:paraId="7C9E6D48">
      <w:pPr>
        <w:spacing w:line="440" w:lineRule="exact"/>
        <w:ind w:firstLine="480"/>
        <w:rPr>
          <w:rFonts w:hint="eastAsia"/>
          <w:color w:val="000000"/>
          <w:sz w:val="24"/>
          <w:szCs w:val="24"/>
        </w:rPr>
      </w:pPr>
      <w:r>
        <w:rPr>
          <w:rFonts w:hint="eastAsia"/>
          <w:color w:val="000000"/>
          <w:sz w:val="24"/>
          <w:szCs w:val="24"/>
        </w:rPr>
        <w:t>21.1代理机构依法组建磋商小组与供应商就采购具体事宜分别进行磋商。</w:t>
      </w:r>
    </w:p>
    <w:p w14:paraId="28FB8BB0">
      <w:pPr>
        <w:spacing w:line="440" w:lineRule="exact"/>
        <w:ind w:firstLine="480"/>
        <w:rPr>
          <w:rFonts w:hint="eastAsia"/>
          <w:color w:val="000000"/>
          <w:sz w:val="24"/>
          <w:szCs w:val="24"/>
        </w:rPr>
      </w:pPr>
      <w:r>
        <w:rPr>
          <w:rFonts w:hint="eastAsia"/>
          <w:color w:val="000000"/>
          <w:sz w:val="24"/>
          <w:szCs w:val="24"/>
        </w:rPr>
        <w:t>21.2磋商小组由采购人代表和评审专家共三人以上单数组成。</w:t>
      </w:r>
    </w:p>
    <w:p w14:paraId="027E5A17">
      <w:pPr>
        <w:spacing w:line="440" w:lineRule="exact"/>
        <w:ind w:firstLine="480"/>
        <w:rPr>
          <w:rFonts w:hint="eastAsia"/>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7E0BBEE3">
      <w:pPr>
        <w:spacing w:line="440" w:lineRule="exact"/>
        <w:ind w:firstLine="480"/>
        <w:rPr>
          <w:rFonts w:hint="eastAsia"/>
          <w:color w:val="000000"/>
          <w:sz w:val="24"/>
          <w:szCs w:val="24"/>
        </w:rPr>
      </w:pPr>
      <w:r>
        <w:rPr>
          <w:rFonts w:hint="eastAsia"/>
          <w:color w:val="000000"/>
          <w:sz w:val="24"/>
          <w:szCs w:val="24"/>
        </w:rPr>
        <w:t>21.4磋商小组将对供应商的商业、技术秘密等予以保密。</w:t>
      </w:r>
    </w:p>
    <w:p w14:paraId="26EF583B">
      <w:pPr>
        <w:keepNext/>
        <w:keepLines/>
        <w:spacing w:line="440" w:lineRule="exact"/>
        <w:ind w:firstLine="138"/>
        <w:rPr>
          <w:rFonts w:hint="eastAsia"/>
          <w:b/>
          <w:color w:val="000000"/>
          <w:sz w:val="28"/>
          <w:szCs w:val="28"/>
        </w:rPr>
      </w:pPr>
      <w:r>
        <w:rPr>
          <w:rFonts w:hint="eastAsia"/>
          <w:b/>
          <w:color w:val="000000"/>
          <w:sz w:val="28"/>
          <w:szCs w:val="28"/>
        </w:rPr>
        <w:t>22、评审过程的保密与公正</w:t>
      </w:r>
    </w:p>
    <w:p w14:paraId="2AE5FF62">
      <w:pPr>
        <w:spacing w:line="440" w:lineRule="exact"/>
        <w:ind w:firstLine="480"/>
        <w:rPr>
          <w:rFonts w:hint="eastAsia"/>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7045EA66">
      <w:pPr>
        <w:spacing w:line="440" w:lineRule="exact"/>
        <w:ind w:firstLine="480"/>
        <w:rPr>
          <w:rFonts w:hint="eastAsia"/>
          <w:color w:val="000000"/>
          <w:sz w:val="24"/>
          <w:szCs w:val="24"/>
        </w:rPr>
      </w:pPr>
      <w:r>
        <w:rPr>
          <w:rFonts w:hint="eastAsia"/>
          <w:color w:val="000000"/>
          <w:sz w:val="24"/>
          <w:szCs w:val="24"/>
        </w:rPr>
        <w:t>22.2在评审过程中，供应商不得以任何行为影响磋商评审过程，否则其响应文件将被作为无效响应文件。</w:t>
      </w:r>
    </w:p>
    <w:p w14:paraId="509A9311">
      <w:pPr>
        <w:spacing w:line="440" w:lineRule="exact"/>
        <w:ind w:firstLine="480"/>
        <w:rPr>
          <w:rFonts w:hint="eastAsia"/>
          <w:color w:val="000000"/>
          <w:sz w:val="24"/>
          <w:szCs w:val="24"/>
        </w:rPr>
      </w:pPr>
      <w:r>
        <w:rPr>
          <w:rFonts w:hint="eastAsia"/>
          <w:color w:val="000000"/>
          <w:sz w:val="24"/>
          <w:szCs w:val="24"/>
        </w:rPr>
        <w:t>22.3在项目评审期间，代理机构将设专门人员与供应商联系。</w:t>
      </w:r>
    </w:p>
    <w:p w14:paraId="32DF36B1">
      <w:pPr>
        <w:spacing w:line="440" w:lineRule="exact"/>
        <w:ind w:firstLine="480"/>
        <w:rPr>
          <w:rFonts w:hint="eastAsia"/>
          <w:color w:val="000000"/>
          <w:sz w:val="24"/>
          <w:szCs w:val="24"/>
        </w:rPr>
      </w:pPr>
      <w:r>
        <w:rPr>
          <w:rFonts w:hint="eastAsia"/>
          <w:color w:val="000000"/>
          <w:sz w:val="24"/>
          <w:szCs w:val="24"/>
        </w:rPr>
        <w:t>22.4代理机构和磋商小组不向未成交的供应商解释未成交原因，也不公布评审过程中的相关细节。</w:t>
      </w:r>
    </w:p>
    <w:p w14:paraId="6F8E6828">
      <w:pPr>
        <w:keepNext/>
        <w:keepLines/>
        <w:spacing w:line="440" w:lineRule="exact"/>
        <w:ind w:firstLine="138"/>
        <w:rPr>
          <w:rFonts w:hint="eastAsia"/>
          <w:b/>
          <w:color w:val="000000"/>
          <w:sz w:val="28"/>
          <w:szCs w:val="28"/>
        </w:rPr>
      </w:pPr>
      <w:r>
        <w:rPr>
          <w:rFonts w:hint="eastAsia"/>
          <w:b/>
          <w:color w:val="000000"/>
          <w:sz w:val="28"/>
          <w:szCs w:val="28"/>
        </w:rPr>
        <w:t>23、评审过程中的的澄清</w:t>
      </w:r>
    </w:p>
    <w:p w14:paraId="064E507D">
      <w:pPr>
        <w:spacing w:line="440" w:lineRule="exact"/>
        <w:ind w:firstLine="480"/>
        <w:rPr>
          <w:rFonts w:hint="eastAsia"/>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BECBDD7">
      <w:pPr>
        <w:spacing w:line="440" w:lineRule="exact"/>
        <w:ind w:firstLine="480"/>
        <w:rPr>
          <w:rFonts w:hint="eastAsia"/>
          <w:color w:val="000000"/>
          <w:sz w:val="24"/>
          <w:szCs w:val="24"/>
        </w:rPr>
      </w:pPr>
      <w:r>
        <w:rPr>
          <w:rFonts w:hint="eastAsia"/>
          <w:color w:val="000000"/>
          <w:sz w:val="24"/>
          <w:szCs w:val="24"/>
        </w:rPr>
        <w:t>磋商小组并非对每个供应商都作澄清要求。</w:t>
      </w:r>
    </w:p>
    <w:p w14:paraId="03BDB4DF">
      <w:pPr>
        <w:spacing w:line="440" w:lineRule="exact"/>
        <w:ind w:firstLine="480"/>
        <w:rPr>
          <w:rFonts w:hint="eastAsia"/>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D3E21B6">
      <w:pPr>
        <w:spacing w:line="440" w:lineRule="exact"/>
        <w:ind w:firstLine="480"/>
        <w:rPr>
          <w:rFonts w:hint="eastAsia"/>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67CFA54A">
      <w:pPr>
        <w:keepNext/>
        <w:keepLines/>
        <w:spacing w:line="440" w:lineRule="exact"/>
        <w:ind w:firstLine="138"/>
        <w:rPr>
          <w:rFonts w:hint="eastAsia"/>
          <w:b/>
          <w:color w:val="000000"/>
          <w:sz w:val="28"/>
          <w:szCs w:val="28"/>
        </w:rPr>
      </w:pPr>
      <w:r>
        <w:rPr>
          <w:rFonts w:hint="eastAsia"/>
          <w:b/>
          <w:color w:val="000000"/>
          <w:sz w:val="28"/>
          <w:szCs w:val="28"/>
        </w:rPr>
        <w:t>24、对响应文件的审查</w:t>
      </w:r>
    </w:p>
    <w:p w14:paraId="60A83301">
      <w:pPr>
        <w:spacing w:line="440" w:lineRule="exact"/>
        <w:ind w:firstLine="480"/>
        <w:rPr>
          <w:rFonts w:hint="eastAsia"/>
          <w:color w:val="000000"/>
          <w:sz w:val="24"/>
          <w:szCs w:val="24"/>
        </w:rPr>
      </w:pPr>
      <w:r>
        <w:rPr>
          <w:rFonts w:hint="eastAsia"/>
          <w:color w:val="000000"/>
          <w:sz w:val="24"/>
          <w:szCs w:val="24"/>
        </w:rPr>
        <w:t>24.1响应文件审查分为资格审查和符合性审查。</w:t>
      </w:r>
    </w:p>
    <w:p w14:paraId="4A93B46E">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02448AAF">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2E9D070D">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5062F104">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3970DEDA">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75655057">
      <w:pPr>
        <w:spacing w:line="440" w:lineRule="exact"/>
        <w:ind w:firstLine="480"/>
        <w:rPr>
          <w:rFonts w:hint="eastAsia"/>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2372FF43">
      <w:pPr>
        <w:spacing w:line="440" w:lineRule="exact"/>
        <w:ind w:firstLine="480"/>
        <w:rPr>
          <w:rFonts w:hint="eastAsia"/>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4787B17">
      <w:pPr>
        <w:spacing w:line="440" w:lineRule="exact"/>
        <w:ind w:firstLine="480"/>
        <w:rPr>
          <w:rFonts w:hint="eastAsia"/>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7977B7FE">
      <w:pPr>
        <w:spacing w:line="440" w:lineRule="exact"/>
        <w:ind w:firstLine="480"/>
        <w:rPr>
          <w:rFonts w:hint="eastAsia"/>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7F183AE9">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33EFEFC7">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5756287D">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45097346">
      <w:pPr>
        <w:spacing w:line="46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6E297D6E">
      <w:pPr>
        <w:spacing w:line="460" w:lineRule="exact"/>
        <w:ind w:firstLine="720"/>
        <w:rPr>
          <w:rFonts w:hint="eastAsia"/>
          <w:bCs/>
          <w:color w:val="000000"/>
          <w:sz w:val="24"/>
          <w:szCs w:val="21"/>
        </w:rPr>
      </w:pPr>
      <w:r>
        <w:rPr>
          <w:rFonts w:hint="eastAsia"/>
          <w:bCs/>
          <w:color w:val="000000"/>
          <w:sz w:val="24"/>
          <w:szCs w:val="21"/>
        </w:rPr>
        <w:t>同时出现两种以上错误的，按照前款规定的顺序修正。</w:t>
      </w:r>
    </w:p>
    <w:p w14:paraId="6AA99A39">
      <w:pPr>
        <w:spacing w:line="440" w:lineRule="exact"/>
        <w:ind w:firstLine="480"/>
        <w:rPr>
          <w:rFonts w:hint="eastAsia"/>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18217CB7">
      <w:pPr>
        <w:keepNext/>
        <w:keepLines/>
        <w:spacing w:line="440" w:lineRule="exact"/>
        <w:ind w:firstLine="138"/>
        <w:rPr>
          <w:rFonts w:hint="eastAsia"/>
          <w:b/>
          <w:color w:val="000000"/>
          <w:sz w:val="28"/>
          <w:szCs w:val="28"/>
        </w:rPr>
      </w:pPr>
      <w:r>
        <w:rPr>
          <w:rFonts w:hint="eastAsia"/>
          <w:b/>
          <w:color w:val="000000"/>
          <w:sz w:val="28"/>
          <w:szCs w:val="28"/>
        </w:rPr>
        <w:t>25、未实质性响应磋商文件的情形和废标条款</w:t>
      </w:r>
    </w:p>
    <w:p w14:paraId="76A71141">
      <w:pPr>
        <w:spacing w:line="440" w:lineRule="exact"/>
        <w:ind w:firstLine="480"/>
        <w:rPr>
          <w:rFonts w:hint="eastAsia"/>
          <w:color w:val="000000"/>
          <w:sz w:val="24"/>
          <w:szCs w:val="24"/>
        </w:rPr>
      </w:pPr>
      <w:r>
        <w:rPr>
          <w:rFonts w:hint="eastAsia"/>
          <w:color w:val="000000"/>
          <w:sz w:val="24"/>
          <w:szCs w:val="24"/>
        </w:rPr>
        <w:t>25.1未实质性响应磋商文件的情形</w:t>
      </w:r>
    </w:p>
    <w:p w14:paraId="3FF6921F">
      <w:pPr>
        <w:spacing w:line="440" w:lineRule="exact"/>
        <w:ind w:firstLine="720"/>
        <w:rPr>
          <w:rFonts w:hint="eastAsia"/>
          <w:color w:val="000000"/>
          <w:sz w:val="24"/>
          <w:szCs w:val="24"/>
        </w:rPr>
      </w:pPr>
      <w:r>
        <w:rPr>
          <w:rFonts w:hint="eastAsia"/>
          <w:color w:val="000000"/>
          <w:sz w:val="24"/>
          <w:szCs w:val="24"/>
        </w:rPr>
        <w:t>25.1.1供应商在苏采云系统规定的时间内未成功解密电子响应文件的。</w:t>
      </w:r>
    </w:p>
    <w:p w14:paraId="718A8990">
      <w:pPr>
        <w:spacing w:line="440" w:lineRule="exact"/>
        <w:ind w:firstLine="720"/>
        <w:rPr>
          <w:rFonts w:hint="eastAsia"/>
          <w:color w:val="000000"/>
          <w:sz w:val="24"/>
          <w:szCs w:val="24"/>
        </w:rPr>
      </w:pPr>
      <w:r>
        <w:rPr>
          <w:rFonts w:hint="eastAsia"/>
          <w:color w:val="000000"/>
          <w:sz w:val="24"/>
          <w:szCs w:val="24"/>
        </w:rPr>
        <w:t>25.1.2供应商未按照磋商文件要求上传电子响应文件的。</w:t>
      </w:r>
    </w:p>
    <w:p w14:paraId="42AA82F2">
      <w:pPr>
        <w:spacing w:line="440" w:lineRule="exact"/>
        <w:ind w:firstLine="720"/>
        <w:rPr>
          <w:rFonts w:hint="eastAsia"/>
          <w:color w:val="000000"/>
          <w:sz w:val="24"/>
          <w:szCs w:val="24"/>
        </w:rPr>
      </w:pPr>
      <w:r>
        <w:rPr>
          <w:rFonts w:hint="eastAsia"/>
          <w:color w:val="000000"/>
          <w:sz w:val="24"/>
          <w:szCs w:val="24"/>
        </w:rPr>
        <w:t>25.1.3同一供应商提交两个（含两个）以上不同的响应文件或者最后报价的。</w:t>
      </w:r>
    </w:p>
    <w:p w14:paraId="5FFA1AFC">
      <w:pPr>
        <w:spacing w:line="440" w:lineRule="exact"/>
        <w:ind w:firstLine="720"/>
        <w:rPr>
          <w:rFonts w:hint="eastAsia"/>
          <w:color w:val="000000"/>
          <w:sz w:val="24"/>
          <w:szCs w:val="24"/>
        </w:rPr>
      </w:pPr>
      <w:r>
        <w:rPr>
          <w:rFonts w:hint="eastAsia"/>
          <w:color w:val="000000"/>
          <w:sz w:val="24"/>
          <w:szCs w:val="24"/>
        </w:rPr>
        <w:t>25.1.4供应商不具备磋商文件中规定资格要求的。</w:t>
      </w:r>
    </w:p>
    <w:p w14:paraId="1043D4BF">
      <w:pPr>
        <w:spacing w:line="440" w:lineRule="exact"/>
        <w:ind w:firstLine="720"/>
        <w:rPr>
          <w:rFonts w:hint="eastAsia"/>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294C0247">
      <w:pPr>
        <w:spacing w:line="440" w:lineRule="exact"/>
        <w:ind w:firstLine="720"/>
        <w:rPr>
          <w:rFonts w:hint="eastAsia"/>
          <w:color w:val="000000"/>
          <w:sz w:val="24"/>
          <w:szCs w:val="24"/>
        </w:rPr>
      </w:pPr>
      <w:r>
        <w:rPr>
          <w:rFonts w:hint="eastAsia"/>
          <w:color w:val="000000"/>
          <w:sz w:val="24"/>
          <w:szCs w:val="24"/>
        </w:rPr>
        <w:t>25.1.6未通过符合性审查的。</w:t>
      </w:r>
    </w:p>
    <w:p w14:paraId="79F3E85F">
      <w:pPr>
        <w:spacing w:line="440" w:lineRule="exact"/>
        <w:ind w:firstLine="720"/>
        <w:rPr>
          <w:rFonts w:hint="eastAsia" w:eastAsia="宋体"/>
          <w:i/>
          <w:iCs/>
          <w:color w:val="000000"/>
          <w:sz w:val="24"/>
          <w:szCs w:val="24"/>
          <w:u w:val="single"/>
          <w:lang w:eastAsia="zh-CN"/>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lang w:eastAsia="zh-CN"/>
        </w:rPr>
        <w:t>。</w:t>
      </w:r>
      <w:r>
        <w:rPr>
          <w:i w:val="0"/>
          <w:iCs w:val="0"/>
          <w:color w:val="000000"/>
          <w:sz w:val="24"/>
          <w:szCs w:val="24"/>
          <w:u w:val="none"/>
        </w:rPr>
        <w:t>（本磋商文件中</w:t>
      </w:r>
      <w:r>
        <w:rPr>
          <w:rFonts w:hint="eastAsia"/>
          <w:i w:val="0"/>
          <w:iCs w:val="0"/>
          <w:color w:val="000000"/>
          <w:sz w:val="24"/>
          <w:szCs w:val="24"/>
          <w:u w:val="none"/>
          <w:lang w:val="en-US" w:eastAsia="zh-CN"/>
        </w:rPr>
        <w:t>带</w:t>
      </w:r>
      <w:r>
        <w:rPr>
          <w:color w:val="000000"/>
          <w:sz w:val="24"/>
          <w:szCs w:val="24"/>
          <w:highlight w:val="none"/>
        </w:rPr>
        <w:t>★</w:t>
      </w:r>
      <w:r>
        <w:rPr>
          <w:i w:val="0"/>
          <w:iCs w:val="0"/>
          <w:color w:val="000000"/>
          <w:sz w:val="24"/>
          <w:szCs w:val="24"/>
          <w:u w:val="none"/>
        </w:rPr>
        <w:t>部分为实质性要求和条件）。</w:t>
      </w:r>
    </w:p>
    <w:p w14:paraId="4332B981">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1968BEC">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3EEE13D5">
      <w:pPr>
        <w:spacing w:line="440" w:lineRule="exact"/>
        <w:ind w:firstLine="720"/>
        <w:rPr>
          <w:rFonts w:hint="eastAsia"/>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3EFB96DF">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4F88513A">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34B5447B">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7CC01847">
      <w:pPr>
        <w:spacing w:line="440" w:lineRule="exact"/>
        <w:ind w:firstLine="720"/>
        <w:rPr>
          <w:rFonts w:hint="eastAsia"/>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74761AF6">
      <w:pPr>
        <w:spacing w:line="440" w:lineRule="exact"/>
        <w:ind w:firstLine="480"/>
        <w:rPr>
          <w:rFonts w:hint="eastAsia"/>
          <w:color w:val="000000"/>
          <w:sz w:val="24"/>
          <w:szCs w:val="24"/>
        </w:rPr>
      </w:pPr>
      <w:r>
        <w:rPr>
          <w:rFonts w:hint="eastAsia"/>
          <w:color w:val="000000"/>
          <w:sz w:val="24"/>
          <w:szCs w:val="24"/>
        </w:rPr>
        <w:t>25.2废标条款</w:t>
      </w:r>
    </w:p>
    <w:p w14:paraId="725EF239">
      <w:pPr>
        <w:spacing w:line="440" w:lineRule="exact"/>
        <w:ind w:firstLine="720"/>
        <w:rPr>
          <w:rFonts w:hint="eastAsia"/>
          <w:color w:val="000000"/>
          <w:sz w:val="24"/>
          <w:szCs w:val="24"/>
        </w:rPr>
      </w:pPr>
      <w:r>
        <w:rPr>
          <w:rFonts w:hint="eastAsia"/>
          <w:color w:val="000000"/>
          <w:sz w:val="24"/>
          <w:szCs w:val="24"/>
        </w:rPr>
        <w:t>25.2.1符合专业条件的供应商或者对磋商文件作实质响应的供应商不足三家的。</w:t>
      </w:r>
    </w:p>
    <w:p w14:paraId="6527E99D">
      <w:pPr>
        <w:spacing w:line="440" w:lineRule="exact"/>
        <w:ind w:firstLine="720"/>
        <w:rPr>
          <w:rFonts w:hint="eastAsia"/>
          <w:color w:val="000000"/>
          <w:sz w:val="24"/>
          <w:szCs w:val="24"/>
        </w:rPr>
      </w:pPr>
      <w:r>
        <w:rPr>
          <w:rFonts w:hint="eastAsia"/>
          <w:color w:val="000000"/>
          <w:sz w:val="24"/>
          <w:szCs w:val="24"/>
        </w:rPr>
        <w:t>25.2.2出现影响采购公正的违法、违规行为的。</w:t>
      </w:r>
    </w:p>
    <w:p w14:paraId="314B20F6">
      <w:pPr>
        <w:spacing w:line="440" w:lineRule="exact"/>
        <w:ind w:firstLine="720"/>
        <w:rPr>
          <w:rFonts w:hint="eastAsia"/>
          <w:color w:val="000000"/>
          <w:sz w:val="24"/>
          <w:szCs w:val="24"/>
        </w:rPr>
      </w:pPr>
      <w:r>
        <w:rPr>
          <w:rFonts w:hint="eastAsia"/>
          <w:color w:val="000000"/>
          <w:sz w:val="24"/>
          <w:szCs w:val="24"/>
        </w:rPr>
        <w:t>25.2.3因重大变故，采购任务取消的。</w:t>
      </w:r>
    </w:p>
    <w:p w14:paraId="11872098">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62EBC831">
      <w:pPr>
        <w:spacing w:line="440" w:lineRule="exact"/>
        <w:ind w:firstLine="720"/>
        <w:rPr>
          <w:rFonts w:hint="eastAsia"/>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6C9ABEE9">
      <w:pPr>
        <w:spacing w:line="440" w:lineRule="exact"/>
        <w:ind w:firstLine="720"/>
        <w:rPr>
          <w:rFonts w:hint="eastAsia"/>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12BBB465">
      <w:pPr>
        <w:spacing w:line="440" w:lineRule="exact"/>
        <w:ind w:firstLine="720"/>
        <w:rPr>
          <w:rFonts w:hint="eastAsia"/>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09DC3A4B">
      <w:pPr>
        <w:keepNext/>
        <w:keepLines/>
        <w:spacing w:line="440" w:lineRule="exact"/>
        <w:ind w:firstLine="138"/>
        <w:rPr>
          <w:rFonts w:hint="eastAsia"/>
          <w:b/>
          <w:color w:val="000000"/>
          <w:sz w:val="28"/>
          <w:szCs w:val="28"/>
        </w:rPr>
      </w:pPr>
      <w:r>
        <w:rPr>
          <w:rFonts w:hint="eastAsia"/>
          <w:b/>
          <w:color w:val="000000"/>
          <w:sz w:val="28"/>
          <w:szCs w:val="28"/>
        </w:rPr>
        <w:t>26、磋商程序及评审方法和评审标准</w:t>
      </w:r>
    </w:p>
    <w:p w14:paraId="51CE01B3">
      <w:pPr>
        <w:spacing w:line="440" w:lineRule="exact"/>
        <w:ind w:firstLine="480"/>
        <w:rPr>
          <w:rFonts w:hint="eastAsia"/>
          <w:color w:val="000000"/>
          <w:sz w:val="24"/>
          <w:szCs w:val="24"/>
        </w:rPr>
      </w:pPr>
      <w:r>
        <w:rPr>
          <w:rFonts w:hint="eastAsia"/>
          <w:color w:val="000000"/>
          <w:sz w:val="24"/>
          <w:szCs w:val="24"/>
        </w:rPr>
        <w:t>26.1磋商程序</w:t>
      </w:r>
    </w:p>
    <w:p w14:paraId="75DD96DA">
      <w:pPr>
        <w:spacing w:line="440" w:lineRule="exact"/>
        <w:ind w:firstLine="720"/>
        <w:rPr>
          <w:rFonts w:hint="eastAsia"/>
          <w:sz w:val="24"/>
          <w:szCs w:val="24"/>
        </w:rPr>
      </w:pPr>
      <w:r>
        <w:rPr>
          <w:rFonts w:hint="eastAsia"/>
          <w:sz w:val="24"/>
          <w:szCs w:val="24"/>
        </w:rPr>
        <w:t>26.1.1磋商小组审查供应商解密的响应文件。</w:t>
      </w:r>
    </w:p>
    <w:p w14:paraId="61CDB2C4">
      <w:pPr>
        <w:spacing w:line="440" w:lineRule="exact"/>
        <w:ind w:firstLine="720"/>
        <w:rPr>
          <w:rFonts w:hint="eastAsia"/>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5213463">
      <w:pPr>
        <w:spacing w:line="440" w:lineRule="exact"/>
        <w:ind w:firstLine="720"/>
        <w:rPr>
          <w:rFonts w:hint="eastAsia"/>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7C4FDF4F">
      <w:pPr>
        <w:pStyle w:val="13"/>
        <w:spacing w:line="440" w:lineRule="exact"/>
        <w:rPr>
          <w:rFonts w:hint="eastAsia"/>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1CABE535">
      <w:pPr>
        <w:spacing w:line="440" w:lineRule="exact"/>
        <w:ind w:firstLine="720"/>
        <w:rPr>
          <w:rFonts w:hint="eastAsia"/>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127098D5">
      <w:pPr>
        <w:spacing w:line="440" w:lineRule="exact"/>
        <w:ind w:firstLine="720"/>
        <w:rPr>
          <w:rFonts w:hint="eastAsia"/>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A3C8535">
      <w:pPr>
        <w:spacing w:line="440" w:lineRule="exact"/>
        <w:ind w:firstLine="720"/>
        <w:rPr>
          <w:rFonts w:hint="eastAsia"/>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0AAE885F">
      <w:pPr>
        <w:spacing w:line="440" w:lineRule="exact"/>
        <w:ind w:firstLine="720"/>
        <w:rPr>
          <w:rFonts w:hint="eastAsia"/>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39B9A99B">
      <w:pPr>
        <w:pStyle w:val="13"/>
        <w:spacing w:line="440" w:lineRule="exact"/>
        <w:ind w:firstLine="422"/>
        <w:rPr>
          <w:rFonts w:hint="eastAsia"/>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6871E91A">
      <w:pPr>
        <w:pStyle w:val="13"/>
        <w:spacing w:line="440" w:lineRule="exact"/>
        <w:ind w:firstLine="422"/>
        <w:rPr>
          <w:rFonts w:hint="eastAsia"/>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738F6409">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3E6743C7">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39F03F8F">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07224504">
      <w:pPr>
        <w:spacing w:line="440" w:lineRule="exact"/>
        <w:ind w:firstLine="480"/>
        <w:rPr>
          <w:rFonts w:hint="eastAsia"/>
          <w:color w:val="000000"/>
          <w:sz w:val="24"/>
          <w:szCs w:val="24"/>
        </w:rPr>
      </w:pPr>
      <w:r>
        <w:rPr>
          <w:rFonts w:hint="eastAsia"/>
          <w:color w:val="000000"/>
          <w:sz w:val="24"/>
          <w:szCs w:val="24"/>
        </w:rPr>
        <w:t>26.2评审方法和评审标准</w:t>
      </w:r>
    </w:p>
    <w:p w14:paraId="2DCDC50B">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1B6C7DB4">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71D99A">
      <w:pPr>
        <w:spacing w:line="440" w:lineRule="exact"/>
        <w:ind w:firstLine="720"/>
        <w:rPr>
          <w:sz w:val="24"/>
          <w:szCs w:val="24"/>
        </w:rPr>
      </w:pPr>
      <w:r>
        <w:rPr>
          <w:rFonts w:hint="eastAsia"/>
          <w:color w:val="000000"/>
          <w:sz w:val="24"/>
          <w:szCs w:val="24"/>
        </w:rPr>
        <w:t>26</w:t>
      </w:r>
      <w:r>
        <w:rPr>
          <w:color w:val="000000"/>
          <w:sz w:val="24"/>
          <w:szCs w:val="24"/>
        </w:rPr>
        <w:t>.2.2评审标准</w:t>
      </w:r>
    </w:p>
    <w:p w14:paraId="3BFED800">
      <w:pPr>
        <w:spacing w:line="440" w:lineRule="exact"/>
        <w:ind w:firstLine="715"/>
        <w:rPr>
          <w:sz w:val="24"/>
          <w:szCs w:val="24"/>
        </w:rPr>
      </w:pPr>
      <w:r>
        <w:rPr>
          <w:color w:val="000000"/>
          <w:sz w:val="24"/>
          <w:szCs w:val="24"/>
        </w:rPr>
        <w:t>见本磋商文件第五章规定。</w:t>
      </w:r>
    </w:p>
    <w:p w14:paraId="35FA0ADB">
      <w:pPr>
        <w:spacing w:line="440" w:lineRule="exact"/>
        <w:ind w:firstLine="480"/>
        <w:rPr>
          <w:rFonts w:hint="eastAsia"/>
          <w:color w:val="000000"/>
          <w:sz w:val="24"/>
          <w:szCs w:val="24"/>
        </w:rPr>
      </w:pPr>
      <w:r>
        <w:rPr>
          <w:rFonts w:hint="eastAsia"/>
          <w:color w:val="000000"/>
          <w:sz w:val="24"/>
          <w:szCs w:val="24"/>
        </w:rPr>
        <w:t>26.3采购活动终止的情况</w:t>
      </w:r>
    </w:p>
    <w:p w14:paraId="210FC82A">
      <w:pPr>
        <w:spacing w:line="440" w:lineRule="exact"/>
        <w:ind w:firstLine="600"/>
        <w:rPr>
          <w:sz w:val="24"/>
          <w:szCs w:val="24"/>
        </w:rPr>
      </w:pPr>
      <w:r>
        <w:rPr>
          <w:color w:val="000000"/>
          <w:sz w:val="24"/>
          <w:szCs w:val="24"/>
        </w:rPr>
        <w:t>出现下列情形之一的，本次竞争性磋商采购活动将被终止：</w:t>
      </w:r>
    </w:p>
    <w:p w14:paraId="3A58B62F">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177E51EC">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254B8AA6">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64943B51">
      <w:pPr>
        <w:spacing w:line="440" w:lineRule="exact"/>
        <w:ind w:firstLine="720"/>
        <w:rPr>
          <w:rFonts w:hint="eastAsia"/>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23CE80C0">
      <w:pPr>
        <w:keepNext/>
        <w:keepLines/>
        <w:spacing w:line="440" w:lineRule="exact"/>
        <w:outlineLvl w:val="2"/>
        <w:rPr>
          <w:b/>
          <w:bCs/>
          <w:color w:val="000000"/>
          <w:sz w:val="32"/>
          <w:szCs w:val="32"/>
        </w:rPr>
      </w:pPr>
      <w:bookmarkStart w:id="18" w:name="_Toc159312653"/>
      <w:bookmarkStart w:id="19" w:name="_Toc16801"/>
      <w:r>
        <w:rPr>
          <w:b/>
          <w:bCs/>
          <w:color w:val="000000"/>
          <w:sz w:val="32"/>
          <w:szCs w:val="32"/>
        </w:rPr>
        <w:t>六、成交</w:t>
      </w:r>
      <w:bookmarkEnd w:id="18"/>
      <w:bookmarkEnd w:id="19"/>
    </w:p>
    <w:p w14:paraId="1DE80973">
      <w:pPr>
        <w:keepNext/>
        <w:keepLines/>
        <w:spacing w:line="440" w:lineRule="exact"/>
        <w:ind w:firstLine="138"/>
        <w:rPr>
          <w:rFonts w:hint="eastAsia"/>
          <w:b/>
          <w:color w:val="000000"/>
          <w:sz w:val="28"/>
          <w:szCs w:val="28"/>
        </w:rPr>
      </w:pPr>
      <w:r>
        <w:rPr>
          <w:rFonts w:hint="eastAsia"/>
          <w:b/>
          <w:color w:val="000000"/>
          <w:sz w:val="28"/>
          <w:szCs w:val="28"/>
        </w:rPr>
        <w:t>27、确定成交供应商</w:t>
      </w:r>
    </w:p>
    <w:p w14:paraId="70E27D98">
      <w:pPr>
        <w:spacing w:line="440" w:lineRule="exact"/>
        <w:ind w:firstLine="480"/>
        <w:rPr>
          <w:rFonts w:hint="eastAsia"/>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27.1磋商小组将采用综合评分法对提交最后报价的供应商的响应文件和最后报价进行综合评分，按评审后得分由高到低顺序排列。得分相同的，按报价</w:t>
      </w:r>
      <w:r>
        <w:rPr>
          <w:rFonts w:hint="eastAsia"/>
          <w:color w:val="000000"/>
          <w:sz w:val="24"/>
          <w:szCs w:val="24"/>
          <w:lang w:val="en-US" w:eastAsia="zh-CN"/>
        </w:rPr>
        <w:t>固定优惠率</w:t>
      </w:r>
      <w:r>
        <w:rPr>
          <w:rFonts w:hint="eastAsia"/>
          <w:color w:val="000000"/>
          <w:sz w:val="24"/>
          <w:szCs w:val="24"/>
        </w:rPr>
        <w:t>由</w:t>
      </w:r>
      <w:r>
        <w:rPr>
          <w:rFonts w:hint="eastAsia"/>
          <w:color w:val="000000"/>
          <w:sz w:val="24"/>
          <w:szCs w:val="24"/>
          <w:lang w:val="en-US" w:eastAsia="zh-CN"/>
        </w:rPr>
        <w:t>高</w:t>
      </w:r>
      <w:r>
        <w:rPr>
          <w:rFonts w:hint="eastAsia"/>
          <w:color w:val="000000"/>
          <w:sz w:val="24"/>
          <w:szCs w:val="24"/>
        </w:rPr>
        <w:t>到</w:t>
      </w:r>
      <w:r>
        <w:rPr>
          <w:rFonts w:hint="eastAsia"/>
          <w:color w:val="000000"/>
          <w:sz w:val="24"/>
          <w:szCs w:val="24"/>
          <w:lang w:val="en-US" w:eastAsia="zh-CN"/>
        </w:rPr>
        <w:t>低</w:t>
      </w:r>
      <w:r>
        <w:rPr>
          <w:rFonts w:hint="eastAsia"/>
          <w:color w:val="000000"/>
          <w:sz w:val="24"/>
          <w:szCs w:val="24"/>
        </w:rPr>
        <w:t>顺序排列。得分且报价</w:t>
      </w:r>
      <w:r>
        <w:rPr>
          <w:rFonts w:hint="eastAsia"/>
          <w:color w:val="000000"/>
          <w:sz w:val="24"/>
          <w:szCs w:val="24"/>
          <w:lang w:val="en-US" w:eastAsia="zh-CN"/>
        </w:rPr>
        <w:t>固定优惠率</w:t>
      </w:r>
      <w:r>
        <w:rPr>
          <w:rFonts w:hint="eastAsia"/>
          <w:color w:val="000000"/>
          <w:sz w:val="24"/>
          <w:szCs w:val="24"/>
        </w:rPr>
        <w:t>相同的并列，由采购人或者采购人委托评标委员会采取随机抽取的方式确定。</w:t>
      </w:r>
    </w:p>
    <w:p w14:paraId="611718C9">
      <w:pPr>
        <w:spacing w:line="440" w:lineRule="exact"/>
        <w:ind w:firstLine="480"/>
        <w:rPr>
          <w:rFonts w:hint="eastAsia"/>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42154A93">
      <w:pPr>
        <w:spacing w:line="440" w:lineRule="exact"/>
        <w:ind w:firstLine="361"/>
        <w:rPr>
          <w:sz w:val="24"/>
          <w:szCs w:val="24"/>
        </w:rPr>
      </w:pPr>
      <w:r>
        <w:rPr>
          <w:b/>
          <w:bCs/>
          <w:color w:val="000000"/>
          <w:sz w:val="24"/>
          <w:szCs w:val="24"/>
        </w:rPr>
        <w:t>注：“有效供应商”是指通过资格性和符合性检查的供应商。</w:t>
      </w:r>
    </w:p>
    <w:p w14:paraId="5A87FE3C">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51DEAFDD">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3D6EAC89">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71A63814">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0241DAB5">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48F692C4">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7D66088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257E2DA8">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00F75697">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6DE0D766">
      <w:pPr>
        <w:keepNext/>
        <w:keepLines/>
        <w:spacing w:line="440" w:lineRule="exact"/>
        <w:ind w:firstLine="138"/>
        <w:rPr>
          <w:rFonts w:hint="eastAsia"/>
          <w:b/>
          <w:color w:val="000000"/>
          <w:sz w:val="28"/>
          <w:szCs w:val="28"/>
        </w:rPr>
      </w:pPr>
      <w:r>
        <w:rPr>
          <w:rFonts w:hint="eastAsia"/>
          <w:b/>
          <w:color w:val="000000"/>
          <w:sz w:val="28"/>
          <w:szCs w:val="28"/>
        </w:rPr>
        <w:t>28、成交通知书</w:t>
      </w:r>
    </w:p>
    <w:p w14:paraId="45D77823">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233B65B1">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4AEC99E">
      <w:pPr>
        <w:keepNext/>
        <w:keepLines/>
        <w:spacing w:line="440" w:lineRule="exact"/>
        <w:outlineLvl w:val="2"/>
        <w:rPr>
          <w:b/>
          <w:bCs/>
          <w:color w:val="000000"/>
          <w:sz w:val="32"/>
          <w:szCs w:val="32"/>
        </w:rPr>
      </w:pPr>
      <w:bookmarkStart w:id="20" w:name="_Toc159312654"/>
      <w:bookmarkStart w:id="21" w:name="_Toc13119"/>
      <w:r>
        <w:rPr>
          <w:b/>
          <w:bCs/>
          <w:color w:val="000000"/>
          <w:sz w:val="32"/>
          <w:szCs w:val="32"/>
        </w:rPr>
        <w:t>七、授予合同</w:t>
      </w:r>
      <w:bookmarkEnd w:id="20"/>
      <w:bookmarkEnd w:id="21"/>
    </w:p>
    <w:p w14:paraId="2D57F598">
      <w:pPr>
        <w:keepNext/>
        <w:keepLines/>
        <w:spacing w:line="440" w:lineRule="exact"/>
        <w:ind w:firstLine="138"/>
        <w:rPr>
          <w:rFonts w:hint="eastAsia"/>
          <w:b/>
          <w:color w:val="000000"/>
          <w:sz w:val="28"/>
          <w:szCs w:val="28"/>
        </w:rPr>
      </w:pPr>
      <w:r>
        <w:rPr>
          <w:rFonts w:hint="eastAsia"/>
          <w:b/>
          <w:color w:val="000000"/>
          <w:sz w:val="28"/>
          <w:szCs w:val="28"/>
        </w:rPr>
        <w:t>29、签订合同</w:t>
      </w:r>
    </w:p>
    <w:p w14:paraId="2FF6F289">
      <w:pPr>
        <w:spacing w:line="440" w:lineRule="exact"/>
        <w:ind w:firstLine="480"/>
        <w:rPr>
          <w:color w:val="000000"/>
          <w:sz w:val="24"/>
          <w:szCs w:val="24"/>
        </w:rPr>
      </w:pPr>
      <w:r>
        <w:rPr>
          <w:color w:val="000000"/>
          <w:sz w:val="24"/>
          <w:szCs w:val="24"/>
        </w:rPr>
        <w:t>2</w:t>
      </w:r>
      <w:r>
        <w:rPr>
          <w:rFonts w:hint="eastAsia"/>
          <w:color w:val="000000"/>
          <w:sz w:val="24"/>
          <w:szCs w:val="24"/>
          <w:lang w:val="en-US" w:eastAsia="zh-CN"/>
        </w:rPr>
        <w:t>9</w:t>
      </w:r>
      <w:r>
        <w:rPr>
          <w:rFonts w:hint="eastAsia"/>
          <w:color w:val="000000"/>
          <w:sz w:val="24"/>
          <w:szCs w:val="24"/>
        </w:rPr>
        <w:t>.</w:t>
      </w:r>
      <w:r>
        <w:rPr>
          <w:rFonts w:hint="eastAsia"/>
          <w:color w:val="000000"/>
          <w:sz w:val="24"/>
          <w:szCs w:val="24"/>
          <w:lang w:val="en-US" w:eastAsia="zh-CN"/>
        </w:rPr>
        <w:t>1</w:t>
      </w:r>
      <w:r>
        <w:rPr>
          <w:rFonts w:hint="eastAsia"/>
          <w:color w:val="000000"/>
          <w:sz w:val="24"/>
          <w:szCs w:val="24"/>
        </w:rPr>
        <w:t>成交供应商应当在成交通知书发出之日起三十日（磋商文件中有另外要求的，以另外要求为准）内，按照采购文件确定的事项与常熟市自然资源和规划局</w:t>
      </w:r>
      <w:r>
        <w:rPr>
          <w:rFonts w:hint="eastAsia"/>
          <w:color w:val="000000"/>
          <w:sz w:val="24"/>
          <w:szCs w:val="24"/>
          <w:lang w:val="en-US" w:eastAsia="zh-CN"/>
        </w:rPr>
        <w:t>下属</w:t>
      </w:r>
      <w:r>
        <w:rPr>
          <w:rFonts w:hint="eastAsia"/>
          <w:color w:val="000000"/>
          <w:sz w:val="24"/>
          <w:szCs w:val="24"/>
        </w:rPr>
        <w:t>的</w:t>
      </w:r>
      <w:r>
        <w:rPr>
          <w:rFonts w:hint="eastAsia"/>
          <w:color w:val="000000"/>
          <w:sz w:val="24"/>
          <w:szCs w:val="24"/>
          <w:lang w:val="en-US" w:eastAsia="zh-CN"/>
        </w:rPr>
        <w:t>事业单位</w:t>
      </w:r>
      <w:r>
        <w:rPr>
          <w:rFonts w:hint="eastAsia"/>
          <w:color w:val="000000"/>
          <w:sz w:val="24"/>
          <w:szCs w:val="24"/>
        </w:rPr>
        <w:t>常熟市土地储备中心签订政府采购合同。</w:t>
      </w:r>
    </w:p>
    <w:p w14:paraId="2558F10B">
      <w:pPr>
        <w:spacing w:line="440" w:lineRule="exact"/>
        <w:ind w:firstLine="480"/>
        <w:rPr>
          <w:color w:val="000000"/>
          <w:sz w:val="24"/>
          <w:szCs w:val="24"/>
        </w:rPr>
      </w:pPr>
      <w:r>
        <w:rPr>
          <w:color w:val="000000"/>
          <w:sz w:val="24"/>
          <w:szCs w:val="24"/>
        </w:rPr>
        <w:t>2</w:t>
      </w:r>
      <w:r>
        <w:rPr>
          <w:rFonts w:hint="eastAsia"/>
          <w:color w:val="000000"/>
          <w:sz w:val="24"/>
          <w:szCs w:val="24"/>
          <w:lang w:val="en-US" w:eastAsia="zh-CN"/>
        </w:rPr>
        <w:t>9</w:t>
      </w:r>
      <w:r>
        <w:rPr>
          <w:rFonts w:hint="eastAsia"/>
          <w:color w:val="000000"/>
          <w:sz w:val="24"/>
          <w:szCs w:val="24"/>
        </w:rPr>
        <w:t>.2 采购文件、成交供应商的响应文件及投报过程中有关澄清、承诺文件均应作为合同附件。</w:t>
      </w:r>
    </w:p>
    <w:p w14:paraId="296065CF">
      <w:pPr>
        <w:spacing w:line="440" w:lineRule="exact"/>
        <w:ind w:firstLine="480"/>
        <w:rPr>
          <w:color w:val="000000"/>
          <w:sz w:val="24"/>
          <w:szCs w:val="24"/>
        </w:rPr>
      </w:pPr>
      <w:r>
        <w:rPr>
          <w:color w:val="000000"/>
          <w:sz w:val="24"/>
          <w:szCs w:val="24"/>
        </w:rPr>
        <w:t>2</w:t>
      </w:r>
      <w:r>
        <w:rPr>
          <w:rFonts w:hint="eastAsia"/>
          <w:color w:val="000000"/>
          <w:sz w:val="24"/>
          <w:szCs w:val="24"/>
          <w:lang w:val="en-US" w:eastAsia="zh-CN"/>
        </w:rPr>
        <w:t>9</w:t>
      </w:r>
      <w:r>
        <w:rPr>
          <w:rFonts w:hint="eastAsia"/>
          <w:color w:val="000000"/>
          <w:sz w:val="24"/>
          <w:szCs w:val="24"/>
        </w:rPr>
        <w:t>.3 签订合同后，成交供应商不得将合同标的进行转包。未经采购人同意，成交供应商也不得采用分包的形式履行合同，否则采购</w:t>
      </w:r>
      <w:r>
        <w:rPr>
          <w:color w:val="000000"/>
          <w:sz w:val="24"/>
          <w:szCs w:val="24"/>
        </w:rPr>
        <w:t>人或者</w:t>
      </w:r>
      <w:r>
        <w:rPr>
          <w:rFonts w:hint="eastAsia"/>
          <w:color w:val="000000"/>
          <w:sz w:val="24"/>
          <w:szCs w:val="24"/>
        </w:rPr>
        <w:t>常熟市土地储备中心有权终止合同。转包或分包造成采购人损失的，成交供应商应承担相应赔偿责任。</w:t>
      </w:r>
    </w:p>
    <w:p w14:paraId="184C51EE">
      <w:pPr>
        <w:keepNext/>
        <w:keepLines/>
        <w:spacing w:line="440" w:lineRule="exact"/>
        <w:ind w:firstLine="138"/>
        <w:rPr>
          <w:rFonts w:hint="eastAsia"/>
          <w:b/>
          <w:color w:val="000000"/>
          <w:sz w:val="28"/>
          <w:szCs w:val="28"/>
        </w:rPr>
      </w:pPr>
      <w:r>
        <w:rPr>
          <w:rFonts w:hint="eastAsia"/>
          <w:b/>
          <w:color w:val="000000"/>
          <w:sz w:val="28"/>
          <w:szCs w:val="28"/>
        </w:rPr>
        <w:t>30、</w:t>
      </w:r>
      <w:r>
        <w:rPr>
          <w:rFonts w:hint="eastAsia"/>
          <w:b/>
          <w:color w:val="000000"/>
          <w:sz w:val="28"/>
          <w:szCs w:val="28"/>
          <w:lang w:val="en-US" w:eastAsia="zh-CN"/>
        </w:rPr>
        <w:t>合同</w:t>
      </w:r>
      <w:r>
        <w:rPr>
          <w:rFonts w:hint="eastAsia"/>
          <w:b/>
          <w:color w:val="000000"/>
          <w:sz w:val="28"/>
          <w:szCs w:val="28"/>
        </w:rPr>
        <w:t>的追加</w:t>
      </w:r>
    </w:p>
    <w:p w14:paraId="3B7E8072">
      <w:pPr>
        <w:spacing w:line="440" w:lineRule="exact"/>
        <w:ind w:firstLine="480"/>
        <w:rPr>
          <w:color w:val="000000"/>
          <w:sz w:val="24"/>
          <w:szCs w:val="24"/>
        </w:rPr>
      </w:pPr>
      <w:r>
        <w:rPr>
          <w:rFonts w:hint="eastAsia"/>
          <w:color w:val="000000"/>
          <w:sz w:val="24"/>
          <w:szCs w:val="24"/>
        </w:rPr>
        <w:t>30</w:t>
      </w:r>
      <w:r>
        <w:rPr>
          <w:color w:val="000000"/>
          <w:sz w:val="24"/>
          <w:szCs w:val="24"/>
        </w:rPr>
        <w:t>.1</w:t>
      </w:r>
      <w:r>
        <w:rPr>
          <w:rFonts w:hint="eastAsia"/>
          <w:color w:val="000000"/>
          <w:sz w:val="24"/>
          <w:szCs w:val="24"/>
        </w:rPr>
        <w:t>政府采购合同履行中，常熟市土地储备中心需追加与合同标的相同的子项的，在不改变合同其他条款的前提下，可以与成交供应商协商签订补充合同，但所有补充合同的采购金额不超过原合同金额10%。</w:t>
      </w:r>
    </w:p>
    <w:p w14:paraId="53279362">
      <w:pPr>
        <w:keepNext/>
        <w:keepLines/>
        <w:spacing w:line="440" w:lineRule="exact"/>
        <w:ind w:firstLine="138"/>
        <w:rPr>
          <w:rFonts w:hint="eastAsia"/>
          <w:b/>
          <w:color w:val="000000"/>
          <w:sz w:val="28"/>
          <w:szCs w:val="28"/>
        </w:rPr>
      </w:pPr>
      <w:r>
        <w:rPr>
          <w:rFonts w:hint="eastAsia"/>
          <w:b/>
          <w:color w:val="000000"/>
          <w:sz w:val="28"/>
          <w:szCs w:val="28"/>
        </w:rPr>
        <w:t>31、政府采购履约资金扶持政策</w:t>
      </w:r>
    </w:p>
    <w:p w14:paraId="2DCFC720">
      <w:pPr>
        <w:spacing w:line="440" w:lineRule="exact"/>
        <w:ind w:firstLine="480"/>
        <w:rPr>
          <w:rFonts w:hint="eastAsia"/>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1993745B">
      <w:pPr>
        <w:pStyle w:val="2"/>
        <w:numPr>
          <w:ilvl w:val="0"/>
          <w:numId w:val="4"/>
        </w:numPr>
      </w:pPr>
      <w:r>
        <w:rPr/>
        <w:br w:type="page" w:clear="all"/>
      </w:r>
      <w:bookmarkStart w:id="22" w:name="_Toc159312655"/>
      <w:bookmarkStart w:id="23" w:name="_Toc22334"/>
      <w:bookmarkStart w:id="24" w:name="_Toc4605"/>
      <w:bookmarkStart w:id="25" w:name="_Toc103080650"/>
      <w:r>
        <w:rPr>
          <w:szCs w:val="36"/>
        </w:rPr>
        <w:t xml:space="preserve"> </w:t>
      </w:r>
      <w:r>
        <w:rPr>
          <w:rFonts w:hint="eastAsia"/>
          <w:szCs w:val="36"/>
          <w:lang w:val="en-US" w:eastAsia="zh-CN"/>
        </w:rPr>
        <w:t xml:space="preserve"> </w:t>
      </w:r>
      <w:bookmarkStart w:id="26" w:name="_Toc8676"/>
      <w:r>
        <w:rPr>
          <w:szCs w:val="36"/>
        </w:rPr>
        <w:t>合同</w:t>
      </w:r>
      <w:bookmarkEnd w:id="22"/>
      <w:bookmarkEnd w:id="23"/>
      <w:bookmarkEnd w:id="24"/>
      <w:r>
        <w:rPr>
          <w:rFonts w:hint="eastAsia"/>
          <w:szCs w:val="36"/>
        </w:rPr>
        <w:t>文本</w:t>
      </w:r>
      <w:bookmarkEnd w:id="26"/>
    </w:p>
    <w:p w14:paraId="6263DEE3">
      <w:pPr>
        <w:spacing w:after="160" w:line="360" w:lineRule="auto"/>
        <w:rPr>
          <w:rFonts w:ascii="宋体" w:hAnsi="宋体" w:cs="Calibri"/>
          <w:szCs w:val="18"/>
        </w:rPr>
      </w:pPr>
      <w:r>
        <w:rPr>
          <w:rFonts w:hint="eastAsia" w:ascii="宋体" w:hAnsi="宋体" w:cs="Calibri"/>
          <w:szCs w:val="18"/>
          <w:lang w:eastAsia="zh-CN"/>
        </w:rPr>
        <w:t>常熟市自然资源和规划局</w:t>
      </w:r>
      <w:r>
        <w:rPr>
          <w:rFonts w:hint="eastAsia" w:ascii="宋体" w:hAnsi="宋体" w:cs="Calibri"/>
          <w:szCs w:val="18"/>
        </w:rPr>
        <w:t>（发包人）：</w:t>
      </w:r>
      <w:r>
        <w:rPr>
          <w:rFonts w:ascii="宋体" w:hAnsi="宋体" w:cs="Calibri"/>
          <w:szCs w:val="18"/>
        </w:rPr>
        <w:t xml:space="preserve"> </w:t>
      </w:r>
    </w:p>
    <w:p w14:paraId="45E3DBFA">
      <w:pPr>
        <w:spacing w:after="160" w:line="360" w:lineRule="auto"/>
        <w:rPr>
          <w:rFonts w:ascii="宋体" w:hAnsi="宋体" w:cs="Calibri"/>
          <w:szCs w:val="18"/>
        </w:rPr>
      </w:pPr>
      <w:r>
        <w:rPr>
          <w:rFonts w:hint="eastAsia" w:ascii="宋体" w:hAnsi="宋体" w:cs="Calibri"/>
          <w:szCs w:val="18"/>
        </w:rPr>
        <w:t xml:space="preserve">地址： </w:t>
      </w:r>
    </w:p>
    <w:p w14:paraId="4A7293B5">
      <w:pPr>
        <w:spacing w:after="160" w:line="360" w:lineRule="auto"/>
        <w:rPr>
          <w:rFonts w:ascii="宋体" w:hAnsi="宋体" w:cs="Calibri"/>
          <w:szCs w:val="18"/>
        </w:rPr>
      </w:pPr>
      <w:r>
        <w:rPr>
          <w:rFonts w:hint="eastAsia" w:ascii="宋体" w:hAnsi="宋体" w:cs="Calibri"/>
          <w:szCs w:val="18"/>
        </w:rPr>
        <w:t xml:space="preserve">联 系 人： </w:t>
      </w:r>
    </w:p>
    <w:p w14:paraId="35FED63A">
      <w:pPr>
        <w:spacing w:after="160" w:line="360" w:lineRule="auto"/>
        <w:rPr>
          <w:rFonts w:ascii="宋体" w:hAnsi="宋体" w:cs="宋体"/>
          <w:szCs w:val="21"/>
        </w:rPr>
      </w:pPr>
      <w:r>
        <w:rPr>
          <w:rFonts w:hint="eastAsia" w:ascii="宋体" w:hAnsi="宋体" w:cs="Calibri"/>
          <w:szCs w:val="18"/>
        </w:rPr>
        <w:t>联系电话：</w:t>
      </w:r>
    </w:p>
    <w:p w14:paraId="519484B2">
      <w:pPr>
        <w:spacing w:after="160" w:line="360" w:lineRule="auto"/>
        <w:rPr>
          <w:rFonts w:ascii="宋体" w:hAnsi="宋体" w:cs="Calibri"/>
          <w:szCs w:val="18"/>
        </w:rPr>
      </w:pPr>
    </w:p>
    <w:p w14:paraId="0F9A405D">
      <w:pPr>
        <w:spacing w:after="160" w:line="360" w:lineRule="auto"/>
        <w:rPr>
          <w:rFonts w:ascii="宋体" w:hAnsi="宋体" w:cs="Calibri"/>
          <w:szCs w:val="18"/>
        </w:rPr>
      </w:pPr>
      <w:r>
        <w:rPr>
          <w:rFonts w:hint="eastAsia" w:ascii="宋体" w:hAnsi="宋体" w:cs="Calibri"/>
          <w:szCs w:val="18"/>
        </w:rPr>
        <w:t>供应商（承包人）：</w:t>
      </w:r>
    </w:p>
    <w:p w14:paraId="1B39CC35">
      <w:pPr>
        <w:spacing w:after="160" w:line="360" w:lineRule="auto"/>
        <w:rPr>
          <w:rFonts w:ascii="宋体" w:hAnsi="宋体" w:cs="Calibri"/>
          <w:szCs w:val="18"/>
        </w:rPr>
      </w:pPr>
      <w:r>
        <w:rPr>
          <w:rFonts w:hint="eastAsia" w:ascii="宋体" w:hAnsi="宋体" w:cs="Calibri"/>
          <w:szCs w:val="18"/>
        </w:rPr>
        <w:t>地址：</w:t>
      </w:r>
    </w:p>
    <w:p w14:paraId="7AD284FC">
      <w:pPr>
        <w:spacing w:after="160" w:line="360" w:lineRule="auto"/>
        <w:rPr>
          <w:rFonts w:ascii="宋体" w:hAnsi="宋体" w:cs="Calibri"/>
          <w:szCs w:val="18"/>
        </w:rPr>
      </w:pPr>
      <w:r>
        <w:rPr>
          <w:rFonts w:hint="eastAsia" w:ascii="宋体" w:hAnsi="宋体" w:cs="Calibri"/>
          <w:szCs w:val="18"/>
        </w:rPr>
        <w:t>联 系 人：</w:t>
      </w:r>
    </w:p>
    <w:p w14:paraId="35CEDBC7">
      <w:pPr>
        <w:spacing w:after="160" w:line="360" w:lineRule="auto"/>
        <w:rPr>
          <w:rFonts w:ascii="宋体" w:hAnsi="宋体" w:cs="宋体"/>
          <w:sz w:val="20"/>
          <w:szCs w:val="20"/>
        </w:rPr>
      </w:pPr>
      <w:r>
        <w:rPr>
          <w:rFonts w:hint="eastAsia" w:ascii="宋体" w:hAnsi="宋体" w:cs="Calibri"/>
          <w:szCs w:val="21"/>
        </w:rPr>
        <w:t>联系电话：</w:t>
      </w:r>
    </w:p>
    <w:p w14:paraId="2BED3F5C">
      <w:pPr>
        <w:spacing w:after="120" w:line="278" w:lineRule="auto"/>
        <w:ind w:left="420"/>
        <w:rPr>
          <w:rFonts w:ascii="Times New Roman" w:hAnsi="Times New Roman"/>
          <w:szCs w:val="24"/>
        </w:rPr>
      </w:pPr>
    </w:p>
    <w:p w14:paraId="62D0EBF1">
      <w:pPr>
        <w:spacing w:after="160" w:line="360" w:lineRule="auto"/>
        <w:ind w:firstLine="420"/>
        <w:rPr>
          <w:rFonts w:ascii="宋体" w:hAnsi="宋体"/>
          <w:szCs w:val="21"/>
        </w:rPr>
      </w:pPr>
      <w:r>
        <w:rPr>
          <w:rFonts w:hint="eastAsia" w:ascii="宋体" w:hAnsi="宋体" w:cs="宋体"/>
          <w:sz w:val="22"/>
        </w:rPr>
        <w:t>根据《中华人民共和国民法典》、《中华人民共和国建筑法》、《中华人民共和国政府采购法》、《政府采购竞争性磋商采购方式管理暂行办法》及有关法律规定，遵循平等、自愿、公平和诚实信用的原则。</w:t>
      </w:r>
      <w:r>
        <w:rPr>
          <w:rFonts w:hint="eastAsia" w:ascii="宋体" w:hAnsi="宋体"/>
          <w:szCs w:val="21"/>
        </w:rPr>
        <w:t>根据</w:t>
      </w:r>
      <w:r>
        <w:rPr>
          <w:rFonts w:hint="eastAsia" w:ascii="宋体" w:hAnsi="宋体"/>
          <w:szCs w:val="21"/>
          <w:lang w:eastAsia="zh-CN"/>
        </w:rPr>
        <w:t>江苏协诚工程咨询有限公司</w:t>
      </w:r>
      <w:r>
        <w:rPr>
          <w:rFonts w:hint="eastAsia" w:ascii="宋体" w:hAnsi="宋体"/>
          <w:szCs w:val="21"/>
        </w:rPr>
        <w:t>采购编号</w:t>
      </w:r>
      <w:r>
        <w:rPr>
          <w:rFonts w:ascii="宋体" w:hAnsi="宋体"/>
          <w:szCs w:val="21"/>
          <w:u w:val="single"/>
        </w:rPr>
        <w:t xml:space="preserve">                 </w:t>
      </w:r>
      <w:r>
        <w:rPr>
          <w:rFonts w:hint="eastAsia" w:ascii="宋体" w:hAnsi="宋体"/>
          <w:szCs w:val="21"/>
        </w:rPr>
        <w:t>号政府采购文件及成交供应商的响应文件和成交通知书，甲乙双方就此次成交项目的采购事宜，签订本合同书。</w:t>
      </w:r>
    </w:p>
    <w:p w14:paraId="759061AF">
      <w:pPr>
        <w:spacing w:after="160" w:line="360" w:lineRule="auto"/>
        <w:ind w:firstLine="440"/>
        <w:jc w:val="left"/>
        <w:rPr>
          <w:rFonts w:ascii="宋体" w:hAnsi="宋体" w:cs="宋体"/>
          <w:i w:val="0"/>
          <w:iCs/>
          <w:sz w:val="22"/>
          <w:u w:val="single"/>
        </w:rPr>
      </w:pPr>
      <w:bookmarkStart w:id="27" w:name="_Toc485300945"/>
      <w:bookmarkStart w:id="28" w:name="_Toc351203481"/>
      <w:r>
        <w:rPr>
          <w:rFonts w:hint="eastAsia" w:ascii="宋体" w:hAnsi="宋体" w:cs="宋体"/>
          <w:i w:val="0"/>
          <w:iCs/>
          <w:sz w:val="22"/>
          <w:u w:val="single"/>
        </w:rPr>
        <w:t>一、工程概况</w:t>
      </w:r>
      <w:bookmarkEnd w:id="27"/>
      <w:bookmarkEnd w:id="28"/>
    </w:p>
    <w:p w14:paraId="6E3399E4">
      <w:pPr>
        <w:spacing w:after="160" w:line="360" w:lineRule="auto"/>
        <w:ind w:firstLine="440"/>
        <w:jc w:val="left"/>
        <w:rPr>
          <w:rFonts w:ascii="宋体" w:hAnsi="宋体" w:cs="宋体"/>
          <w:i w:val="0"/>
          <w:iCs/>
          <w:sz w:val="22"/>
          <w:u w:val="single"/>
        </w:rPr>
      </w:pPr>
      <w:r>
        <w:rPr>
          <w:rFonts w:hint="eastAsia" w:ascii="宋体" w:hAnsi="宋体" w:cs="宋体"/>
          <w:bCs/>
          <w:i w:val="0"/>
          <w:iCs/>
          <w:sz w:val="22"/>
          <w:u w:val="single"/>
        </w:rPr>
        <w:t>1.工程名称</w:t>
      </w:r>
      <w:r>
        <w:rPr>
          <w:rFonts w:hint="eastAsia" w:ascii="宋体" w:hAnsi="宋体" w:cs="宋体"/>
          <w:i w:val="0"/>
          <w:iCs/>
          <w:sz w:val="22"/>
          <w:u w:val="single"/>
        </w:rPr>
        <w:t>：</w:t>
      </w:r>
      <w:r>
        <w:rPr>
          <w:rFonts w:hint="eastAsia" w:ascii="宋体" w:hAnsi="宋体" w:cs="宋体"/>
          <w:i w:val="0"/>
          <w:iCs/>
          <w:sz w:val="22"/>
          <w:u w:val="single"/>
          <w:lang w:eastAsia="zh-CN"/>
        </w:rPr>
        <w:t>常熟市2026-2027年度储备地块绿化移植和养护项目</w:t>
      </w:r>
      <w:r>
        <w:rPr>
          <w:rFonts w:hint="eastAsia" w:ascii="宋体" w:hAnsi="宋体" w:cs="宋体"/>
          <w:i w:val="0"/>
          <w:iCs/>
          <w:sz w:val="22"/>
          <w:u w:val="single"/>
        </w:rPr>
        <w:t xml:space="preserve"> 。</w:t>
      </w:r>
    </w:p>
    <w:p w14:paraId="5592C0D0">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2.工</w:t>
      </w:r>
      <w:r>
        <w:rPr>
          <w:rFonts w:hint="eastAsia" w:ascii="宋体" w:hAnsi="宋体" w:cs="宋体"/>
          <w:i w:val="0"/>
          <w:iCs/>
          <w:sz w:val="22"/>
          <w:u w:val="single"/>
          <w:lang w:eastAsia="zh-CN"/>
        </w:rPr>
        <w:t>程地点：</w:t>
      </w:r>
      <w:r>
        <w:rPr>
          <w:rFonts w:hint="eastAsia" w:ascii="宋体" w:hAnsi="宋体" w:cs="宋体"/>
          <w:i w:val="0"/>
          <w:iCs/>
          <w:sz w:val="22"/>
          <w:u w:val="single"/>
          <w:lang w:val="en-US" w:eastAsia="zh-CN"/>
        </w:rPr>
        <w:t>常熟市</w:t>
      </w:r>
      <w:r>
        <w:rPr>
          <w:rFonts w:hint="eastAsia" w:ascii="宋体" w:hAnsi="宋体" w:cs="宋体"/>
          <w:i w:val="0"/>
          <w:iCs/>
          <w:sz w:val="22"/>
          <w:u w:val="single"/>
          <w:lang w:eastAsia="zh-CN"/>
        </w:rPr>
        <w:t>。</w:t>
      </w:r>
    </w:p>
    <w:p w14:paraId="286A6CEF">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3.工程立项批准文号：/。</w:t>
      </w:r>
    </w:p>
    <w:p w14:paraId="5E34E5E9">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4.资金来源：</w:t>
      </w:r>
      <w:bookmarkStart w:id="29" w:name="EB5aefd4574d4f4418b45d25a239b1bc4a"/>
      <w:r>
        <w:rPr>
          <w:rFonts w:hint="eastAsia" w:ascii="宋体" w:hAnsi="宋体" w:cs="宋体"/>
          <w:i w:val="0"/>
          <w:iCs/>
          <w:sz w:val="22"/>
          <w:u w:val="single"/>
        </w:rPr>
        <w:t>财政拨款</w:t>
      </w:r>
      <w:bookmarkEnd w:id="29"/>
      <w:r>
        <w:rPr>
          <w:rFonts w:hint="eastAsia" w:ascii="宋体" w:hAnsi="宋体" w:cs="宋体"/>
          <w:bCs/>
          <w:i w:val="0"/>
          <w:iCs/>
          <w:sz w:val="22"/>
          <w:u w:val="single"/>
        </w:rPr>
        <w:t>。</w:t>
      </w:r>
    </w:p>
    <w:p w14:paraId="16A1B8FD">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5.工程内容：</w:t>
      </w:r>
    </w:p>
    <w:p w14:paraId="0F090A21">
      <w:pPr>
        <w:spacing w:after="160" w:line="360" w:lineRule="auto"/>
        <w:ind w:firstLine="440"/>
        <w:jc w:val="left"/>
        <w:rPr>
          <w:rFonts w:ascii="宋体" w:hAnsi="宋体" w:cs="宋体"/>
          <w:bCs/>
          <w:i w:val="0"/>
          <w:iCs/>
          <w:sz w:val="22"/>
          <w:u w:val="single"/>
        </w:rPr>
      </w:pPr>
      <w:r>
        <w:rPr>
          <w:rFonts w:hint="eastAsia" w:ascii="宋体" w:hAnsi="宋体" w:cs="宋体"/>
          <w:i w:val="0"/>
          <w:iCs/>
          <w:sz w:val="22"/>
          <w:u w:val="single"/>
          <w:lang w:eastAsia="zh-CN"/>
        </w:rPr>
        <w:t>常熟市2026-2027年度储备地块绿化移植和养护项目</w:t>
      </w:r>
      <w:r>
        <w:rPr>
          <w:rFonts w:hint="eastAsia" w:ascii="宋体" w:hAnsi="宋体" w:cs="宋体"/>
          <w:bCs/>
          <w:i w:val="0"/>
          <w:iCs/>
          <w:sz w:val="22"/>
          <w:u w:val="single"/>
        </w:rPr>
        <w:t>。</w:t>
      </w:r>
    </w:p>
    <w:p w14:paraId="34B068AF">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6.工程承包范围：</w:t>
      </w:r>
    </w:p>
    <w:p w14:paraId="6FFD022E">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常熟市2026-2027年度储备地块绿化移植</w:t>
      </w:r>
      <w:r>
        <w:rPr>
          <w:rFonts w:hint="eastAsia" w:ascii="宋体" w:hAnsi="宋体" w:cs="宋体"/>
          <w:i w:val="0"/>
          <w:iCs/>
          <w:sz w:val="22"/>
          <w:u w:val="single"/>
          <w:lang w:val="en-US" w:eastAsia="zh-CN"/>
        </w:rPr>
        <w:t>及</w:t>
      </w:r>
      <w:r>
        <w:rPr>
          <w:rFonts w:hint="eastAsia" w:ascii="宋体" w:hAnsi="宋体" w:cs="宋体"/>
          <w:i w:val="0"/>
          <w:iCs/>
          <w:sz w:val="22"/>
          <w:u w:val="single"/>
        </w:rPr>
        <w:t>养护。</w:t>
      </w:r>
    </w:p>
    <w:p w14:paraId="02E4F562">
      <w:pPr>
        <w:spacing w:after="160" w:line="360" w:lineRule="auto"/>
        <w:ind w:firstLine="440"/>
        <w:jc w:val="left"/>
        <w:rPr>
          <w:rFonts w:ascii="宋体" w:hAnsi="宋体" w:cs="宋体"/>
          <w:i w:val="0"/>
          <w:iCs/>
          <w:sz w:val="22"/>
          <w:u w:val="single"/>
        </w:rPr>
      </w:pPr>
      <w:bookmarkStart w:id="30" w:name="_Toc485300946"/>
      <w:bookmarkStart w:id="31" w:name="_Toc351203482"/>
      <w:r>
        <w:rPr>
          <w:rFonts w:hint="eastAsia" w:ascii="宋体" w:hAnsi="宋体" w:cs="宋体"/>
          <w:i w:val="0"/>
          <w:iCs/>
          <w:sz w:val="22"/>
          <w:u w:val="single"/>
        </w:rPr>
        <w:t>二、合同工期</w:t>
      </w:r>
      <w:bookmarkEnd w:id="30"/>
      <w:bookmarkEnd w:id="31"/>
    </w:p>
    <w:p w14:paraId="31E1B114">
      <w:pPr>
        <w:spacing w:after="160" w:line="360" w:lineRule="auto"/>
        <w:ind w:firstLine="440"/>
        <w:jc w:val="left"/>
        <w:rPr>
          <w:rFonts w:hint="eastAsia" w:ascii="宋体" w:hAnsi="宋体" w:eastAsia="宋体" w:cs="宋体"/>
          <w:i w:val="0"/>
          <w:iCs/>
          <w:sz w:val="22"/>
          <w:u w:val="single"/>
          <w:lang w:eastAsia="zh-CN"/>
        </w:rPr>
      </w:pPr>
      <w:r>
        <w:rPr>
          <w:rFonts w:hint="eastAsia" w:ascii="宋体" w:hAnsi="宋体" w:cs="宋体"/>
          <w:i w:val="0"/>
          <w:iCs/>
          <w:sz w:val="22"/>
          <w:u w:val="single"/>
          <w:lang w:val="en-US" w:eastAsia="zh-CN"/>
        </w:rPr>
        <w:t>绿化移植服务期限为自合同签订之日起两年，绿化养护服务期限为项目竣工之日起五年。</w:t>
      </w:r>
    </w:p>
    <w:p w14:paraId="6290232B">
      <w:pPr>
        <w:spacing w:after="160" w:line="360" w:lineRule="auto"/>
        <w:ind w:firstLine="440"/>
        <w:jc w:val="left"/>
        <w:rPr>
          <w:rFonts w:ascii="宋体" w:hAnsi="宋体" w:cs="宋体"/>
          <w:i w:val="0"/>
          <w:iCs/>
          <w:sz w:val="22"/>
          <w:u w:val="single"/>
        </w:rPr>
      </w:pPr>
      <w:bookmarkStart w:id="32" w:name="_Toc351203483"/>
      <w:bookmarkStart w:id="33" w:name="_Toc485300947"/>
      <w:r>
        <w:rPr>
          <w:rFonts w:hint="eastAsia" w:ascii="宋体" w:hAnsi="宋体" w:cs="宋体"/>
          <w:i w:val="0"/>
          <w:iCs/>
          <w:sz w:val="22"/>
          <w:u w:val="single"/>
        </w:rPr>
        <w:t>三、质量标准</w:t>
      </w:r>
      <w:bookmarkEnd w:id="32"/>
      <w:bookmarkEnd w:id="33"/>
    </w:p>
    <w:p w14:paraId="33B3A094">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工程质量符合</w:t>
      </w:r>
      <w:bookmarkStart w:id="34" w:name="EB1bc6994484ef481088c781c4ebed3498"/>
      <w:r>
        <w:rPr>
          <w:rFonts w:hint="eastAsia" w:ascii="宋体" w:hAnsi="宋体" w:cs="宋体"/>
          <w:i w:val="0"/>
          <w:iCs/>
          <w:sz w:val="22"/>
          <w:u w:val="single"/>
        </w:rPr>
        <w:t>国家验收合格</w:t>
      </w:r>
      <w:bookmarkEnd w:id="34"/>
      <w:r>
        <w:rPr>
          <w:rFonts w:hint="eastAsia" w:ascii="宋体" w:hAnsi="宋体" w:cs="宋体"/>
          <w:i w:val="0"/>
          <w:iCs/>
          <w:sz w:val="22"/>
          <w:u w:val="single"/>
        </w:rPr>
        <w:t>标准。发包人有权在施工过程中定期或不定期检查工程进度和质量，发现问题有权要求承包人立即整改并暂停支付相应款项，直到整改完成。承包人应在接到整改通知后按要求及时整改。</w:t>
      </w:r>
    </w:p>
    <w:p w14:paraId="32BB6176">
      <w:pPr>
        <w:spacing w:after="160" w:line="360" w:lineRule="auto"/>
        <w:ind w:firstLine="440"/>
        <w:jc w:val="left"/>
        <w:rPr>
          <w:rFonts w:ascii="宋体" w:hAnsi="宋体" w:cs="宋体"/>
          <w:i w:val="0"/>
          <w:iCs/>
          <w:sz w:val="22"/>
          <w:highlight w:val="none"/>
          <w:u w:val="single"/>
        </w:rPr>
      </w:pPr>
      <w:bookmarkStart w:id="35" w:name="_Toc351203484"/>
      <w:bookmarkStart w:id="36" w:name="_Toc485300948"/>
      <w:r>
        <w:rPr>
          <w:rFonts w:hint="eastAsia" w:ascii="宋体" w:hAnsi="宋体" w:cs="宋体"/>
          <w:i w:val="0"/>
          <w:iCs/>
          <w:sz w:val="22"/>
          <w:highlight w:val="none"/>
          <w:u w:val="single"/>
        </w:rPr>
        <w:t>四、</w:t>
      </w:r>
      <w:bookmarkEnd w:id="35"/>
      <w:bookmarkEnd w:id="36"/>
      <w:r>
        <w:rPr>
          <w:rFonts w:hint="eastAsia" w:ascii="宋体" w:hAnsi="宋体" w:cs="宋体"/>
          <w:i w:val="0"/>
          <w:iCs/>
          <w:sz w:val="22"/>
          <w:highlight w:val="none"/>
          <w:u w:val="single"/>
          <w:lang w:val="en-US" w:eastAsia="zh-CN"/>
        </w:rPr>
        <w:t>合同价款</w:t>
      </w:r>
      <w:r>
        <w:rPr>
          <w:rFonts w:hint="eastAsia" w:ascii="宋体" w:hAnsi="宋体" w:cs="宋体"/>
          <w:i w:val="0"/>
          <w:iCs/>
          <w:sz w:val="22"/>
          <w:highlight w:val="none"/>
          <w:u w:val="single"/>
        </w:rPr>
        <w:tab/>
      </w:r>
    </w:p>
    <w:p w14:paraId="4FDA7D09">
      <w:pPr>
        <w:spacing w:after="160" w:line="360" w:lineRule="auto"/>
        <w:ind w:firstLine="440"/>
        <w:jc w:val="left"/>
        <w:rPr>
          <w:rFonts w:hint="default" w:ascii="宋体" w:hAnsi="宋体" w:eastAsia="宋体" w:cs="宋体"/>
          <w:i w:val="0"/>
          <w:iCs/>
          <w:sz w:val="22"/>
          <w:highlight w:val="none"/>
          <w:u w:val="single"/>
          <w:lang w:val="en-US" w:eastAsia="zh-CN"/>
        </w:rPr>
      </w:pPr>
      <w:r>
        <w:rPr>
          <w:rFonts w:hint="eastAsia" w:ascii="宋体" w:hAnsi="宋体" w:cs="宋体"/>
          <w:i w:val="0"/>
          <w:iCs/>
          <w:sz w:val="22"/>
          <w:highlight w:val="none"/>
          <w:u w:val="single"/>
          <w:lang w:val="en-US" w:eastAsia="zh-CN"/>
        </w:rPr>
        <w:t>合同优惠率为</w:t>
      </w:r>
      <w:r>
        <w:rPr>
          <w:rFonts w:hint="eastAsia" w:ascii="宋体" w:hAnsi="宋体" w:cs="宋体"/>
          <w:i w:val="0"/>
          <w:iCs/>
          <w:sz w:val="22"/>
          <w:highlight w:val="none"/>
          <w:u w:val="single"/>
        </w:rPr>
        <w:t>：</w:t>
      </w:r>
      <w:r>
        <w:rPr>
          <w:rFonts w:hint="eastAsia" w:ascii="宋体" w:hAnsi="宋体" w:cs="宋体"/>
          <w:i w:val="0"/>
          <w:iCs/>
          <w:sz w:val="22"/>
          <w:highlight w:val="none"/>
          <w:u w:val="single"/>
          <w:lang w:val="en-US" w:eastAsia="zh-CN"/>
        </w:rPr>
        <w:t xml:space="preserve">             %</w:t>
      </w:r>
    </w:p>
    <w:p w14:paraId="34177D83">
      <w:pPr>
        <w:spacing w:after="160" w:line="360" w:lineRule="auto"/>
        <w:ind w:firstLine="440"/>
        <w:jc w:val="left"/>
        <w:rPr>
          <w:rFonts w:ascii="宋体" w:hAnsi="宋体" w:cs="宋体"/>
          <w:i w:val="0"/>
          <w:iCs/>
          <w:sz w:val="22"/>
          <w:u w:val="single"/>
        </w:rPr>
      </w:pPr>
      <w:bookmarkStart w:id="37" w:name="_Toc485300950"/>
      <w:bookmarkStart w:id="38" w:name="_Toc351203486"/>
      <w:r>
        <w:rPr>
          <w:rFonts w:hint="eastAsia" w:ascii="宋体" w:hAnsi="宋体" w:cs="宋体"/>
          <w:i w:val="0"/>
          <w:iCs/>
          <w:sz w:val="22"/>
          <w:u w:val="single"/>
          <w:lang w:val="en-US" w:eastAsia="zh-CN"/>
        </w:rPr>
        <w:t>五</w:t>
      </w:r>
      <w:r>
        <w:rPr>
          <w:rFonts w:hint="eastAsia" w:ascii="宋体" w:hAnsi="宋体" w:cs="宋体"/>
          <w:i w:val="0"/>
          <w:iCs/>
          <w:sz w:val="22"/>
          <w:u w:val="single"/>
        </w:rPr>
        <w:t>、合同文件构成</w:t>
      </w:r>
      <w:bookmarkEnd w:id="37"/>
      <w:bookmarkEnd w:id="38"/>
    </w:p>
    <w:p w14:paraId="4B3031E0">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本协议书与下列文件一起构成合同文件：</w:t>
      </w:r>
    </w:p>
    <w:p w14:paraId="00E45DCA">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（1）</w:t>
      </w:r>
      <w:r>
        <w:rPr>
          <w:rFonts w:hint="eastAsia" w:ascii="宋体" w:hAnsi="宋体" w:cs="宋体"/>
          <w:i w:val="0"/>
          <w:iCs/>
          <w:sz w:val="22"/>
          <w:u w:val="single"/>
          <w:lang w:val="en-US" w:eastAsia="zh-CN"/>
        </w:rPr>
        <w:t>成交</w:t>
      </w:r>
      <w:r>
        <w:rPr>
          <w:rFonts w:hint="eastAsia" w:ascii="宋体" w:hAnsi="宋体" w:cs="宋体"/>
          <w:i w:val="0"/>
          <w:iCs/>
          <w:sz w:val="22"/>
          <w:u w:val="single"/>
        </w:rPr>
        <w:t>通知书；</w:t>
      </w:r>
    </w:p>
    <w:p w14:paraId="64D7AD16">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（2）磋商</w:t>
      </w:r>
      <w:r>
        <w:rPr>
          <w:rFonts w:ascii="宋体" w:hAnsi="宋体" w:cs="宋体"/>
          <w:i w:val="0"/>
          <w:iCs/>
          <w:sz w:val="22"/>
          <w:u w:val="single"/>
        </w:rPr>
        <w:t>文件以及响应文件</w:t>
      </w:r>
      <w:r>
        <w:rPr>
          <w:rFonts w:hint="eastAsia" w:ascii="宋体" w:hAnsi="宋体" w:cs="宋体"/>
          <w:i w:val="0"/>
          <w:iCs/>
          <w:sz w:val="22"/>
          <w:u w:val="single"/>
        </w:rPr>
        <w:t>；</w:t>
      </w:r>
    </w:p>
    <w:p w14:paraId="0D9520FD">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（3）专用合同条款及其附件；</w:t>
      </w:r>
    </w:p>
    <w:p w14:paraId="34DD165A">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（4）通用合同条款；</w:t>
      </w:r>
    </w:p>
    <w:p w14:paraId="135B5F7F">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（5）技术标准和要求；</w:t>
      </w:r>
    </w:p>
    <w:p w14:paraId="1100F37C">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w:t>
      </w:r>
      <w:r>
        <w:rPr>
          <w:rFonts w:hint="eastAsia" w:ascii="宋体" w:hAnsi="宋体" w:cs="宋体"/>
          <w:i w:val="0"/>
          <w:iCs/>
          <w:sz w:val="22"/>
          <w:u w:val="single"/>
          <w:lang w:val="en-US" w:eastAsia="zh-CN"/>
        </w:rPr>
        <w:t>6</w:t>
      </w:r>
      <w:r>
        <w:rPr>
          <w:rFonts w:hint="eastAsia" w:ascii="宋体" w:hAnsi="宋体" w:cs="宋体"/>
          <w:i w:val="0"/>
          <w:iCs/>
          <w:sz w:val="22"/>
          <w:u w:val="single"/>
        </w:rPr>
        <w:t>）其他合同文件。</w:t>
      </w:r>
    </w:p>
    <w:p w14:paraId="664ECC5E">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在合同订立及履行过程中形成的与合同有关的文件均构成合同文件组成部分。</w:t>
      </w:r>
    </w:p>
    <w:p w14:paraId="2A2F0EAF">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上述各项合同文件包括合同当事人就该项合同文件所作出的补充和修改，属于同一类内容的文件，应以最新签署的为准。专用合同条款及其附件须经合同当事人签字或盖章。</w:t>
      </w:r>
    </w:p>
    <w:p w14:paraId="68C2A84C">
      <w:pPr>
        <w:spacing w:after="160" w:line="360" w:lineRule="auto"/>
        <w:ind w:firstLine="440"/>
        <w:jc w:val="left"/>
        <w:rPr>
          <w:rFonts w:ascii="宋体" w:hAnsi="宋体" w:cs="宋体"/>
          <w:i w:val="0"/>
          <w:iCs/>
          <w:sz w:val="22"/>
          <w:u w:val="single"/>
        </w:rPr>
      </w:pPr>
      <w:bookmarkStart w:id="39" w:name="_Toc485300951"/>
      <w:bookmarkStart w:id="40" w:name="_Toc351203487"/>
      <w:r>
        <w:rPr>
          <w:rFonts w:hint="eastAsia" w:ascii="宋体" w:hAnsi="宋体" w:cs="宋体"/>
          <w:i w:val="0"/>
          <w:iCs/>
          <w:sz w:val="22"/>
          <w:u w:val="single"/>
          <w:lang w:val="en-US" w:eastAsia="zh-CN"/>
        </w:rPr>
        <w:t>六</w:t>
      </w:r>
      <w:r>
        <w:rPr>
          <w:rFonts w:hint="eastAsia" w:ascii="宋体" w:hAnsi="宋体" w:cs="宋体"/>
          <w:i w:val="0"/>
          <w:iCs/>
          <w:sz w:val="22"/>
          <w:u w:val="single"/>
        </w:rPr>
        <w:t>、承诺</w:t>
      </w:r>
      <w:bookmarkEnd w:id="39"/>
      <w:bookmarkEnd w:id="40"/>
    </w:p>
    <w:p w14:paraId="2DD45FDB">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1.发包人承诺按照法律规定履行项目审批手续、筹集工程建设资金并按照合同约定的期限和方式支付合同价款。</w:t>
      </w:r>
    </w:p>
    <w:p w14:paraId="35744872">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2.承包人承诺按照法律规定及合同约定组织完成工程施工，确保工程质量和安全，不进行转包及违法分包，并在缺陷责任期及保修期内承担相应的工程维修责任。</w:t>
      </w:r>
    </w:p>
    <w:p w14:paraId="4C8F4A16">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3.发包人和承包人通过采购形式确定</w:t>
      </w:r>
      <w:r>
        <w:rPr>
          <w:rFonts w:ascii="宋体" w:hAnsi="宋体" w:cs="宋体"/>
          <w:bCs/>
          <w:i w:val="0"/>
          <w:iCs/>
          <w:sz w:val="22"/>
          <w:u w:val="single"/>
        </w:rPr>
        <w:t>并</w:t>
      </w:r>
      <w:r>
        <w:rPr>
          <w:rFonts w:hint="eastAsia" w:ascii="宋体" w:hAnsi="宋体" w:cs="宋体"/>
          <w:bCs/>
          <w:i w:val="0"/>
          <w:iCs/>
          <w:sz w:val="22"/>
          <w:u w:val="single"/>
        </w:rPr>
        <w:t>签订合同的，双方理解并承诺不再就同一工程另行签订与合同实质性内容相背离的协议。</w:t>
      </w:r>
    </w:p>
    <w:p w14:paraId="068050B0">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4.如因承包人责任导致工程不合格，承包人需返工并承担一切经济损失，返工相关费用和损失可由发包人在支付款项中直接扣除。</w:t>
      </w:r>
    </w:p>
    <w:p w14:paraId="320EB411">
      <w:pPr>
        <w:spacing w:after="160" w:line="360" w:lineRule="auto"/>
        <w:ind w:firstLine="440"/>
        <w:jc w:val="left"/>
        <w:rPr>
          <w:rFonts w:ascii="宋体" w:hAnsi="宋体" w:cs="宋体"/>
          <w:i w:val="0"/>
          <w:iCs/>
          <w:sz w:val="22"/>
          <w:u w:val="single"/>
        </w:rPr>
      </w:pPr>
      <w:bookmarkStart w:id="41" w:name="_Toc351203488"/>
      <w:bookmarkStart w:id="42" w:name="_Toc485300952"/>
      <w:r>
        <w:rPr>
          <w:rFonts w:hint="eastAsia" w:ascii="宋体" w:hAnsi="宋体" w:cs="宋体"/>
          <w:i w:val="0"/>
          <w:iCs/>
          <w:sz w:val="22"/>
          <w:u w:val="single"/>
          <w:lang w:val="en-US" w:eastAsia="zh-CN"/>
        </w:rPr>
        <w:t>七</w:t>
      </w:r>
      <w:r>
        <w:rPr>
          <w:rFonts w:hint="eastAsia" w:ascii="宋体" w:hAnsi="宋体" w:cs="宋体"/>
          <w:i w:val="0"/>
          <w:iCs/>
          <w:sz w:val="22"/>
          <w:u w:val="single"/>
        </w:rPr>
        <w:t>、词语含义</w:t>
      </w:r>
      <w:bookmarkEnd w:id="41"/>
      <w:bookmarkEnd w:id="42"/>
    </w:p>
    <w:p w14:paraId="437D4285">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本协议书中词语含义与第二部分通用合同条款中赋予的含义相同。</w:t>
      </w:r>
    </w:p>
    <w:p w14:paraId="7F81569D">
      <w:pPr>
        <w:spacing w:after="160" w:line="360" w:lineRule="auto"/>
        <w:ind w:firstLine="440"/>
        <w:jc w:val="left"/>
        <w:rPr>
          <w:rFonts w:ascii="宋体" w:hAnsi="宋体" w:cs="宋体"/>
          <w:i w:val="0"/>
          <w:iCs/>
          <w:sz w:val="22"/>
          <w:u w:val="single"/>
        </w:rPr>
      </w:pPr>
      <w:bookmarkStart w:id="43" w:name="_Toc351203489"/>
      <w:bookmarkStart w:id="44" w:name="_Toc485300953"/>
      <w:r>
        <w:rPr>
          <w:rFonts w:hint="eastAsia" w:ascii="宋体" w:hAnsi="宋体" w:cs="宋体"/>
          <w:i w:val="0"/>
          <w:iCs/>
          <w:sz w:val="22"/>
          <w:u w:val="single"/>
          <w:lang w:val="en-US" w:eastAsia="zh-CN"/>
        </w:rPr>
        <w:t>八</w:t>
      </w:r>
      <w:r>
        <w:rPr>
          <w:rFonts w:hint="eastAsia" w:ascii="宋体" w:hAnsi="宋体" w:cs="宋体"/>
          <w:i w:val="0"/>
          <w:iCs/>
          <w:sz w:val="22"/>
          <w:u w:val="single"/>
        </w:rPr>
        <w:t>、签订时间</w:t>
      </w:r>
      <w:bookmarkEnd w:id="43"/>
      <w:bookmarkEnd w:id="44"/>
    </w:p>
    <w:p w14:paraId="3A109C8C">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本合同于</w:t>
      </w:r>
      <w:bookmarkStart w:id="45" w:name="EB2e1e583d477e491c893f053f3101b39f"/>
      <w:bookmarkEnd w:id="45"/>
      <w:r>
        <w:rPr>
          <w:rFonts w:hint="eastAsia" w:ascii="宋体" w:hAnsi="宋体" w:cs="宋体"/>
          <w:bCs/>
          <w:i w:val="0"/>
          <w:iCs/>
          <w:sz w:val="22"/>
          <w:u w:val="single"/>
        </w:rPr>
        <w:t>202</w:t>
      </w:r>
      <w:r>
        <w:rPr>
          <w:rFonts w:hint="eastAsia" w:ascii="宋体" w:hAnsi="宋体" w:cs="宋体"/>
          <w:bCs/>
          <w:i w:val="0"/>
          <w:iCs/>
          <w:sz w:val="22"/>
          <w:u w:val="single"/>
          <w:lang w:val="en-US" w:eastAsia="zh-CN"/>
        </w:rPr>
        <w:t>6</w:t>
      </w:r>
      <w:r>
        <w:rPr>
          <w:rFonts w:hint="eastAsia" w:ascii="宋体" w:hAnsi="宋体" w:cs="宋体"/>
          <w:bCs/>
          <w:i w:val="0"/>
          <w:iCs/>
          <w:sz w:val="22"/>
          <w:u w:val="single"/>
        </w:rPr>
        <w:t>年</w:t>
      </w:r>
      <w:r>
        <w:rPr>
          <w:rFonts w:hint="eastAsia" w:ascii="宋体" w:hAnsi="宋体" w:cs="宋体"/>
          <w:b/>
          <w:bCs/>
          <w:i w:val="0"/>
          <w:iCs/>
          <w:sz w:val="22"/>
          <w:u w:val="single"/>
        </w:rPr>
        <w:t xml:space="preserve">      </w:t>
      </w:r>
      <w:r>
        <w:rPr>
          <w:rFonts w:hint="eastAsia" w:ascii="宋体" w:hAnsi="宋体" w:cs="宋体"/>
          <w:bCs/>
          <w:i w:val="0"/>
          <w:iCs/>
          <w:sz w:val="22"/>
          <w:u w:val="single"/>
        </w:rPr>
        <w:t>月</w:t>
      </w:r>
      <w:r>
        <w:rPr>
          <w:rFonts w:hint="eastAsia" w:ascii="宋体" w:hAnsi="宋体" w:cs="宋体"/>
          <w:b/>
          <w:bCs/>
          <w:i w:val="0"/>
          <w:iCs/>
          <w:sz w:val="22"/>
          <w:u w:val="single"/>
        </w:rPr>
        <w:t xml:space="preserve">       </w:t>
      </w:r>
      <w:r>
        <w:rPr>
          <w:rFonts w:hint="eastAsia" w:ascii="宋体" w:hAnsi="宋体" w:cs="宋体"/>
          <w:i w:val="0"/>
          <w:iCs/>
          <w:sz w:val="22"/>
          <w:u w:val="single"/>
        </w:rPr>
        <w:t>日</w:t>
      </w:r>
      <w:r>
        <w:rPr>
          <w:rFonts w:hint="eastAsia" w:ascii="宋体" w:hAnsi="宋体" w:cs="宋体"/>
          <w:bCs/>
          <w:i w:val="0"/>
          <w:iCs/>
          <w:sz w:val="22"/>
          <w:u w:val="single"/>
        </w:rPr>
        <w:t>签订。</w:t>
      </w:r>
    </w:p>
    <w:p w14:paraId="3A943D08">
      <w:pPr>
        <w:spacing w:after="160" w:line="360" w:lineRule="auto"/>
        <w:ind w:firstLine="440"/>
        <w:jc w:val="left"/>
        <w:rPr>
          <w:rFonts w:ascii="宋体" w:hAnsi="宋体" w:cs="宋体"/>
          <w:i w:val="0"/>
          <w:iCs/>
          <w:sz w:val="22"/>
          <w:u w:val="single"/>
        </w:rPr>
      </w:pPr>
      <w:bookmarkStart w:id="46" w:name="_Toc351203490"/>
      <w:bookmarkStart w:id="47" w:name="_Toc485300954"/>
      <w:r>
        <w:rPr>
          <w:rFonts w:hint="eastAsia" w:ascii="宋体" w:hAnsi="宋体" w:cs="宋体"/>
          <w:i w:val="0"/>
          <w:iCs/>
          <w:sz w:val="22"/>
          <w:u w:val="single"/>
          <w:lang w:val="en-US" w:eastAsia="zh-CN"/>
        </w:rPr>
        <w:t>九</w:t>
      </w:r>
      <w:r>
        <w:rPr>
          <w:rFonts w:hint="eastAsia" w:ascii="宋体" w:hAnsi="宋体" w:cs="宋体"/>
          <w:i w:val="0"/>
          <w:iCs/>
          <w:sz w:val="22"/>
          <w:u w:val="single"/>
        </w:rPr>
        <w:t>、签订地点</w:t>
      </w:r>
      <w:bookmarkEnd w:id="46"/>
      <w:bookmarkEnd w:id="47"/>
    </w:p>
    <w:p w14:paraId="178EA14C">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本合同在</w:t>
      </w:r>
      <w:bookmarkStart w:id="48" w:name="EBfa08094a85034872a8cd0df3c8d6b4b8"/>
      <w:bookmarkEnd w:id="48"/>
      <w:r>
        <w:rPr>
          <w:rFonts w:hint="eastAsia" w:ascii="宋体" w:hAnsi="宋体" w:cs="宋体"/>
          <w:bCs/>
          <w:i w:val="0"/>
          <w:iCs/>
          <w:sz w:val="22"/>
          <w:u w:val="single"/>
        </w:rPr>
        <w:t>常熟市签订。</w:t>
      </w:r>
    </w:p>
    <w:p w14:paraId="3D50DA89">
      <w:pPr>
        <w:spacing w:after="160" w:line="360" w:lineRule="auto"/>
        <w:ind w:firstLine="440"/>
        <w:jc w:val="left"/>
        <w:rPr>
          <w:rFonts w:ascii="宋体" w:hAnsi="宋体" w:cs="宋体"/>
          <w:i w:val="0"/>
          <w:iCs/>
          <w:sz w:val="22"/>
          <w:u w:val="single"/>
        </w:rPr>
      </w:pPr>
      <w:bookmarkStart w:id="49" w:name="_Toc485300955"/>
      <w:bookmarkStart w:id="50" w:name="_Toc351203491"/>
      <w:r>
        <w:rPr>
          <w:rFonts w:hint="eastAsia" w:ascii="宋体" w:hAnsi="宋体" w:cs="宋体"/>
          <w:i w:val="0"/>
          <w:iCs/>
          <w:sz w:val="22"/>
          <w:u w:val="single"/>
        </w:rPr>
        <w:t>十、补充协议</w:t>
      </w:r>
      <w:bookmarkEnd w:id="49"/>
      <w:bookmarkEnd w:id="50"/>
    </w:p>
    <w:p w14:paraId="1BD355EE">
      <w:pPr>
        <w:spacing w:after="160" w:line="360" w:lineRule="auto"/>
        <w:ind w:firstLine="440"/>
        <w:jc w:val="left"/>
        <w:rPr>
          <w:rFonts w:ascii="宋体" w:hAnsi="宋体" w:cs="宋体"/>
          <w:b/>
          <w:bCs/>
          <w:i w:val="0"/>
          <w:iCs/>
          <w:sz w:val="22"/>
          <w:u w:val="single"/>
        </w:rPr>
      </w:pPr>
      <w:r>
        <w:rPr>
          <w:rFonts w:hint="eastAsia" w:ascii="宋体" w:hAnsi="宋体" w:cs="宋体"/>
          <w:bCs/>
          <w:i w:val="0"/>
          <w:iCs/>
          <w:sz w:val="22"/>
          <w:u w:val="single"/>
        </w:rPr>
        <w:t>合同未尽事宜，合同当事人另行签订补充协议，补充协议是合同的组成部分。</w:t>
      </w:r>
    </w:p>
    <w:p w14:paraId="39292577">
      <w:pPr>
        <w:spacing w:after="160" w:line="360" w:lineRule="auto"/>
        <w:ind w:firstLine="440"/>
        <w:jc w:val="left"/>
        <w:rPr>
          <w:rFonts w:ascii="宋体" w:hAnsi="宋体" w:cs="宋体"/>
          <w:i w:val="0"/>
          <w:iCs/>
          <w:sz w:val="22"/>
          <w:u w:val="single"/>
        </w:rPr>
      </w:pPr>
      <w:bookmarkStart w:id="51" w:name="_Toc485300956"/>
      <w:bookmarkStart w:id="52" w:name="_Toc351203492"/>
      <w:r>
        <w:rPr>
          <w:rFonts w:hint="eastAsia" w:ascii="宋体" w:hAnsi="宋体" w:cs="宋体"/>
          <w:i w:val="0"/>
          <w:iCs/>
          <w:sz w:val="22"/>
          <w:u w:val="single"/>
        </w:rPr>
        <w:t>十</w:t>
      </w:r>
      <w:r>
        <w:rPr>
          <w:rFonts w:hint="eastAsia" w:ascii="宋体" w:hAnsi="宋体" w:cs="宋体"/>
          <w:i w:val="0"/>
          <w:iCs/>
          <w:sz w:val="22"/>
          <w:u w:val="single"/>
          <w:lang w:val="en-US" w:eastAsia="zh-CN"/>
        </w:rPr>
        <w:t>一</w:t>
      </w:r>
      <w:r>
        <w:rPr>
          <w:rFonts w:hint="eastAsia" w:ascii="宋体" w:hAnsi="宋体" w:cs="宋体"/>
          <w:i w:val="0"/>
          <w:iCs/>
          <w:sz w:val="22"/>
          <w:u w:val="single"/>
        </w:rPr>
        <w:t>、合同生效</w:t>
      </w:r>
      <w:bookmarkEnd w:id="51"/>
      <w:bookmarkEnd w:id="52"/>
    </w:p>
    <w:p w14:paraId="57E8D0DF">
      <w:pPr>
        <w:spacing w:after="160" w:line="360" w:lineRule="auto"/>
        <w:ind w:firstLine="440"/>
        <w:jc w:val="left"/>
        <w:rPr>
          <w:rFonts w:ascii="宋体" w:hAnsi="宋体" w:cs="宋体"/>
          <w:bCs/>
          <w:i w:val="0"/>
          <w:iCs/>
          <w:sz w:val="22"/>
          <w:u w:val="single"/>
        </w:rPr>
      </w:pPr>
      <w:r>
        <w:rPr>
          <w:rFonts w:hint="eastAsia" w:ascii="宋体" w:hAnsi="宋体" w:cs="宋体"/>
          <w:bCs/>
          <w:i w:val="0"/>
          <w:iCs/>
          <w:sz w:val="22"/>
          <w:u w:val="single"/>
        </w:rPr>
        <w:t>本合同自</w:t>
      </w:r>
      <w:bookmarkStart w:id="53" w:name="EBfc42a6244ef446ddb6ca25afccbb1f8b"/>
      <w:bookmarkEnd w:id="53"/>
      <w:r>
        <w:rPr>
          <w:rFonts w:hint="eastAsia" w:ascii="宋体" w:hAnsi="宋体" w:cs="宋体"/>
          <w:bCs/>
          <w:i w:val="0"/>
          <w:iCs/>
          <w:sz w:val="22"/>
          <w:u w:val="single"/>
        </w:rPr>
        <w:t>签字盖章后生效。</w:t>
      </w:r>
    </w:p>
    <w:p w14:paraId="5A42E003">
      <w:pPr>
        <w:spacing w:after="160" w:line="360" w:lineRule="auto"/>
        <w:ind w:firstLine="440"/>
        <w:jc w:val="left"/>
        <w:rPr>
          <w:rFonts w:ascii="宋体" w:hAnsi="宋体" w:cs="宋体"/>
          <w:i w:val="0"/>
          <w:iCs/>
          <w:sz w:val="22"/>
          <w:u w:val="single"/>
        </w:rPr>
      </w:pPr>
      <w:bookmarkStart w:id="54" w:name="_Toc485300957"/>
      <w:bookmarkStart w:id="55" w:name="_Toc351203493"/>
      <w:r>
        <w:rPr>
          <w:rFonts w:hint="eastAsia" w:ascii="宋体" w:hAnsi="宋体" w:cs="宋体"/>
          <w:i w:val="0"/>
          <w:iCs/>
          <w:sz w:val="22"/>
          <w:u w:val="single"/>
        </w:rPr>
        <w:t>十</w:t>
      </w:r>
      <w:r>
        <w:rPr>
          <w:rFonts w:hint="eastAsia" w:ascii="宋体" w:hAnsi="宋体" w:cs="宋体"/>
          <w:i w:val="0"/>
          <w:iCs/>
          <w:sz w:val="22"/>
          <w:u w:val="single"/>
          <w:lang w:val="en-US" w:eastAsia="zh-CN"/>
        </w:rPr>
        <w:t>二</w:t>
      </w:r>
      <w:r>
        <w:rPr>
          <w:rFonts w:hint="eastAsia" w:ascii="宋体" w:hAnsi="宋体" w:cs="宋体"/>
          <w:i w:val="0"/>
          <w:iCs/>
          <w:sz w:val="22"/>
          <w:u w:val="single"/>
        </w:rPr>
        <w:t>、争议解决方式</w:t>
      </w:r>
    </w:p>
    <w:p w14:paraId="3E8720C2">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1、本合同在履行过程中发生的争议，由双方当事人协商解决；协商不成的，任何一方有权向工程所在地的人民法院起诉。</w:t>
      </w:r>
    </w:p>
    <w:p w14:paraId="491BFE88">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p>
    <w:p w14:paraId="1AE2EE74">
      <w:pPr>
        <w:spacing w:after="160" w:line="360" w:lineRule="auto"/>
        <w:ind w:firstLine="440"/>
        <w:jc w:val="left"/>
        <w:rPr>
          <w:rFonts w:ascii="宋体" w:hAnsi="宋体" w:cs="宋体"/>
          <w:i w:val="0"/>
          <w:iCs/>
          <w:sz w:val="22"/>
          <w:u w:val="single"/>
        </w:rPr>
      </w:pPr>
      <w:r>
        <w:rPr>
          <w:rFonts w:hint="eastAsia" w:ascii="宋体" w:hAnsi="宋体" w:cs="宋体"/>
          <w:i w:val="0"/>
          <w:iCs/>
          <w:sz w:val="22"/>
          <w:u w:val="single"/>
        </w:rPr>
        <w:t>十</w:t>
      </w:r>
      <w:r>
        <w:rPr>
          <w:rFonts w:hint="eastAsia" w:ascii="宋体" w:hAnsi="宋体" w:cs="宋体"/>
          <w:i w:val="0"/>
          <w:iCs/>
          <w:sz w:val="22"/>
          <w:u w:val="single"/>
          <w:lang w:val="en-US" w:eastAsia="zh-CN"/>
        </w:rPr>
        <w:t>三</w:t>
      </w:r>
      <w:r>
        <w:rPr>
          <w:rFonts w:hint="eastAsia" w:ascii="宋体" w:hAnsi="宋体" w:cs="宋体"/>
          <w:i w:val="0"/>
          <w:iCs/>
          <w:sz w:val="22"/>
          <w:u w:val="single"/>
        </w:rPr>
        <w:t>、合同份数</w:t>
      </w:r>
      <w:bookmarkEnd w:id="54"/>
      <w:bookmarkEnd w:id="55"/>
    </w:p>
    <w:p w14:paraId="36346A74">
      <w:pPr>
        <w:spacing w:after="160" w:line="360" w:lineRule="auto"/>
        <w:ind w:firstLine="440"/>
        <w:rPr>
          <w:rFonts w:ascii="宋体" w:hAnsi="宋体" w:cs="宋体"/>
          <w:bCs/>
          <w:i w:val="0"/>
          <w:iCs/>
          <w:sz w:val="22"/>
          <w:u w:val="single"/>
        </w:rPr>
      </w:pPr>
      <w:r>
        <w:rPr>
          <w:rFonts w:hint="eastAsia" w:ascii="宋体" w:hAnsi="宋体" w:cs="宋体"/>
          <w:bCs/>
          <w:i w:val="0"/>
          <w:iCs/>
          <w:sz w:val="22"/>
          <w:u w:val="single"/>
        </w:rPr>
        <w:t>本合同一式</w:t>
      </w:r>
      <w:bookmarkStart w:id="56" w:name="EB3d0afa9b5f234cf89fbe403c43556fd5"/>
      <w:bookmarkEnd w:id="56"/>
      <w:r>
        <w:rPr>
          <w:rFonts w:hint="eastAsia" w:ascii="宋体" w:hAnsi="宋体" w:cs="宋体"/>
          <w:bCs/>
          <w:i w:val="0"/>
          <w:iCs/>
          <w:sz w:val="22"/>
          <w:u w:val="single"/>
        </w:rPr>
        <w:t>肆份，均具有同等法律效力，发包人执</w:t>
      </w:r>
      <w:bookmarkStart w:id="57" w:name="EB30cea53756b344ac9e168b30c7bc15aa"/>
      <w:bookmarkEnd w:id="57"/>
      <w:r>
        <w:rPr>
          <w:rFonts w:hint="eastAsia" w:ascii="宋体" w:hAnsi="宋体" w:cs="宋体"/>
          <w:bCs/>
          <w:i w:val="0"/>
          <w:iCs/>
          <w:sz w:val="22"/>
          <w:u w:val="single"/>
        </w:rPr>
        <w:t>贰份，承包人执</w:t>
      </w:r>
      <w:bookmarkStart w:id="58" w:name="EB376e120ab2004667b1fb2d960985e5db"/>
      <w:bookmarkEnd w:id="58"/>
      <w:r>
        <w:rPr>
          <w:rFonts w:hint="eastAsia" w:ascii="宋体" w:hAnsi="宋体" w:cs="宋体"/>
          <w:bCs/>
          <w:i w:val="0"/>
          <w:iCs/>
          <w:sz w:val="22"/>
          <w:u w:val="single"/>
        </w:rPr>
        <w:t>贰份。</w:t>
      </w:r>
    </w:p>
    <w:p w14:paraId="6DDE2144">
      <w:pPr>
        <w:spacing w:after="160" w:line="278" w:lineRule="auto"/>
        <w:jc w:val="center"/>
        <w:rPr>
          <w:rFonts w:ascii="宋体" w:hAnsi="宋体" w:cs="宋体"/>
          <w:b/>
          <w:i w:val="0"/>
          <w:iCs/>
          <w:sz w:val="22"/>
        </w:rPr>
      </w:pPr>
      <w:r>
        <w:rPr>
          <w:rFonts w:hint="eastAsia" w:ascii="宋体" w:hAnsi="宋体" w:cs="宋体"/>
          <w:b/>
          <w:i w:val="0"/>
          <w:iCs/>
          <w:sz w:val="22"/>
        </w:rPr>
        <w:t>合同的特殊条款</w:t>
      </w:r>
    </w:p>
    <w:p w14:paraId="7ED3D260">
      <w:pPr>
        <w:spacing w:after="160" w:line="500" w:lineRule="exact"/>
        <w:ind w:firstLine="442"/>
        <w:contextualSpacing/>
        <w:rPr>
          <w:rFonts w:ascii="宋体" w:hAnsi="宋体" w:cs="宋体"/>
          <w:b/>
          <w:i w:val="0"/>
          <w:iCs/>
          <w:sz w:val="22"/>
          <w:u w:val="single"/>
        </w:rPr>
      </w:pPr>
      <w:r>
        <w:rPr>
          <w:rFonts w:hint="eastAsia" w:ascii="宋体" w:hAnsi="宋体" w:cs="宋体"/>
          <w:b/>
          <w:bCs/>
          <w:i w:val="0"/>
          <w:iCs/>
          <w:sz w:val="22"/>
          <w:u w:val="single"/>
        </w:rPr>
        <w:t>1、</w:t>
      </w:r>
      <w:r>
        <w:rPr>
          <w:rFonts w:hint="eastAsia" w:ascii="宋体" w:hAnsi="宋体" w:cs="宋体"/>
          <w:b/>
          <w:i w:val="0"/>
          <w:iCs/>
          <w:sz w:val="22"/>
          <w:u w:val="single"/>
        </w:rPr>
        <w:t>合同价款及调整：</w:t>
      </w:r>
    </w:p>
    <w:p w14:paraId="13FA17E5">
      <w:pPr>
        <w:spacing w:after="160" w:line="500" w:lineRule="exact"/>
        <w:ind w:firstLine="440"/>
        <w:contextualSpacing/>
        <w:rPr>
          <w:rFonts w:ascii="宋体" w:hAnsi="宋体" w:cs="宋体"/>
          <w:i w:val="0"/>
          <w:iCs/>
          <w:sz w:val="22"/>
          <w:u w:val="single"/>
        </w:rPr>
      </w:pPr>
      <w:r>
        <w:rPr>
          <w:rFonts w:hint="eastAsia" w:ascii="宋体" w:hAnsi="宋体" w:cs="宋体"/>
          <w:i w:val="0"/>
          <w:iCs/>
          <w:sz w:val="22"/>
          <w:u w:val="single"/>
        </w:rPr>
        <w:t>投标报价应包含完成本项目所必须的临时工程、材料、劳务、机械设备、利润、税金及政策规定的各项应有的全部费用。承包人应确认工程量清单的准确性，并充分考虑施工期间各类建材的市场风险，并计入报价。</w:t>
      </w:r>
    </w:p>
    <w:p w14:paraId="4E1993E0">
      <w:pPr>
        <w:spacing w:after="160" w:line="500" w:lineRule="exact"/>
        <w:ind w:firstLine="440"/>
        <w:contextualSpacing/>
        <w:rPr>
          <w:rFonts w:ascii="宋体" w:hAnsi="宋体" w:cs="宋体"/>
          <w:i w:val="0"/>
          <w:iCs/>
          <w:sz w:val="22"/>
          <w:u w:val="single"/>
        </w:rPr>
      </w:pPr>
      <w:r>
        <w:rPr>
          <w:rFonts w:hint="eastAsia" w:ascii="宋体" w:hAnsi="宋体" w:cs="宋体"/>
          <w:i w:val="0"/>
          <w:iCs/>
          <w:sz w:val="22"/>
          <w:u w:val="single"/>
        </w:rPr>
        <w:t>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p>
    <w:p w14:paraId="638009AD">
      <w:pPr>
        <w:spacing w:after="160" w:line="500" w:lineRule="exact"/>
        <w:ind w:firstLine="442"/>
        <w:contextualSpacing/>
        <w:rPr>
          <w:rFonts w:ascii="宋体" w:hAnsi="宋体" w:cs="宋体"/>
          <w:i w:val="0"/>
          <w:iCs/>
          <w:sz w:val="22"/>
          <w:u w:val="single"/>
        </w:rPr>
      </w:pPr>
      <w:r>
        <w:rPr>
          <w:rFonts w:hint="eastAsia" w:ascii="宋体" w:hAnsi="宋体" w:cs="宋体"/>
          <w:b/>
          <w:bCs/>
          <w:i w:val="0"/>
          <w:iCs/>
          <w:sz w:val="22"/>
          <w:u w:val="single"/>
        </w:rPr>
        <w:t>2、工程付款、进度：</w:t>
      </w:r>
    </w:p>
    <w:p w14:paraId="19F4E066">
      <w:pPr>
        <w:spacing w:after="160" w:line="500" w:lineRule="exact"/>
        <w:ind w:firstLine="440"/>
        <w:contextualSpacing/>
        <w:rPr>
          <w:rFonts w:hint="eastAsia" w:ascii="宋体" w:hAnsi="宋体" w:eastAsia="宋体" w:cs="宋体"/>
          <w:bCs w:val="0"/>
          <w:i w:val="0"/>
          <w:sz w:val="22"/>
          <w:szCs w:val="22"/>
          <w:u w:val="single"/>
          <w:lang w:eastAsia="zh-CN"/>
        </w:rPr>
      </w:pPr>
      <w:r>
        <w:rPr>
          <w:rFonts w:hint="eastAsia" w:ascii="宋体" w:hAnsi="宋体" w:eastAsia="宋体" w:cs="宋体"/>
          <w:i w:val="0"/>
          <w:iCs/>
          <w:sz w:val="22"/>
          <w:szCs w:val="22"/>
          <w:u w:val="single"/>
          <w:lang w:val="en-US" w:eastAsia="zh-CN"/>
        </w:rPr>
        <w:t>2.1、结算方式：</w:t>
      </w:r>
      <w:r>
        <w:rPr>
          <w:rFonts w:hint="eastAsia" w:ascii="宋体" w:hAnsi="宋体" w:cs="宋体"/>
          <w:i w:val="0"/>
          <w:iCs/>
          <w:sz w:val="22"/>
          <w:u w:val="single"/>
        </w:rPr>
        <w:t>采用固定综合单价方式结算。</w:t>
      </w:r>
      <w:r>
        <w:rPr>
          <w:rFonts w:hint="eastAsia" w:ascii="宋体" w:hAnsi="宋体" w:cs="宋体"/>
          <w:i w:val="0"/>
          <w:iCs/>
          <w:sz w:val="22"/>
          <w:u w:val="single"/>
          <w:lang w:val="en-US" w:eastAsia="zh-CN"/>
        </w:rPr>
        <w:t>甲方</w:t>
      </w:r>
      <w:r>
        <w:rPr>
          <w:rFonts w:hint="eastAsia" w:ascii="宋体" w:hAnsi="宋体" w:cs="宋体"/>
          <w:i w:val="0"/>
          <w:iCs/>
          <w:sz w:val="22"/>
          <w:u w:val="single"/>
        </w:rPr>
        <w:t>根据项目具体实施情况，委托第三方造价咨询单位按照工程内容编制工程量清单和预算价；再由</w:t>
      </w:r>
      <w:r>
        <w:rPr>
          <w:rFonts w:hint="eastAsia" w:ascii="宋体" w:hAnsi="宋体" w:cs="宋体"/>
          <w:i w:val="0"/>
          <w:iCs/>
          <w:sz w:val="22"/>
          <w:u w:val="single"/>
          <w:lang w:val="en-US" w:eastAsia="zh-CN"/>
        </w:rPr>
        <w:t>乙方</w:t>
      </w:r>
      <w:r>
        <w:rPr>
          <w:rFonts w:hint="eastAsia" w:ascii="宋体" w:hAnsi="宋体" w:cs="宋体"/>
          <w:i w:val="0"/>
          <w:iCs/>
          <w:sz w:val="22"/>
          <w:u w:val="single"/>
        </w:rPr>
        <w:t>核对，确认后根据(1-成交优惠率)确定“已标价工程量清单”；</w:t>
      </w:r>
      <w:r>
        <w:rPr>
          <w:rFonts w:hint="eastAsia" w:ascii="宋体" w:hAnsi="宋体" w:cs="宋体"/>
          <w:i w:val="0"/>
          <w:iCs/>
          <w:sz w:val="22"/>
          <w:u w:val="single"/>
          <w:lang w:val="en-US" w:eastAsia="zh-CN"/>
        </w:rPr>
        <w:t>甲方</w:t>
      </w:r>
      <w:r>
        <w:rPr>
          <w:rFonts w:hint="eastAsia" w:ascii="宋体" w:hAnsi="宋体" w:cs="宋体"/>
          <w:i w:val="0"/>
          <w:iCs/>
          <w:sz w:val="22"/>
          <w:u w:val="single"/>
        </w:rPr>
        <w:t>与</w:t>
      </w:r>
      <w:r>
        <w:rPr>
          <w:rFonts w:hint="eastAsia" w:ascii="宋体" w:hAnsi="宋体" w:cs="宋体"/>
          <w:i w:val="0"/>
          <w:iCs/>
          <w:sz w:val="22"/>
          <w:u w:val="single"/>
          <w:lang w:val="en-US" w:eastAsia="zh-CN"/>
        </w:rPr>
        <w:t>乙方</w:t>
      </w:r>
      <w:r>
        <w:rPr>
          <w:rFonts w:hint="eastAsia" w:ascii="宋体" w:hAnsi="宋体" w:cs="宋体"/>
          <w:i w:val="0"/>
          <w:iCs/>
          <w:sz w:val="22"/>
          <w:u w:val="single"/>
        </w:rPr>
        <w:t>据此签订单个工程的施工合同。竣工后工程量按实结算，已标价工程量清单中未包括的子目，按照建设行政主管部门发布的计价办法和计价标准重新组价后</w:t>
      </w:r>
      <w:r>
        <w:rPr>
          <w:rFonts w:hint="eastAsia" w:ascii="宋体" w:hAnsi="宋体" w:cs="宋体"/>
          <w:i w:val="0"/>
          <w:iCs/>
          <w:sz w:val="22"/>
          <w:u w:val="single"/>
          <w:lang w:eastAsia="zh-CN"/>
        </w:rPr>
        <w:t>*</w:t>
      </w:r>
      <w:r>
        <w:rPr>
          <w:rFonts w:hint="eastAsia" w:ascii="宋体" w:hAnsi="宋体" w:cs="宋体"/>
          <w:i w:val="0"/>
          <w:iCs/>
          <w:sz w:val="22"/>
          <w:u w:val="single"/>
        </w:rPr>
        <w:t>（1-成交优惠率），执行文件包括但不限于：(1)《建设工程工程量清单计价规范》(GB50500-2013)及其9本计算规范；(2)国家或省级，行业建设主管部门颁发的计价办法；(3)国家或省级，行业建设主管部门颁发的计价定额；(4)与建设项目相关的标准，规范等技术资料；(5)市场价格信息或工程造价管理机构发布的工程造价信息</w:t>
      </w:r>
      <w:r>
        <w:rPr>
          <w:rFonts w:hint="eastAsia" w:ascii="宋体" w:hAnsi="宋体" w:cs="宋体"/>
          <w:i w:val="0"/>
          <w:iCs/>
          <w:sz w:val="22"/>
          <w:u w:val="single"/>
          <w:lang w:eastAsia="zh-CN"/>
        </w:rPr>
        <w:t>。</w:t>
      </w:r>
    </w:p>
    <w:p w14:paraId="1BEA6A91">
      <w:pPr>
        <w:spacing w:after="160" w:line="500" w:lineRule="exact"/>
        <w:ind w:firstLine="440"/>
        <w:contextualSpacing/>
        <w:rPr>
          <w:rFonts w:hint="eastAsia" w:ascii="宋体" w:hAnsi="宋体" w:eastAsia="宋体" w:cs="宋体"/>
          <w:i w:val="0"/>
          <w:iCs/>
          <w:sz w:val="22"/>
          <w:u w:val="single"/>
          <w:lang w:val="en-US" w:eastAsia="zh-CN"/>
        </w:rPr>
      </w:pPr>
      <w:r>
        <w:rPr>
          <w:rFonts w:hint="eastAsia" w:ascii="宋体" w:hAnsi="宋体" w:eastAsia="宋体" w:cs="宋体"/>
          <w:i w:val="0"/>
          <w:iCs/>
          <w:sz w:val="22"/>
          <w:u w:val="single"/>
          <w:lang w:val="en-US" w:eastAsia="zh-CN"/>
        </w:rPr>
        <w:t>2.2、付款方式：</w:t>
      </w:r>
    </w:p>
    <w:p w14:paraId="2C9892DA">
      <w:pPr>
        <w:spacing w:after="160" w:line="500" w:lineRule="exact"/>
        <w:ind w:firstLine="440"/>
        <w:contextualSpacing/>
        <w:rPr>
          <w:rFonts w:hint="eastAsia" w:ascii="宋体" w:hAnsi="宋体" w:eastAsia="宋体" w:cs="宋体"/>
          <w:i w:val="0"/>
          <w:iCs/>
          <w:sz w:val="22"/>
          <w:u w:val="single"/>
          <w:lang w:val="en-US" w:eastAsia="zh-CN"/>
        </w:rPr>
      </w:pPr>
      <w:r>
        <w:rPr>
          <w:rFonts w:hint="eastAsia" w:ascii="宋体" w:hAnsi="宋体" w:eastAsia="宋体" w:cs="宋体"/>
          <w:i w:val="0"/>
          <w:iCs/>
          <w:sz w:val="22"/>
          <w:u w:val="single"/>
          <w:lang w:val="en-US" w:eastAsia="zh-CN"/>
        </w:rPr>
        <w:t>由</w:t>
      </w:r>
      <w:r>
        <w:rPr>
          <w:rFonts w:hint="eastAsia" w:ascii="宋体" w:hAnsi="宋体" w:cs="宋体"/>
          <w:i w:val="0"/>
          <w:iCs/>
          <w:sz w:val="22"/>
          <w:u w:val="single"/>
          <w:lang w:val="en-US" w:eastAsia="zh-CN"/>
        </w:rPr>
        <w:t>乙方</w:t>
      </w:r>
      <w:r>
        <w:rPr>
          <w:rFonts w:hint="eastAsia" w:ascii="宋体" w:hAnsi="宋体" w:eastAsia="宋体" w:cs="宋体"/>
          <w:i w:val="0"/>
          <w:iCs/>
          <w:sz w:val="22"/>
          <w:u w:val="single"/>
          <w:lang w:val="en-US" w:eastAsia="zh-CN"/>
        </w:rPr>
        <w:t>编制年度结算报告，由</w:t>
      </w:r>
      <w:r>
        <w:rPr>
          <w:rFonts w:hint="eastAsia" w:ascii="宋体" w:hAnsi="宋体" w:cs="宋体"/>
          <w:i w:val="0"/>
          <w:iCs/>
          <w:sz w:val="22"/>
          <w:u w:val="single"/>
          <w:lang w:val="en-US" w:eastAsia="zh-CN"/>
        </w:rPr>
        <w:t>甲方</w:t>
      </w:r>
      <w:r>
        <w:rPr>
          <w:rFonts w:hint="eastAsia" w:ascii="宋体" w:hAnsi="宋体" w:eastAsia="宋体" w:cs="宋体"/>
          <w:i w:val="0"/>
          <w:iCs/>
          <w:sz w:val="22"/>
          <w:u w:val="single"/>
          <w:lang w:val="en-US" w:eastAsia="zh-CN"/>
        </w:rPr>
        <w:t>委托第三方审计单位审核，项目结算价按照“已标价工程量清单”据实结算，已标价工程量清单中未包括的子目，按照建设行政主管部门发布的计价办法和计价标准、执行文件组价，并根据（1-成交优惠率）计算。合同签订后，2027年1月支付2026年度结算价所得金额的60%；2028年1月支付2026年度结算价的30%及2027年度结算价的60%；2029年1月支付2027年度结算价的30%；余款在绿化养护期满且通过最终验收（以最迟养护期满为准）后3个月内付清。</w:t>
      </w:r>
    </w:p>
    <w:p w14:paraId="1C62E8E2">
      <w:pPr>
        <w:spacing w:after="160" w:line="500" w:lineRule="exact"/>
        <w:ind w:firstLine="440"/>
        <w:contextualSpacing/>
        <w:rPr>
          <w:rFonts w:hint="eastAsia" w:ascii="宋体" w:hAnsi="宋体" w:eastAsia="宋体" w:cs="宋体"/>
          <w:i w:val="0"/>
          <w:iCs/>
          <w:sz w:val="22"/>
          <w:u w:val="single"/>
        </w:rPr>
      </w:pPr>
      <w:r>
        <w:rPr>
          <w:rFonts w:hint="eastAsia" w:ascii="宋体" w:hAnsi="宋体" w:eastAsia="宋体" w:cs="宋体"/>
          <w:i w:val="0"/>
          <w:iCs/>
          <w:sz w:val="22"/>
          <w:u w:val="single"/>
        </w:rPr>
        <w:t>注：（1）以上每次付款前，</w:t>
      </w:r>
      <w:r>
        <w:rPr>
          <w:rFonts w:hint="eastAsia" w:ascii="宋体" w:hAnsi="宋体" w:eastAsia="宋体" w:cs="宋体"/>
          <w:i w:val="0"/>
          <w:iCs/>
          <w:sz w:val="22"/>
          <w:u w:val="single"/>
          <w:lang w:val="en-US" w:eastAsia="zh-CN"/>
        </w:rPr>
        <w:t>乙方</w:t>
      </w:r>
      <w:r>
        <w:rPr>
          <w:rFonts w:hint="eastAsia" w:ascii="宋体" w:hAnsi="宋体" w:eastAsia="宋体" w:cs="宋体"/>
          <w:i w:val="0"/>
          <w:iCs/>
          <w:sz w:val="22"/>
          <w:u w:val="single"/>
        </w:rPr>
        <w:t>均应提供符合</w:t>
      </w:r>
      <w:r>
        <w:rPr>
          <w:rFonts w:hint="eastAsia" w:ascii="宋体" w:hAnsi="宋体" w:eastAsia="宋体" w:cs="宋体"/>
          <w:i w:val="0"/>
          <w:iCs/>
          <w:sz w:val="22"/>
          <w:u w:val="single"/>
          <w:lang w:val="en-US" w:eastAsia="zh-CN"/>
        </w:rPr>
        <w:t>甲方</w:t>
      </w:r>
      <w:r>
        <w:rPr>
          <w:rFonts w:hint="eastAsia" w:ascii="宋体" w:hAnsi="宋体" w:eastAsia="宋体" w:cs="宋体"/>
          <w:i w:val="0"/>
          <w:iCs/>
          <w:sz w:val="22"/>
          <w:u w:val="single"/>
        </w:rPr>
        <w:t>要求的同等金额的合法有效发票。否则，</w:t>
      </w:r>
      <w:r>
        <w:rPr>
          <w:rFonts w:hint="eastAsia" w:ascii="宋体" w:hAnsi="宋体" w:eastAsia="宋体" w:cs="宋体"/>
          <w:i w:val="0"/>
          <w:iCs/>
          <w:sz w:val="22"/>
          <w:u w:val="single"/>
          <w:lang w:val="en-US" w:eastAsia="zh-CN"/>
        </w:rPr>
        <w:t>甲方</w:t>
      </w:r>
      <w:r>
        <w:rPr>
          <w:rFonts w:hint="eastAsia" w:ascii="宋体" w:hAnsi="宋体" w:eastAsia="宋体" w:cs="宋体"/>
          <w:i w:val="0"/>
          <w:iCs/>
          <w:sz w:val="22"/>
          <w:u w:val="single"/>
        </w:rPr>
        <w:t>有权顺延付款时间，且不承担任何违约或赔偿责任。</w:t>
      </w:r>
    </w:p>
    <w:p w14:paraId="52763FC3">
      <w:pPr>
        <w:spacing w:after="160" w:line="500" w:lineRule="exact"/>
        <w:ind w:firstLine="899"/>
        <w:contextualSpacing/>
        <w:rPr>
          <w:rFonts w:hint="eastAsia" w:ascii="宋体" w:hAnsi="宋体" w:eastAsia="宋体" w:cs="宋体"/>
          <w:i w:val="0"/>
          <w:iCs/>
          <w:sz w:val="22"/>
          <w:u w:val="single"/>
        </w:rPr>
      </w:pPr>
      <w:r>
        <w:rPr>
          <w:rFonts w:hint="eastAsia" w:ascii="宋体" w:hAnsi="宋体" w:eastAsia="宋体" w:cs="宋体"/>
          <w:i w:val="0"/>
          <w:iCs/>
          <w:sz w:val="22"/>
          <w:u w:val="single"/>
        </w:rPr>
        <w:t>（2）本合同项目下所有款项允许通过数字人民币支付。</w:t>
      </w:r>
    </w:p>
    <w:p w14:paraId="567DC221">
      <w:pPr>
        <w:spacing w:after="160" w:line="500" w:lineRule="exact"/>
        <w:ind w:firstLine="442"/>
        <w:contextualSpacing/>
        <w:rPr>
          <w:rFonts w:ascii="宋体" w:hAnsi="宋体" w:cs="宋体"/>
          <w:b/>
          <w:bCs/>
          <w:i w:val="0"/>
          <w:iCs/>
          <w:sz w:val="22"/>
          <w:u w:val="single"/>
        </w:rPr>
      </w:pPr>
      <w:r>
        <w:rPr>
          <w:rFonts w:hint="eastAsia" w:ascii="宋体" w:hAnsi="宋体" w:cs="宋体"/>
          <w:b/>
          <w:bCs/>
          <w:i w:val="0"/>
          <w:iCs/>
          <w:sz w:val="22"/>
          <w:u w:val="single"/>
        </w:rPr>
        <w:t>3、材料、设备供应方式：</w:t>
      </w:r>
    </w:p>
    <w:p w14:paraId="7DAFDA77">
      <w:pPr>
        <w:spacing w:after="160" w:line="500" w:lineRule="exact"/>
        <w:ind w:firstLine="660"/>
        <w:contextualSpacing/>
        <w:rPr>
          <w:rFonts w:ascii="宋体" w:hAnsi="宋体" w:cs="宋体"/>
          <w:i w:val="0"/>
          <w:iCs/>
          <w:sz w:val="22"/>
          <w:u w:val="single"/>
        </w:rPr>
      </w:pPr>
      <w:r>
        <w:rPr>
          <w:rFonts w:hint="eastAsia" w:ascii="宋体" w:hAnsi="宋体" w:cs="宋体"/>
          <w:i w:val="0"/>
          <w:iCs/>
          <w:sz w:val="22"/>
          <w:u w:val="single"/>
        </w:rPr>
        <w:t>3</w:t>
      </w:r>
      <w:r>
        <w:rPr>
          <w:rFonts w:ascii="宋体" w:hAnsi="宋体" w:cs="宋体"/>
          <w:i w:val="0"/>
          <w:iCs/>
          <w:sz w:val="22"/>
          <w:u w:val="single"/>
        </w:rPr>
        <w:t>.1.</w:t>
      </w:r>
      <w:r>
        <w:rPr>
          <w:rFonts w:hint="eastAsia" w:ascii="宋体" w:hAnsi="宋体" w:cs="宋体"/>
          <w:i w:val="0"/>
          <w:iCs/>
          <w:sz w:val="22"/>
          <w:u w:val="single"/>
        </w:rPr>
        <w:t>甲供材料、设备   无    。</w:t>
      </w:r>
    </w:p>
    <w:p w14:paraId="0D2B1F11">
      <w:pPr>
        <w:spacing w:after="160" w:line="500" w:lineRule="exact"/>
        <w:ind w:firstLine="660"/>
        <w:contextualSpacing/>
        <w:rPr>
          <w:rFonts w:ascii="宋体" w:hAnsi="宋体" w:cs="宋体"/>
          <w:i w:val="0"/>
          <w:iCs/>
          <w:sz w:val="22"/>
          <w:u w:val="single"/>
        </w:rPr>
      </w:pPr>
      <w:r>
        <w:rPr>
          <w:rFonts w:hint="eastAsia" w:ascii="宋体" w:hAnsi="宋体" w:cs="宋体"/>
          <w:i w:val="0"/>
          <w:iCs/>
          <w:sz w:val="22"/>
          <w:u w:val="single"/>
        </w:rPr>
        <w:t>3</w:t>
      </w:r>
      <w:r>
        <w:rPr>
          <w:rFonts w:ascii="宋体" w:hAnsi="宋体" w:cs="宋体"/>
          <w:i w:val="0"/>
          <w:iCs/>
          <w:sz w:val="22"/>
          <w:u w:val="single"/>
        </w:rPr>
        <w:t>.2.</w:t>
      </w:r>
      <w:r>
        <w:rPr>
          <w:rFonts w:hint="eastAsia" w:ascii="宋体" w:hAnsi="宋体" w:cs="宋体"/>
          <w:i w:val="0"/>
          <w:iCs/>
          <w:sz w:val="22"/>
          <w:u w:val="single"/>
        </w:rPr>
        <w:t>乙供材料、设备全部乙供。承包人供应的材料和设备，应符合图纸及技术标准，发包人有权进行抽样检测。如果材料或施工质量不符合标准，发包人有权要求承包人无偿更换或重新施工，由此产生的一切费用由承包人承担。</w:t>
      </w:r>
    </w:p>
    <w:p w14:paraId="6DA4CF9D">
      <w:pPr>
        <w:spacing w:after="160" w:line="500" w:lineRule="exact"/>
        <w:ind w:firstLine="442"/>
        <w:contextualSpacing/>
        <w:rPr>
          <w:rFonts w:ascii="宋体" w:hAnsi="宋体" w:cs="宋体"/>
          <w:b/>
          <w:bCs/>
          <w:i w:val="0"/>
          <w:iCs/>
          <w:sz w:val="22"/>
          <w:u w:val="single"/>
        </w:rPr>
      </w:pPr>
      <w:r>
        <w:rPr>
          <w:rFonts w:hint="eastAsia" w:ascii="宋体" w:hAnsi="宋体" w:cs="宋体"/>
          <w:b/>
          <w:bCs/>
          <w:i w:val="0"/>
          <w:iCs/>
          <w:sz w:val="22"/>
          <w:u w:val="single"/>
        </w:rPr>
        <w:t>4、本工程为财政投资项目，以审计机构审定结果为建设项目价款结算依据</w:t>
      </w:r>
      <w:r>
        <w:rPr>
          <w:rFonts w:hint="eastAsia" w:ascii="宋体" w:hAnsi="宋体" w:cs="宋体"/>
          <w:b/>
          <w:bCs/>
          <w:i w:val="0"/>
          <w:iCs/>
          <w:sz w:val="22"/>
        </w:rPr>
        <w:t>。</w:t>
      </w:r>
    </w:p>
    <w:p w14:paraId="4FE704B2">
      <w:pPr>
        <w:spacing w:after="160" w:line="500" w:lineRule="exact"/>
        <w:ind w:firstLine="442"/>
        <w:contextualSpacing/>
        <w:rPr>
          <w:rFonts w:ascii="宋体" w:hAnsi="宋体" w:cs="宋体"/>
          <w:b/>
          <w:bCs/>
          <w:i w:val="0"/>
          <w:iCs/>
          <w:sz w:val="22"/>
        </w:rPr>
      </w:pPr>
      <w:r>
        <w:rPr>
          <w:rFonts w:hint="eastAsia" w:ascii="宋体" w:hAnsi="宋体" w:cs="宋体"/>
          <w:b/>
          <w:bCs/>
          <w:i w:val="0"/>
          <w:iCs/>
          <w:sz w:val="22"/>
        </w:rPr>
        <w:t>5、工程施工期间涉及安全由承包人全部负责，涉及安全所产生的相关费用（包括人员、财产损失）一律由乙方承担。</w:t>
      </w:r>
    </w:p>
    <w:p w14:paraId="14176772">
      <w:pPr>
        <w:spacing w:after="160" w:line="500" w:lineRule="exact"/>
        <w:ind w:firstLine="442"/>
        <w:contextualSpacing/>
        <w:rPr>
          <w:rFonts w:ascii="宋体" w:hAnsi="宋体" w:cs="宋体"/>
          <w:b/>
          <w:bCs/>
          <w:i w:val="0"/>
          <w:iCs/>
          <w:sz w:val="22"/>
        </w:rPr>
      </w:pPr>
      <w:r>
        <w:rPr>
          <w:rFonts w:hint="eastAsia" w:ascii="宋体" w:hAnsi="宋体" w:cs="宋体"/>
          <w:b/>
          <w:bCs/>
          <w:i w:val="0"/>
          <w:iCs/>
          <w:sz w:val="22"/>
        </w:rPr>
        <w:t>6、质量必须达到合格，凡因施工单位责任，经验收达不到合格要求，必须返工到合格并承担因返工引起的一切经济损失。</w:t>
      </w:r>
    </w:p>
    <w:p w14:paraId="308B001D">
      <w:pPr>
        <w:spacing w:after="160" w:line="500" w:lineRule="exact"/>
        <w:ind w:firstLine="442"/>
        <w:contextualSpacing/>
        <w:rPr>
          <w:rFonts w:ascii="宋体" w:hAnsi="宋体" w:cs="宋体"/>
          <w:b/>
          <w:bCs/>
          <w:i w:val="0"/>
          <w:iCs/>
          <w:sz w:val="22"/>
        </w:rPr>
      </w:pPr>
      <w:r>
        <w:rPr>
          <w:rFonts w:hint="eastAsia" w:ascii="宋体" w:hAnsi="宋体" w:cs="宋体"/>
          <w:b/>
          <w:bCs/>
          <w:i w:val="0"/>
          <w:iCs/>
          <w:sz w:val="22"/>
        </w:rPr>
        <w:t>7、承包人应当办理有关施工现场交通、环卫、施工噪声等管理手续，若发生费用由承包人负责。</w:t>
      </w:r>
    </w:p>
    <w:p w14:paraId="5F0F6632">
      <w:pPr>
        <w:spacing w:after="160" w:line="500" w:lineRule="exact"/>
        <w:ind w:firstLine="442"/>
        <w:contextualSpacing/>
        <w:rPr>
          <w:rFonts w:ascii="宋体" w:hAnsi="宋体" w:cs="宋体"/>
          <w:b/>
          <w:bCs/>
          <w:i w:val="0"/>
          <w:iCs/>
          <w:sz w:val="22"/>
        </w:rPr>
      </w:pPr>
      <w:r>
        <w:rPr>
          <w:rFonts w:hint="eastAsia" w:ascii="宋体" w:hAnsi="宋体" w:cs="宋体"/>
          <w:b/>
          <w:bCs/>
          <w:i w:val="0"/>
          <w:iCs/>
          <w:sz w:val="22"/>
        </w:rPr>
        <w:t>8、工程未交付之前，承包人应自始至终对成品进行保护和防止丢失。</w:t>
      </w:r>
    </w:p>
    <w:p w14:paraId="774A3F3B">
      <w:pPr>
        <w:spacing w:after="160" w:line="500" w:lineRule="exact"/>
        <w:ind w:firstLine="480"/>
        <w:rPr>
          <w:rFonts w:ascii="宋体" w:hAnsi="宋体" w:cs="宋体"/>
          <w:b/>
          <w:i w:val="0"/>
          <w:iCs/>
          <w:sz w:val="22"/>
          <w:u w:val="single"/>
        </w:rPr>
      </w:pPr>
      <w:r>
        <w:rPr>
          <w:rFonts w:ascii="宋体" w:hAnsi="宋体" w:cs="宋体"/>
          <w:b/>
          <w:i w:val="0"/>
          <w:iCs/>
          <w:sz w:val="22"/>
          <w:u w:val="single"/>
        </w:rPr>
        <w:t>9</w:t>
      </w:r>
      <w:r>
        <w:rPr>
          <w:rFonts w:hint="eastAsia" w:ascii="宋体" w:hAnsi="宋体" w:cs="宋体"/>
          <w:b/>
          <w:i w:val="0"/>
          <w:iCs/>
          <w:sz w:val="22"/>
          <w:u w:val="single"/>
        </w:rPr>
        <w:t>、（1）本工程追加费用不得超过原合同金额的10%；（2）原合同金额10%以内的追加费用，限于原合同内工程调整增加的工程费用，原合同外工程范围不得计入。</w:t>
      </w:r>
    </w:p>
    <w:p w14:paraId="50A6DF14">
      <w:pPr>
        <w:spacing w:after="160" w:line="500" w:lineRule="exact"/>
        <w:ind w:firstLine="440"/>
        <w:rPr>
          <w:rFonts w:ascii="宋体" w:hAnsi="宋体" w:cs="宋体"/>
          <w:i w:val="0"/>
          <w:iCs/>
          <w:sz w:val="22"/>
          <w:u w:val="single"/>
        </w:rPr>
      </w:pPr>
      <w:r>
        <w:rPr>
          <w:rFonts w:ascii="宋体" w:hAnsi="宋体" w:cs="宋体"/>
          <w:i w:val="0"/>
          <w:iCs/>
          <w:sz w:val="22"/>
          <w:u w:val="single"/>
        </w:rPr>
        <w:t>10</w:t>
      </w:r>
      <w:r>
        <w:rPr>
          <w:rFonts w:hint="eastAsia" w:ascii="宋体" w:hAnsi="宋体" w:cs="宋体"/>
          <w:i w:val="0"/>
          <w:iCs/>
          <w:sz w:val="22"/>
          <w:u w:val="single"/>
        </w:rPr>
        <w:t>、本工程磋商文件是本合同必须遵守之条款，若其他书面文件产生与磋商文件相悖的内容，磋商文件的有关条款将得到优先执行。</w:t>
      </w:r>
    </w:p>
    <w:p w14:paraId="46F7DFAE">
      <w:pPr>
        <w:spacing w:after="160" w:line="500" w:lineRule="exact"/>
        <w:ind w:firstLine="440"/>
        <w:rPr>
          <w:rFonts w:ascii="宋体" w:hAnsi="宋体" w:cs="宋体"/>
          <w:i w:val="0"/>
          <w:iCs/>
          <w:sz w:val="22"/>
        </w:rPr>
      </w:pPr>
    </w:p>
    <w:p w14:paraId="6C81F24E">
      <w:pPr>
        <w:spacing w:after="160" w:line="500" w:lineRule="exact"/>
        <w:ind w:firstLine="440"/>
        <w:rPr>
          <w:rFonts w:ascii="宋体" w:hAnsi="宋体" w:cs="宋体"/>
          <w:sz w:val="22"/>
        </w:rPr>
      </w:pPr>
    </w:p>
    <w:p w14:paraId="413C7E32">
      <w:pPr>
        <w:spacing w:after="160" w:line="500" w:lineRule="exact"/>
        <w:ind w:firstLine="440"/>
        <w:rPr>
          <w:rFonts w:ascii="宋体" w:hAnsi="宋体" w:cs="宋体"/>
          <w:sz w:val="22"/>
        </w:rPr>
      </w:pPr>
      <w:r>
        <w:rPr>
          <w:rFonts w:hint="eastAsia" w:ascii="宋体" w:hAnsi="宋体" w:cs="宋体"/>
          <w:sz w:val="22"/>
        </w:rPr>
        <w:t xml:space="preserve">发包人：（公章）                  </w:t>
      </w:r>
      <w:r>
        <w:rPr>
          <w:rFonts w:ascii="宋体" w:hAnsi="宋体" w:cs="宋体"/>
          <w:sz w:val="22"/>
        </w:rPr>
        <w:t xml:space="preserve">         </w:t>
      </w:r>
      <w:r>
        <w:rPr>
          <w:rFonts w:hint="eastAsia" w:ascii="宋体" w:hAnsi="宋体" w:cs="宋体"/>
          <w:sz w:val="22"/>
        </w:rPr>
        <w:t>承包人：（公章）</w:t>
      </w:r>
    </w:p>
    <w:p w14:paraId="35E6B6E6">
      <w:pPr>
        <w:spacing w:after="160" w:line="500" w:lineRule="exact"/>
        <w:ind w:firstLine="440"/>
        <w:rPr>
          <w:rFonts w:ascii="宋体" w:hAnsi="宋体" w:cs="宋体"/>
          <w:sz w:val="22"/>
          <w:u w:val="single"/>
        </w:rPr>
      </w:pPr>
      <w:r>
        <w:rPr>
          <w:rFonts w:hint="eastAsia" w:ascii="宋体" w:hAnsi="宋体" w:cs="宋体"/>
          <w:sz w:val="22"/>
        </w:rPr>
        <w:t>法定代表人或委托代理人：                   法定代表人或委托代理人：</w:t>
      </w:r>
    </w:p>
    <w:p w14:paraId="0A2A1FE8">
      <w:pPr>
        <w:spacing w:after="160" w:line="500" w:lineRule="exact"/>
        <w:ind w:firstLine="440"/>
        <w:rPr>
          <w:rFonts w:ascii="宋体" w:hAnsi="宋体" w:cs="宋体"/>
          <w:sz w:val="22"/>
        </w:rPr>
      </w:pPr>
      <w:r>
        <w:rPr>
          <w:rFonts w:hint="eastAsia" w:ascii="宋体" w:hAnsi="宋体" w:cs="宋体"/>
          <w:sz w:val="22"/>
        </w:rPr>
        <w:t xml:space="preserve">                               </w:t>
      </w:r>
    </w:p>
    <w:p w14:paraId="061CAB10">
      <w:pPr>
        <w:spacing w:after="160" w:line="500" w:lineRule="exact"/>
        <w:ind w:firstLine="440"/>
        <w:rPr>
          <w:rFonts w:ascii="宋体" w:hAnsi="宋体" w:cs="宋体"/>
          <w:sz w:val="22"/>
        </w:rPr>
      </w:pPr>
      <w:r>
        <w:rPr>
          <w:rFonts w:hint="eastAsia" w:ascii="宋体" w:hAnsi="宋体" w:cs="宋体"/>
          <w:sz w:val="22"/>
        </w:rPr>
        <w:t xml:space="preserve"> 签约日期：   年   月  日         </w:t>
      </w:r>
    </w:p>
    <w:p w14:paraId="2216D386">
      <w:pPr>
        <w:widowControl/>
        <w:spacing w:line="360" w:lineRule="auto"/>
        <w:ind w:left="960"/>
        <w:jc w:val="left"/>
        <w:rPr>
          <w:rFonts w:ascii="宋体" w:hAnsi="宋体"/>
          <w:bCs/>
          <w:szCs w:val="21"/>
        </w:rPr>
      </w:pPr>
    </w:p>
    <w:p w14:paraId="5AF48334">
      <w:pPr>
        <w:widowControl/>
        <w:spacing w:line="360" w:lineRule="auto"/>
        <w:ind w:left="960"/>
        <w:jc w:val="left"/>
        <w:rPr>
          <w:rFonts w:ascii="宋体" w:hAnsi="宋体"/>
          <w:bCs/>
          <w:szCs w:val="21"/>
        </w:rPr>
      </w:pPr>
    </w:p>
    <w:p w14:paraId="76FF4EF5">
      <w:pPr>
        <w:widowControl/>
        <w:spacing w:line="360" w:lineRule="auto"/>
        <w:ind w:firstLine="0"/>
        <w:jc w:val="center"/>
        <w:rPr>
          <w:rFonts w:ascii="宋体" w:hAnsi="宋体"/>
          <w:b/>
          <w:bCs/>
          <w:sz w:val="24"/>
          <w:szCs w:val="24"/>
          <w:highlight w:val="none"/>
        </w:rPr>
      </w:pPr>
      <w:r>
        <w:rPr>
          <w:rFonts w:ascii="宋体" w:hAnsi="宋体"/>
          <w:b/>
          <w:bCs/>
          <w:sz w:val="24"/>
          <w:szCs w:val="24"/>
        </w:rPr>
        <w:t>第二部分　通用条款</w:t>
      </w:r>
    </w:p>
    <w:p w14:paraId="283BD23F">
      <w:pPr>
        <w:widowControl/>
        <w:spacing w:line="360" w:lineRule="auto"/>
        <w:ind w:firstLine="3493"/>
        <w:rPr>
          <w:rFonts w:ascii="宋体" w:hAnsi="宋体"/>
          <w:b/>
          <w:bCs/>
          <w:szCs w:val="21"/>
        </w:rPr>
      </w:pPr>
    </w:p>
    <w:p w14:paraId="6A47A1DC">
      <w:pPr>
        <w:widowControl/>
        <w:spacing w:line="360" w:lineRule="auto"/>
        <w:rPr>
          <w:rFonts w:ascii="宋体" w:hAnsi="宋体"/>
          <w:szCs w:val="21"/>
        </w:rPr>
      </w:pPr>
      <w:r>
        <w:rPr>
          <w:rFonts w:ascii="宋体" w:hAnsi="宋体"/>
          <w:szCs w:val="21"/>
        </w:rPr>
        <w:t>通用条款：采用国家工商行政管理局和建设部颁发的《建设工程施工合同》（GF-2013-0201）</w:t>
      </w:r>
    </w:p>
    <w:p w14:paraId="68631D68">
      <w:pPr>
        <w:pStyle w:val="2"/>
        <w:rPr>
          <w:szCs w:val="22"/>
        </w:rPr>
      </w:pPr>
      <w:r>
        <w:rPr>
          <w:rFonts w:ascii="宋体" w:hAnsi="宋体"/>
          <w:szCs w:val="21"/>
        </w:rPr>
        <w:br w:type="page" w:clear="all"/>
      </w:r>
      <w:bookmarkStart w:id="59" w:name="_Toc24999"/>
      <w:bookmarkStart w:id="60" w:name="_Toc159312656"/>
      <w:r>
        <w:rPr>
          <w:szCs w:val="22"/>
        </w:rPr>
        <w:t xml:space="preserve">第四章  </w:t>
      </w:r>
      <w:bookmarkEnd w:id="25"/>
      <w:r>
        <w:rPr>
          <w:rFonts w:hint="eastAsia"/>
          <w:szCs w:val="22"/>
        </w:rPr>
        <w:t>采购需求</w:t>
      </w:r>
      <w:bookmarkEnd w:id="59"/>
      <w:bookmarkEnd w:id="60"/>
    </w:p>
    <w:p w14:paraId="6F73D9DB">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常熟市2026-2027年度储备地块绿化移植和养护项目</w:t>
      </w:r>
    </w:p>
    <w:p w14:paraId="7F2ED422">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JSZC-320581-CSXC-C2026-0012</w:t>
      </w:r>
    </w:p>
    <w:p w14:paraId="2E292885">
      <w:pPr>
        <w:spacing w:line="460" w:lineRule="exact"/>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常熟市自然资源和规划局</w:t>
      </w:r>
    </w:p>
    <w:p w14:paraId="2AC1809D">
      <w:pPr>
        <w:spacing w:line="440" w:lineRule="exact"/>
        <w:rPr>
          <w:rFonts w:cs="宋体"/>
          <w:b/>
          <w:bCs/>
          <w:sz w:val="28"/>
          <w:szCs w:val="28"/>
          <w:lang w:val="zh-CN"/>
        </w:rPr>
      </w:pPr>
      <w:bookmarkStart w:id="61" w:name="_Toc418490526"/>
      <w:r>
        <w:rPr>
          <w:rFonts w:hint="eastAsia" w:cs="宋体"/>
          <w:b/>
          <w:bCs/>
          <w:sz w:val="28"/>
          <w:szCs w:val="28"/>
          <w:lang w:val="zh-CN"/>
        </w:rPr>
        <w:t>一、</w:t>
      </w:r>
      <w:r>
        <w:rPr>
          <w:rFonts w:hint="eastAsia"/>
          <w:b/>
          <w:sz w:val="28"/>
          <w:szCs w:val="28"/>
          <w:lang w:val="zh-CN"/>
        </w:rPr>
        <w:t>项目说明：</w:t>
      </w:r>
    </w:p>
    <w:p w14:paraId="4BDFA688">
      <w:pPr>
        <w:spacing w:line="440" w:lineRule="exact"/>
        <w:ind w:firstLine="480"/>
        <w:rPr>
          <w:sz w:val="24"/>
          <w:szCs w:val="24"/>
          <w:highlight w:val="none"/>
        </w:rPr>
      </w:pPr>
      <w:r>
        <w:rPr>
          <w:rFonts w:hint="eastAsia"/>
          <w:sz w:val="24"/>
          <w:szCs w:val="24"/>
          <w:highlight w:val="none"/>
        </w:rPr>
        <w:t>1、</w:t>
      </w:r>
      <w:r>
        <w:rPr>
          <w:rFonts w:hint="eastAsia"/>
          <w:sz w:val="24"/>
          <w:szCs w:val="24"/>
          <w:highlight w:val="none"/>
          <w:lang w:val="en-US" w:eastAsia="zh-CN"/>
        </w:rPr>
        <w:t>本次采购内容为常熟市自然资源和规划局所需的常熟市2026-2027年度储备地块绿化移植和养护项目。</w:t>
      </w:r>
    </w:p>
    <w:p w14:paraId="472FD9BE">
      <w:pPr>
        <w:spacing w:line="440" w:lineRule="exact"/>
        <w:ind w:firstLine="513"/>
        <w:rPr>
          <w:rFonts w:hint="eastAsia" w:eastAsia="宋体"/>
          <w:sz w:val="24"/>
          <w:szCs w:val="24"/>
          <w:highlight w:val="none"/>
          <w:lang w:val="zh-CN" w:eastAsia="zh-CN"/>
        </w:rPr>
      </w:pPr>
      <w:r>
        <w:rPr>
          <w:rFonts w:hint="eastAsia" w:eastAsia="宋体"/>
          <w:sz w:val="24"/>
          <w:szCs w:val="24"/>
          <w:highlight w:val="none"/>
          <w:lang w:val="zh-CN" w:eastAsia="zh-CN"/>
        </w:rPr>
        <w:t>2、项目内容：绿化移植</w:t>
      </w:r>
      <w:r>
        <w:rPr>
          <w:rFonts w:hint="eastAsia" w:eastAsia="宋体"/>
          <w:sz w:val="24"/>
          <w:szCs w:val="24"/>
          <w:highlight w:val="none"/>
          <w:lang w:val="en-US" w:eastAsia="zh-CN"/>
        </w:rPr>
        <w:t>及其</w:t>
      </w:r>
      <w:r>
        <w:rPr>
          <w:rFonts w:hint="eastAsia" w:eastAsia="宋体"/>
          <w:sz w:val="24"/>
          <w:szCs w:val="24"/>
          <w:highlight w:val="none"/>
          <w:lang w:val="zh-CN" w:eastAsia="zh-CN"/>
        </w:rPr>
        <w:t>养护。</w:t>
      </w:r>
    </w:p>
    <w:p w14:paraId="47DEC0FE">
      <w:pPr>
        <w:spacing w:line="440" w:lineRule="exact"/>
        <w:ind w:firstLine="513"/>
        <w:rPr>
          <w:rFonts w:hint="eastAsia" w:eastAsia="宋体"/>
          <w:sz w:val="24"/>
          <w:szCs w:val="24"/>
          <w:highlight w:val="none"/>
          <w:lang w:eastAsia="zh-CN"/>
        </w:rPr>
      </w:pPr>
      <w:r>
        <w:rPr>
          <w:rFonts w:hint="eastAsia" w:eastAsia="宋体"/>
          <w:sz w:val="24"/>
          <w:szCs w:val="24"/>
          <w:highlight w:val="none"/>
          <w:lang w:val="en-US" w:eastAsia="zh-CN"/>
        </w:rPr>
        <w:t>3</w:t>
      </w:r>
      <w:r>
        <w:rPr>
          <w:rFonts w:hint="eastAsia" w:eastAsia="宋体"/>
          <w:sz w:val="24"/>
          <w:szCs w:val="24"/>
          <w:highlight w:val="none"/>
          <w:lang w:eastAsia="zh-CN"/>
        </w:rPr>
        <w:t>、项目地点：采购人指定的常熟市范围内储备地块</w:t>
      </w:r>
      <w:r>
        <w:rPr>
          <w:rFonts w:hint="eastAsia" w:eastAsia="宋体"/>
          <w:sz w:val="24"/>
          <w:szCs w:val="24"/>
          <w:highlight w:val="none"/>
          <w:lang w:val="en-US" w:eastAsia="zh-CN"/>
        </w:rPr>
        <w:t>。</w:t>
      </w:r>
    </w:p>
    <w:p w14:paraId="57EFD886">
      <w:pPr>
        <w:spacing w:line="440" w:lineRule="exact"/>
        <w:ind w:firstLine="480"/>
        <w:rPr>
          <w:sz w:val="24"/>
          <w:szCs w:val="24"/>
          <w:highlight w:val="none"/>
        </w:rPr>
      </w:pPr>
      <w:r>
        <w:rPr>
          <w:rFonts w:hint="eastAsia"/>
          <w:sz w:val="24"/>
          <w:szCs w:val="24"/>
          <w:highlight w:val="none"/>
        </w:rPr>
        <w:t>4、供应商应对项目现场进行踏勘，但费用由供应商自行承担。现场踏勘联系人：金潮，联系电话：0512-52221768。供应商在报价时应充分考虑现场实际情况，采购人不负担因投标人对项目现场情况考虑不周而产生的其他任何费用。</w:t>
      </w:r>
    </w:p>
    <w:p w14:paraId="4B9621DF">
      <w:pPr>
        <w:spacing w:line="440" w:lineRule="exact"/>
        <w:ind w:firstLine="240"/>
        <w:jc w:val="left"/>
        <w:rPr>
          <w:rFonts w:hint="eastAsia"/>
          <w:sz w:val="24"/>
          <w:szCs w:val="24"/>
          <w:highlight w:val="none"/>
          <w:lang w:val="en-US" w:eastAsia="zh-CN"/>
        </w:rPr>
      </w:pPr>
      <w:r>
        <w:rPr>
          <w:color w:val="000000"/>
          <w:sz w:val="24"/>
          <w:szCs w:val="24"/>
          <w:highlight w:val="none"/>
        </w:rPr>
        <w:t>★</w:t>
      </w:r>
      <w:r>
        <w:rPr>
          <w:rFonts w:hint="eastAsia"/>
          <w:sz w:val="24"/>
          <w:szCs w:val="24"/>
          <w:highlight w:val="none"/>
        </w:rPr>
        <w:t>5</w:t>
      </w:r>
      <w:r>
        <w:rPr>
          <w:sz w:val="24"/>
          <w:szCs w:val="24"/>
          <w:highlight w:val="none"/>
        </w:rPr>
        <w:t>、</w:t>
      </w:r>
      <w:r>
        <w:rPr>
          <w:rFonts w:hint="eastAsia"/>
          <w:sz w:val="24"/>
          <w:szCs w:val="24"/>
          <w:highlight w:val="none"/>
          <w:lang w:val="en-US" w:eastAsia="zh-CN"/>
        </w:rPr>
        <w:t>合同履行期限：绿化移植服务期限为自合同签订之日起两年，绿化养护服务期限为项目竣工之日起五年。</w:t>
      </w:r>
    </w:p>
    <w:p w14:paraId="498C71D7">
      <w:pPr>
        <w:spacing w:line="440" w:lineRule="exact"/>
        <w:ind w:firstLine="240"/>
        <w:jc w:val="left"/>
        <w:rPr>
          <w:rFonts w:hint="eastAsia" w:eastAsia="宋体"/>
          <w:sz w:val="24"/>
          <w:szCs w:val="24"/>
          <w:highlight w:val="none"/>
          <w:lang w:val="en-US" w:eastAsia="zh-CN"/>
        </w:rPr>
      </w:pPr>
      <w:r>
        <w:rPr>
          <w:color w:val="000000"/>
          <w:sz w:val="24"/>
          <w:szCs w:val="24"/>
          <w:highlight w:val="none"/>
        </w:rPr>
        <w:t>★</w:t>
      </w:r>
      <w:r>
        <w:rPr>
          <w:rFonts w:hint="eastAsia"/>
          <w:color w:val="000000"/>
          <w:sz w:val="24"/>
          <w:szCs w:val="24"/>
          <w:highlight w:val="none"/>
          <w:lang w:val="en-US" w:eastAsia="zh-CN"/>
        </w:rPr>
        <w:t>6、工程量及工程造价的确认：采用固定综合单价方式结算。采购人根据项目具体实施情况，委托第三方造价咨询单位按照工程内容编制工程量清单和预算价；再由成交供应商核对，确认后根据(1-成交优惠率)确定“已标价工程量清单”；采购人与供应商据此签订单个工程的施工合同。竣工后工程量按实结算，已标价工程量清单中未包括的子目，按照建设行政主管部门发布的计价办法和计价标准重新组价后*（1-成交优惠率），执行文件包括但不限于：(1)《建设工程工程量清单计价规范》(GB50500-2013)及其9本计算规范；(2)国家或省级，行业建设主管部门颁发的计价办法；(3)国家或省级，行业建设主管部门颁发的计价定额；(4)与建设项目相关的标准，规范等技术资料；(5)市场价格信息或工程造价管理机构发布的工程造价信息。</w:t>
      </w:r>
    </w:p>
    <w:p w14:paraId="37EFD345">
      <w:pPr>
        <w:numPr>
          <w:ilvl w:val="0"/>
          <w:numId w:val="0"/>
        </w:numPr>
        <w:spacing w:line="440" w:lineRule="exact"/>
        <w:ind w:firstLine="240"/>
        <w:rPr>
          <w:rFonts w:hint="eastAsia" w:ascii="宋体" w:hAnsi="宋体" w:eastAsia="宋体"/>
          <w:sz w:val="24"/>
          <w:szCs w:val="24"/>
          <w:highlight w:val="none"/>
          <w:lang w:val="en-US" w:eastAsia="zh-CN"/>
        </w:rPr>
      </w:pPr>
      <w:r>
        <w:rPr>
          <w:color w:val="000000"/>
          <w:sz w:val="24"/>
          <w:szCs w:val="24"/>
          <w:highlight w:val="none"/>
        </w:rPr>
        <w:t>★</w:t>
      </w:r>
      <w:r>
        <w:rPr>
          <w:rFonts w:hint="eastAsia" w:ascii="宋体" w:hAnsi="宋体"/>
          <w:sz w:val="24"/>
          <w:szCs w:val="24"/>
          <w:highlight w:val="none"/>
          <w:lang w:val="en-US" w:eastAsia="zh-CN"/>
        </w:rPr>
        <w:t>7</w:t>
      </w:r>
      <w:r>
        <w:rPr>
          <w:rFonts w:hint="eastAsia" w:ascii="宋体" w:hAnsi="宋体" w:eastAsia="宋体"/>
          <w:sz w:val="24"/>
          <w:szCs w:val="24"/>
          <w:highlight w:val="none"/>
          <w:lang w:val="en-US" w:eastAsia="zh-CN"/>
        </w:rPr>
        <w:t>、付款方式：由成交供应商编制</w:t>
      </w:r>
      <w:r>
        <w:rPr>
          <w:rFonts w:hint="eastAsia" w:ascii="宋体" w:hAnsi="宋体"/>
          <w:sz w:val="24"/>
          <w:szCs w:val="24"/>
          <w:highlight w:val="none"/>
          <w:lang w:val="en-US" w:eastAsia="zh-CN"/>
        </w:rPr>
        <w:t>年度</w:t>
      </w:r>
      <w:r>
        <w:rPr>
          <w:rFonts w:hint="eastAsia" w:ascii="宋体" w:hAnsi="宋体" w:eastAsia="宋体"/>
          <w:sz w:val="24"/>
          <w:szCs w:val="24"/>
          <w:highlight w:val="none"/>
          <w:lang w:val="en-US" w:eastAsia="zh-CN"/>
        </w:rPr>
        <w:t>结算报告，由采购人委托第三方审计单位审核，项目结算价按照“已标价工程量清单”据实结算，已标价工程量清单中未包括的子目，按照建设行政主管部门发布的计价办法和计价标准、执行文件组价，并根据（1-成交优惠率）计算。合同签订后，2027年1月支付2026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所得金额的60%；2028年1月支付2026年度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的30%及2027年度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的60%；2029年1月支付2027年度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的30%；余款在绿化养护期满且通过最终验收（以最迟养护期满为准）后3个月内付清。</w:t>
      </w:r>
    </w:p>
    <w:p w14:paraId="49B79BBF">
      <w:pPr>
        <w:numPr>
          <w:ilvl w:val="0"/>
          <w:numId w:val="0"/>
        </w:numPr>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注：（1）以上每次付款前，成交供应商均应提供符合采购人要求的同等金额的合法有效发票。否则，采购人有权顺延付款时间，且不承担任何违约或赔偿责任。</w:t>
      </w:r>
    </w:p>
    <w:p w14:paraId="4D26E49B">
      <w:pPr>
        <w:spacing w:line="440" w:lineRule="exact"/>
        <w:ind w:firstLine="482"/>
        <w:rPr>
          <w:b/>
          <w:sz w:val="24"/>
          <w:szCs w:val="24"/>
          <w:highlight w:val="none"/>
        </w:rPr>
      </w:pPr>
      <w:r>
        <w:rPr>
          <w:rFonts w:hint="eastAsia" w:ascii="宋体" w:hAnsi="宋体" w:cs="宋体"/>
          <w:b/>
          <w:color w:val="000000"/>
          <w:sz w:val="24"/>
          <w:szCs w:val="24"/>
          <w:highlight w:val="none"/>
        </w:rPr>
        <w:t>（2）</w:t>
      </w:r>
      <w:r>
        <w:rPr>
          <w:rFonts w:hint="eastAsia"/>
          <w:b/>
          <w:sz w:val="24"/>
          <w:szCs w:val="24"/>
          <w:highlight w:val="none"/>
        </w:rPr>
        <w:t>本合同项目下所有款项允许通过数字人民币支付。</w:t>
      </w:r>
    </w:p>
    <w:p w14:paraId="1025C679">
      <w:pPr>
        <w:shd w:val="clear" w:color="auto" w:fill="FFFFFF"/>
        <w:spacing w:line="440" w:lineRule="exact"/>
        <w:ind w:firstLine="482"/>
        <w:rPr>
          <w:b/>
          <w:bCs/>
          <w:sz w:val="24"/>
          <w:szCs w:val="24"/>
          <w:highlight w:val="none"/>
        </w:rPr>
      </w:pPr>
      <w:r>
        <w:rPr>
          <w:rFonts w:hint="eastAsia" w:ascii="宋体" w:hAnsi="宋体" w:cs="宋体"/>
          <w:b/>
          <w:bCs/>
          <w:sz w:val="24"/>
          <w:szCs w:val="24"/>
          <w:highlight w:val="none"/>
          <w:lang w:val="en-US" w:eastAsia="zh-CN"/>
        </w:rPr>
        <w:t>8、本项目采购预算为人民币2500000.00（人民币贰佰伍拾万元整）。本项目按优惠率进行报价，优惠率即为下浮率，投标报价优惠率不得低于10%且不得超过100%，否则将失去磋商资格。供应商在报价时应考虑各种风险因素，相关风险因素费用包含在报价中，在服务期限内成交优惠率不变。</w:t>
      </w:r>
    </w:p>
    <w:p w14:paraId="566A7E13">
      <w:pPr>
        <w:spacing w:line="440" w:lineRule="exact"/>
        <w:ind w:firstLine="480"/>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、本项目不得以任何形式进行转包及分包。</w:t>
      </w:r>
    </w:p>
    <w:p w14:paraId="1334E158">
      <w:pPr>
        <w:spacing w:line="440" w:lineRule="exact"/>
        <w:ind w:firstLine="480"/>
        <w:rPr>
          <w:rFonts w:hint="eastAsia"/>
          <w:sz w:val="24"/>
          <w:szCs w:val="24"/>
          <w:highlight w:val="none"/>
        </w:rPr>
      </w:pPr>
      <w:r>
        <w:rPr>
          <w:rFonts w:hint="eastAsia"/>
          <w:b/>
          <w:bCs/>
          <w:sz w:val="24"/>
          <w:szCs w:val="24"/>
          <w:highlight w:val="none"/>
          <w:lang w:val="en-US" w:eastAsia="zh-CN"/>
        </w:rPr>
        <w:t>10、本项目不接受联合体投标。</w:t>
      </w:r>
    </w:p>
    <w:p w14:paraId="3D64B658">
      <w:pPr>
        <w:spacing w:line="440" w:lineRule="exact"/>
        <w:rPr>
          <w:rFonts w:hint="eastAsia" w:cs="宋体"/>
          <w:b/>
          <w:bCs/>
          <w:sz w:val="28"/>
          <w:szCs w:val="28"/>
        </w:rPr>
      </w:pPr>
      <w:bookmarkStart w:id="62" w:name="_Toc4584"/>
      <w:r>
        <w:rPr>
          <w:rFonts w:hint="eastAsia" w:cs="宋体"/>
          <w:b/>
          <w:bCs/>
          <w:sz w:val="28"/>
          <w:szCs w:val="28"/>
          <w:lang w:val="en-US" w:eastAsia="zh-CN"/>
        </w:rPr>
        <w:t>二</w:t>
      </w:r>
      <w:r>
        <w:rPr>
          <w:rFonts w:hint="eastAsia" w:cs="宋体"/>
          <w:b/>
          <w:bCs/>
          <w:sz w:val="28"/>
          <w:szCs w:val="28"/>
        </w:rPr>
        <w:t>、项目服务内容：</w:t>
      </w:r>
    </w:p>
    <w:p w14:paraId="7D675BEC">
      <w:pPr>
        <w:spacing w:line="440" w:lineRule="exact"/>
        <w:rPr>
          <w:b/>
          <w:bCs/>
          <w:sz w:val="24"/>
          <w:szCs w:val="24"/>
        </w:rPr>
      </w:pPr>
      <w:r>
        <w:rPr>
          <w:rFonts w:hint="eastAsia"/>
          <w:b/>
          <w:bCs/>
          <w:sz w:val="24"/>
          <w:szCs w:val="24"/>
        </w:rPr>
        <w:t>（</w:t>
      </w:r>
      <w:r>
        <w:rPr>
          <w:b/>
          <w:bCs/>
          <w:sz w:val="24"/>
          <w:szCs w:val="24"/>
        </w:rPr>
        <w:t>一）规范与技术要求：</w:t>
      </w:r>
    </w:p>
    <w:p w14:paraId="09ACCB8C">
      <w:pPr>
        <w:spacing w:line="440" w:lineRule="exact"/>
        <w:ind w:firstLine="480"/>
        <w:jc w:val="left"/>
        <w:rPr>
          <w:sz w:val="24"/>
        </w:rPr>
      </w:pPr>
      <w:r>
        <w:rPr>
          <w:sz w:val="24"/>
        </w:rPr>
        <w:t>1、</w:t>
      </w:r>
      <w:r>
        <w:rPr>
          <w:rFonts w:hint="eastAsia"/>
          <w:sz w:val="24"/>
        </w:rPr>
        <w:t>本项目</w:t>
      </w:r>
      <w:r>
        <w:rPr>
          <w:sz w:val="24"/>
        </w:rPr>
        <w:t>施工及养护分别按以下规范、规定执行。</w:t>
      </w:r>
    </w:p>
    <w:p w14:paraId="17C86DA0">
      <w:pPr>
        <w:spacing w:line="440" w:lineRule="exact"/>
        <w:ind w:firstLine="600"/>
        <w:jc w:val="left"/>
        <w:rPr>
          <w:sz w:val="24"/>
        </w:rPr>
      </w:pPr>
      <w:r>
        <w:rPr>
          <w:sz w:val="24"/>
        </w:rPr>
        <w:t>1.1《园林绿化工程施工及验收规范》(CJJ82-2012)；</w:t>
      </w:r>
    </w:p>
    <w:p w14:paraId="59218EDC">
      <w:pPr>
        <w:spacing w:line="440" w:lineRule="exact"/>
        <w:ind w:firstLine="600"/>
        <w:jc w:val="left"/>
        <w:rPr>
          <w:sz w:val="24"/>
        </w:rPr>
      </w:pPr>
      <w:r>
        <w:rPr>
          <w:sz w:val="24"/>
        </w:rPr>
        <w:t>1.2《江苏省城市园林绿化植物种植技术规定</w:t>
      </w:r>
      <w:r>
        <w:rPr>
          <w:rFonts w:hint="eastAsia"/>
          <w:sz w:val="24"/>
        </w:rPr>
        <w:t>（</w:t>
      </w:r>
      <w:r>
        <w:rPr>
          <w:sz w:val="24"/>
        </w:rPr>
        <w:t>试行</w:t>
      </w:r>
      <w:r>
        <w:rPr>
          <w:rFonts w:hint="eastAsia"/>
          <w:sz w:val="24"/>
        </w:rPr>
        <w:t>）</w:t>
      </w:r>
      <w:r>
        <w:rPr>
          <w:sz w:val="24"/>
        </w:rPr>
        <w:t>》；</w:t>
      </w:r>
    </w:p>
    <w:p w14:paraId="70F5970B">
      <w:pPr>
        <w:spacing w:line="440" w:lineRule="exact"/>
        <w:ind w:firstLine="600"/>
        <w:jc w:val="left"/>
        <w:rPr>
          <w:sz w:val="24"/>
        </w:rPr>
      </w:pPr>
      <w:r>
        <w:rPr>
          <w:sz w:val="24"/>
        </w:rPr>
        <w:t>1.3《江苏省城市园林绿化植物养护技术规定(试行)》[苏建园（2000）204号]。</w:t>
      </w:r>
    </w:p>
    <w:p w14:paraId="6DD34C29">
      <w:pPr>
        <w:spacing w:line="460" w:lineRule="exact"/>
        <w:ind w:firstLine="480"/>
        <w:rPr>
          <w:sz w:val="24"/>
          <w:szCs w:val="24"/>
        </w:rPr>
      </w:pPr>
      <w:r>
        <w:rPr>
          <w:sz w:val="24"/>
          <w:szCs w:val="24"/>
        </w:rPr>
        <w:t>注：以上标准如有变化，以最新发布的为准</w:t>
      </w:r>
      <w:r>
        <w:rPr>
          <w:rFonts w:hint="eastAsia"/>
          <w:sz w:val="24"/>
          <w:szCs w:val="24"/>
        </w:rPr>
        <w:t>，如内容有重复的，以要求最高的为准。</w:t>
      </w:r>
    </w:p>
    <w:p w14:paraId="19C0218A">
      <w:pPr>
        <w:spacing w:line="440" w:lineRule="exact"/>
        <w:rPr>
          <w:b/>
          <w:bCs/>
          <w:sz w:val="24"/>
          <w:szCs w:val="24"/>
        </w:rPr>
      </w:pPr>
      <w:r>
        <w:rPr>
          <w:b/>
          <w:bCs/>
          <w:sz w:val="24"/>
          <w:szCs w:val="24"/>
        </w:rPr>
        <w:t>（二）安全文明作业要求：</w:t>
      </w:r>
    </w:p>
    <w:p w14:paraId="7BA4F019">
      <w:pPr>
        <w:spacing w:line="440" w:lineRule="exact"/>
        <w:ind w:firstLine="480"/>
        <w:rPr>
          <w:sz w:val="24"/>
          <w:szCs w:val="24"/>
        </w:rPr>
      </w:pPr>
      <w:r>
        <w:rPr>
          <w:sz w:val="24"/>
          <w:szCs w:val="24"/>
        </w:rPr>
        <w:t>1、严格遵守《中华人民共和国安全生产法》，加强安全防范意识，杜绝安全事故。用工应严格执行《中华人民共和国劳动法》，特殊工种应持证上岗。如因未按安全文明施工规范作业，被交警、城管、环保等部门处罚的，或因</w:t>
      </w:r>
      <w:r>
        <w:rPr>
          <w:rFonts w:hint="eastAsia"/>
          <w:sz w:val="24"/>
          <w:szCs w:val="24"/>
          <w:lang w:eastAsia="zh-CN"/>
        </w:rPr>
        <w:t>成交供应商</w:t>
      </w:r>
      <w:r>
        <w:rPr>
          <w:sz w:val="24"/>
          <w:szCs w:val="24"/>
        </w:rPr>
        <w:t>原因造成伤亡事故、财产损失或其他不利影响的，由</w:t>
      </w:r>
      <w:r>
        <w:rPr>
          <w:rFonts w:hint="eastAsia"/>
          <w:sz w:val="24"/>
          <w:szCs w:val="24"/>
          <w:lang w:eastAsia="zh-CN"/>
        </w:rPr>
        <w:t>成交供应商</w:t>
      </w:r>
      <w:r>
        <w:rPr>
          <w:sz w:val="24"/>
          <w:szCs w:val="24"/>
        </w:rPr>
        <w:t>负责处理，并承担相关责任和费用。</w:t>
      </w:r>
    </w:p>
    <w:p w14:paraId="69C91BA2">
      <w:pPr>
        <w:spacing w:line="440" w:lineRule="exact"/>
        <w:ind w:firstLine="480"/>
        <w:rPr>
          <w:sz w:val="24"/>
          <w:szCs w:val="24"/>
        </w:rPr>
      </w:pPr>
      <w:r>
        <w:rPr>
          <w:sz w:val="24"/>
          <w:szCs w:val="24"/>
        </w:rPr>
        <w:t>2、作业人员应统一着装，佩戴工作证，穿戴必要的安全保护用具，雨雾天及夜间作业加穿反光马甲；作业现场应设置安全防护警示标志。</w:t>
      </w:r>
    </w:p>
    <w:p w14:paraId="2C204311">
      <w:pPr>
        <w:spacing w:line="440" w:lineRule="exact"/>
        <w:ind w:firstLine="480"/>
        <w:rPr>
          <w:sz w:val="24"/>
          <w:szCs w:val="24"/>
        </w:rPr>
      </w:pPr>
      <w:r>
        <w:rPr>
          <w:sz w:val="24"/>
          <w:szCs w:val="24"/>
        </w:rPr>
        <w:t>3、作业过程中尽量避免影响周边单位和居民正常的生产生活，严禁出现有损采购人形象和声誉的言行。如因此引发人身财产纠纷，由</w:t>
      </w:r>
      <w:r>
        <w:rPr>
          <w:rFonts w:hint="eastAsia"/>
          <w:sz w:val="24"/>
          <w:szCs w:val="24"/>
          <w:lang w:eastAsia="zh-CN"/>
        </w:rPr>
        <w:t>成交供应商</w:t>
      </w:r>
      <w:r>
        <w:rPr>
          <w:sz w:val="24"/>
          <w:szCs w:val="24"/>
        </w:rPr>
        <w:t>负责处理，并承担相关责任和费用。</w:t>
      </w:r>
    </w:p>
    <w:p w14:paraId="1CA842B5">
      <w:pPr>
        <w:spacing w:line="440" w:lineRule="exact"/>
        <w:ind w:firstLine="480"/>
        <w:rPr>
          <w:sz w:val="24"/>
          <w:szCs w:val="24"/>
        </w:rPr>
      </w:pPr>
      <w:r>
        <w:rPr>
          <w:sz w:val="24"/>
          <w:szCs w:val="24"/>
        </w:rPr>
        <w:t>4、作业时发现苗木存在安全隐患的，立即上报采购人，同时做好现场安全警示、防范和防患措施。</w:t>
      </w:r>
    </w:p>
    <w:p w14:paraId="1896EE1D">
      <w:pPr>
        <w:spacing w:line="440" w:lineRule="exact"/>
        <w:ind w:firstLine="480"/>
        <w:rPr>
          <w:sz w:val="24"/>
          <w:szCs w:val="24"/>
        </w:rPr>
      </w:pPr>
      <w:r>
        <w:rPr>
          <w:sz w:val="24"/>
          <w:szCs w:val="24"/>
        </w:rPr>
        <w:t>5、作业时妥善处理各类管线、建筑物、交通等与苗木移植之间的矛盾，如出现损坏管线、建筑物及影响交通等情况，需立即通知采购人及相关部门，并承担相应责任和费用。</w:t>
      </w:r>
    </w:p>
    <w:p w14:paraId="6D06A1EE">
      <w:pPr>
        <w:spacing w:line="440" w:lineRule="exact"/>
        <w:ind w:firstLine="480"/>
        <w:rPr>
          <w:sz w:val="24"/>
          <w:szCs w:val="24"/>
        </w:rPr>
      </w:pPr>
      <w:r>
        <w:rPr>
          <w:sz w:val="24"/>
          <w:szCs w:val="24"/>
        </w:rPr>
        <w:t>6、作业产生的垃圾须立即清运干净，保持地块整洁。</w:t>
      </w:r>
    </w:p>
    <w:p w14:paraId="08F77485">
      <w:pPr>
        <w:spacing w:line="440" w:lineRule="exact"/>
        <w:rPr>
          <w:b/>
          <w:bCs/>
          <w:sz w:val="24"/>
          <w:szCs w:val="24"/>
        </w:rPr>
      </w:pPr>
      <w:r>
        <w:rPr>
          <w:b/>
          <w:bCs/>
          <w:sz w:val="24"/>
          <w:szCs w:val="24"/>
        </w:rPr>
        <w:t>（三）</w:t>
      </w:r>
      <w:r>
        <w:rPr>
          <w:rFonts w:hint="eastAsia"/>
          <w:b/>
          <w:bCs/>
          <w:sz w:val="24"/>
          <w:szCs w:val="24"/>
        </w:rPr>
        <w:t>移植及养护团队</w:t>
      </w:r>
      <w:r>
        <w:rPr>
          <w:b/>
          <w:bCs/>
          <w:sz w:val="24"/>
          <w:szCs w:val="24"/>
        </w:rPr>
        <w:t>要求：</w:t>
      </w:r>
    </w:p>
    <w:p w14:paraId="6A39E05E">
      <w:pPr>
        <w:spacing w:line="440" w:lineRule="exact"/>
        <w:ind w:firstLine="480"/>
        <w:rPr>
          <w:rFonts w:ascii="宋体" w:hAnsi="宋体"/>
          <w:sz w:val="24"/>
          <w:szCs w:val="24"/>
        </w:rPr>
      </w:pPr>
      <w:r>
        <w:rPr>
          <w:rFonts w:hint="eastAsia" w:ascii="宋体" w:hAnsi="宋体"/>
          <w:sz w:val="24"/>
          <w:szCs w:val="24"/>
        </w:rPr>
        <w:t>1、人员总体要求：</w:t>
      </w:r>
    </w:p>
    <w:p w14:paraId="711462A1">
      <w:pPr>
        <w:spacing w:line="440" w:lineRule="exact"/>
        <w:ind w:firstLine="720"/>
        <w:rPr>
          <w:rFonts w:ascii="宋体" w:hAnsi="宋体"/>
          <w:sz w:val="24"/>
          <w:szCs w:val="24"/>
        </w:rPr>
      </w:pPr>
      <w:r>
        <w:rPr>
          <w:rFonts w:hint="eastAsia" w:ascii="宋体" w:hAnsi="宋体"/>
          <w:sz w:val="24"/>
          <w:szCs w:val="24"/>
        </w:rPr>
        <w:t>1.</w:t>
      </w:r>
      <w:r>
        <w:rPr>
          <w:rFonts w:ascii="宋体" w:hAnsi="宋体"/>
          <w:sz w:val="24"/>
          <w:szCs w:val="24"/>
        </w:rPr>
        <w:t>1</w:t>
      </w:r>
      <w:r>
        <w:rPr>
          <w:rFonts w:hint="eastAsia" w:ascii="宋体" w:hAnsi="宋体"/>
          <w:sz w:val="24"/>
          <w:szCs w:val="24"/>
        </w:rPr>
        <w:t>爱岗敬业，遵纪守法，文明礼貌，具有与岗位相适应的身体条件。</w:t>
      </w:r>
    </w:p>
    <w:p w14:paraId="78439645">
      <w:pPr>
        <w:spacing w:line="440" w:lineRule="exact"/>
        <w:ind w:firstLine="720"/>
        <w:rPr>
          <w:rFonts w:ascii="宋体" w:hAnsi="宋体"/>
          <w:sz w:val="24"/>
          <w:szCs w:val="24"/>
        </w:rPr>
      </w:pPr>
      <w:r>
        <w:rPr>
          <w:rFonts w:hint="eastAsia" w:ascii="宋体" w:hAnsi="宋体"/>
          <w:sz w:val="24"/>
          <w:szCs w:val="24"/>
        </w:rPr>
        <w:t>1.</w:t>
      </w:r>
      <w:r>
        <w:rPr>
          <w:rFonts w:ascii="宋体" w:hAnsi="宋体"/>
          <w:sz w:val="24"/>
          <w:szCs w:val="24"/>
        </w:rPr>
        <w:t>2</w:t>
      </w:r>
      <w:r>
        <w:rPr>
          <w:rFonts w:hint="eastAsia" w:ascii="宋体" w:hAnsi="宋体"/>
          <w:sz w:val="24"/>
          <w:szCs w:val="24"/>
        </w:rPr>
        <w:t>责任心、安全意识强，作业规范高效。</w:t>
      </w:r>
    </w:p>
    <w:p w14:paraId="7E7C5EC2">
      <w:pPr>
        <w:spacing w:line="440" w:lineRule="exact"/>
        <w:ind w:firstLine="72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具备绿化种植养护相关技能，能</w:t>
      </w:r>
      <w:r>
        <w:rPr>
          <w:rFonts w:ascii="宋体" w:hAnsi="宋体"/>
          <w:sz w:val="24"/>
          <w:szCs w:val="24"/>
        </w:rPr>
        <w:t>熟练操作各种绿化工具、设备</w:t>
      </w:r>
      <w:r>
        <w:rPr>
          <w:rFonts w:hint="eastAsia" w:ascii="宋体" w:hAnsi="宋体"/>
          <w:sz w:val="24"/>
          <w:szCs w:val="24"/>
        </w:rPr>
        <w:t>。</w:t>
      </w:r>
    </w:p>
    <w:p w14:paraId="39D1CE6D">
      <w:pPr>
        <w:spacing w:line="440" w:lineRule="exact"/>
        <w:ind w:firstLine="240"/>
        <w:rPr>
          <w:rFonts w:ascii="宋体" w:hAnsi="宋体"/>
          <w:i w:val="0"/>
          <w:iCs w:val="0"/>
          <w:sz w:val="24"/>
          <w:szCs w:val="24"/>
          <w:u w:val="none"/>
        </w:rPr>
      </w:pPr>
      <w:r>
        <w:rPr>
          <w:rFonts w:hint="eastAsia" w:asciiTheme="minorEastAsia" w:hAnsiTheme="minorEastAsia" w:eastAsiaTheme="minorEastAsia" w:cstheme="minorEastAsia"/>
          <w:b/>
          <w:bCs/>
          <w:sz w:val="24"/>
          <w:szCs w:val="32"/>
          <w:highlight w:val="none"/>
          <w:lang w:val="en-US" w:eastAsia="zh-CN" w:bidi="ar-SA"/>
        </w:rPr>
        <w:t>★</w:t>
      </w:r>
      <w:r>
        <w:rPr>
          <w:rFonts w:ascii="宋体" w:hAnsi="宋体"/>
          <w:i w:val="0"/>
          <w:iCs w:val="0"/>
          <w:sz w:val="24"/>
          <w:szCs w:val="24"/>
          <w:u w:val="none"/>
        </w:rPr>
        <w:t>2</w:t>
      </w:r>
      <w:r>
        <w:rPr>
          <w:rFonts w:hint="eastAsia" w:ascii="宋体" w:hAnsi="宋体"/>
          <w:i w:val="0"/>
          <w:iCs w:val="0"/>
          <w:sz w:val="24"/>
          <w:szCs w:val="24"/>
          <w:u w:val="none"/>
        </w:rPr>
        <w:t>、项目人员最低数量要求：本项目配1名项目负责人，项目配备人数（含项目负责人）配备不低于</w:t>
      </w:r>
      <w:r>
        <w:rPr>
          <w:rFonts w:ascii="宋体" w:hAnsi="宋体"/>
          <w:i w:val="0"/>
          <w:iCs w:val="0"/>
          <w:sz w:val="24"/>
          <w:szCs w:val="24"/>
          <w:u w:val="none"/>
        </w:rPr>
        <w:t>10</w:t>
      </w:r>
      <w:r>
        <w:rPr>
          <w:rFonts w:hint="eastAsia" w:ascii="宋体" w:hAnsi="宋体"/>
          <w:i w:val="0"/>
          <w:iCs w:val="0"/>
          <w:sz w:val="24"/>
          <w:szCs w:val="24"/>
          <w:u w:val="none"/>
        </w:rPr>
        <w:t>人。</w:t>
      </w:r>
    </w:p>
    <w:p w14:paraId="5C6DAD54">
      <w:pPr>
        <w:spacing w:line="440" w:lineRule="exact"/>
        <w:ind w:firstLine="480"/>
        <w:rPr>
          <w:rFonts w:ascii="宋体" w:hAnsi="宋体"/>
          <w:sz w:val="24"/>
          <w:szCs w:val="24"/>
        </w:rPr>
      </w:pPr>
      <w:r>
        <w:rPr>
          <w:rFonts w:ascii="宋体" w:hAnsi="宋体"/>
          <w:sz w:val="24"/>
          <w:szCs w:val="24"/>
        </w:rPr>
        <w:t>3</w:t>
      </w:r>
      <w:r>
        <w:rPr>
          <w:rFonts w:hint="eastAsia" w:ascii="宋体" w:hAnsi="宋体"/>
          <w:sz w:val="24"/>
          <w:szCs w:val="24"/>
        </w:rPr>
        <w:t>、项目负责人配备要求：项目负责人具有</w:t>
      </w:r>
      <w:r>
        <w:rPr>
          <w:rFonts w:ascii="宋体" w:hAnsi="宋体"/>
          <w:sz w:val="24"/>
          <w:szCs w:val="24"/>
        </w:rPr>
        <w:t>苗木种植、养护管理</w:t>
      </w:r>
      <w:r>
        <w:rPr>
          <w:rFonts w:hint="eastAsia" w:ascii="宋体" w:hAnsi="宋体"/>
          <w:sz w:val="24"/>
          <w:szCs w:val="24"/>
        </w:rPr>
        <w:t>相关</w:t>
      </w:r>
      <w:r>
        <w:rPr>
          <w:rFonts w:ascii="宋体" w:hAnsi="宋体"/>
          <w:sz w:val="24"/>
          <w:szCs w:val="24"/>
        </w:rPr>
        <w:t>经验</w:t>
      </w:r>
      <w:r>
        <w:rPr>
          <w:rFonts w:hint="eastAsia" w:ascii="宋体" w:hAnsi="宋体"/>
          <w:sz w:val="24"/>
          <w:szCs w:val="24"/>
        </w:rPr>
        <w:t>，</w:t>
      </w:r>
      <w:r>
        <w:rPr>
          <w:rFonts w:ascii="宋体" w:hAnsi="宋体"/>
          <w:sz w:val="24"/>
          <w:szCs w:val="24"/>
        </w:rPr>
        <w:t>具有现场组织和指挥协调能力</w:t>
      </w:r>
      <w:r>
        <w:rPr>
          <w:rFonts w:hint="eastAsia" w:ascii="宋体" w:hAnsi="宋体"/>
          <w:sz w:val="24"/>
          <w:szCs w:val="24"/>
        </w:rPr>
        <w:t>。</w:t>
      </w:r>
    </w:p>
    <w:p w14:paraId="2112A571">
      <w:pPr>
        <w:spacing w:line="440" w:lineRule="exact"/>
        <w:ind w:firstLine="480"/>
        <w:rPr>
          <w:rFonts w:ascii="宋体" w:hAnsi="宋体"/>
          <w:sz w:val="24"/>
          <w:szCs w:val="24"/>
        </w:rPr>
      </w:pPr>
      <w:r>
        <w:rPr>
          <w:rFonts w:hint="eastAsia" w:ascii="宋体" w:hAnsi="宋体"/>
          <w:sz w:val="24"/>
          <w:szCs w:val="24"/>
        </w:rPr>
        <w:t>4、无特殊原因，</w:t>
      </w:r>
      <w:r>
        <w:rPr>
          <w:rFonts w:hint="eastAsia" w:ascii="宋体" w:hAnsi="宋体"/>
          <w:sz w:val="24"/>
          <w:szCs w:val="24"/>
          <w:lang w:val="en-US" w:eastAsia="zh-CN"/>
        </w:rPr>
        <w:t>成交供应商</w:t>
      </w:r>
      <w:r>
        <w:rPr>
          <w:rFonts w:hint="eastAsia" w:ascii="宋体" w:hAnsi="宋体"/>
          <w:sz w:val="24"/>
          <w:szCs w:val="24"/>
        </w:rPr>
        <w:t>不得随意更换项目人员，确需更换提前5个工作日书面征求采购人意见，同意后才可更换。</w:t>
      </w:r>
    </w:p>
    <w:p w14:paraId="1BEB8E0A">
      <w:pPr>
        <w:spacing w:line="440" w:lineRule="exact"/>
        <w:ind w:firstLine="480"/>
        <w:rPr>
          <w:rFonts w:ascii="宋体" w:hAnsi="宋体"/>
          <w:sz w:val="24"/>
          <w:szCs w:val="24"/>
        </w:rPr>
      </w:pPr>
      <w:r>
        <w:rPr>
          <w:rFonts w:hint="eastAsia" w:ascii="宋体" w:hAnsi="宋体"/>
          <w:sz w:val="24"/>
          <w:szCs w:val="24"/>
        </w:rPr>
        <w:t>5、如因</w:t>
      </w:r>
      <w:r>
        <w:rPr>
          <w:rFonts w:hint="eastAsia" w:ascii="宋体" w:hAnsi="宋体"/>
          <w:sz w:val="24"/>
          <w:szCs w:val="24"/>
          <w:lang w:val="en-US" w:eastAsia="zh-CN"/>
        </w:rPr>
        <w:t>成交供应商</w:t>
      </w:r>
      <w:r>
        <w:rPr>
          <w:rFonts w:hint="eastAsia" w:ascii="宋体" w:hAnsi="宋体"/>
          <w:sz w:val="24"/>
          <w:szCs w:val="24"/>
        </w:rPr>
        <w:t>项目负责人存在能力不达标或服务质量未达到采购人要求的，采购人有权要求更换相关负责人，</w:t>
      </w:r>
      <w:r>
        <w:rPr>
          <w:rFonts w:hint="eastAsia" w:ascii="宋体" w:hAnsi="宋体"/>
          <w:sz w:val="24"/>
          <w:szCs w:val="24"/>
          <w:lang w:val="en-US" w:eastAsia="zh-CN"/>
        </w:rPr>
        <w:t>成交供应商</w:t>
      </w:r>
      <w:r>
        <w:rPr>
          <w:rFonts w:hint="eastAsia" w:ascii="宋体" w:hAnsi="宋体"/>
          <w:sz w:val="24"/>
          <w:szCs w:val="24"/>
        </w:rPr>
        <w:t>应无条件服从。</w:t>
      </w:r>
    </w:p>
    <w:p w14:paraId="5409798D">
      <w:pPr>
        <w:spacing w:line="440" w:lineRule="exact"/>
        <w:ind w:firstLine="480"/>
        <w:rPr>
          <w:rFonts w:ascii="宋体" w:hAnsi="宋体"/>
          <w:sz w:val="24"/>
          <w:szCs w:val="24"/>
        </w:rPr>
      </w:pPr>
      <w:r>
        <w:rPr>
          <w:rFonts w:hint="eastAsia" w:ascii="宋体" w:hAnsi="宋体"/>
          <w:sz w:val="24"/>
          <w:szCs w:val="24"/>
        </w:rPr>
        <w:t>6、</w:t>
      </w:r>
      <w:r>
        <w:rPr>
          <w:rFonts w:hint="eastAsia" w:ascii="宋体" w:hAnsi="宋体"/>
          <w:sz w:val="24"/>
          <w:szCs w:val="24"/>
          <w:lang w:val="en-US" w:eastAsia="zh-CN"/>
        </w:rPr>
        <w:t>成交供应商</w:t>
      </w:r>
      <w:r>
        <w:rPr>
          <w:rFonts w:hint="eastAsia" w:ascii="宋体" w:hAnsi="宋体"/>
          <w:sz w:val="24"/>
          <w:szCs w:val="24"/>
        </w:rPr>
        <w:t>应</w:t>
      </w:r>
      <w:r>
        <w:rPr>
          <w:rFonts w:ascii="宋体" w:hAnsi="宋体"/>
          <w:sz w:val="24"/>
          <w:szCs w:val="24"/>
        </w:rPr>
        <w:t>为拟投入</w:t>
      </w:r>
      <w:r>
        <w:rPr>
          <w:rFonts w:hint="eastAsia" w:ascii="宋体" w:hAnsi="宋体"/>
          <w:sz w:val="24"/>
          <w:szCs w:val="24"/>
        </w:rPr>
        <w:t>本项目人员</w:t>
      </w:r>
      <w:r>
        <w:rPr>
          <w:rFonts w:ascii="宋体" w:hAnsi="宋体"/>
          <w:sz w:val="24"/>
          <w:szCs w:val="24"/>
        </w:rPr>
        <w:t>购买商业团体意外保险</w:t>
      </w:r>
      <w:r>
        <w:rPr>
          <w:rFonts w:hint="eastAsia" w:ascii="宋体" w:hAnsi="宋体"/>
          <w:sz w:val="24"/>
          <w:szCs w:val="24"/>
        </w:rPr>
        <w:t>。</w:t>
      </w:r>
    </w:p>
    <w:p w14:paraId="6B8375D3">
      <w:pPr>
        <w:spacing w:line="440" w:lineRule="exact"/>
        <w:rPr>
          <w:sz w:val="24"/>
          <w:szCs w:val="24"/>
        </w:rPr>
      </w:pPr>
      <w:r>
        <w:rPr>
          <w:rFonts w:hint="eastAsia"/>
          <w:b/>
          <w:bCs/>
          <w:sz w:val="24"/>
          <w:szCs w:val="24"/>
        </w:rPr>
        <w:t>（四）</w:t>
      </w:r>
      <w:r>
        <w:rPr>
          <w:b/>
          <w:bCs/>
          <w:sz w:val="24"/>
          <w:szCs w:val="24"/>
        </w:rPr>
        <w:t>车辆、工具设备配置要求</w:t>
      </w:r>
      <w:r>
        <w:rPr>
          <w:sz w:val="24"/>
          <w:szCs w:val="24"/>
        </w:rPr>
        <w:t>：</w:t>
      </w:r>
    </w:p>
    <w:p w14:paraId="647A2343">
      <w:pPr>
        <w:spacing w:line="440" w:lineRule="exact"/>
        <w:ind w:firstLine="480"/>
        <w:rPr>
          <w:rFonts w:ascii="宋体" w:hAnsi="宋体"/>
          <w:sz w:val="24"/>
          <w:szCs w:val="24"/>
        </w:rPr>
      </w:pPr>
      <w:r>
        <w:rPr>
          <w:rFonts w:hint="eastAsia" w:ascii="宋体" w:hAnsi="宋体"/>
          <w:sz w:val="24"/>
          <w:szCs w:val="24"/>
        </w:rPr>
        <w:t>1、专用车辆配置要求：</w:t>
      </w:r>
      <w:r>
        <w:rPr>
          <w:rFonts w:hint="eastAsia" w:ascii="宋体" w:hAnsi="宋体"/>
          <w:sz w:val="24"/>
          <w:szCs w:val="24"/>
          <w:lang w:val="en-US" w:eastAsia="zh-CN"/>
        </w:rPr>
        <w:t>供应商</w:t>
      </w:r>
      <w:r>
        <w:rPr>
          <w:rFonts w:hint="eastAsia" w:ascii="宋体" w:hAnsi="宋体"/>
          <w:sz w:val="24"/>
          <w:szCs w:val="24"/>
        </w:rPr>
        <w:t>须为本项目配备专用车辆</w:t>
      </w:r>
      <w:r>
        <w:rPr>
          <w:rFonts w:hint="eastAsia" w:ascii="宋体" w:hAnsi="宋体"/>
          <w:b/>
          <w:bCs/>
          <w:sz w:val="24"/>
          <w:szCs w:val="24"/>
        </w:rPr>
        <w:t>（均应为</w:t>
      </w:r>
      <w:r>
        <w:rPr>
          <w:rFonts w:hint="eastAsia" w:ascii="宋体" w:hAnsi="宋体"/>
          <w:b/>
          <w:bCs/>
          <w:sz w:val="24"/>
          <w:szCs w:val="24"/>
          <w:lang w:val="en-US" w:eastAsia="zh-CN"/>
        </w:rPr>
        <w:t>供应商</w:t>
      </w:r>
      <w:r>
        <w:rPr>
          <w:rFonts w:hint="eastAsia" w:ascii="宋体" w:hAnsi="宋体"/>
          <w:b/>
          <w:bCs/>
          <w:sz w:val="24"/>
          <w:szCs w:val="24"/>
        </w:rPr>
        <w:t>自有或租赁）</w:t>
      </w:r>
      <w:r>
        <w:rPr>
          <w:rFonts w:hint="eastAsia" w:ascii="宋体" w:hAnsi="宋体"/>
          <w:sz w:val="24"/>
          <w:szCs w:val="24"/>
        </w:rPr>
        <w:t>，专用车辆配置主要包括：中型/重型普通货车1辆(用于苗木运输)、</w:t>
      </w:r>
      <w:r>
        <w:rPr>
          <w:rFonts w:ascii="宋体" w:hAnsi="宋体"/>
          <w:sz w:val="24"/>
          <w:szCs w:val="24"/>
        </w:rPr>
        <w:t>核定载质量</w:t>
      </w:r>
      <w:r>
        <w:rPr>
          <w:rFonts w:hint="eastAsia" w:ascii="宋体" w:hAnsi="宋体"/>
          <w:sz w:val="24"/>
          <w:szCs w:val="24"/>
        </w:rPr>
        <w:t>不低于3000kg的洒水车1辆（用于苗木浇水）、汽车式起重机1辆（用于苗木吊装）、升降车1辆（用于高空修剪苗木）。</w:t>
      </w:r>
    </w:p>
    <w:p w14:paraId="4F80ED6D">
      <w:pPr>
        <w:spacing w:line="440" w:lineRule="exact"/>
        <w:ind w:firstLine="240"/>
        <w:rPr>
          <w:rFonts w:ascii="宋体" w:hAnsi="宋体"/>
          <w:i/>
          <w:iCs/>
          <w:sz w:val="24"/>
          <w:szCs w:val="24"/>
          <w:u w:val="single"/>
        </w:rPr>
      </w:pPr>
      <w:r>
        <w:rPr>
          <w:rFonts w:hint="eastAsia" w:asciiTheme="minorEastAsia" w:hAnsiTheme="minorEastAsia" w:eastAsiaTheme="minorEastAsia" w:cstheme="minorEastAsia"/>
          <w:b/>
          <w:bCs/>
          <w:sz w:val="24"/>
          <w:szCs w:val="32"/>
          <w:highlight w:val="none"/>
          <w:lang w:val="en-US" w:eastAsia="zh-CN" w:bidi="ar-SA"/>
        </w:rPr>
        <w:t>★</w:t>
      </w:r>
      <w:r>
        <w:rPr>
          <w:rFonts w:hint="eastAsia" w:ascii="宋体" w:hAnsi="宋体"/>
          <w:i w:val="0"/>
          <w:iCs w:val="0"/>
          <w:sz w:val="24"/>
          <w:szCs w:val="24"/>
          <w:u w:val="none"/>
        </w:rPr>
        <w:t>2、小型机械设备配置要求：</w:t>
      </w:r>
      <w:r>
        <w:rPr>
          <w:rFonts w:hint="eastAsia" w:ascii="宋体" w:hAnsi="宋体"/>
          <w:i w:val="0"/>
          <w:iCs w:val="0"/>
          <w:sz w:val="24"/>
          <w:szCs w:val="24"/>
          <w:u w:val="none"/>
          <w:lang w:val="en-US" w:eastAsia="zh-CN"/>
        </w:rPr>
        <w:t>供应商</w:t>
      </w:r>
      <w:r>
        <w:rPr>
          <w:rFonts w:hint="eastAsia" w:ascii="宋体" w:hAnsi="宋体"/>
          <w:i w:val="0"/>
          <w:iCs w:val="0"/>
          <w:sz w:val="24"/>
          <w:szCs w:val="24"/>
          <w:u w:val="none"/>
        </w:rPr>
        <w:t>须为本项目配备小型机械设备（均应为</w:t>
      </w:r>
      <w:r>
        <w:rPr>
          <w:rFonts w:hint="eastAsia" w:ascii="宋体" w:hAnsi="宋体"/>
          <w:i w:val="0"/>
          <w:iCs w:val="0"/>
          <w:sz w:val="24"/>
          <w:szCs w:val="24"/>
          <w:u w:val="none"/>
          <w:lang w:val="en-US" w:eastAsia="zh-CN"/>
        </w:rPr>
        <w:t>供应商</w:t>
      </w:r>
      <w:r>
        <w:rPr>
          <w:rFonts w:hint="eastAsia" w:ascii="宋体" w:hAnsi="宋体"/>
          <w:i w:val="0"/>
          <w:iCs w:val="0"/>
          <w:sz w:val="24"/>
          <w:szCs w:val="24"/>
          <w:u w:val="none"/>
        </w:rPr>
        <w:t>自有），小型机械设备配置不低于：药水机</w:t>
      </w:r>
      <w:r>
        <w:rPr>
          <w:rFonts w:ascii="宋体" w:hAnsi="宋体"/>
          <w:i w:val="0"/>
          <w:iCs w:val="0"/>
          <w:sz w:val="24"/>
          <w:szCs w:val="24"/>
          <w:u w:val="none"/>
        </w:rPr>
        <w:t>1</w:t>
      </w:r>
      <w:r>
        <w:rPr>
          <w:rFonts w:hint="eastAsia" w:ascii="宋体" w:hAnsi="宋体"/>
          <w:i w:val="0"/>
          <w:iCs w:val="0"/>
          <w:sz w:val="24"/>
          <w:szCs w:val="24"/>
          <w:u w:val="none"/>
        </w:rPr>
        <w:t>台（用于喷洒农药）、水泵</w:t>
      </w:r>
      <w:r>
        <w:rPr>
          <w:rFonts w:ascii="宋体" w:hAnsi="宋体"/>
          <w:i w:val="0"/>
          <w:iCs w:val="0"/>
          <w:sz w:val="24"/>
          <w:szCs w:val="24"/>
          <w:u w:val="none"/>
        </w:rPr>
        <w:t>1</w:t>
      </w:r>
      <w:r>
        <w:rPr>
          <w:rFonts w:hint="eastAsia" w:ascii="宋体" w:hAnsi="宋体"/>
          <w:i w:val="0"/>
          <w:iCs w:val="0"/>
          <w:sz w:val="24"/>
          <w:szCs w:val="24"/>
          <w:u w:val="none"/>
        </w:rPr>
        <w:t>台（用于排除积水）、割灌机</w:t>
      </w:r>
      <w:r>
        <w:rPr>
          <w:rFonts w:ascii="宋体" w:hAnsi="宋体"/>
          <w:i w:val="0"/>
          <w:iCs w:val="0"/>
          <w:sz w:val="24"/>
          <w:szCs w:val="24"/>
          <w:u w:val="none"/>
        </w:rPr>
        <w:t>1</w:t>
      </w:r>
      <w:r>
        <w:rPr>
          <w:rFonts w:hint="eastAsia" w:ascii="宋体" w:hAnsi="宋体"/>
          <w:i w:val="0"/>
          <w:iCs w:val="0"/>
          <w:sz w:val="24"/>
          <w:szCs w:val="24"/>
          <w:u w:val="none"/>
        </w:rPr>
        <w:t>台（用于修剪杂草、小树）、草坪机</w:t>
      </w:r>
      <w:r>
        <w:rPr>
          <w:rFonts w:ascii="宋体" w:hAnsi="宋体"/>
          <w:i w:val="0"/>
          <w:iCs w:val="0"/>
          <w:sz w:val="24"/>
          <w:szCs w:val="24"/>
          <w:u w:val="none"/>
        </w:rPr>
        <w:t>1</w:t>
      </w:r>
      <w:r>
        <w:rPr>
          <w:rFonts w:hint="eastAsia" w:ascii="宋体" w:hAnsi="宋体"/>
          <w:i w:val="0"/>
          <w:iCs w:val="0"/>
          <w:sz w:val="24"/>
          <w:szCs w:val="24"/>
          <w:u w:val="none"/>
        </w:rPr>
        <w:t>台（用于修剪草坪）、粉碎机1台（用于粉碎树枝）、油锯</w:t>
      </w:r>
      <w:r>
        <w:rPr>
          <w:rFonts w:ascii="宋体" w:hAnsi="宋体"/>
          <w:i w:val="0"/>
          <w:iCs w:val="0"/>
          <w:sz w:val="24"/>
          <w:szCs w:val="24"/>
          <w:u w:val="none"/>
        </w:rPr>
        <w:t>1</w:t>
      </w:r>
      <w:r>
        <w:rPr>
          <w:rFonts w:hint="eastAsia" w:ascii="宋体" w:hAnsi="宋体"/>
          <w:i w:val="0"/>
          <w:iCs w:val="0"/>
          <w:sz w:val="24"/>
          <w:szCs w:val="24"/>
          <w:u w:val="none"/>
        </w:rPr>
        <w:t>台（用于苗木修剪）。</w:t>
      </w:r>
    </w:p>
    <w:p w14:paraId="13EF7301">
      <w:pPr>
        <w:spacing w:line="440" w:lineRule="exact"/>
        <w:ind w:firstLine="480"/>
        <w:rPr>
          <w:rFonts w:ascii="宋体" w:hAnsi="宋体"/>
          <w:sz w:val="24"/>
          <w:szCs w:val="24"/>
        </w:rPr>
      </w:pPr>
      <w:r>
        <w:rPr>
          <w:rFonts w:ascii="宋体" w:hAnsi="宋体"/>
          <w:sz w:val="24"/>
          <w:szCs w:val="24"/>
        </w:rPr>
        <w:t>3</w:t>
      </w:r>
      <w:r>
        <w:rPr>
          <w:rFonts w:hint="eastAsia" w:ascii="宋体" w:hAnsi="宋体"/>
          <w:sz w:val="24"/>
          <w:szCs w:val="24"/>
        </w:rPr>
        <w:t>、除上述配置要求外，</w:t>
      </w:r>
      <w:r>
        <w:rPr>
          <w:rFonts w:hint="eastAsia" w:ascii="宋体" w:hAnsi="宋体"/>
          <w:sz w:val="24"/>
          <w:szCs w:val="24"/>
          <w:lang w:val="en-US" w:eastAsia="zh-CN"/>
        </w:rPr>
        <w:t>供应商</w:t>
      </w:r>
      <w:r>
        <w:rPr>
          <w:rFonts w:hint="eastAsia" w:ascii="宋体" w:hAnsi="宋体"/>
          <w:sz w:val="24"/>
          <w:szCs w:val="24"/>
        </w:rPr>
        <w:t>应按照服务内容要求配置满足绿化移植、养护日常作业及应急服务需求的相关车辆、工具设备。</w:t>
      </w:r>
    </w:p>
    <w:p w14:paraId="74FE3231">
      <w:pPr>
        <w:spacing w:line="440" w:lineRule="exact"/>
        <w:ind w:firstLine="480"/>
        <w:rPr>
          <w:sz w:val="24"/>
          <w:szCs w:val="24"/>
        </w:rPr>
      </w:pPr>
      <w:r>
        <w:rPr>
          <w:sz w:val="24"/>
          <w:szCs w:val="24"/>
        </w:rPr>
        <w:t>4</w:t>
      </w:r>
      <w:r>
        <w:rPr>
          <w:sz w:val="24"/>
          <w:szCs w:val="24"/>
          <w:lang w:val="zh-CN"/>
        </w:rPr>
        <w:t>、</w:t>
      </w:r>
      <w:r>
        <w:rPr>
          <w:rFonts w:hint="eastAsia"/>
          <w:sz w:val="24"/>
          <w:szCs w:val="24"/>
          <w:lang w:val="en-US" w:eastAsia="zh-CN"/>
        </w:rPr>
        <w:t>成交供应商</w:t>
      </w:r>
      <w:r>
        <w:rPr>
          <w:sz w:val="24"/>
          <w:szCs w:val="24"/>
          <w:lang w:val="zh-CN"/>
        </w:rPr>
        <w:t>必须在签订合同前</w:t>
      </w:r>
      <w:r>
        <w:rPr>
          <w:sz w:val="24"/>
          <w:szCs w:val="24"/>
        </w:rPr>
        <w:t>将专用</w:t>
      </w:r>
      <w:r>
        <w:rPr>
          <w:sz w:val="24"/>
          <w:szCs w:val="24"/>
          <w:lang w:val="zh-CN"/>
        </w:rPr>
        <w:t>车辆</w:t>
      </w:r>
      <w:r>
        <w:rPr>
          <w:sz w:val="24"/>
          <w:szCs w:val="24"/>
        </w:rPr>
        <w:t>、</w:t>
      </w:r>
      <w:r>
        <w:rPr>
          <w:sz w:val="24"/>
          <w:szCs w:val="24"/>
          <w:lang w:val="zh-CN"/>
        </w:rPr>
        <w:t>小型机械设备</w:t>
      </w:r>
      <w:r>
        <w:rPr>
          <w:sz w:val="24"/>
          <w:szCs w:val="24"/>
        </w:rPr>
        <w:t>及</w:t>
      </w:r>
      <w:r>
        <w:rPr>
          <w:sz w:val="24"/>
          <w:szCs w:val="24"/>
          <w:lang w:val="zh-CN"/>
        </w:rPr>
        <w:t>其他</w:t>
      </w:r>
      <w:r>
        <w:rPr>
          <w:sz w:val="24"/>
          <w:szCs w:val="24"/>
        </w:rPr>
        <w:t>工具</w:t>
      </w:r>
      <w:r>
        <w:rPr>
          <w:sz w:val="24"/>
          <w:szCs w:val="24"/>
          <w:lang w:val="zh-CN"/>
        </w:rPr>
        <w:t>全部</w:t>
      </w:r>
      <w:r>
        <w:rPr>
          <w:sz w:val="24"/>
          <w:szCs w:val="24"/>
        </w:rPr>
        <w:t>准备</w:t>
      </w:r>
      <w:r>
        <w:rPr>
          <w:sz w:val="24"/>
          <w:szCs w:val="24"/>
          <w:lang w:val="zh-CN"/>
        </w:rPr>
        <w:t>到位，否则</w:t>
      </w:r>
      <w:r>
        <w:rPr>
          <w:sz w:val="24"/>
          <w:szCs w:val="24"/>
        </w:rPr>
        <w:t>相关风险由其自行承担</w:t>
      </w:r>
      <w:r>
        <w:rPr>
          <w:sz w:val="24"/>
          <w:szCs w:val="24"/>
          <w:lang w:val="zh-CN"/>
        </w:rPr>
        <w:t>。</w:t>
      </w:r>
    </w:p>
    <w:p w14:paraId="5B740A50">
      <w:pPr>
        <w:spacing w:line="440" w:lineRule="exact"/>
        <w:rPr>
          <w:b/>
          <w:bCs/>
          <w:sz w:val="24"/>
          <w:szCs w:val="24"/>
        </w:rPr>
      </w:pPr>
      <w:r>
        <w:rPr>
          <w:b/>
          <w:bCs/>
          <w:sz w:val="24"/>
          <w:szCs w:val="24"/>
        </w:rPr>
        <w:t>（</w:t>
      </w:r>
      <w:r>
        <w:rPr>
          <w:rFonts w:hint="eastAsia"/>
          <w:b/>
          <w:bCs/>
          <w:sz w:val="24"/>
          <w:szCs w:val="24"/>
        </w:rPr>
        <w:t>五</w:t>
      </w:r>
      <w:r>
        <w:rPr>
          <w:b/>
          <w:bCs/>
          <w:sz w:val="24"/>
          <w:szCs w:val="24"/>
        </w:rPr>
        <w:t>）绿化苗木移除、迁移和种植要求：</w:t>
      </w:r>
    </w:p>
    <w:p w14:paraId="5E08DEAA">
      <w:pPr>
        <w:spacing w:line="440" w:lineRule="exact"/>
        <w:ind w:firstLine="480"/>
        <w:jc w:val="left"/>
        <w:rPr>
          <w:sz w:val="24"/>
        </w:rPr>
      </w:pPr>
      <w:r>
        <w:rPr>
          <w:sz w:val="24"/>
        </w:rPr>
        <w:t>1、所有苗木都要带土球迁移，在栽植前需加以检查，如在运输中有损伤的树枝和树根，必须加以修剪，大的修剪口应作防腐处理，最大限度保证成活率。</w:t>
      </w:r>
    </w:p>
    <w:p w14:paraId="5D063641">
      <w:pPr>
        <w:spacing w:line="440" w:lineRule="exact"/>
        <w:ind w:firstLine="480"/>
        <w:jc w:val="left"/>
        <w:rPr>
          <w:sz w:val="24"/>
        </w:rPr>
      </w:pPr>
      <w:r>
        <w:rPr>
          <w:sz w:val="24"/>
        </w:rPr>
        <w:t>2、种植前必须平整场地并做好土壤病菌、地下虫害及在土壤中越冬害虫的杀菌灭虫处理；栽植时苗木定向应恢复原有的向阳面，以提高成活率；在坑槽内用种植土填至放土球底面的高度，将土球放置在填土面上，定向后方可打开土球取出包装物，从坑槽边缘向土球四周培土，分层捣实，培土高度到</w:t>
      </w:r>
      <w:r>
        <w:rPr>
          <w:rFonts w:hint="eastAsia"/>
          <w:sz w:val="24"/>
        </w:rPr>
        <w:t>合适的</w:t>
      </w:r>
      <w:r>
        <w:rPr>
          <w:sz w:val="24"/>
        </w:rPr>
        <w:t>土球深度时，作围堰浇水，水分渗透后整平，如泥土下沉，应补填种植土，再浇水整平。</w:t>
      </w:r>
    </w:p>
    <w:p w14:paraId="65BA53C5">
      <w:pPr>
        <w:spacing w:line="440" w:lineRule="exact"/>
        <w:ind w:firstLine="480"/>
        <w:jc w:val="left"/>
        <w:rPr>
          <w:sz w:val="24"/>
        </w:rPr>
      </w:pPr>
      <w:r>
        <w:rPr>
          <w:sz w:val="24"/>
        </w:rPr>
        <w:t>3、支撑必须牢固，支撑架与苗木捆绑处须确保树皮不磨损</w:t>
      </w:r>
      <w:r>
        <w:rPr>
          <w:rFonts w:hint="eastAsia"/>
          <w:sz w:val="24"/>
        </w:rPr>
        <w:t>，</w:t>
      </w:r>
      <w:r>
        <w:rPr>
          <w:sz w:val="24"/>
        </w:rPr>
        <w:t>并适时松绑，避免树皮凹陷损伤。</w:t>
      </w:r>
    </w:p>
    <w:p w14:paraId="37DAAA24">
      <w:pPr>
        <w:spacing w:line="440" w:lineRule="exact"/>
        <w:ind w:firstLine="480"/>
        <w:jc w:val="left"/>
        <w:rPr>
          <w:sz w:val="24"/>
        </w:rPr>
      </w:pPr>
      <w:r>
        <w:rPr>
          <w:sz w:val="24"/>
        </w:rPr>
        <w:t>4、场地内所有苗木移除后，杂草、绿化垃圾和建筑垃圾需做到日产日清，且不可随意填埋、倾倒。</w:t>
      </w:r>
    </w:p>
    <w:p w14:paraId="57BEB665">
      <w:pPr>
        <w:spacing w:line="440" w:lineRule="exact"/>
        <w:ind w:firstLine="480"/>
        <w:jc w:val="left"/>
        <w:rPr>
          <w:sz w:val="24"/>
        </w:rPr>
      </w:pPr>
      <w:r>
        <w:rPr>
          <w:rFonts w:hint="eastAsia"/>
          <w:sz w:val="24"/>
        </w:rPr>
        <w:t>5、</w:t>
      </w:r>
      <w:r>
        <w:rPr>
          <w:rFonts w:hint="eastAsia"/>
          <w:sz w:val="24"/>
          <w:lang w:val="en-US" w:eastAsia="zh-CN"/>
        </w:rPr>
        <w:t>供应商</w:t>
      </w:r>
      <w:r>
        <w:rPr>
          <w:sz w:val="24"/>
        </w:rPr>
        <w:t>需充分考虑可能因工期调整导致的反季节种植的风险，进行综合报价，</w:t>
      </w:r>
      <w:r>
        <w:rPr>
          <w:rFonts w:hint="eastAsia"/>
          <w:sz w:val="24"/>
          <w:lang w:val="en-US" w:eastAsia="zh-CN"/>
        </w:rPr>
        <w:t>成交</w:t>
      </w:r>
      <w:r>
        <w:rPr>
          <w:sz w:val="24"/>
        </w:rPr>
        <w:t>后不予增加反季节种植相关费用。</w:t>
      </w:r>
    </w:p>
    <w:p w14:paraId="7B7EC179">
      <w:pPr>
        <w:spacing w:line="440" w:lineRule="exact"/>
        <w:ind w:firstLine="480"/>
        <w:jc w:val="left"/>
        <w:rPr>
          <w:sz w:val="24"/>
        </w:rPr>
      </w:pPr>
      <w:r>
        <w:rPr>
          <w:rFonts w:hint="eastAsia"/>
          <w:sz w:val="24"/>
        </w:rPr>
        <w:t>6</w:t>
      </w:r>
      <w:r>
        <w:rPr>
          <w:sz w:val="24"/>
        </w:rPr>
        <w:t>、</w:t>
      </w:r>
      <w:r>
        <w:rPr>
          <w:rFonts w:hint="eastAsia"/>
          <w:sz w:val="24"/>
          <w:lang w:val="en-US" w:eastAsia="zh-CN"/>
        </w:rPr>
        <w:t>供应商</w:t>
      </w:r>
      <w:r>
        <w:rPr>
          <w:sz w:val="24"/>
        </w:rPr>
        <w:t>应充分考虑灾害性天气导致的损失，如台风、暴雨、大雪等造成苗木倒、水淹、冻害等，</w:t>
      </w:r>
      <w:r>
        <w:rPr>
          <w:rFonts w:hint="eastAsia"/>
          <w:sz w:val="24"/>
          <w:lang w:val="en-US" w:eastAsia="zh-CN"/>
        </w:rPr>
        <w:t>成交</w:t>
      </w:r>
      <w:r>
        <w:rPr>
          <w:sz w:val="24"/>
        </w:rPr>
        <w:t>后不对灾害性天气造成的损失增加费用。</w:t>
      </w:r>
    </w:p>
    <w:p w14:paraId="25C109C3">
      <w:pPr>
        <w:spacing w:line="440" w:lineRule="exact"/>
        <w:rPr>
          <w:b/>
          <w:bCs/>
          <w:sz w:val="24"/>
          <w:szCs w:val="24"/>
        </w:rPr>
      </w:pPr>
      <w:r>
        <w:rPr>
          <w:b/>
          <w:bCs/>
          <w:sz w:val="24"/>
          <w:szCs w:val="24"/>
        </w:rPr>
        <w:t>（</w:t>
      </w:r>
      <w:r>
        <w:rPr>
          <w:rFonts w:hint="eastAsia"/>
          <w:b/>
          <w:bCs/>
          <w:sz w:val="24"/>
          <w:szCs w:val="24"/>
        </w:rPr>
        <w:t>六</w:t>
      </w:r>
      <w:r>
        <w:rPr>
          <w:b/>
          <w:bCs/>
          <w:sz w:val="24"/>
          <w:szCs w:val="24"/>
        </w:rPr>
        <w:t>）养护要求：</w:t>
      </w:r>
    </w:p>
    <w:p w14:paraId="5D296CBE">
      <w:pPr>
        <w:spacing w:line="440" w:lineRule="exact"/>
        <w:ind w:firstLine="600"/>
        <w:jc w:val="left"/>
        <w:rPr>
          <w:sz w:val="24"/>
        </w:rPr>
      </w:pPr>
      <w:r>
        <w:rPr>
          <w:rFonts w:hint="eastAsia"/>
          <w:sz w:val="24"/>
        </w:rPr>
        <w:t>1、保持适宜土壤湿度，应根据苗木的</w:t>
      </w:r>
      <w:r>
        <w:rPr>
          <w:sz w:val="24"/>
        </w:rPr>
        <w:t>特点需求及不同环境条件、季节差异、生长情况</w:t>
      </w:r>
      <w:r>
        <w:rPr>
          <w:rFonts w:hint="eastAsia"/>
          <w:sz w:val="24"/>
        </w:rPr>
        <w:t>合理安排浇水频次，避免过度浇水或浇水不足，不得擅自使用消防水。</w:t>
      </w:r>
    </w:p>
    <w:p w14:paraId="1D977835">
      <w:pPr>
        <w:spacing w:line="440" w:lineRule="exact"/>
        <w:ind w:firstLine="600"/>
        <w:jc w:val="left"/>
        <w:rPr>
          <w:sz w:val="24"/>
        </w:rPr>
      </w:pPr>
      <w:r>
        <w:rPr>
          <w:sz w:val="24"/>
        </w:rPr>
        <w:t>2</w:t>
      </w:r>
      <w:r>
        <w:rPr>
          <w:rFonts w:hint="eastAsia"/>
          <w:sz w:val="24"/>
        </w:rPr>
        <w:t>、合理施肥，应根据苗木的生长阶段和土壤状况合理选择合适的的肥料种类及剂量，满足其生长和恢复的需要。如出现死苗，</w:t>
      </w:r>
      <w:r>
        <w:rPr>
          <w:rFonts w:hint="eastAsia"/>
          <w:sz w:val="24"/>
          <w:lang w:eastAsia="zh-CN"/>
        </w:rPr>
        <w:t>成交供应商</w:t>
      </w:r>
      <w:r>
        <w:rPr>
          <w:sz w:val="24"/>
        </w:rPr>
        <w:t>应按规定的种类、规格进行更换、补种。用药首先保证安全，符合环保要求，不使用国家或本地区禁止使用的农药，不使用广谱性高毒杀虫剂，因此造成的一切后果责任由</w:t>
      </w:r>
      <w:r>
        <w:rPr>
          <w:rFonts w:hint="eastAsia"/>
          <w:sz w:val="24"/>
          <w:lang w:val="en-US" w:eastAsia="zh-CN"/>
        </w:rPr>
        <w:t>成交供应商</w:t>
      </w:r>
      <w:r>
        <w:rPr>
          <w:sz w:val="24"/>
        </w:rPr>
        <w:t>承担。</w:t>
      </w:r>
    </w:p>
    <w:p w14:paraId="51A56174">
      <w:pPr>
        <w:spacing w:line="440" w:lineRule="exact"/>
        <w:ind w:firstLine="600"/>
        <w:jc w:val="left"/>
        <w:rPr>
          <w:sz w:val="24"/>
        </w:rPr>
      </w:pPr>
      <w:r>
        <w:rPr>
          <w:sz w:val="24"/>
        </w:rPr>
        <w:t>3</w:t>
      </w:r>
      <w:r>
        <w:rPr>
          <w:rFonts w:hint="eastAsia"/>
          <w:sz w:val="24"/>
        </w:rPr>
        <w:t>、做好病虫害防治工作，应定期检查苗木生长状况，一旦发现病虫害情况，5天内治理完毕。应以预防为主，如使用生物或化学方式，应注意方法和剂量，避免对苗木和环境造成不良影响。</w:t>
      </w:r>
    </w:p>
    <w:p w14:paraId="33001B1D">
      <w:pPr>
        <w:spacing w:line="440" w:lineRule="exact"/>
        <w:ind w:firstLine="600"/>
        <w:jc w:val="left"/>
        <w:rPr>
          <w:sz w:val="24"/>
        </w:rPr>
      </w:pPr>
      <w:r>
        <w:rPr>
          <w:sz w:val="24"/>
        </w:rPr>
        <w:t>4</w:t>
      </w:r>
      <w:r>
        <w:rPr>
          <w:rFonts w:hint="eastAsia"/>
          <w:sz w:val="24"/>
        </w:rPr>
        <w:t>、定期修剪维护，应根据苗木生长要求和观赏要求，保持其良好健康的生长状态；</w:t>
      </w:r>
      <w:r>
        <w:rPr>
          <w:sz w:val="24"/>
        </w:rPr>
        <w:t>发现枯枝、死枝应在3天内处理完毕；所有乔灌木冬季修剪在1月底前完成，春季修剪应在植物生长开始前完成。</w:t>
      </w:r>
    </w:p>
    <w:p w14:paraId="590E0DA3">
      <w:pPr>
        <w:spacing w:line="440" w:lineRule="exact"/>
        <w:ind w:firstLine="600"/>
        <w:jc w:val="left"/>
        <w:rPr>
          <w:sz w:val="24"/>
        </w:rPr>
      </w:pPr>
      <w:r>
        <w:rPr>
          <w:sz w:val="24"/>
        </w:rPr>
        <w:t>5</w:t>
      </w:r>
      <w:r>
        <w:rPr>
          <w:rFonts w:hint="eastAsia"/>
          <w:sz w:val="24"/>
        </w:rPr>
        <w:t>、落实风险防范，</w:t>
      </w:r>
      <w:r>
        <w:rPr>
          <w:sz w:val="24"/>
        </w:rPr>
        <w:t>在灾害性天气季节，</w:t>
      </w:r>
      <w:r>
        <w:rPr>
          <w:rFonts w:hint="eastAsia"/>
          <w:sz w:val="24"/>
        </w:rPr>
        <w:t>提前做好防范措施</w:t>
      </w:r>
      <w:r>
        <w:rPr>
          <w:sz w:val="24"/>
        </w:rPr>
        <w:t>，并服从采购人的指挥和安排</w:t>
      </w:r>
      <w:r>
        <w:rPr>
          <w:rFonts w:hint="eastAsia"/>
          <w:sz w:val="24"/>
        </w:rPr>
        <w:t>。</w:t>
      </w:r>
    </w:p>
    <w:p w14:paraId="19176680">
      <w:pPr>
        <w:spacing w:line="440" w:lineRule="exact"/>
        <w:rPr>
          <w:b/>
          <w:bCs/>
          <w:sz w:val="24"/>
          <w:szCs w:val="24"/>
        </w:rPr>
      </w:pPr>
      <w:r>
        <w:rPr>
          <w:rFonts w:hint="eastAsia"/>
          <w:b/>
          <w:bCs/>
          <w:sz w:val="24"/>
          <w:szCs w:val="24"/>
        </w:rPr>
        <w:t>（七）养护标准：</w:t>
      </w:r>
    </w:p>
    <w:p w14:paraId="131D0FA9">
      <w:pPr>
        <w:spacing w:line="440" w:lineRule="exact"/>
        <w:ind w:firstLine="600"/>
        <w:jc w:val="left"/>
        <w:rPr>
          <w:sz w:val="24"/>
        </w:rPr>
      </w:pPr>
      <w:r>
        <w:rPr>
          <w:rFonts w:hint="eastAsia"/>
          <w:sz w:val="24"/>
        </w:rPr>
        <w:t>1、</w:t>
      </w:r>
      <w:r>
        <w:rPr>
          <w:sz w:val="24"/>
        </w:rPr>
        <w:t>苗木生长良好树冠基本完整，主侧枝匀称，数量适宜，修剪合理，内膛不乱，通风透气，无枯枝死杈</w:t>
      </w:r>
      <w:r>
        <w:rPr>
          <w:rFonts w:hint="eastAsia"/>
          <w:sz w:val="24"/>
        </w:rPr>
        <w:t>，</w:t>
      </w:r>
      <w:r>
        <w:rPr>
          <w:sz w:val="24"/>
        </w:rPr>
        <w:t>整形植物修剪及时，枝叶生长正常，整齐一致。</w:t>
      </w:r>
    </w:p>
    <w:p w14:paraId="7946B700">
      <w:pPr>
        <w:spacing w:line="440" w:lineRule="exact"/>
        <w:ind w:firstLine="600"/>
        <w:jc w:val="left"/>
        <w:rPr>
          <w:sz w:val="24"/>
        </w:rPr>
      </w:pPr>
      <w:r>
        <w:rPr>
          <w:rFonts w:hint="eastAsia"/>
          <w:sz w:val="24"/>
        </w:rPr>
        <w:t>2、</w:t>
      </w:r>
      <w:r>
        <w:rPr>
          <w:sz w:val="24"/>
        </w:rPr>
        <w:t>垃圾全部清理干净，无多余废弃物，无杂草。</w:t>
      </w:r>
    </w:p>
    <w:p w14:paraId="09154E68">
      <w:pPr>
        <w:spacing w:line="440" w:lineRule="exact"/>
        <w:ind w:firstLine="600"/>
        <w:jc w:val="left"/>
        <w:rPr>
          <w:sz w:val="24"/>
        </w:rPr>
      </w:pPr>
      <w:r>
        <w:rPr>
          <w:rFonts w:hint="eastAsia"/>
          <w:sz w:val="24"/>
        </w:rPr>
        <w:t>3、</w:t>
      </w:r>
      <w:r>
        <w:rPr>
          <w:sz w:val="24"/>
        </w:rPr>
        <w:t>五年苗木养护期</w:t>
      </w:r>
      <w:r>
        <w:rPr>
          <w:rFonts w:hint="eastAsia"/>
          <w:sz w:val="24"/>
        </w:rPr>
        <w:t>内，</w:t>
      </w:r>
      <w:r>
        <w:rPr>
          <w:sz w:val="24"/>
        </w:rPr>
        <w:t>苗木成活率</w:t>
      </w:r>
      <w:r>
        <w:rPr>
          <w:rFonts w:hint="eastAsia"/>
          <w:sz w:val="24"/>
        </w:rPr>
        <w:t>不小于90%。若成活率达不到9</w:t>
      </w:r>
      <w:r>
        <w:rPr>
          <w:sz w:val="24"/>
        </w:rPr>
        <w:t>0%</w:t>
      </w:r>
      <w:r>
        <w:rPr>
          <w:rFonts w:hint="eastAsia"/>
          <w:sz w:val="24"/>
        </w:rPr>
        <w:t>，不足部分由</w:t>
      </w:r>
      <w:r>
        <w:rPr>
          <w:rFonts w:hint="eastAsia"/>
          <w:sz w:val="24"/>
          <w:lang w:val="en-US" w:eastAsia="zh-CN"/>
        </w:rPr>
        <w:t>成交供应商</w:t>
      </w:r>
      <w:r>
        <w:rPr>
          <w:rFonts w:hint="eastAsia"/>
          <w:sz w:val="24"/>
        </w:rPr>
        <w:t>无偿补种（补植树木的品种、规格需与原绿化一致）。若在移植过程中已发现生长势差、起挖泥球不完整或已有病虫害等情况可能导致无法成活，经采购人及</w:t>
      </w:r>
      <w:r>
        <w:rPr>
          <w:rFonts w:hint="eastAsia"/>
          <w:sz w:val="24"/>
          <w:lang w:val="en-US" w:eastAsia="zh-CN"/>
        </w:rPr>
        <w:t>成交供应商</w:t>
      </w:r>
      <w:r>
        <w:rPr>
          <w:rFonts w:hint="eastAsia"/>
          <w:sz w:val="24"/>
        </w:rPr>
        <w:t>双方书面确认后，不计入</w:t>
      </w:r>
      <w:r>
        <w:rPr>
          <w:sz w:val="24"/>
        </w:rPr>
        <w:t>成活率</w:t>
      </w:r>
      <w:r>
        <w:rPr>
          <w:rFonts w:hint="eastAsia"/>
          <w:sz w:val="24"/>
        </w:rPr>
        <w:t>统计范围。</w:t>
      </w:r>
    </w:p>
    <w:p w14:paraId="70881E93">
      <w:pPr>
        <w:spacing w:line="440" w:lineRule="exact"/>
        <w:rPr>
          <w:b/>
          <w:bCs/>
          <w:sz w:val="24"/>
          <w:szCs w:val="24"/>
        </w:rPr>
      </w:pPr>
      <w:r>
        <w:rPr>
          <w:rFonts w:hint="eastAsia"/>
          <w:b/>
          <w:bCs/>
          <w:sz w:val="24"/>
          <w:szCs w:val="24"/>
        </w:rPr>
        <w:t>（八）移植地点：</w:t>
      </w:r>
    </w:p>
    <w:p w14:paraId="373C2FAF">
      <w:pPr>
        <w:spacing w:line="440" w:lineRule="exact"/>
        <w:ind w:firstLine="480"/>
        <w:jc w:val="left"/>
        <w:rPr>
          <w:sz w:val="24"/>
        </w:rPr>
      </w:pPr>
      <w:r>
        <w:rPr>
          <w:rFonts w:hint="eastAsia"/>
          <w:sz w:val="24"/>
        </w:rPr>
        <w:t>1、移植地点：常熟市范围内的采购人指定地点或经采购人确认的苗圃。</w:t>
      </w:r>
    </w:p>
    <w:p w14:paraId="2678E2A4">
      <w:pPr>
        <w:spacing w:line="440" w:lineRule="exact"/>
        <w:rPr>
          <w:b/>
          <w:bCs/>
          <w:sz w:val="24"/>
          <w:szCs w:val="24"/>
        </w:rPr>
      </w:pPr>
      <w:r>
        <w:rPr>
          <w:b/>
          <w:bCs/>
          <w:sz w:val="24"/>
          <w:szCs w:val="24"/>
        </w:rPr>
        <w:t>（</w:t>
      </w:r>
      <w:r>
        <w:rPr>
          <w:rFonts w:hint="eastAsia"/>
          <w:b/>
          <w:bCs/>
          <w:sz w:val="24"/>
          <w:szCs w:val="24"/>
        </w:rPr>
        <w:t>九</w:t>
      </w:r>
      <w:r>
        <w:rPr>
          <w:b/>
          <w:bCs/>
          <w:sz w:val="24"/>
          <w:szCs w:val="24"/>
        </w:rPr>
        <w:t>）其他：</w:t>
      </w:r>
    </w:p>
    <w:p w14:paraId="05678C55">
      <w:pPr>
        <w:spacing w:line="440" w:lineRule="exact"/>
        <w:ind w:firstLine="480"/>
        <w:jc w:val="left"/>
        <w:rPr>
          <w:sz w:val="24"/>
        </w:rPr>
      </w:pPr>
      <w:r>
        <w:rPr>
          <w:rFonts w:hint="eastAsia"/>
          <w:sz w:val="24"/>
        </w:rPr>
        <w:t>1、</w:t>
      </w:r>
      <w:r>
        <w:rPr>
          <w:rFonts w:hint="eastAsia"/>
          <w:sz w:val="24"/>
          <w:szCs w:val="24"/>
          <w:lang w:val="en-US" w:eastAsia="zh-CN"/>
        </w:rPr>
        <w:t>成交供应商</w:t>
      </w:r>
      <w:r>
        <w:rPr>
          <w:sz w:val="24"/>
        </w:rPr>
        <w:t>须无条件按照采购人要求进行种植，</w:t>
      </w:r>
      <w:r>
        <w:rPr>
          <w:rFonts w:hint="eastAsia"/>
          <w:sz w:val="24"/>
        </w:rPr>
        <w:t>种植</w:t>
      </w:r>
      <w:r>
        <w:rPr>
          <w:sz w:val="24"/>
        </w:rPr>
        <w:t>前</w:t>
      </w:r>
      <w:r>
        <w:rPr>
          <w:rFonts w:hint="eastAsia"/>
          <w:sz w:val="24"/>
          <w:szCs w:val="24"/>
          <w:lang w:val="en-US" w:eastAsia="zh-CN"/>
        </w:rPr>
        <w:t>成交供应商</w:t>
      </w:r>
      <w:r>
        <w:rPr>
          <w:sz w:val="24"/>
        </w:rPr>
        <w:t>应提供详细</w:t>
      </w:r>
      <w:r>
        <w:rPr>
          <w:rFonts w:hint="eastAsia"/>
          <w:sz w:val="24"/>
        </w:rPr>
        <w:t>可行</w:t>
      </w:r>
      <w:r>
        <w:rPr>
          <w:sz w:val="24"/>
        </w:rPr>
        <w:t>的苗木迁移和种植方案。</w:t>
      </w:r>
    </w:p>
    <w:p w14:paraId="0D48ED02">
      <w:pPr>
        <w:spacing w:line="440" w:lineRule="exact"/>
        <w:ind w:firstLine="480"/>
        <w:jc w:val="left"/>
        <w:rPr>
          <w:sz w:val="24"/>
        </w:rPr>
      </w:pPr>
      <w:r>
        <w:rPr>
          <w:rFonts w:hint="eastAsia"/>
          <w:sz w:val="24"/>
        </w:rPr>
        <w:t>2、服务期内如有突击项目，</w:t>
      </w:r>
      <w:r>
        <w:rPr>
          <w:rFonts w:hint="eastAsia"/>
          <w:sz w:val="24"/>
          <w:szCs w:val="24"/>
          <w:lang w:val="en-US" w:eastAsia="zh-CN"/>
        </w:rPr>
        <w:t>成交供应商</w:t>
      </w:r>
      <w:r>
        <w:rPr>
          <w:rFonts w:hint="eastAsia"/>
          <w:sz w:val="24"/>
        </w:rPr>
        <w:t>应及时响应采购人的服务要求，完成好移植养护工作。</w:t>
      </w:r>
    </w:p>
    <w:p w14:paraId="5B071C53">
      <w:pPr>
        <w:spacing w:line="440" w:lineRule="exact"/>
        <w:ind w:firstLine="480"/>
        <w:jc w:val="left"/>
        <w:rPr>
          <w:sz w:val="24"/>
        </w:rPr>
      </w:pPr>
      <w:r>
        <w:rPr>
          <w:rFonts w:hint="eastAsia"/>
          <w:sz w:val="24"/>
        </w:rPr>
        <w:t>3、苗木移植项目完成并通过验收后，</w:t>
      </w:r>
      <w:r>
        <w:rPr>
          <w:rFonts w:hint="eastAsia"/>
          <w:sz w:val="24"/>
          <w:szCs w:val="24"/>
          <w:lang w:val="en-US" w:eastAsia="zh-CN"/>
        </w:rPr>
        <w:t>成交供应商</w:t>
      </w:r>
      <w:r>
        <w:rPr>
          <w:rFonts w:hint="eastAsia"/>
          <w:sz w:val="24"/>
        </w:rPr>
        <w:t>应向采购人按规定提供全部的竣工资料。</w:t>
      </w:r>
    </w:p>
    <w:p w14:paraId="268A76A4">
      <w:pPr>
        <w:spacing w:line="440" w:lineRule="exact"/>
        <w:ind w:firstLine="480"/>
        <w:jc w:val="left"/>
        <w:rPr>
          <w:sz w:val="24"/>
        </w:rPr>
      </w:pPr>
      <w:r>
        <w:rPr>
          <w:sz w:val="24"/>
        </w:rPr>
        <w:t>4</w:t>
      </w:r>
      <w:r>
        <w:rPr>
          <w:rFonts w:hint="eastAsia"/>
          <w:sz w:val="24"/>
        </w:rPr>
        <w:t>、落实专人负责养护台帐资料的制作、管理，确保台帐资料记录详细，分类清楚，数据详实。</w:t>
      </w:r>
    </w:p>
    <w:p w14:paraId="29A9117D">
      <w:pPr>
        <w:spacing w:line="440" w:lineRule="exact"/>
        <w:ind w:firstLine="480"/>
        <w:jc w:val="left"/>
        <w:rPr>
          <w:sz w:val="24"/>
        </w:rPr>
      </w:pPr>
      <w:r>
        <w:rPr>
          <w:rFonts w:hint="eastAsia"/>
          <w:sz w:val="24"/>
        </w:rPr>
        <w:t>5、建立养护范围内绿化苗木数据库，并根据实际情况进行动态更新。</w:t>
      </w:r>
    </w:p>
    <w:p w14:paraId="296F1D00">
      <w:pPr>
        <w:spacing w:line="440" w:lineRule="exact"/>
        <w:ind w:firstLine="480"/>
        <w:jc w:val="left"/>
        <w:rPr>
          <w:rFonts w:hint="eastAsia" w:cs="宋体"/>
          <w:b/>
          <w:bCs/>
          <w:sz w:val="28"/>
          <w:szCs w:val="28"/>
        </w:rPr>
      </w:pPr>
      <w:r>
        <w:rPr>
          <w:rFonts w:hint="eastAsia"/>
          <w:sz w:val="24"/>
        </w:rPr>
        <w:t>6、养护台账资料每年年底报送给采购人。</w:t>
      </w:r>
    </w:p>
    <w:p w14:paraId="3D5CDCFC">
      <w:pPr>
        <w:spacing w:line="440" w:lineRule="exact"/>
        <w:rPr>
          <w:rFonts w:hint="eastAsia" w:eastAsia="宋体" w:cs="宋体"/>
          <w:b/>
          <w:bCs/>
          <w:sz w:val="28"/>
          <w:szCs w:val="28"/>
          <w:lang w:eastAsia="zh-CN"/>
        </w:rPr>
      </w:pPr>
      <w:r>
        <w:rPr>
          <w:rFonts w:hint="eastAsia" w:cs="宋体"/>
          <w:b/>
          <w:bCs/>
          <w:sz w:val="28"/>
          <w:szCs w:val="28"/>
          <w:lang w:val="en-US" w:eastAsia="zh-CN"/>
        </w:rPr>
        <w:t>三</w:t>
      </w:r>
      <w:r>
        <w:rPr>
          <w:rFonts w:hint="eastAsia" w:cs="宋体"/>
          <w:b/>
          <w:bCs/>
          <w:sz w:val="28"/>
          <w:szCs w:val="28"/>
        </w:rPr>
        <w:t>、报价要求</w:t>
      </w:r>
      <w:r>
        <w:rPr>
          <w:rFonts w:hint="eastAsia" w:cs="宋体"/>
          <w:b/>
          <w:bCs/>
          <w:sz w:val="28"/>
          <w:szCs w:val="28"/>
          <w:lang w:eastAsia="zh-CN"/>
        </w:rPr>
        <w:t>：</w:t>
      </w:r>
    </w:p>
    <w:p w14:paraId="3D8AA8F2">
      <w:pPr>
        <w:spacing w:line="440" w:lineRule="exact"/>
        <w:ind w:firstLine="480"/>
        <w:jc w:val="left"/>
        <w:rPr>
          <w:rFonts w:hint="eastAsia" w:ascii="宋体" w:hAnsi="宋体" w:eastAsia="宋体" w:cs="宋体"/>
          <w:sz w:val="24"/>
          <w:szCs w:val="24"/>
        </w:rPr>
      </w:pPr>
      <w:r>
        <w:rPr>
          <w:rFonts w:hint="eastAsia" w:ascii="宋体" w:hAnsi="宋体" w:eastAsia="宋体" w:cs="宋体"/>
          <w:sz w:val="24"/>
          <w:szCs w:val="24"/>
        </w:rPr>
        <w:t>1、供应商须对本项目中的所有服务进行报价，不得拆开报价或只对其中的部分内容进行报价，否则</w:t>
      </w:r>
      <w:r>
        <w:rPr>
          <w:rFonts w:hint="eastAsia" w:ascii="宋体" w:hAnsi="宋体" w:eastAsia="宋体" w:cs="宋体"/>
          <w:b w:val="0"/>
          <w:bCs w:val="0"/>
          <w:sz w:val="24"/>
          <w:szCs w:val="24"/>
        </w:rPr>
        <w:t>将失去磋商资格。</w:t>
      </w:r>
    </w:p>
    <w:p w14:paraId="1327C6FD">
      <w:pPr>
        <w:spacing w:line="440" w:lineRule="exact"/>
        <w:ind w:firstLine="480"/>
        <w:jc w:val="left"/>
        <w:rPr>
          <w:rFonts w:hint="eastAsia" w:ascii="宋体" w:hAnsi="宋体" w:cs="宋体"/>
          <w:b/>
          <w:bCs/>
          <w:sz w:val="24"/>
          <w:szCs w:val="24"/>
          <w:highlight w:val="none"/>
          <w:lang w:val="en-US" w:eastAsia="zh-CN"/>
        </w:rPr>
      </w:pPr>
      <w:r>
        <w:rPr>
          <w:rFonts w:hint="eastAsia" w:ascii="宋体" w:hAnsi="宋体" w:eastAsia="宋体" w:cs="宋体"/>
          <w:sz w:val="24"/>
          <w:szCs w:val="24"/>
        </w:rPr>
        <w:t>2、</w:t>
      </w:r>
      <w:r>
        <w:rPr>
          <w:rFonts w:hint="eastAsia" w:ascii="宋体" w:hAnsi="宋体" w:cs="宋体"/>
          <w:b/>
          <w:bCs/>
          <w:sz w:val="24"/>
          <w:szCs w:val="24"/>
          <w:lang w:val="en-US" w:eastAsia="zh-CN"/>
        </w:rPr>
        <w:t>本项目</w:t>
      </w:r>
      <w:r>
        <w:rPr>
          <w:b/>
          <w:bCs/>
          <w:sz w:val="24"/>
          <w:szCs w:val="22"/>
        </w:rPr>
        <w:t>以</w:t>
      </w:r>
      <w:r>
        <w:rPr>
          <w:rFonts w:hint="eastAsia"/>
          <w:b/>
          <w:bCs/>
          <w:sz w:val="24"/>
          <w:szCs w:val="22"/>
        </w:rPr>
        <w:t>优惠率</w:t>
      </w:r>
      <w:r>
        <w:rPr>
          <w:b/>
          <w:bCs/>
          <w:sz w:val="24"/>
          <w:szCs w:val="22"/>
        </w:rPr>
        <w:t>报价，</w:t>
      </w:r>
      <w:r>
        <w:rPr>
          <w:rFonts w:hint="eastAsia" w:ascii="宋体" w:hAnsi="宋体" w:cs="宋体"/>
          <w:b/>
          <w:bCs/>
          <w:sz w:val="24"/>
          <w:szCs w:val="24"/>
          <w:highlight w:val="none"/>
          <w:lang w:val="en-US" w:eastAsia="zh-CN"/>
        </w:rPr>
        <w:t>优惠率不得低于10%且不得超过100%，否则将失去磋商资格。</w:t>
      </w:r>
    </w:p>
    <w:p w14:paraId="2C122DAD">
      <w:pPr>
        <w:spacing w:line="440" w:lineRule="exact"/>
        <w:ind w:firstLine="480"/>
        <w:jc w:val="left"/>
        <w:rPr>
          <w:rFonts w:hint="eastAsia" w:ascii="宋体" w:hAnsi="宋体" w:eastAsia="宋体" w:cs="宋体"/>
          <w:b/>
          <w:bCs/>
          <w:sz w:val="24"/>
          <w:szCs w:val="24"/>
          <w:lang w:val="en-US" w:eastAsia="zh-CN"/>
        </w:rPr>
      </w:pPr>
      <w:r>
        <w:rPr>
          <w:rFonts w:hint="eastAsia" w:ascii="宋体" w:hAnsi="宋体" w:cs="宋体"/>
          <w:b/>
          <w:bCs/>
          <w:sz w:val="24"/>
          <w:szCs w:val="24"/>
          <w:highlight w:val="none"/>
          <w:lang w:val="en-US" w:eastAsia="zh-CN"/>
        </w:rPr>
        <w:t>3、本项目报价优惠率</w:t>
      </w:r>
      <w:r>
        <w:rPr>
          <w:b/>
          <w:bCs/>
          <w:sz w:val="24"/>
          <w:szCs w:val="22"/>
        </w:rPr>
        <w:t>包括完成该项目所有绿化移植至指定地点</w:t>
      </w:r>
      <w:r>
        <w:rPr>
          <w:rFonts w:hint="eastAsia"/>
          <w:b/>
          <w:bCs/>
          <w:sz w:val="24"/>
          <w:szCs w:val="22"/>
        </w:rPr>
        <w:t>及</w:t>
      </w:r>
      <w:r>
        <w:rPr>
          <w:b/>
          <w:bCs/>
          <w:sz w:val="24"/>
          <w:szCs w:val="22"/>
        </w:rPr>
        <w:t>养护工作所需的所有费用，包括人工费（包括人员工资、福利费、加班费、人身意外伤害险等）、设备、易耗品、</w:t>
      </w:r>
      <w:r>
        <w:rPr>
          <w:rFonts w:hint="eastAsia"/>
          <w:b/>
          <w:bCs/>
          <w:sz w:val="24"/>
          <w:szCs w:val="22"/>
        </w:rPr>
        <w:t>营养土、</w:t>
      </w:r>
      <w:r>
        <w:rPr>
          <w:b/>
          <w:bCs/>
          <w:sz w:val="24"/>
          <w:szCs w:val="22"/>
        </w:rPr>
        <w:t>养护所需的肥料及农药、作业服装、工具费、</w:t>
      </w:r>
      <w:r>
        <w:rPr>
          <w:rFonts w:hint="eastAsia"/>
          <w:b/>
          <w:bCs/>
          <w:sz w:val="24"/>
          <w:szCs w:val="22"/>
        </w:rPr>
        <w:t>垃圾清理费、垦种清理费、</w:t>
      </w:r>
      <w:r>
        <w:rPr>
          <w:b/>
          <w:bCs/>
          <w:sz w:val="24"/>
          <w:szCs w:val="22"/>
        </w:rPr>
        <w:t>税费及政策性文件规定和合同所包含的所有风险、责任等各项应有费用。</w:t>
      </w:r>
    </w:p>
    <w:p w14:paraId="28D977FF">
      <w:pPr>
        <w:spacing w:line="440" w:lineRule="exact"/>
        <w:rPr>
          <w:rFonts w:hint="eastAsia" w:cs="宋体"/>
          <w:b/>
          <w:bCs/>
          <w:sz w:val="28"/>
          <w:szCs w:val="28"/>
        </w:rPr>
      </w:pPr>
      <w:r>
        <w:rPr>
          <w:rFonts w:hint="eastAsia" w:cs="宋体"/>
          <w:b/>
          <w:bCs/>
          <w:sz w:val="28"/>
          <w:szCs w:val="28"/>
          <w:lang w:val="en-US" w:eastAsia="zh-CN"/>
        </w:rPr>
        <w:t>四</w:t>
      </w:r>
      <w:r>
        <w:rPr>
          <w:rFonts w:hint="eastAsia" w:cs="宋体"/>
          <w:b/>
          <w:bCs/>
          <w:sz w:val="28"/>
          <w:szCs w:val="28"/>
        </w:rPr>
        <w:t>、其他：</w:t>
      </w:r>
      <w:bookmarkEnd w:id="62"/>
    </w:p>
    <w:p w14:paraId="36C65F9B">
      <w:pPr>
        <w:spacing w:line="440" w:lineRule="exact"/>
        <w:ind w:firstLine="480"/>
        <w:rPr>
          <w:sz w:val="24"/>
          <w:szCs w:val="24"/>
        </w:rPr>
      </w:pPr>
      <w:r>
        <w:rPr>
          <w:sz w:val="24"/>
          <w:szCs w:val="22"/>
        </w:rPr>
        <w:t>1</w:t>
      </w:r>
      <w:r>
        <w:rPr>
          <w:rFonts w:hint="eastAsia"/>
          <w:sz w:val="24"/>
          <w:szCs w:val="22"/>
        </w:rPr>
        <w:t>、</w:t>
      </w:r>
      <w:r>
        <w:rPr>
          <w:sz w:val="24"/>
          <w:szCs w:val="24"/>
        </w:rPr>
        <w:t>为保证项目顺利开展，</w:t>
      </w:r>
      <w:r>
        <w:rPr>
          <w:rFonts w:hint="eastAsia"/>
          <w:sz w:val="24"/>
          <w:lang w:val="en-US" w:eastAsia="zh-CN"/>
        </w:rPr>
        <w:t>供应商</w:t>
      </w:r>
      <w:r>
        <w:rPr>
          <w:sz w:val="24"/>
          <w:szCs w:val="24"/>
        </w:rPr>
        <w:t>应针对本项目制订详细的</w:t>
      </w:r>
      <w:r>
        <w:rPr>
          <w:rFonts w:hint="eastAsia"/>
          <w:sz w:val="24"/>
          <w:szCs w:val="24"/>
        </w:rPr>
        <w:t>绿化移植服务方案、绿化养护服务方案、</w:t>
      </w:r>
      <w:r>
        <w:rPr>
          <w:sz w:val="24"/>
          <w:szCs w:val="24"/>
        </w:rPr>
        <w:t>内部规章制度及人员培训方案</w:t>
      </w:r>
      <w:r>
        <w:rPr>
          <w:rFonts w:hint="eastAsia"/>
          <w:sz w:val="24"/>
          <w:szCs w:val="24"/>
        </w:rPr>
        <w:t>等</w:t>
      </w:r>
      <w:r>
        <w:rPr>
          <w:sz w:val="24"/>
          <w:szCs w:val="24"/>
        </w:rPr>
        <w:t>。</w:t>
      </w:r>
    </w:p>
    <w:p w14:paraId="6193D3CE">
      <w:pPr>
        <w:spacing w:line="440" w:lineRule="exact"/>
        <w:ind w:firstLine="480"/>
        <w:rPr>
          <w:sz w:val="24"/>
          <w:szCs w:val="22"/>
        </w:rPr>
      </w:pPr>
      <w:r>
        <w:rPr>
          <w:sz w:val="24"/>
          <w:szCs w:val="22"/>
        </w:rPr>
        <w:t>2</w:t>
      </w:r>
      <w:r>
        <w:rPr>
          <w:rFonts w:hint="eastAsia"/>
          <w:sz w:val="24"/>
          <w:szCs w:val="22"/>
        </w:rPr>
        <w:t>、为保证本项目顺利实施，</w:t>
      </w:r>
      <w:r>
        <w:rPr>
          <w:rFonts w:hint="eastAsia"/>
          <w:sz w:val="24"/>
          <w:lang w:val="en-US" w:eastAsia="zh-CN"/>
        </w:rPr>
        <w:t>供应商</w:t>
      </w:r>
      <w:r>
        <w:rPr>
          <w:rFonts w:hint="eastAsia"/>
          <w:sz w:val="24"/>
          <w:szCs w:val="22"/>
        </w:rPr>
        <w:t>应针对本项目</w:t>
      </w:r>
      <w:r>
        <w:rPr>
          <w:sz w:val="24"/>
          <w:szCs w:val="22"/>
        </w:rPr>
        <w:t>配置</w:t>
      </w:r>
      <w:r>
        <w:rPr>
          <w:rFonts w:hint="eastAsia"/>
          <w:sz w:val="24"/>
          <w:szCs w:val="22"/>
        </w:rPr>
        <w:t>相关</w:t>
      </w:r>
      <w:r>
        <w:rPr>
          <w:sz w:val="24"/>
          <w:szCs w:val="22"/>
        </w:rPr>
        <w:t>专业人员</w:t>
      </w:r>
      <w:r>
        <w:rPr>
          <w:rFonts w:hint="eastAsia"/>
          <w:sz w:val="24"/>
          <w:szCs w:val="22"/>
        </w:rPr>
        <w:t>及设备。</w:t>
      </w:r>
    </w:p>
    <w:p w14:paraId="3F559A8B">
      <w:pPr>
        <w:spacing w:line="440" w:lineRule="exact"/>
        <w:ind w:firstLine="480"/>
        <w:rPr>
          <w:rFonts w:hint="eastAsia" w:cs="宋体"/>
          <w:b/>
          <w:bCs/>
          <w:sz w:val="28"/>
          <w:szCs w:val="28"/>
        </w:rPr>
      </w:pPr>
      <w:r>
        <w:rPr>
          <w:rFonts w:hint="eastAsia"/>
          <w:sz w:val="24"/>
          <w:szCs w:val="22"/>
        </w:rPr>
        <w:t>3、</w:t>
      </w:r>
      <w:r>
        <w:rPr>
          <w:rFonts w:hint="eastAsia"/>
          <w:sz w:val="24"/>
          <w:lang w:val="en-US" w:eastAsia="zh-CN"/>
        </w:rPr>
        <w:t>供应商</w:t>
      </w:r>
      <w:r>
        <w:rPr>
          <w:rFonts w:hint="eastAsia"/>
          <w:sz w:val="24"/>
          <w:szCs w:val="22"/>
        </w:rPr>
        <w:t>承诺</w:t>
      </w:r>
      <w:r>
        <w:rPr>
          <w:sz w:val="24"/>
          <w:szCs w:val="22"/>
        </w:rPr>
        <w:t>为拟投入</w:t>
      </w:r>
      <w:r>
        <w:rPr>
          <w:rFonts w:hint="eastAsia"/>
          <w:sz w:val="24"/>
          <w:szCs w:val="22"/>
        </w:rPr>
        <w:t>项目人员</w:t>
      </w:r>
      <w:r>
        <w:rPr>
          <w:sz w:val="24"/>
          <w:szCs w:val="22"/>
        </w:rPr>
        <w:t>购买商业团体意外保险</w:t>
      </w:r>
      <w:r>
        <w:rPr>
          <w:rFonts w:hint="eastAsia"/>
          <w:sz w:val="24"/>
          <w:szCs w:val="22"/>
        </w:rPr>
        <w:t>的，在签订合同时须向采购人提供符合</w:t>
      </w:r>
      <w:r>
        <w:rPr>
          <w:rFonts w:hint="eastAsia"/>
          <w:sz w:val="24"/>
          <w:lang w:val="en-US" w:eastAsia="zh-CN"/>
        </w:rPr>
        <w:t>供应商</w:t>
      </w:r>
      <w:r>
        <w:rPr>
          <w:rFonts w:hint="eastAsia"/>
          <w:sz w:val="24"/>
          <w:szCs w:val="22"/>
        </w:rPr>
        <w:t>承诺的</w:t>
      </w:r>
      <w:r>
        <w:rPr>
          <w:sz w:val="24"/>
          <w:szCs w:val="22"/>
        </w:rPr>
        <w:t>商业团体意外保险</w:t>
      </w:r>
      <w:r>
        <w:rPr>
          <w:rFonts w:hint="eastAsia"/>
          <w:sz w:val="24"/>
          <w:szCs w:val="22"/>
        </w:rPr>
        <w:t>保单。</w:t>
      </w:r>
    </w:p>
    <w:p w14:paraId="4A7FB8E4">
      <w:pPr>
        <w:spacing w:line="460" w:lineRule="exact"/>
        <w:ind w:firstLine="482"/>
        <w:rPr>
          <w:b/>
          <w:bCs/>
          <w:color w:val="000000"/>
          <w:sz w:val="24"/>
          <w:szCs w:val="24"/>
        </w:rPr>
      </w:pPr>
      <w:r>
        <w:rPr>
          <w:rFonts w:hint="eastAsia"/>
          <w:b/>
          <w:bCs/>
          <w:color w:val="000000"/>
          <w:sz w:val="24"/>
          <w:szCs w:val="24"/>
          <w:lang w:val="en-US" w:eastAsia="zh-CN"/>
        </w:rPr>
        <w:t>4</w:t>
      </w:r>
      <w:r>
        <w:rPr>
          <w:b/>
          <w:bCs/>
          <w:color w:val="000000"/>
          <w:sz w:val="24"/>
          <w:szCs w:val="24"/>
        </w:rPr>
        <w:t>、本项</w:t>
      </w:r>
      <w:r>
        <w:rPr>
          <w:rFonts w:hint="eastAsia" w:ascii="宋体" w:hAnsi="宋体" w:cs="宋体"/>
          <w:b/>
          <w:bCs/>
          <w:color w:val="000000"/>
          <w:sz w:val="24"/>
          <w:szCs w:val="24"/>
        </w:rPr>
        <w:t>目“项目需求”中标“</w:t>
      </w:r>
      <w:r>
        <w:rPr>
          <w:b/>
          <w:bCs/>
          <w:color w:val="000000"/>
          <w:sz w:val="24"/>
          <w:szCs w:val="24"/>
        </w:rPr>
        <w:t>★</w:t>
      </w:r>
      <w:r>
        <w:rPr>
          <w:rFonts w:hint="eastAsia" w:ascii="宋体" w:hAnsi="宋体" w:cs="宋体"/>
          <w:b/>
          <w:bCs/>
          <w:color w:val="000000"/>
          <w:sz w:val="24"/>
          <w:szCs w:val="24"/>
        </w:rPr>
        <w:t>”的</w:t>
      </w:r>
      <w:r>
        <w:rPr>
          <w:b/>
          <w:bCs/>
          <w:color w:val="000000"/>
          <w:sz w:val="24"/>
          <w:szCs w:val="24"/>
        </w:rPr>
        <w:t>相关要求，为本磋商文件实质性要求，必须满足，否则将失去磋商资格。</w:t>
      </w:r>
    </w:p>
    <w:p w14:paraId="088F44CF">
      <w:pPr>
        <w:spacing w:line="460" w:lineRule="exact"/>
        <w:ind w:firstLine="482"/>
        <w:rPr>
          <w:rFonts w:hint="default"/>
          <w:b/>
          <w:bCs/>
          <w:color w:val="000000"/>
          <w:sz w:val="24"/>
          <w:szCs w:val="24"/>
          <w:lang w:val="en-US" w:eastAsia="zh-CN"/>
        </w:rPr>
      </w:pPr>
      <w:r>
        <w:rPr>
          <w:rFonts w:hint="eastAsia"/>
          <w:b/>
          <w:bCs/>
          <w:color w:val="000000"/>
          <w:sz w:val="24"/>
          <w:szCs w:val="24"/>
          <w:lang w:val="en-US" w:eastAsia="zh-CN"/>
        </w:rPr>
        <w:t>5、人员更换，应提前半个月通知采购人并提前征询采购人同意，非经采购人允许，不得随意更换。确保服务质量不因人员变动而受影响。如确需更换的，需保证服务人员的职称、证书、资历等要求不低于响应文件中拟投入人员。</w:t>
      </w:r>
    </w:p>
    <w:p w14:paraId="49503205">
      <w:pPr>
        <w:keepNext w:val="0"/>
        <w:keepLines w:val="0"/>
        <w:pageBreakBefore w:val="0"/>
        <w:widowControl w:val="0"/>
        <w:numPr>
          <w:ilvl w:val="0"/>
          <w:numId w:val="0"/>
        </w:numPr>
        <w:tabs>
          <w:tab w:val="left" w:pos="567"/>
        </w:tabs>
        <w:spacing w:line="440" w:lineRule="exact"/>
        <w:jc w:val="left"/>
        <w:rPr>
          <w:rFonts w:hint="eastAsia" w:ascii="宋体" w:hAnsi="宋体" w:eastAsia="宋体" w:cs="宋体"/>
          <w:b/>
          <w:sz w:val="28"/>
          <w:szCs w:val="28"/>
          <w:highlight w:val="none"/>
          <w:lang w:val="en-US" w:eastAsia="zh-CN"/>
        </w:rPr>
      </w:pPr>
      <w:r>
        <w:rPr>
          <w:rFonts w:hint="eastAsia" w:asciiTheme="minorEastAsia" w:hAnsiTheme="minorEastAsia" w:cstheme="minorEastAsia"/>
          <w:b/>
          <w:bCs/>
          <w:sz w:val="28"/>
          <w:szCs w:val="28"/>
          <w:lang w:val="en-US" w:eastAsia="zh-CN" w:bidi="ar-SA"/>
        </w:rPr>
        <w:t>五</w:t>
      </w:r>
      <w:r>
        <w:rPr>
          <w:rFonts w:hint="eastAsia" w:asciiTheme="minorEastAsia" w:hAnsiTheme="minorEastAsia" w:cstheme="minorEastAsia"/>
          <w:b/>
          <w:bCs/>
          <w:sz w:val="24"/>
          <w:szCs w:val="32"/>
          <w:lang w:val="en-US" w:eastAsia="zh-CN" w:bidi="ar-SA"/>
        </w:rPr>
        <w:t>、</w:t>
      </w:r>
      <w:r>
        <w:rPr>
          <w:rFonts w:hint="eastAsia" w:ascii="宋体" w:hAnsi="宋体" w:eastAsia="宋体" w:cs="宋体"/>
          <w:b/>
          <w:sz w:val="28"/>
          <w:szCs w:val="28"/>
          <w:highlight w:val="none"/>
          <w:lang w:val="en-US" w:eastAsia="zh-CN"/>
        </w:rPr>
        <w:t>验收要求：</w:t>
      </w:r>
    </w:p>
    <w:p w14:paraId="39154325">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w:t>
      </w:r>
      <w:r>
        <w:rPr>
          <w:rFonts w:hint="default" w:ascii="宋体" w:hAnsi="宋体" w:eastAsia="宋体" w:cs="宋体"/>
          <w:b w:val="0"/>
          <w:bCs/>
          <w:sz w:val="24"/>
          <w:szCs w:val="24"/>
          <w:highlight w:val="none"/>
          <w:lang w:val="en-US" w:eastAsia="zh-CN"/>
        </w:rPr>
        <w:t>在绿化移植完成后，一个月内需组织开展验收，</w:t>
      </w:r>
      <w:r>
        <w:rPr>
          <w:rFonts w:hint="eastAsia"/>
          <w:sz w:val="24"/>
          <w:szCs w:val="24"/>
          <w:lang w:val="en-US" w:eastAsia="zh-CN"/>
        </w:rPr>
        <w:t>供应商</w:t>
      </w:r>
      <w:r>
        <w:rPr>
          <w:rFonts w:hint="default" w:ascii="宋体" w:hAnsi="宋体" w:eastAsia="宋体" w:cs="宋体"/>
          <w:b w:val="0"/>
          <w:bCs/>
          <w:sz w:val="24"/>
          <w:szCs w:val="24"/>
          <w:highlight w:val="none"/>
          <w:lang w:val="en-US" w:eastAsia="zh-CN"/>
        </w:rPr>
        <w:t>应做好相关配合工作。</w:t>
      </w:r>
    </w:p>
    <w:p w14:paraId="5E0B97DF">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w:t>
      </w:r>
      <w:r>
        <w:rPr>
          <w:rFonts w:hint="default" w:ascii="宋体" w:hAnsi="宋体" w:eastAsia="宋体" w:cs="宋体"/>
          <w:b w:val="0"/>
          <w:bCs/>
          <w:sz w:val="24"/>
          <w:szCs w:val="24"/>
          <w:highlight w:val="none"/>
          <w:lang w:val="en-US" w:eastAsia="zh-CN"/>
        </w:rPr>
        <w:t>验收标准：一是供应商提交工程量签证清单（包括苗圃位置、品名、数量等）；二是核验品种、规格（如胸径、树高、冠幅等）及各品种数量等是否与采购要求相符，防止出现品种混淆或错植、数量短缺或虚报问题；三是如有缺失，是否有书面确认材料，品种、数量是否准确。</w:t>
      </w:r>
    </w:p>
    <w:p w14:paraId="65F6F1B1">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w:t>
      </w:r>
      <w:r>
        <w:rPr>
          <w:rFonts w:hint="default" w:ascii="宋体" w:hAnsi="宋体" w:eastAsia="宋体" w:cs="宋体"/>
          <w:b w:val="0"/>
          <w:bCs/>
          <w:sz w:val="24"/>
          <w:szCs w:val="24"/>
          <w:highlight w:val="none"/>
          <w:lang w:val="en-US" w:eastAsia="zh-CN"/>
        </w:rPr>
        <w:t>对于存在的问题，供应商应按采购人要求及时整改，直至全部通过验收后方可转入养护阶段（开始计算养护期）。</w:t>
      </w:r>
    </w:p>
    <w:p w14:paraId="1D295E20">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w:t>
      </w:r>
      <w:r>
        <w:rPr>
          <w:rFonts w:hint="default" w:ascii="宋体" w:hAnsi="宋体" w:eastAsia="宋体" w:cs="宋体"/>
          <w:b w:val="0"/>
          <w:bCs/>
          <w:sz w:val="24"/>
          <w:szCs w:val="24"/>
          <w:highlight w:val="none"/>
          <w:lang w:val="en-US" w:eastAsia="zh-CN"/>
        </w:rPr>
        <w:t>养护期内，供应商需承担绿化全周期养护责任，通过精细化管理保障树木存活。同时，针对极端天气（如暴雨、大风、高温、严寒等）制定抗灾预案，采取加固、遮阴、防寒等措施，最大限度降低灾害影响。建立养护台账，记录各项工作开展情况，确保树木成活率达标。如养护期内有对移植绿化有再利用需求，需有书面协议或相应函件（具体要求另行约定），并在台账中予以登记。</w:t>
      </w:r>
    </w:p>
    <w:p w14:paraId="75FAC14D">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w:t>
      </w:r>
      <w:r>
        <w:rPr>
          <w:rFonts w:hint="default" w:ascii="宋体" w:hAnsi="宋体" w:eastAsia="宋体" w:cs="宋体"/>
          <w:b w:val="0"/>
          <w:bCs/>
          <w:sz w:val="24"/>
          <w:szCs w:val="24"/>
          <w:highlight w:val="none"/>
          <w:lang w:val="en-US" w:eastAsia="zh-CN"/>
        </w:rPr>
        <w:t>在养护期满后进行最终验收，按照采购合同约定的成活率标准，逐一清点。若实际成活数量未达到合同要求，供应商需对缺失部分及时补植，补植树木的品种、规格需与原绿化一致，且需保证补植绿化正常生长，直至达到合同规定的成活率。通过后验收后视为本合同履约完毕。</w:t>
      </w:r>
    </w:p>
    <w:p w14:paraId="0EA72615">
      <w:pPr>
        <w:spacing w:line="460" w:lineRule="exact"/>
        <w:ind w:firstLine="482"/>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6</w:t>
      </w:r>
      <w:r>
        <w:rPr>
          <w:rFonts w:hint="eastAsia" w:ascii="宋体" w:hAnsi="宋体" w:eastAsia="宋体" w:cs="宋体"/>
          <w:b w:val="0"/>
          <w:bCs/>
          <w:sz w:val="24"/>
          <w:szCs w:val="24"/>
          <w:highlight w:val="none"/>
          <w:lang w:val="en-US" w:eastAsia="zh-CN"/>
        </w:rPr>
        <w:t>、</w:t>
      </w:r>
      <w:r>
        <w:rPr>
          <w:rFonts w:hint="default" w:ascii="宋体" w:hAnsi="宋体" w:eastAsia="宋体" w:cs="宋体"/>
          <w:b w:val="0"/>
          <w:bCs/>
          <w:sz w:val="24"/>
          <w:szCs w:val="24"/>
          <w:highlight w:val="none"/>
          <w:lang w:val="en-US" w:eastAsia="zh-CN"/>
        </w:rPr>
        <w:t>如有必要，采购人邀请参加本项目的相关使用单位或第三方专业机构及专家参与验收，相关意见将作为验收书的参考资料。</w:t>
      </w:r>
    </w:p>
    <w:p w14:paraId="0F2A97D6">
      <w:pPr>
        <w:spacing w:line="460" w:lineRule="exact"/>
        <w:ind w:firstLine="482"/>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7、</w:t>
      </w:r>
      <w:r>
        <w:rPr>
          <w:rFonts w:hint="default" w:ascii="宋体" w:hAnsi="宋体" w:eastAsia="宋体" w:cs="宋体"/>
          <w:b w:val="0"/>
          <w:bCs/>
          <w:sz w:val="24"/>
          <w:szCs w:val="24"/>
          <w:highlight w:val="none"/>
          <w:lang w:val="en-US" w:eastAsia="zh-CN"/>
        </w:rPr>
        <w:t>采购人成立验收小组，按照采购合同的约定对供应商的履约情况进行验收，出具验收书,列明各项标准的验收情况及项目总体评价,由验收双方共同签署。履约验收的各项资料存档备查。</w:t>
      </w:r>
    </w:p>
    <w:p w14:paraId="75CC59F9">
      <w:pPr>
        <w:spacing w:line="460" w:lineRule="exact"/>
        <w:ind w:firstLine="482"/>
        <w:rPr>
          <w:b/>
          <w:bCs/>
          <w:color w:val="000000"/>
          <w:sz w:val="24"/>
          <w:szCs w:val="24"/>
        </w:rPr>
      </w:pPr>
      <w:r>
        <w:rPr>
          <w:rFonts w:hint="eastAsia" w:ascii="宋体" w:hAnsi="宋体" w:eastAsia="宋体" w:cs="宋体"/>
          <w:b w:val="0"/>
          <w:bCs/>
          <w:sz w:val="24"/>
          <w:szCs w:val="24"/>
          <w:highlight w:val="none"/>
          <w:lang w:val="en-US" w:eastAsia="zh-CN"/>
        </w:rPr>
        <w:t>8、</w:t>
      </w:r>
      <w:r>
        <w:rPr>
          <w:rFonts w:hint="default" w:ascii="宋体" w:hAnsi="宋体" w:eastAsia="宋体" w:cs="宋体"/>
          <w:b w:val="0"/>
          <w:bCs/>
          <w:sz w:val="24"/>
          <w:szCs w:val="24"/>
          <w:highlight w:val="none"/>
          <w:lang w:val="en-US" w:eastAsia="zh-CN"/>
        </w:rPr>
        <w:t>验收合格的项目,采购人根据采购合同的约定及时向供应商支付合同款项。验收不合格的项目，采购人依法及时处理。</w:t>
      </w:r>
    </w:p>
    <w:p w14:paraId="28C0BE4E">
      <w:pPr>
        <w:spacing w:line="440" w:lineRule="exact"/>
        <w:ind w:firstLine="480"/>
        <w:jc w:val="left"/>
        <w:rPr>
          <w:rFonts w:hint="eastAsia" w:ascii="宋体" w:hAnsi="宋体" w:eastAsia="宋体" w:cs="Times New Roman"/>
          <w:color w:val="000000"/>
          <w:sz w:val="24"/>
        </w:rPr>
      </w:pPr>
    </w:p>
    <w:p w14:paraId="039EC4AF">
      <w:pPr>
        <w:pStyle w:val="2"/>
        <w:jc w:val="center"/>
        <w:rPr>
          <w:rStyle w:val="220"/>
          <w:rFonts w:hint="eastAsia"/>
          <w:b/>
          <w:szCs w:val="22"/>
        </w:rPr>
      </w:pPr>
      <w:r>
        <w:rPr/>
        <w:br w:type="page" w:clear="all"/>
      </w:r>
      <w:bookmarkEnd w:id="61"/>
      <w:bookmarkStart w:id="63" w:name="_Toc103080651"/>
      <w:bookmarkStart w:id="64" w:name="_Toc159312657"/>
      <w:bookmarkStart w:id="65" w:name="_Toc15548"/>
      <w:r>
        <w:rPr>
          <w:szCs w:val="22"/>
        </w:rPr>
        <w:t>第</w:t>
      </w:r>
      <w:r>
        <w:rPr>
          <w:rFonts w:hint="eastAsia"/>
          <w:szCs w:val="22"/>
        </w:rPr>
        <w:t>五</w:t>
      </w:r>
      <w:r>
        <w:rPr>
          <w:szCs w:val="22"/>
        </w:rPr>
        <w:t xml:space="preserve">章  </w:t>
      </w:r>
      <w:bookmarkEnd w:id="63"/>
      <w:r>
        <w:rPr>
          <w:rFonts w:hint="eastAsia"/>
          <w:bCs/>
          <w:szCs w:val="22"/>
        </w:rPr>
        <w:t>评审方法与评审标准</w:t>
      </w:r>
      <w:bookmarkEnd w:id="64"/>
      <w:bookmarkEnd w:id="65"/>
    </w:p>
    <w:p w14:paraId="55BB6821">
      <w:pPr>
        <w:spacing w:line="440" w:lineRule="exact"/>
        <w:rPr>
          <w:b/>
          <w:bCs/>
          <w:sz w:val="28"/>
          <w:szCs w:val="28"/>
        </w:rPr>
      </w:pPr>
      <w:r>
        <w:rPr>
          <w:b/>
          <w:bCs/>
          <w:sz w:val="28"/>
          <w:szCs w:val="28"/>
        </w:rPr>
        <w:t>一、评审方法</w:t>
      </w:r>
      <w:r>
        <w:rPr>
          <w:rFonts w:hint="eastAsia"/>
          <w:b/>
          <w:bCs/>
          <w:sz w:val="28"/>
          <w:szCs w:val="28"/>
        </w:rPr>
        <w:t>：</w:t>
      </w:r>
    </w:p>
    <w:p w14:paraId="271EAEA5">
      <w:pPr>
        <w:spacing w:line="440" w:lineRule="exact"/>
        <w:ind w:firstLine="470"/>
        <w:rPr>
          <w:rFonts w:hint="eastAsia"/>
          <w:sz w:val="24"/>
          <w:szCs w:val="24"/>
        </w:rPr>
      </w:pPr>
      <w:r>
        <w:rPr>
          <w:sz w:val="24"/>
          <w:szCs w:val="24"/>
        </w:rPr>
        <w:t>本项目采用综合评分法</w:t>
      </w:r>
      <w:r>
        <w:rPr>
          <w:rFonts w:hint="eastAsia"/>
          <w:sz w:val="24"/>
          <w:szCs w:val="24"/>
        </w:rPr>
        <w:t>。</w:t>
      </w:r>
      <w:r>
        <w:rPr>
          <w:sz w:val="24"/>
          <w:szCs w:val="24"/>
        </w:rPr>
        <w:t>注：每部分的得分保留小数点后两位，合计得分保留小数点后两位。</w:t>
      </w:r>
    </w:p>
    <w:p w14:paraId="05A5BB9D">
      <w:pPr>
        <w:spacing w:line="440" w:lineRule="exact"/>
        <w:rPr>
          <w:b/>
          <w:bCs/>
          <w:sz w:val="28"/>
          <w:szCs w:val="28"/>
        </w:rPr>
      </w:pPr>
      <w:r>
        <w:rPr>
          <w:b/>
          <w:bCs/>
          <w:sz w:val="28"/>
          <w:szCs w:val="28"/>
        </w:rPr>
        <w:t>二、评审因素、权值及评分标准</w:t>
      </w:r>
      <w:r>
        <w:rPr>
          <w:rFonts w:hint="eastAsia"/>
          <w:b/>
          <w:bCs/>
          <w:sz w:val="28"/>
          <w:szCs w:val="28"/>
        </w:rPr>
        <w:t>：</w:t>
      </w:r>
    </w:p>
    <w:p w14:paraId="2B33F4B3">
      <w:pPr>
        <w:spacing w:line="440" w:lineRule="exact"/>
        <w:ind w:firstLine="482"/>
        <w:rPr>
          <w:b/>
          <w:bCs/>
          <w:sz w:val="24"/>
          <w:szCs w:val="24"/>
        </w:rPr>
      </w:pPr>
      <w:r>
        <w:rPr>
          <w:rFonts w:hint="eastAsia"/>
          <w:b/>
          <w:bCs/>
          <w:sz w:val="24"/>
          <w:szCs w:val="24"/>
        </w:rPr>
        <w:t>1、最后报价</w:t>
      </w:r>
      <w:r>
        <w:rPr>
          <w:rFonts w:hint="eastAsia"/>
          <w:b/>
          <w:bCs/>
          <w:sz w:val="24"/>
          <w:szCs w:val="24"/>
          <w:lang w:val="en-US" w:eastAsia="zh-CN"/>
        </w:rPr>
        <w:t>30</w:t>
      </w:r>
      <w:r>
        <w:rPr>
          <w:rFonts w:hint="eastAsia"/>
          <w:b/>
          <w:bCs/>
          <w:sz w:val="24"/>
          <w:szCs w:val="24"/>
        </w:rPr>
        <w:t>分</w:t>
      </w:r>
    </w:p>
    <w:p w14:paraId="1948B9D1">
      <w:pPr>
        <w:tabs>
          <w:tab w:val="left" w:pos="0"/>
        </w:tabs>
        <w:spacing w:line="460" w:lineRule="exact"/>
        <w:ind w:right="-27" w:firstLine="480"/>
        <w:rPr>
          <w:rFonts w:hint="eastAsia"/>
          <w:sz w:val="24"/>
          <w:szCs w:val="24"/>
        </w:rPr>
      </w:pPr>
      <w:r>
        <w:rPr>
          <w:rFonts w:hint="eastAsia"/>
          <w:sz w:val="24"/>
          <w:szCs w:val="24"/>
        </w:rPr>
        <w:t>满足磋商文件要求且最后报价优惠率最大的供应商的价格为磋商基准价，其价格分为</w:t>
      </w:r>
      <w:r>
        <w:rPr>
          <w:rFonts w:hint="eastAsia"/>
          <w:sz w:val="24"/>
          <w:szCs w:val="24"/>
          <w:lang w:val="en-US" w:eastAsia="zh-CN"/>
        </w:rPr>
        <w:t>3</w:t>
      </w:r>
      <w:r>
        <w:rPr>
          <w:rFonts w:hint="eastAsia"/>
          <w:sz w:val="24"/>
          <w:szCs w:val="24"/>
        </w:rPr>
        <w:t>0分；其他供应商的价格分按下列公式计算：磋商报价得分＝（1-磋商基准价）／（1-最后磋商报价）×</w:t>
      </w:r>
      <w:r>
        <w:rPr>
          <w:rFonts w:hint="eastAsia"/>
          <w:sz w:val="24"/>
          <w:szCs w:val="24"/>
          <w:lang w:val="en-US" w:eastAsia="zh-CN"/>
        </w:rPr>
        <w:t>3</w:t>
      </w:r>
      <w:r>
        <w:rPr>
          <w:rFonts w:hint="eastAsia"/>
          <w:sz w:val="24"/>
          <w:szCs w:val="24"/>
        </w:rPr>
        <w:t>0分。</w:t>
      </w:r>
    </w:p>
    <w:p w14:paraId="0C2936EE">
      <w:pPr>
        <w:tabs>
          <w:tab w:val="left" w:pos="0"/>
        </w:tabs>
        <w:spacing w:line="460" w:lineRule="exact"/>
        <w:ind w:right="-27" w:firstLine="480"/>
        <w:rPr>
          <w:rFonts w:hint="eastAsia"/>
          <w:sz w:val="24"/>
          <w:szCs w:val="24"/>
        </w:rPr>
      </w:pPr>
      <w:r>
        <w:rPr>
          <w:rFonts w:hint="eastAsia"/>
          <w:sz w:val="24"/>
          <w:szCs w:val="24"/>
        </w:rPr>
        <w:t>异常低价审查</w:t>
      </w:r>
    </w:p>
    <w:p w14:paraId="32D7CDED">
      <w:pPr>
        <w:tabs>
          <w:tab w:val="left" w:pos="0"/>
        </w:tabs>
        <w:spacing w:line="460" w:lineRule="exact"/>
        <w:ind w:right="-27" w:firstLine="480"/>
        <w:rPr>
          <w:rFonts w:hint="eastAsia"/>
          <w:sz w:val="24"/>
          <w:szCs w:val="24"/>
        </w:rPr>
      </w:pPr>
      <w:r>
        <w:rPr>
          <w:rFonts w:hint="eastAsia"/>
          <w:sz w:val="24"/>
          <w:szCs w:val="24"/>
        </w:rPr>
        <w:t>（一）采购人应当在采购文件中明确，政府采购评审中出现下列情形之一的，评审委员</w:t>
      </w:r>
    </w:p>
    <w:p w14:paraId="386E2DA0">
      <w:pPr>
        <w:tabs>
          <w:tab w:val="left" w:pos="0"/>
        </w:tabs>
        <w:spacing w:line="460" w:lineRule="exact"/>
        <w:ind w:right="-27" w:firstLine="480"/>
        <w:rPr>
          <w:rFonts w:hint="eastAsia"/>
          <w:sz w:val="24"/>
          <w:szCs w:val="24"/>
        </w:rPr>
      </w:pPr>
      <w:r>
        <w:rPr>
          <w:rFonts w:hint="eastAsia"/>
          <w:sz w:val="24"/>
          <w:szCs w:val="24"/>
        </w:rPr>
        <w:t>会应当启动异常低价投标（响应）审查程序：</w:t>
      </w:r>
    </w:p>
    <w:p w14:paraId="3C20AF3C">
      <w:pPr>
        <w:tabs>
          <w:tab w:val="left" w:pos="0"/>
        </w:tabs>
        <w:spacing w:line="460" w:lineRule="exact"/>
        <w:ind w:right="-27" w:firstLine="480"/>
        <w:rPr>
          <w:rFonts w:hint="eastAsia"/>
          <w:sz w:val="24"/>
          <w:szCs w:val="24"/>
        </w:rPr>
      </w:pPr>
      <w:r>
        <w:rPr>
          <w:rFonts w:hint="eastAsia"/>
          <w:sz w:val="24"/>
          <w:szCs w:val="24"/>
        </w:rPr>
        <w:t>1.投标（响应）报价低于全部通过符合性审查供应商投标（响应）报价平均值50%的，即投标（响应）报价&lt;全部通过符合性审查供应商投标（响应）报价平均值×50%；</w:t>
      </w:r>
    </w:p>
    <w:p w14:paraId="61A006EA">
      <w:pPr>
        <w:tabs>
          <w:tab w:val="left" w:pos="0"/>
        </w:tabs>
        <w:spacing w:line="460" w:lineRule="exact"/>
        <w:ind w:right="-27" w:firstLine="480"/>
        <w:rPr>
          <w:rFonts w:hint="eastAsia"/>
          <w:sz w:val="24"/>
          <w:szCs w:val="24"/>
        </w:rPr>
      </w:pPr>
      <w:r>
        <w:rPr>
          <w:rFonts w:hint="eastAsia"/>
          <w:sz w:val="24"/>
          <w:szCs w:val="24"/>
        </w:rPr>
        <w:t>2.投标（响应）报价低于通过符合性审查的次低报价供应商投标（响应）报价50%的，即投标（响应）报价&lt;通过符合性审查的次低报价供应商投标（响应）报价×50%；</w:t>
      </w:r>
    </w:p>
    <w:p w14:paraId="098E7EF5">
      <w:pPr>
        <w:tabs>
          <w:tab w:val="left" w:pos="0"/>
        </w:tabs>
        <w:spacing w:line="460" w:lineRule="exact"/>
        <w:ind w:right="-27" w:firstLine="480"/>
        <w:rPr>
          <w:rFonts w:hint="eastAsia"/>
          <w:sz w:val="24"/>
          <w:szCs w:val="24"/>
        </w:rPr>
      </w:pPr>
      <w:r>
        <w:rPr>
          <w:rFonts w:hint="eastAsia"/>
          <w:sz w:val="24"/>
          <w:szCs w:val="24"/>
        </w:rPr>
        <w:t>3.投标（响应）报价低于采购项目最高限价45%的，即投标（响应）报价&lt;采购项目最高限价×45%；</w:t>
      </w:r>
    </w:p>
    <w:p w14:paraId="64590318">
      <w:pPr>
        <w:tabs>
          <w:tab w:val="left" w:pos="0"/>
        </w:tabs>
        <w:spacing w:line="460" w:lineRule="exact"/>
        <w:ind w:right="-27" w:firstLine="480"/>
        <w:rPr>
          <w:rFonts w:hint="eastAsia"/>
          <w:sz w:val="24"/>
          <w:szCs w:val="24"/>
        </w:rPr>
      </w:pPr>
      <w:r>
        <w:rPr>
          <w:rFonts w:hint="eastAsia"/>
          <w:sz w:val="24"/>
          <w:szCs w:val="24"/>
        </w:rPr>
        <w:t>4.评审委员会基于专业判断，认为供应商报价过低，有可能影响产品质量或者不能诚信履约的其他情形。</w:t>
      </w:r>
    </w:p>
    <w:p w14:paraId="5DC5D3F2">
      <w:pPr>
        <w:tabs>
          <w:tab w:val="left" w:pos="0"/>
        </w:tabs>
        <w:spacing w:line="460" w:lineRule="exact"/>
        <w:ind w:right="-27" w:firstLine="480"/>
        <w:rPr>
          <w:rFonts w:hint="eastAsia"/>
          <w:sz w:val="24"/>
          <w:szCs w:val="24"/>
        </w:rPr>
      </w:pPr>
      <w:r>
        <w:rPr>
          <w:rFonts w:hint="eastAsia"/>
          <w:sz w:val="24"/>
          <w:szCs w:val="24"/>
        </w:rPr>
        <w:t>采购人可以结合具体项目实际情况，提高上述第1项至第3项中启动异常低价投标（响应）审查的数值标准，但是最高不得超过65%。</w:t>
      </w:r>
    </w:p>
    <w:p w14:paraId="1C517359">
      <w:pPr>
        <w:tabs>
          <w:tab w:val="left" w:pos="0"/>
        </w:tabs>
        <w:spacing w:line="460" w:lineRule="exact"/>
        <w:ind w:right="-27" w:firstLine="480"/>
        <w:rPr>
          <w:rFonts w:hint="eastAsia"/>
          <w:sz w:val="24"/>
          <w:szCs w:val="24"/>
        </w:rPr>
      </w:pPr>
      <w:r>
        <w:rPr>
          <w:rFonts w:hint="eastAsia"/>
          <w:sz w:val="24"/>
          <w:szCs w:val="24"/>
        </w:rPr>
        <w:t>相关法律法规对供应商报价有规定的，从其规定。</w:t>
      </w:r>
    </w:p>
    <w:p w14:paraId="0590F12E">
      <w:pPr>
        <w:tabs>
          <w:tab w:val="left" w:pos="0"/>
        </w:tabs>
        <w:spacing w:line="460" w:lineRule="exact"/>
        <w:ind w:right="-27" w:firstLine="480"/>
        <w:rPr>
          <w:rFonts w:hint="eastAsia"/>
          <w:sz w:val="24"/>
          <w:szCs w:val="24"/>
        </w:rPr>
      </w:pPr>
      <w:r>
        <w:rPr>
          <w:rFonts w:hint="eastAsia"/>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D74F34F">
      <w:pPr>
        <w:tabs>
          <w:tab w:val="left" w:pos="0"/>
        </w:tabs>
        <w:spacing w:line="460" w:lineRule="exact"/>
        <w:ind w:right="-27" w:firstLine="480"/>
        <w:rPr>
          <w:rFonts w:hint="eastAsia"/>
          <w:sz w:val="24"/>
          <w:szCs w:val="24"/>
        </w:rPr>
      </w:pPr>
      <w:r>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504E91">
      <w:pPr>
        <w:spacing w:line="440" w:lineRule="exact"/>
        <w:ind w:firstLine="482"/>
        <w:rPr>
          <w:rFonts w:hint="default" w:eastAsia="宋体"/>
          <w:b/>
          <w:bCs/>
          <w:sz w:val="24"/>
          <w:szCs w:val="24"/>
          <w:lang w:val="en-US" w:eastAsia="zh-CN"/>
        </w:rPr>
      </w:pPr>
      <w:r>
        <w:rPr>
          <w:rFonts w:hint="eastAsia"/>
          <w:b/>
          <w:bCs/>
          <w:sz w:val="24"/>
          <w:szCs w:val="24"/>
        </w:rPr>
        <w:t>2、</w:t>
      </w:r>
      <w:r>
        <w:rPr>
          <w:rFonts w:hint="eastAsia"/>
          <w:b/>
          <w:bCs/>
          <w:sz w:val="24"/>
          <w:szCs w:val="24"/>
          <w:lang w:val="en-US" w:eastAsia="zh-CN"/>
        </w:rPr>
        <w:t>项目</w:t>
      </w:r>
      <w:r>
        <w:rPr>
          <w:rFonts w:hint="eastAsia"/>
          <w:b/>
          <w:bCs/>
          <w:sz w:val="24"/>
          <w:szCs w:val="24"/>
        </w:rPr>
        <w:t>服务方案</w:t>
      </w:r>
      <w:r>
        <w:rPr>
          <w:rFonts w:hint="eastAsia"/>
          <w:b/>
          <w:bCs/>
          <w:sz w:val="24"/>
          <w:szCs w:val="24"/>
          <w:lang w:val="en-US" w:eastAsia="zh-CN"/>
        </w:rPr>
        <w:t>26</w:t>
      </w:r>
      <w:r>
        <w:rPr>
          <w:rFonts w:hint="eastAsia"/>
          <w:b/>
          <w:bCs/>
          <w:sz w:val="24"/>
          <w:szCs w:val="24"/>
        </w:rPr>
        <w:t>分</w:t>
      </w:r>
    </w:p>
    <w:tbl>
      <w:tblPr>
        <w:tblStyle w:val="53"/>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435"/>
        <w:gridCol w:w="1058"/>
        <w:gridCol w:w="6671"/>
      </w:tblGrid>
      <w:tr w14:paraId="7126D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97" w:type="dxa"/>
            <w:noWrap w:val="0"/>
            <w:vAlign w:val="center"/>
          </w:tcPr>
          <w:p w14:paraId="0B65C175">
            <w:pPr>
              <w:jc w:val="center"/>
              <w:rPr>
                <w:rFonts w:ascii="宋体" w:hAnsi="宋体" w:cs="宋体"/>
                <w:sz w:val="24"/>
                <w:szCs w:val="24"/>
              </w:rPr>
            </w:pPr>
            <w:r>
              <w:rPr>
                <w:rFonts w:hint="eastAsia" w:ascii="宋体" w:hAnsi="宋体" w:cs="宋体"/>
                <w:sz w:val="24"/>
                <w:szCs w:val="24"/>
              </w:rPr>
              <w:t>序号</w:t>
            </w:r>
          </w:p>
        </w:tc>
        <w:tc>
          <w:tcPr>
            <w:tcW w:w="1435" w:type="dxa"/>
            <w:noWrap w:val="0"/>
            <w:vAlign w:val="center"/>
          </w:tcPr>
          <w:p w14:paraId="1DE5B943">
            <w:pPr>
              <w:jc w:val="center"/>
              <w:rPr>
                <w:rFonts w:ascii="宋体" w:hAnsi="宋体" w:cs="宋体"/>
                <w:sz w:val="24"/>
                <w:szCs w:val="24"/>
              </w:rPr>
            </w:pPr>
            <w:r>
              <w:rPr>
                <w:rFonts w:hint="eastAsia" w:ascii="宋体" w:hAnsi="宋体" w:cs="宋体"/>
                <w:sz w:val="24"/>
                <w:szCs w:val="24"/>
              </w:rPr>
              <w:t>评审因素</w:t>
            </w:r>
          </w:p>
        </w:tc>
        <w:tc>
          <w:tcPr>
            <w:tcW w:w="1058" w:type="dxa"/>
            <w:noWrap w:val="0"/>
            <w:vAlign w:val="center"/>
          </w:tcPr>
          <w:p w14:paraId="199386FA">
            <w:pPr>
              <w:jc w:val="center"/>
              <w:rPr>
                <w:rFonts w:ascii="宋体" w:hAnsi="宋体" w:cs="宋体"/>
                <w:sz w:val="24"/>
                <w:szCs w:val="24"/>
              </w:rPr>
            </w:pPr>
            <w:r>
              <w:rPr>
                <w:rFonts w:hint="eastAsia" w:ascii="宋体" w:hAnsi="宋体" w:cs="宋体"/>
                <w:sz w:val="24"/>
                <w:szCs w:val="24"/>
              </w:rPr>
              <w:t>分值</w:t>
            </w:r>
          </w:p>
        </w:tc>
        <w:tc>
          <w:tcPr>
            <w:tcW w:w="6671" w:type="dxa"/>
            <w:noWrap w:val="0"/>
            <w:vAlign w:val="center"/>
          </w:tcPr>
          <w:p w14:paraId="2F6F2A92">
            <w:pPr>
              <w:jc w:val="center"/>
              <w:rPr>
                <w:rFonts w:ascii="宋体" w:hAnsi="宋体" w:cs="宋体"/>
                <w:sz w:val="24"/>
                <w:szCs w:val="24"/>
              </w:rPr>
            </w:pPr>
            <w:r>
              <w:rPr>
                <w:rFonts w:hint="eastAsia" w:ascii="宋体" w:hAnsi="宋体" w:cs="宋体"/>
                <w:sz w:val="24"/>
                <w:szCs w:val="24"/>
              </w:rPr>
              <w:t>评分标准</w:t>
            </w:r>
          </w:p>
        </w:tc>
      </w:tr>
      <w:tr w14:paraId="7CD4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7" w:type="dxa"/>
            <w:noWrap w:val="0"/>
            <w:vAlign w:val="center"/>
          </w:tcPr>
          <w:p w14:paraId="6EAA91F4">
            <w:pPr>
              <w:jc w:val="center"/>
              <w:rPr>
                <w:rFonts w:ascii="宋体" w:hAnsi="宋体" w:cs="宋体"/>
                <w:sz w:val="24"/>
                <w:szCs w:val="24"/>
              </w:rPr>
            </w:pPr>
            <w:r>
              <w:rPr>
                <w:rFonts w:hint="eastAsia" w:ascii="宋体" w:hAnsi="宋体" w:cs="宋体"/>
                <w:sz w:val="24"/>
                <w:szCs w:val="24"/>
              </w:rPr>
              <w:t>1</w:t>
            </w:r>
          </w:p>
        </w:tc>
        <w:tc>
          <w:tcPr>
            <w:tcW w:w="1435" w:type="dxa"/>
            <w:noWrap w:val="0"/>
            <w:vAlign w:val="center"/>
          </w:tcPr>
          <w:p w14:paraId="4C6BACC9">
            <w:pPr>
              <w:jc w:val="center"/>
              <w:rPr>
                <w:rFonts w:ascii="宋体" w:hAnsi="宋体" w:cs="宋体"/>
                <w:sz w:val="24"/>
                <w:szCs w:val="24"/>
              </w:rPr>
            </w:pPr>
            <w:r>
              <w:rPr>
                <w:rFonts w:hint="eastAsia" w:ascii="宋体" w:hAnsi="宋体" w:cs="宋体"/>
                <w:sz w:val="24"/>
                <w:szCs w:val="24"/>
              </w:rPr>
              <w:t>服务要求响应性</w:t>
            </w:r>
          </w:p>
        </w:tc>
        <w:tc>
          <w:tcPr>
            <w:tcW w:w="1058" w:type="dxa"/>
            <w:noWrap w:val="0"/>
            <w:vAlign w:val="center"/>
          </w:tcPr>
          <w:p w14:paraId="26164F58">
            <w:pPr>
              <w:jc w:val="center"/>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6671" w:type="dxa"/>
            <w:noWrap w:val="0"/>
            <w:vAlign w:val="center"/>
          </w:tcPr>
          <w:p w14:paraId="34C2375C">
            <w:pPr>
              <w:spacing w:line="300" w:lineRule="exact"/>
              <w:jc w:val="left"/>
              <w:rPr>
                <w:rFonts w:ascii="宋体" w:hAnsi="宋体" w:cs="宋体"/>
                <w:sz w:val="24"/>
                <w:szCs w:val="24"/>
                <w:highlight w:val="none"/>
              </w:rPr>
            </w:pPr>
            <w:r>
              <w:rPr>
                <w:rFonts w:hint="eastAsia" w:ascii="Times New Roman" w:eastAsia="宋体"/>
                <w:color w:val="000000"/>
                <w:sz w:val="24"/>
                <w:highlight w:val="none"/>
                <w:lang w:val="en-US" w:eastAsia="zh-CN" w:bidi="ar-SA"/>
              </w:rPr>
              <w:t>供应商</w:t>
            </w:r>
            <w:r>
              <w:rPr>
                <w:rFonts w:hint="default"/>
                <w:color w:val="000000"/>
                <w:sz w:val="24"/>
                <w:highlight w:val="none"/>
                <w:lang w:val="en-US" w:eastAsia="zh-CN" w:bidi="ar-SA"/>
              </w:rPr>
              <w:t>承诺提供的服务全部满足</w:t>
            </w:r>
            <w:r>
              <w:rPr>
                <w:rFonts w:hint="eastAsia" w:ascii="Times New Roman" w:eastAsia="宋体"/>
                <w:color w:val="000000"/>
                <w:sz w:val="24"/>
                <w:highlight w:val="none"/>
                <w:lang w:val="en-US" w:eastAsia="zh-CN" w:bidi="ar-SA"/>
              </w:rPr>
              <w:t>磋商</w:t>
            </w:r>
            <w:r>
              <w:rPr>
                <w:rFonts w:hint="default"/>
                <w:color w:val="000000"/>
                <w:sz w:val="24"/>
                <w:highlight w:val="none"/>
                <w:lang w:val="en-US" w:eastAsia="zh-CN" w:bidi="ar-SA"/>
              </w:rPr>
              <w:t>文件要求的得基本分</w:t>
            </w:r>
            <w:r>
              <w:rPr>
                <w:rFonts w:hint="eastAsia"/>
                <w:color w:val="000000"/>
                <w:sz w:val="24"/>
                <w:highlight w:val="none"/>
                <w:lang w:val="en-US" w:eastAsia="zh-CN" w:bidi="ar-SA"/>
              </w:rPr>
              <w:t>6</w:t>
            </w:r>
            <w:r>
              <w:rPr>
                <w:rFonts w:hint="eastAsia" w:ascii="宋体" w:hAnsi="宋体" w:cs="宋体"/>
                <w:sz w:val="24"/>
                <w:szCs w:val="24"/>
                <w:highlight w:val="none"/>
              </w:rPr>
              <w:t>分；有负偏离条款，每条扣</w:t>
            </w:r>
            <w:r>
              <w:rPr>
                <w:rFonts w:hint="eastAsia" w:ascii="宋体" w:hAnsi="宋体" w:cs="宋体"/>
                <w:sz w:val="24"/>
                <w:szCs w:val="24"/>
                <w:highlight w:val="none"/>
                <w:lang w:val="en-US" w:eastAsia="zh-CN"/>
              </w:rPr>
              <w:t>0.15</w:t>
            </w:r>
            <w:r>
              <w:rPr>
                <w:rFonts w:hint="eastAsia" w:ascii="宋体" w:hAnsi="宋体" w:cs="宋体"/>
                <w:sz w:val="24"/>
                <w:szCs w:val="24"/>
                <w:highlight w:val="none"/>
              </w:rPr>
              <w:t>分。</w:t>
            </w:r>
          </w:p>
        </w:tc>
      </w:tr>
      <w:tr w14:paraId="1525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97" w:type="dxa"/>
            <w:noWrap w:val="0"/>
            <w:vAlign w:val="center"/>
          </w:tcPr>
          <w:p w14:paraId="6EF398D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35" w:type="dxa"/>
            <w:noWrap w:val="0"/>
            <w:vAlign w:val="center"/>
          </w:tcPr>
          <w:p w14:paraId="493E778A">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服务</w:t>
            </w:r>
            <w:r>
              <w:rPr>
                <w:rFonts w:hint="eastAsia" w:ascii="宋体" w:hAnsi="宋体" w:cs="宋体"/>
                <w:sz w:val="24"/>
                <w:szCs w:val="24"/>
                <w:highlight w:val="none"/>
              </w:rPr>
              <w:t>方案</w:t>
            </w:r>
          </w:p>
        </w:tc>
        <w:tc>
          <w:tcPr>
            <w:tcW w:w="1058" w:type="dxa"/>
            <w:noWrap w:val="0"/>
            <w:vAlign w:val="center"/>
          </w:tcPr>
          <w:p w14:paraId="15EEC34C">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tc>
        <w:tc>
          <w:tcPr>
            <w:tcW w:w="6671" w:type="dxa"/>
            <w:noWrap w:val="0"/>
            <w:vAlign w:val="center"/>
          </w:tcPr>
          <w:p w14:paraId="725FDE71">
            <w:pPr>
              <w:jc w:val="lef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根据</w:t>
            </w:r>
            <w:r>
              <w:rPr>
                <w:rFonts w:hint="eastAsia" w:ascii="Times New Roman" w:eastAsia="宋体"/>
                <w:color w:val="000000"/>
                <w:sz w:val="24"/>
                <w:highlight w:val="none"/>
                <w:lang w:val="en-US" w:eastAsia="zh-CN" w:bidi="ar-SA"/>
              </w:rPr>
              <w:t>供应商</w:t>
            </w:r>
            <w:r>
              <w:rPr>
                <w:rFonts w:hint="default" w:ascii="宋体" w:hAnsi="宋体" w:eastAsia="宋体" w:cs="宋体"/>
                <w:sz w:val="24"/>
                <w:szCs w:val="24"/>
                <w:highlight w:val="none"/>
                <w:lang w:val="en-US" w:eastAsia="zh-CN"/>
              </w:rPr>
              <w:t>提供的管理方案进行评定：符合本项目实际情况且详细完善的得2分；管理方案基本符合本项目实际情况，但部分内容不够详细或不完全完善的得1分；未作说明或方案完全未体现上述评审要点的不得分。</w:t>
            </w:r>
          </w:p>
        </w:tc>
      </w:tr>
      <w:tr w14:paraId="7E35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97" w:type="dxa"/>
            <w:noWrap w:val="0"/>
            <w:vAlign w:val="center"/>
          </w:tcPr>
          <w:p w14:paraId="3B5CC41E">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435" w:type="dxa"/>
            <w:noWrap w:val="0"/>
            <w:vAlign w:val="center"/>
          </w:tcPr>
          <w:p w14:paraId="6E5A5F1C">
            <w:pPr>
              <w:jc w:val="center"/>
              <w:rPr>
                <w:rFonts w:hint="eastAsia" w:ascii="宋体" w:hAnsi="宋体" w:eastAsia="宋体" w:cs="宋体"/>
                <w:sz w:val="24"/>
                <w:szCs w:val="24"/>
              </w:rPr>
            </w:pPr>
            <w:r>
              <w:rPr>
                <w:rFonts w:hint="eastAsia" w:ascii="宋体" w:hAnsi="宋体" w:cs="宋体"/>
                <w:sz w:val="24"/>
                <w:szCs w:val="24"/>
                <w:lang w:val="en-US" w:eastAsia="zh-CN"/>
              </w:rPr>
              <w:t>绿化移植</w:t>
            </w:r>
            <w:r>
              <w:rPr>
                <w:rFonts w:hint="eastAsia" w:ascii="宋体" w:hAnsi="宋体" w:eastAsia="宋体" w:cs="宋体"/>
                <w:sz w:val="24"/>
                <w:szCs w:val="24"/>
              </w:rPr>
              <w:t>方案</w:t>
            </w:r>
          </w:p>
        </w:tc>
        <w:tc>
          <w:tcPr>
            <w:tcW w:w="1058" w:type="dxa"/>
            <w:noWrap w:val="0"/>
            <w:vAlign w:val="center"/>
          </w:tcPr>
          <w:p w14:paraId="019E0ABC">
            <w:pPr>
              <w:jc w:val="center"/>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lang w:val="en-US"/>
              </w:rPr>
              <w:t>分</w:t>
            </w:r>
          </w:p>
        </w:tc>
        <w:tc>
          <w:tcPr>
            <w:tcW w:w="6671" w:type="dxa"/>
            <w:noWrap w:val="0"/>
            <w:vAlign w:val="center"/>
          </w:tcPr>
          <w:p w14:paraId="45CA7F1D">
            <w:pPr>
              <w:jc w:val="left"/>
              <w:rPr>
                <w:rFonts w:hint="eastAsia" w:ascii="宋体" w:hAnsi="宋体" w:eastAsia="宋体" w:cs="宋体"/>
                <w:sz w:val="24"/>
                <w:szCs w:val="24"/>
              </w:rPr>
            </w:pPr>
            <w:r>
              <w:rPr>
                <w:rFonts w:hint="eastAsia" w:ascii="宋体" w:hAnsi="宋体" w:eastAsia="宋体" w:cs="宋体"/>
                <w:sz w:val="24"/>
                <w:szCs w:val="24"/>
              </w:rPr>
              <w:t>根据</w:t>
            </w:r>
            <w:r>
              <w:rPr>
                <w:rFonts w:hint="eastAsia" w:ascii="Times New Roman" w:eastAsia="宋体"/>
                <w:color w:val="000000"/>
                <w:sz w:val="24"/>
                <w:highlight w:val="none"/>
                <w:lang w:val="en-US" w:eastAsia="zh-CN" w:bidi="ar-SA"/>
              </w:rPr>
              <w:t>供应商</w:t>
            </w:r>
            <w:r>
              <w:rPr>
                <w:rFonts w:hint="eastAsia" w:ascii="宋体" w:hAnsi="宋体" w:eastAsia="宋体" w:cs="宋体"/>
                <w:sz w:val="24"/>
                <w:szCs w:val="24"/>
              </w:rPr>
              <w:t>提供的移植方案进行评定：</w:t>
            </w:r>
          </w:p>
          <w:p w14:paraId="2BD30ECD">
            <w:pPr>
              <w:jc w:val="left"/>
              <w:rPr>
                <w:rFonts w:hint="eastAsia" w:ascii="宋体" w:hAnsi="宋体" w:eastAsia="宋体" w:cs="宋体"/>
                <w:sz w:val="24"/>
                <w:szCs w:val="24"/>
              </w:rPr>
            </w:pPr>
            <w:r>
              <w:rPr>
                <w:rFonts w:hint="eastAsia" w:ascii="宋体" w:hAnsi="宋体" w:eastAsia="宋体" w:cs="宋体"/>
                <w:sz w:val="24"/>
                <w:szCs w:val="24"/>
              </w:rPr>
              <w:t>（1）针对绿化移除服务方案进行评定，方案内容详细完整、针对性强、具有可操作性的得2分；内容完整，但存在细微不合理或缺陷，不影响项目执行的得1分；未能体现评审要点（或无实质性内容的）的得0分；</w:t>
            </w:r>
          </w:p>
          <w:p w14:paraId="38A19D60">
            <w:pPr>
              <w:jc w:val="left"/>
              <w:rPr>
                <w:rFonts w:hint="eastAsia" w:ascii="宋体" w:hAnsi="宋体" w:eastAsia="宋体" w:cs="宋体"/>
                <w:sz w:val="24"/>
                <w:szCs w:val="24"/>
              </w:rPr>
            </w:pPr>
            <w:r>
              <w:rPr>
                <w:rFonts w:hint="eastAsia" w:ascii="宋体" w:hAnsi="宋体" w:eastAsia="宋体" w:cs="宋体"/>
                <w:sz w:val="24"/>
                <w:szCs w:val="24"/>
              </w:rPr>
              <w:t>（2）针对绿化迁移服务方案进行评定，方案内容详细完整、针对性强、具有可操作性的得2分；内容完整，但存在细微不合理或缺陷，不影响项目执行的得1分；未能体现评审要点（或无实质性内容的）的得0分；</w:t>
            </w:r>
          </w:p>
          <w:p w14:paraId="54DD6346">
            <w:pPr>
              <w:jc w:val="left"/>
              <w:rPr>
                <w:rFonts w:hint="eastAsia" w:ascii="宋体" w:hAnsi="宋体" w:eastAsia="宋体" w:cs="宋体"/>
                <w:sz w:val="24"/>
                <w:szCs w:val="24"/>
              </w:rPr>
            </w:pPr>
            <w:r>
              <w:rPr>
                <w:rFonts w:hint="eastAsia" w:ascii="宋体" w:hAnsi="宋体" w:eastAsia="宋体" w:cs="宋体"/>
                <w:sz w:val="24"/>
                <w:szCs w:val="24"/>
              </w:rPr>
              <w:t>（3）针对绿化种植服务方案进行评定，方案内容详细完整、针对性强、具有可操作性的得2分；内容完整，但存在细微不合理或缺陷，不影响项目执行的得1分；未能体现评审要点（或无实质性内容的）的得0分；</w:t>
            </w:r>
          </w:p>
          <w:p w14:paraId="02E7F4A9">
            <w:pPr>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针对绿化苗木运输吊装服务方案进行评定，方案内容详细完整、针对性强、具有可操作性的得2分；内容完整，但存在细微不合理或缺陷，不影响项目执行的得1分；未能体现评审要点（或无实质性内容的）的得0分。</w:t>
            </w:r>
          </w:p>
        </w:tc>
      </w:tr>
      <w:tr w14:paraId="2A39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797" w:type="dxa"/>
            <w:noWrap w:val="0"/>
            <w:vAlign w:val="center"/>
          </w:tcPr>
          <w:p w14:paraId="4C8FB499">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435" w:type="dxa"/>
            <w:noWrap w:val="0"/>
            <w:vAlign w:val="center"/>
          </w:tcPr>
          <w:p w14:paraId="141696CC">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绿化养护方案</w:t>
            </w:r>
          </w:p>
        </w:tc>
        <w:tc>
          <w:tcPr>
            <w:tcW w:w="1058" w:type="dxa"/>
            <w:noWrap w:val="0"/>
            <w:vAlign w:val="center"/>
          </w:tcPr>
          <w:p w14:paraId="3D29E901">
            <w:pPr>
              <w:jc w:val="center"/>
              <w:rPr>
                <w:rFonts w:hint="eastAsia" w:ascii="宋体" w:hAnsi="宋体" w:eastAsia="宋体" w:cs="宋体"/>
                <w:sz w:val="24"/>
                <w:szCs w:val="24"/>
                <w:lang w:val="en-US"/>
              </w:rPr>
            </w:pPr>
            <w:r>
              <w:rPr>
                <w:rFonts w:hint="eastAsia" w:ascii="宋体" w:hAnsi="宋体" w:cs="宋体"/>
                <w:sz w:val="24"/>
                <w:szCs w:val="24"/>
                <w:lang w:val="en-US" w:eastAsia="zh-CN"/>
              </w:rPr>
              <w:t>8</w:t>
            </w:r>
            <w:r>
              <w:rPr>
                <w:rFonts w:hint="eastAsia" w:ascii="宋体" w:hAnsi="宋体" w:eastAsia="宋体" w:cs="宋体"/>
                <w:sz w:val="24"/>
                <w:szCs w:val="24"/>
                <w:lang w:val="en-US"/>
              </w:rPr>
              <w:t>分</w:t>
            </w:r>
          </w:p>
        </w:tc>
        <w:tc>
          <w:tcPr>
            <w:tcW w:w="6671" w:type="dxa"/>
            <w:noWrap w:val="0"/>
            <w:vAlign w:val="center"/>
          </w:tcPr>
          <w:p w14:paraId="13806B70">
            <w:pPr>
              <w:jc w:val="left"/>
              <w:rPr>
                <w:rFonts w:hint="eastAsia" w:ascii="宋体" w:hAnsi="宋体" w:eastAsia="宋体" w:cs="宋体"/>
                <w:sz w:val="24"/>
                <w:szCs w:val="24"/>
                <w:lang w:eastAsia="zh-CN"/>
              </w:rPr>
            </w:pPr>
            <w:r>
              <w:rPr>
                <w:rFonts w:hint="eastAsia" w:ascii="宋体" w:hAnsi="宋体" w:eastAsia="宋体" w:cs="宋体"/>
                <w:sz w:val="24"/>
                <w:szCs w:val="24"/>
              </w:rPr>
              <w:t>根据</w:t>
            </w:r>
            <w:r>
              <w:rPr>
                <w:rFonts w:hint="eastAsia" w:ascii="Times New Roman" w:eastAsia="宋体"/>
                <w:color w:val="000000"/>
                <w:sz w:val="24"/>
                <w:highlight w:val="none"/>
                <w:lang w:val="en-US" w:eastAsia="zh-CN" w:bidi="ar-SA"/>
              </w:rPr>
              <w:t>供应商</w:t>
            </w:r>
            <w:r>
              <w:rPr>
                <w:rFonts w:hint="eastAsia" w:ascii="宋体" w:hAnsi="宋体" w:eastAsia="宋体" w:cs="宋体"/>
                <w:sz w:val="24"/>
                <w:szCs w:val="24"/>
              </w:rPr>
              <w:t>提供的养护方案进行评定</w:t>
            </w:r>
            <w:r>
              <w:rPr>
                <w:rFonts w:hint="eastAsia" w:ascii="宋体" w:hAnsi="宋体" w:eastAsia="宋体" w:cs="宋体"/>
                <w:sz w:val="24"/>
                <w:szCs w:val="24"/>
                <w:lang w:eastAsia="zh-CN"/>
              </w:rPr>
              <w:t>：</w:t>
            </w:r>
          </w:p>
          <w:p w14:paraId="330961FB">
            <w:pPr>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）绿化养护期间的绿化养护方案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包括但不限于定期打草清理</w:t>
            </w:r>
            <w:r>
              <w:rPr>
                <w:rFonts w:hint="eastAsia" w:ascii="宋体" w:hAnsi="宋体" w:eastAsia="宋体" w:cs="宋体"/>
                <w:sz w:val="24"/>
                <w:szCs w:val="24"/>
              </w:rPr>
              <w:t>、缺损补植、病虫害防治、抗旱排水</w:t>
            </w:r>
            <w:r>
              <w:rPr>
                <w:rFonts w:hint="eastAsia" w:ascii="宋体" w:hAnsi="宋体" w:eastAsia="宋体" w:cs="宋体"/>
                <w:sz w:val="24"/>
                <w:szCs w:val="24"/>
                <w:lang w:eastAsia="zh-CN"/>
              </w:rPr>
              <w:t>）</w:t>
            </w:r>
            <w:r>
              <w:rPr>
                <w:rFonts w:hint="eastAsia" w:ascii="宋体" w:hAnsi="宋体" w:eastAsia="宋体" w:cs="宋体"/>
                <w:sz w:val="24"/>
                <w:szCs w:val="24"/>
              </w:rPr>
              <w:t>，符合本项目实际情况且详细完善</w:t>
            </w:r>
            <w:r>
              <w:rPr>
                <w:rFonts w:hint="eastAsia" w:ascii="宋体" w:hAnsi="宋体" w:eastAsia="宋体" w:cs="宋体"/>
                <w:sz w:val="24"/>
                <w:szCs w:val="24"/>
                <w:lang w:val="en-US" w:eastAsia="zh-CN"/>
              </w:rPr>
              <w:t>的得2分；基本符合本项目实际情况，但内容存在部分缺失、不够详细或针对性一般的得1分；未作说明或方案完全未体现上述评审要点的不得分。</w:t>
            </w:r>
          </w:p>
          <w:p w14:paraId="16C8228D">
            <w:pPr>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）应对病虫害防治</w:t>
            </w:r>
            <w:r>
              <w:rPr>
                <w:rFonts w:hint="eastAsia" w:ascii="宋体" w:hAnsi="宋体" w:eastAsia="宋体" w:cs="宋体"/>
                <w:sz w:val="24"/>
                <w:szCs w:val="24"/>
                <w:lang w:eastAsia="zh-CN"/>
              </w:rPr>
              <w:t>的</w:t>
            </w:r>
            <w:r>
              <w:rPr>
                <w:rFonts w:hint="eastAsia" w:ascii="宋体" w:hAnsi="宋体" w:eastAsia="宋体" w:cs="宋体"/>
                <w:sz w:val="24"/>
                <w:szCs w:val="24"/>
              </w:rPr>
              <w:t>措施方案</w:t>
            </w:r>
            <w:r>
              <w:rPr>
                <w:rFonts w:hint="eastAsia" w:ascii="宋体" w:hAnsi="宋体" w:eastAsia="宋体" w:cs="宋体"/>
                <w:sz w:val="24"/>
                <w:szCs w:val="24"/>
                <w:lang w:eastAsia="zh-CN"/>
              </w:rPr>
              <w:t>（措施需根据苗木特点编制，对重难点进行分析并提出应对措施）。措施科学合理、详细具体、完善，可行性强的得</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分；措施基本科学、有一定可行性，但不够详细、部分内容不够完善或可操作性一般的</w:t>
            </w:r>
            <w:r>
              <w:rPr>
                <w:rFonts w:hint="eastAsia" w:ascii="宋体" w:hAnsi="宋体" w:eastAsia="宋体" w:cs="宋体"/>
                <w:sz w:val="24"/>
                <w:szCs w:val="24"/>
                <w:lang w:val="en-US" w:eastAsia="zh-CN"/>
              </w:rPr>
              <w:t>得1分；未作说明或方案完全未体现上述评审要点的不得分。</w:t>
            </w:r>
          </w:p>
          <w:p w14:paraId="307729AB">
            <w:pPr>
              <w:jc w:val="left"/>
              <w:rPr>
                <w:rFonts w:hint="eastAsia" w:ascii="宋体" w:hAnsi="宋体" w:eastAsia="宋体" w:cs="宋体"/>
                <w:strike/>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）安全文明及环境保护方案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包括但不限于安全防护、扬尘抑制、环境保护</w:t>
            </w:r>
            <w:r>
              <w:rPr>
                <w:rFonts w:hint="eastAsia" w:ascii="宋体" w:hAnsi="宋体" w:eastAsia="宋体" w:cs="宋体"/>
                <w:sz w:val="24"/>
                <w:szCs w:val="24"/>
                <w:lang w:eastAsia="zh-CN"/>
              </w:rPr>
              <w:t>）</w:t>
            </w:r>
            <w:r>
              <w:rPr>
                <w:rFonts w:hint="eastAsia" w:ascii="宋体" w:hAnsi="宋体" w:eastAsia="宋体" w:cs="宋体"/>
                <w:sz w:val="24"/>
                <w:szCs w:val="24"/>
              </w:rPr>
              <w:t>，符合本项目实际情况且详细完善</w:t>
            </w:r>
            <w:r>
              <w:rPr>
                <w:rFonts w:hint="eastAsia" w:ascii="宋体" w:hAnsi="宋体" w:eastAsia="宋体" w:cs="宋体"/>
                <w:sz w:val="24"/>
                <w:szCs w:val="24"/>
                <w:lang w:val="en-US" w:eastAsia="zh-CN"/>
              </w:rPr>
              <w:t>的得2分；方案不够详细、部分内容不够完善或可操作性一般的得1分；未作说明或方案完全未体现上述评审要点的不得分。</w:t>
            </w:r>
          </w:p>
          <w:p w14:paraId="50D103BE">
            <w:pPr>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）恶劣天气或特殊情况养护方案，符合本项目实际情况且详细完善</w:t>
            </w:r>
            <w:r>
              <w:rPr>
                <w:rFonts w:hint="eastAsia" w:ascii="宋体" w:hAnsi="宋体" w:eastAsia="宋体" w:cs="宋体"/>
                <w:sz w:val="24"/>
                <w:szCs w:val="24"/>
                <w:lang w:val="en-US" w:eastAsia="zh-CN"/>
              </w:rPr>
              <w:t>的得2分；方案不够详细、部分内容不够完善或可操作性一般的得1分；未作说明或方案完全未体现上述评审要点的不得分。</w:t>
            </w:r>
          </w:p>
        </w:tc>
      </w:tr>
      <w:tr w14:paraId="1AF24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7" w:type="dxa"/>
            <w:noWrap w:val="0"/>
            <w:vAlign w:val="center"/>
          </w:tcPr>
          <w:p w14:paraId="28BB01CC">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1435" w:type="dxa"/>
            <w:noWrap w:val="0"/>
            <w:vAlign w:val="center"/>
          </w:tcPr>
          <w:p w14:paraId="0600B74E">
            <w:pPr>
              <w:jc w:val="center"/>
              <w:rPr>
                <w:rFonts w:hint="eastAsia" w:ascii="宋体" w:hAnsi="宋体" w:eastAsia="宋体" w:cs="宋体"/>
                <w:sz w:val="24"/>
                <w:szCs w:val="24"/>
                <w:highlight w:val="none"/>
              </w:rPr>
            </w:pPr>
            <w:r>
              <w:rPr>
                <w:rFonts w:hint="eastAsia" w:ascii="宋体" w:hAnsi="宋体" w:eastAsia="宋体" w:cs="宋体"/>
                <w:color w:val="000000"/>
                <w:sz w:val="24"/>
                <w:highlight w:val="none"/>
              </w:rPr>
              <w:t>综合协调方案</w:t>
            </w:r>
          </w:p>
        </w:tc>
        <w:tc>
          <w:tcPr>
            <w:tcW w:w="1058" w:type="dxa"/>
            <w:noWrap w:val="0"/>
            <w:vAlign w:val="center"/>
          </w:tcPr>
          <w:p w14:paraId="55EDA930">
            <w:pPr>
              <w:jc w:val="center"/>
              <w:rPr>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rPr>
              <w:t>分</w:t>
            </w:r>
          </w:p>
        </w:tc>
        <w:tc>
          <w:tcPr>
            <w:tcW w:w="6671" w:type="dxa"/>
            <w:noWrap w:val="0"/>
            <w:vAlign w:val="center"/>
          </w:tcPr>
          <w:p w14:paraId="1D271A6D">
            <w:pPr>
              <w:jc w:val="left"/>
              <w:rPr>
                <w:rFonts w:hint="eastAsia" w:ascii="宋体" w:hAnsi="宋体" w:eastAsia="宋体" w:cs="宋体"/>
                <w:sz w:val="24"/>
                <w:szCs w:val="24"/>
                <w:highlight w:val="none"/>
              </w:rPr>
            </w:pPr>
            <w:r>
              <w:rPr>
                <w:rFonts w:ascii="Times New Roman"/>
                <w:color w:val="auto"/>
                <w:sz w:val="24"/>
                <w:szCs w:val="22"/>
                <w:highlight w:val="none"/>
              </w:rPr>
              <w:t>根据</w:t>
            </w:r>
            <w:r>
              <w:rPr>
                <w:rFonts w:hint="eastAsia" w:ascii="Times New Roman"/>
                <w:color w:val="auto"/>
                <w:sz w:val="24"/>
                <w:szCs w:val="22"/>
                <w:highlight w:val="none"/>
                <w:lang w:val="en-US" w:eastAsia="zh-CN"/>
              </w:rPr>
              <w:t>供应商</w:t>
            </w:r>
            <w:r>
              <w:rPr>
                <w:rFonts w:ascii="Times New Roman"/>
                <w:color w:val="auto"/>
                <w:sz w:val="24"/>
                <w:szCs w:val="22"/>
                <w:highlight w:val="none"/>
              </w:rPr>
              <w:t>提供的</w:t>
            </w:r>
            <w:r>
              <w:rPr>
                <w:rFonts w:hint="eastAsia" w:ascii="宋体" w:hAnsi="宋体" w:eastAsia="宋体" w:cs="宋体"/>
                <w:color w:val="000000"/>
                <w:sz w:val="24"/>
                <w:highlight w:val="none"/>
              </w:rPr>
              <w:t>综合协调方案</w:t>
            </w:r>
            <w:r>
              <w:rPr>
                <w:rFonts w:hint="eastAsia" w:ascii="宋体" w:hAnsi="宋体" w:eastAsia="宋体" w:cs="宋体"/>
                <w:color w:val="000000"/>
                <w:sz w:val="24"/>
                <w:highlight w:val="none"/>
                <w:lang w:eastAsia="zh-CN"/>
              </w:rPr>
              <w:t>（</w:t>
            </w:r>
            <w:r>
              <w:rPr>
                <w:rFonts w:hint="eastAsia" w:ascii="宋体" w:hAnsi="宋体" w:cs="宋体"/>
                <w:i w:val="0"/>
                <w:iCs w:val="0"/>
                <w:color w:val="000000"/>
                <w:sz w:val="24"/>
                <w:highlight w:val="none"/>
                <w:lang w:val="en-US" w:eastAsia="zh-CN"/>
              </w:rPr>
              <w:t>包括但不限于</w:t>
            </w:r>
            <w:r>
              <w:rPr>
                <w:rFonts w:hint="eastAsia" w:ascii="宋体" w:hAnsi="宋体" w:eastAsia="宋体" w:cs="宋体"/>
                <w:color w:val="000000"/>
                <w:sz w:val="24"/>
                <w:highlight w:val="none"/>
              </w:rPr>
              <w:t>服务期间与采购单位的综合协调方案</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服务期间与其他单位、部门的综合协调方案</w:t>
            </w:r>
            <w:r>
              <w:rPr>
                <w:rFonts w:hint="eastAsia" w:ascii="宋体" w:hAnsi="宋体" w:eastAsia="宋体" w:cs="宋体"/>
                <w:color w:val="000000"/>
                <w:sz w:val="24"/>
                <w:highlight w:val="none"/>
                <w:lang w:eastAsia="zh-CN"/>
              </w:rPr>
              <w:t>）</w:t>
            </w:r>
            <w:r>
              <w:rPr>
                <w:rFonts w:ascii="Times New Roman"/>
                <w:color w:val="auto"/>
                <w:sz w:val="24"/>
                <w:szCs w:val="22"/>
                <w:highlight w:val="none"/>
              </w:rPr>
              <w:t>进行评定：</w:t>
            </w:r>
            <w:r>
              <w:rPr>
                <w:rFonts w:hint="eastAsia"/>
                <w:color w:val="auto"/>
                <w:sz w:val="24"/>
                <w:highlight w:val="none"/>
              </w:rPr>
              <w:t>符合本项目实际情况且详细完善</w:t>
            </w:r>
            <w:r>
              <w:rPr>
                <w:rFonts w:hint="eastAsia"/>
                <w:color w:val="auto"/>
                <w:sz w:val="24"/>
                <w:highlight w:val="none"/>
                <w:lang w:val="en-US" w:eastAsia="zh-CN"/>
              </w:rPr>
              <w:t>的得2分；方案基本符合项目情况，但内容不够详细或部分措施可行性一般的得1分；未作说明或方案完全未体现上述评审要点的不得分。</w:t>
            </w:r>
          </w:p>
        </w:tc>
      </w:tr>
    </w:tbl>
    <w:p w14:paraId="57A9BFA3">
      <w:pPr>
        <w:spacing w:line="440" w:lineRule="exact"/>
        <w:ind w:firstLine="361"/>
        <w:rPr>
          <w:b/>
          <w:bCs/>
          <w:sz w:val="24"/>
        </w:rPr>
      </w:pPr>
      <w:r>
        <w:rPr>
          <w:rFonts w:hint="eastAsia"/>
          <w:b/>
          <w:bCs/>
          <w:sz w:val="24"/>
          <w:lang w:val="en-US" w:eastAsia="zh-CN"/>
        </w:rPr>
        <w:t>3、</w:t>
      </w:r>
      <w:r>
        <w:rPr>
          <w:rFonts w:hint="eastAsia"/>
          <w:b/>
          <w:bCs/>
          <w:sz w:val="24"/>
        </w:rPr>
        <w:t>人员及车辆配置情况</w:t>
      </w:r>
      <w:r>
        <w:rPr>
          <w:rFonts w:hint="eastAsia"/>
          <w:b/>
          <w:bCs/>
          <w:sz w:val="24"/>
          <w:lang w:val="en-US" w:eastAsia="zh-CN"/>
        </w:rPr>
        <w:t>30</w:t>
      </w:r>
      <w:r>
        <w:rPr>
          <w:rFonts w:hint="eastAsia"/>
          <w:b/>
          <w:bCs/>
          <w:sz w:val="24"/>
        </w:rPr>
        <w:t>分</w:t>
      </w:r>
    </w:p>
    <w:tbl>
      <w:tblPr>
        <w:tblStyle w:val="5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613"/>
        <w:gridCol w:w="908"/>
        <w:gridCol w:w="6463"/>
      </w:tblGrid>
      <w:tr w14:paraId="27EC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14:paraId="50196CF1">
            <w:pPr>
              <w:spacing w:line="440" w:lineRule="exact"/>
              <w:jc w:val="center"/>
              <w:rPr>
                <w:sz w:val="24"/>
              </w:rPr>
            </w:pPr>
            <w:r>
              <w:rPr>
                <w:sz w:val="24"/>
              </w:rPr>
              <w:t>序号</w:t>
            </w:r>
          </w:p>
        </w:tc>
        <w:tc>
          <w:tcPr>
            <w:tcW w:w="1613" w:type="dxa"/>
            <w:tcBorders>
              <w:top w:val="single" w:color="auto" w:sz="4" w:space="0"/>
              <w:left w:val="single" w:color="auto" w:sz="4" w:space="0"/>
              <w:bottom w:val="single" w:color="auto" w:sz="4" w:space="0"/>
              <w:right w:val="single" w:color="auto" w:sz="4" w:space="0"/>
            </w:tcBorders>
            <w:noWrap w:val="0"/>
            <w:vAlign w:val="center"/>
          </w:tcPr>
          <w:p w14:paraId="308060C5">
            <w:pPr>
              <w:spacing w:line="440" w:lineRule="exact"/>
              <w:jc w:val="center"/>
              <w:rPr>
                <w:sz w:val="24"/>
              </w:rPr>
            </w:pPr>
            <w:r>
              <w:rPr>
                <w:sz w:val="24"/>
              </w:rPr>
              <w:t>评审因素</w:t>
            </w:r>
          </w:p>
        </w:tc>
        <w:tc>
          <w:tcPr>
            <w:tcW w:w="908" w:type="dxa"/>
            <w:tcBorders>
              <w:top w:val="single" w:color="auto" w:sz="4" w:space="0"/>
              <w:left w:val="single" w:color="auto" w:sz="4" w:space="0"/>
              <w:bottom w:val="single" w:color="auto" w:sz="4" w:space="0"/>
              <w:right w:val="single" w:color="auto" w:sz="4" w:space="0"/>
            </w:tcBorders>
            <w:noWrap w:val="0"/>
            <w:vAlign w:val="center"/>
          </w:tcPr>
          <w:p w14:paraId="37E84F09">
            <w:pPr>
              <w:spacing w:line="440" w:lineRule="exact"/>
              <w:jc w:val="center"/>
              <w:rPr>
                <w:sz w:val="24"/>
              </w:rPr>
            </w:pPr>
            <w:r>
              <w:rPr>
                <w:sz w:val="24"/>
              </w:rPr>
              <w:t>权值</w:t>
            </w:r>
          </w:p>
        </w:tc>
        <w:tc>
          <w:tcPr>
            <w:tcW w:w="6463" w:type="dxa"/>
            <w:tcBorders>
              <w:top w:val="single" w:color="auto" w:sz="4" w:space="0"/>
              <w:left w:val="single" w:color="auto" w:sz="4" w:space="0"/>
              <w:bottom w:val="single" w:color="auto" w:sz="4" w:space="0"/>
              <w:right w:val="single" w:color="auto" w:sz="4" w:space="0"/>
            </w:tcBorders>
            <w:noWrap w:val="0"/>
            <w:vAlign w:val="center"/>
          </w:tcPr>
          <w:p w14:paraId="7C799FF9">
            <w:pPr>
              <w:spacing w:line="440" w:lineRule="exact"/>
              <w:jc w:val="center"/>
              <w:rPr>
                <w:sz w:val="24"/>
              </w:rPr>
            </w:pPr>
            <w:r>
              <w:rPr>
                <w:sz w:val="24"/>
              </w:rPr>
              <w:t>评分标准</w:t>
            </w:r>
          </w:p>
        </w:tc>
      </w:tr>
      <w:tr w14:paraId="04E6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14:paraId="4C53D0DA">
            <w:pPr>
              <w:spacing w:line="24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w:t>
            </w:r>
          </w:p>
        </w:tc>
        <w:tc>
          <w:tcPr>
            <w:tcW w:w="1613" w:type="dxa"/>
            <w:tcBorders>
              <w:top w:val="single" w:color="auto" w:sz="4" w:space="0"/>
              <w:left w:val="single" w:color="auto" w:sz="4" w:space="0"/>
              <w:bottom w:val="single" w:color="auto" w:sz="4" w:space="0"/>
              <w:right w:val="single" w:color="auto" w:sz="4" w:space="0"/>
            </w:tcBorders>
            <w:noWrap w:val="0"/>
            <w:vAlign w:val="center"/>
          </w:tcPr>
          <w:p w14:paraId="48DDB874">
            <w:pPr>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项目负责人</w:t>
            </w:r>
          </w:p>
        </w:tc>
        <w:tc>
          <w:tcPr>
            <w:tcW w:w="908" w:type="dxa"/>
            <w:tcBorders>
              <w:top w:val="single" w:color="auto" w:sz="4" w:space="0"/>
              <w:left w:val="single" w:color="auto" w:sz="4" w:space="0"/>
              <w:bottom w:val="single" w:color="auto" w:sz="4" w:space="0"/>
              <w:right w:val="single" w:color="auto" w:sz="4" w:space="0"/>
            </w:tcBorders>
            <w:noWrap w:val="0"/>
            <w:vAlign w:val="center"/>
          </w:tcPr>
          <w:p w14:paraId="1FF270D2">
            <w:pPr>
              <w:spacing w:line="240" w:lineRule="auto"/>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8</w:t>
            </w:r>
            <w:r>
              <w:rPr>
                <w:rFonts w:hint="eastAsia" w:ascii="Times New Roman" w:hAnsi="Times New Roman" w:eastAsia="宋体" w:cs="Times New Roman"/>
                <w:sz w:val="24"/>
                <w:szCs w:val="24"/>
                <w:highlight w:val="none"/>
                <w:lang w:val="en-US" w:eastAsia="zh-CN"/>
              </w:rPr>
              <w:t>分</w:t>
            </w:r>
          </w:p>
        </w:tc>
        <w:tc>
          <w:tcPr>
            <w:tcW w:w="6463" w:type="dxa"/>
            <w:tcBorders>
              <w:top w:val="single" w:color="auto" w:sz="4" w:space="0"/>
              <w:left w:val="single" w:color="auto" w:sz="4" w:space="0"/>
              <w:bottom w:val="single" w:color="auto" w:sz="4" w:space="0"/>
              <w:right w:val="single" w:color="auto" w:sz="4" w:space="0"/>
            </w:tcBorders>
            <w:noWrap w:val="0"/>
            <w:vAlign w:val="center"/>
          </w:tcPr>
          <w:p w14:paraId="6CD580CB">
            <w:pPr>
              <w:numPr>
                <w:ilvl w:val="0"/>
                <w:numId w:val="0"/>
              </w:numPr>
              <w:spacing w:line="240" w:lineRule="auto"/>
              <w:jc w:val="left"/>
              <w:rPr>
                <w:rFonts w:hint="eastAsia" w:cs="Times New Roman"/>
                <w:sz w:val="24"/>
                <w:szCs w:val="24"/>
                <w:highlight w:val="none"/>
                <w:lang w:val="en-US" w:eastAsia="zh-CN"/>
              </w:rPr>
            </w:pPr>
            <w:r>
              <w:rPr>
                <w:rFonts w:ascii="Times New Roman" w:hAnsi="Times New Roman"/>
                <w:sz w:val="24"/>
                <w:szCs w:val="24"/>
              </w:rPr>
              <w:t>供应商拟为本项目配备的项目负责人</w:t>
            </w:r>
            <w:r>
              <w:rPr>
                <w:rFonts w:hint="eastAsia" w:ascii="Times New Roman" w:hAnsi="Times New Roman"/>
                <w:sz w:val="24"/>
                <w:szCs w:val="24"/>
              </w:rPr>
              <w:t>：①</w:t>
            </w:r>
            <w:r>
              <w:rPr>
                <w:rFonts w:hint="eastAsia" w:ascii="Times New Roman" w:hAnsi="Times New Roman" w:eastAsia="宋体" w:cs="Times New Roman"/>
                <w:sz w:val="24"/>
                <w:szCs w:val="24"/>
                <w:highlight w:val="none"/>
                <w:lang w:val="en-US" w:eastAsia="zh-CN"/>
              </w:rPr>
              <w:t>具有园林绿化专业本科及以上学历的得</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分，具有园林绿化专业研究生及以上学历的得</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分</w:t>
            </w:r>
            <w:r>
              <w:rPr>
                <w:rFonts w:hint="eastAsia" w:cs="Times New Roman"/>
                <w:sz w:val="24"/>
                <w:szCs w:val="24"/>
                <w:highlight w:val="none"/>
                <w:lang w:val="en-US" w:eastAsia="zh-CN"/>
              </w:rPr>
              <w:t>。</w:t>
            </w:r>
            <w:r>
              <w:rPr>
                <w:rFonts w:hint="eastAsia" w:ascii="宋体" w:hAnsi="宋体" w:cs="宋体"/>
                <w:sz w:val="24"/>
                <w:szCs w:val="20"/>
              </w:rPr>
              <w:t>②</w:t>
            </w:r>
            <w:r>
              <w:rPr>
                <w:rFonts w:hint="eastAsia" w:ascii="Times New Roman" w:hAnsi="Times New Roman" w:eastAsia="宋体" w:cs="Times New Roman"/>
                <w:sz w:val="24"/>
                <w:szCs w:val="24"/>
                <w:highlight w:val="none"/>
                <w:lang w:val="en-US" w:eastAsia="zh-CN"/>
              </w:rPr>
              <w:t>项目负责人自2023年1月1日（以合同签订日期为准）至今具有绿化项目业绩的，有一个得</w:t>
            </w:r>
            <w:r>
              <w:rPr>
                <w:rFonts w:hint="eastAsia" w:cs="Times New Roman"/>
                <w:sz w:val="24"/>
                <w:szCs w:val="24"/>
                <w:highlight w:val="none"/>
                <w:lang w:val="en-US" w:eastAsia="zh-CN"/>
              </w:rPr>
              <w:t>2</w:t>
            </w:r>
            <w:r>
              <w:rPr>
                <w:rFonts w:hint="eastAsia" w:ascii="Times New Roman" w:hAnsi="Times New Roman" w:eastAsia="宋体" w:cs="Times New Roman"/>
                <w:sz w:val="24"/>
                <w:szCs w:val="24"/>
                <w:highlight w:val="none"/>
                <w:lang w:val="en-US" w:eastAsia="zh-CN"/>
              </w:rPr>
              <w:t>分，最高得</w:t>
            </w:r>
            <w:r>
              <w:rPr>
                <w:rFonts w:hint="eastAsia" w:cs="Times New Roman"/>
                <w:sz w:val="24"/>
                <w:szCs w:val="24"/>
                <w:highlight w:val="none"/>
                <w:lang w:val="en-US" w:eastAsia="zh-CN"/>
              </w:rPr>
              <w:t>4</w:t>
            </w:r>
            <w:r>
              <w:rPr>
                <w:rFonts w:hint="eastAsia" w:ascii="Times New Roman" w:hAnsi="Times New Roman" w:eastAsia="宋体" w:cs="Times New Roman"/>
                <w:sz w:val="24"/>
                <w:szCs w:val="24"/>
                <w:highlight w:val="none"/>
                <w:lang w:val="en-US" w:eastAsia="zh-CN"/>
              </w:rPr>
              <w:t>分。</w:t>
            </w:r>
          </w:p>
          <w:p w14:paraId="7DAD9D52">
            <w:pPr>
              <w:numPr>
                <w:ilvl w:val="0"/>
                <w:numId w:val="0"/>
              </w:numPr>
              <w:spacing w:line="240" w:lineRule="auto"/>
              <w:jc w:val="left"/>
              <w:rPr>
                <w:rFonts w:hint="default" w:ascii="Times New Roman" w:hAnsi="Times New Roman" w:eastAsia="宋体" w:cs="Times New Roman"/>
                <w:sz w:val="24"/>
                <w:szCs w:val="24"/>
                <w:highlight w:val="none"/>
                <w:lang w:val="en-US" w:eastAsia="zh-CN"/>
              </w:rPr>
            </w:pPr>
            <w:r>
              <w:rPr>
                <w:rFonts w:hint="eastAsia"/>
                <w:b/>
                <w:bCs/>
                <w:color w:val="auto"/>
                <w:sz w:val="24"/>
                <w:highlight w:val="none"/>
              </w:rPr>
              <w:t>注：</w:t>
            </w:r>
            <w:r>
              <w:rPr>
                <w:rFonts w:hint="eastAsia"/>
                <w:b/>
                <w:bCs/>
                <w:color w:val="auto"/>
                <w:sz w:val="24"/>
                <w:highlight w:val="none"/>
                <w:lang w:val="en-US" w:eastAsia="zh-CN"/>
              </w:rPr>
              <w:t>①响应</w:t>
            </w:r>
            <w:r>
              <w:rPr>
                <w:rFonts w:hint="eastAsia"/>
                <w:b/>
                <w:bCs/>
                <w:color w:val="auto"/>
                <w:sz w:val="24"/>
                <w:highlight w:val="none"/>
              </w:rPr>
              <w:t>文件中须提供相关证书及</w:t>
            </w:r>
            <w:r>
              <w:rPr>
                <w:rFonts w:hint="eastAsia"/>
                <w:b/>
                <w:bCs/>
                <w:color w:val="auto"/>
                <w:sz w:val="24"/>
                <w:highlight w:val="none"/>
                <w:lang w:val="en-US" w:eastAsia="zh-CN"/>
              </w:rPr>
              <w:t>供应商</w:t>
            </w:r>
            <w:r>
              <w:rPr>
                <w:rFonts w:hint="eastAsia"/>
                <w:b/>
                <w:bCs/>
                <w:color w:val="auto"/>
                <w:sz w:val="24"/>
                <w:highlight w:val="none"/>
              </w:rPr>
              <w:t>为其缴纳的近</w:t>
            </w:r>
            <w:r>
              <w:rPr>
                <w:rFonts w:hint="eastAsia"/>
                <w:b/>
                <w:bCs/>
                <w:color w:val="auto"/>
                <w:sz w:val="24"/>
                <w:highlight w:val="none"/>
                <w:lang w:val="en-US" w:eastAsia="zh-CN"/>
              </w:rPr>
              <w:t>三</w:t>
            </w:r>
            <w:r>
              <w:rPr>
                <w:rFonts w:hint="eastAsia"/>
                <w:b/>
                <w:bCs/>
                <w:color w:val="auto"/>
                <w:sz w:val="24"/>
                <w:highlight w:val="none"/>
              </w:rPr>
              <w:t>个月社保中任意</w:t>
            </w:r>
            <w:r>
              <w:rPr>
                <w:rFonts w:hint="eastAsia"/>
                <w:b/>
                <w:bCs/>
                <w:color w:val="auto"/>
                <w:sz w:val="24"/>
                <w:highlight w:val="none"/>
                <w:lang w:val="en-US" w:eastAsia="zh-CN"/>
              </w:rPr>
              <w:t>一</w:t>
            </w:r>
            <w:r>
              <w:rPr>
                <w:rFonts w:hint="eastAsia"/>
                <w:b/>
                <w:bCs/>
                <w:color w:val="auto"/>
                <w:sz w:val="24"/>
                <w:highlight w:val="none"/>
              </w:rPr>
              <w:t>个月证明材料，未提供的不得分。</w:t>
            </w:r>
            <w:r>
              <w:rPr>
                <w:rFonts w:hint="eastAsia"/>
                <w:b/>
                <w:bCs/>
                <w:color w:val="auto"/>
                <w:sz w:val="24"/>
                <w:highlight w:val="none"/>
                <w:lang w:val="en-US" w:eastAsia="zh-CN"/>
              </w:rPr>
              <w:t>②</w:t>
            </w:r>
            <w:r>
              <w:rPr>
                <w:rFonts w:hint="eastAsia" w:ascii="宋体" w:hAnsi="宋体" w:eastAsia="宋体" w:cs="宋体"/>
                <w:b/>
                <w:bCs/>
                <w:color w:val="000000"/>
                <w:sz w:val="24"/>
                <w:szCs w:val="24"/>
                <w:highlight w:val="none"/>
              </w:rPr>
              <w:t>针对第“2”点要求，需提供</w:t>
            </w:r>
            <w:r>
              <w:rPr>
                <w:rFonts w:hint="eastAsia" w:ascii="宋体" w:hAnsi="宋体" w:eastAsia="宋体" w:cs="宋体"/>
                <w:b/>
                <w:bCs/>
                <w:color w:val="000000"/>
                <w:sz w:val="24"/>
                <w:szCs w:val="24"/>
                <w:highlight w:val="none"/>
                <w:lang w:val="zh-CN"/>
              </w:rPr>
              <w:t>合同（含合同首页、项目内容页、签字盖章页）</w:t>
            </w:r>
            <w:r>
              <w:rPr>
                <w:rFonts w:hint="eastAsia" w:ascii="宋体" w:hAnsi="宋体" w:eastAsia="宋体" w:cs="宋体"/>
                <w:b/>
                <w:bCs/>
                <w:color w:val="000000"/>
                <w:sz w:val="24"/>
                <w:szCs w:val="24"/>
                <w:highlight w:val="none"/>
                <w:lang w:val="en-US" w:eastAsia="zh-CN"/>
              </w:rPr>
              <w:t>及</w:t>
            </w:r>
            <w:r>
              <w:rPr>
                <w:rFonts w:hint="eastAsia" w:ascii="宋体" w:hAnsi="宋体" w:eastAsia="宋体" w:cs="宋体"/>
                <w:b/>
                <w:bCs/>
                <w:color w:val="000000"/>
                <w:sz w:val="24"/>
                <w:szCs w:val="24"/>
                <w:highlight w:val="none"/>
                <w:lang w:val="zh-CN"/>
              </w:rPr>
              <w:t>竣工验收</w:t>
            </w:r>
            <w:r>
              <w:rPr>
                <w:rFonts w:hint="eastAsia" w:ascii="宋体" w:hAnsi="宋体" w:eastAsia="宋体" w:cs="宋体"/>
                <w:b/>
                <w:bCs/>
                <w:color w:val="000000"/>
                <w:sz w:val="24"/>
                <w:szCs w:val="24"/>
                <w:highlight w:val="none"/>
              </w:rPr>
              <w:t>证明，合同中无法体现人员信息的还需提供加盖业主方公章的业绩证明。</w:t>
            </w:r>
          </w:p>
        </w:tc>
      </w:tr>
      <w:tr w14:paraId="24DF1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92" w:type="dxa"/>
            <w:tcBorders>
              <w:top w:val="single" w:color="auto" w:sz="4" w:space="0"/>
              <w:left w:val="single" w:color="auto" w:sz="4" w:space="0"/>
              <w:bottom w:val="single" w:color="auto" w:sz="4" w:space="0"/>
              <w:right w:val="single" w:color="auto" w:sz="4" w:space="0"/>
            </w:tcBorders>
            <w:noWrap w:val="0"/>
            <w:vAlign w:val="center"/>
          </w:tcPr>
          <w:p w14:paraId="4FA3EE6B">
            <w:pPr>
              <w:spacing w:line="240" w:lineRule="auto"/>
              <w:jc w:val="center"/>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2</w:t>
            </w:r>
          </w:p>
        </w:tc>
        <w:tc>
          <w:tcPr>
            <w:tcW w:w="1613" w:type="dxa"/>
            <w:tcBorders>
              <w:top w:val="single" w:color="auto" w:sz="4" w:space="0"/>
              <w:left w:val="single" w:color="auto" w:sz="4" w:space="0"/>
              <w:bottom w:val="single" w:color="auto" w:sz="4" w:space="0"/>
              <w:right w:val="single" w:color="auto" w:sz="4" w:space="0"/>
            </w:tcBorders>
            <w:noWrap w:val="0"/>
            <w:vAlign w:val="center"/>
          </w:tcPr>
          <w:p w14:paraId="10ACE70A">
            <w:pPr>
              <w:spacing w:line="240" w:lineRule="auto"/>
              <w:jc w:val="center"/>
              <w:rPr>
                <w:rFonts w:hint="default" w:cs="Times New Roman"/>
                <w:sz w:val="24"/>
                <w:szCs w:val="24"/>
                <w:highlight w:val="none"/>
                <w:lang w:val="en-US" w:eastAsia="zh-CN"/>
              </w:rPr>
            </w:pPr>
            <w:r>
              <w:rPr>
                <w:rFonts w:hint="eastAsia" w:cs="Times New Roman"/>
                <w:sz w:val="24"/>
                <w:szCs w:val="24"/>
                <w:highlight w:val="none"/>
                <w:lang w:val="en-US" w:eastAsia="zh-CN"/>
              </w:rPr>
              <w:t>人员配备</w:t>
            </w:r>
          </w:p>
        </w:tc>
        <w:tc>
          <w:tcPr>
            <w:tcW w:w="908" w:type="dxa"/>
            <w:tcBorders>
              <w:top w:val="single" w:color="auto" w:sz="4" w:space="0"/>
              <w:left w:val="single" w:color="auto" w:sz="4" w:space="0"/>
              <w:bottom w:val="single" w:color="auto" w:sz="4" w:space="0"/>
              <w:right w:val="single" w:color="auto" w:sz="4" w:space="0"/>
            </w:tcBorders>
            <w:noWrap w:val="0"/>
            <w:vAlign w:val="center"/>
          </w:tcPr>
          <w:p w14:paraId="2BC59087">
            <w:pPr>
              <w:spacing w:line="240" w:lineRule="auto"/>
              <w:jc w:val="center"/>
              <w:rPr>
                <w:rFonts w:hint="default" w:cs="Times New Roman"/>
                <w:sz w:val="24"/>
                <w:szCs w:val="24"/>
                <w:highlight w:val="none"/>
                <w:lang w:val="en-US" w:eastAsia="zh-CN"/>
              </w:rPr>
            </w:pPr>
            <w:r>
              <w:rPr>
                <w:rFonts w:hint="eastAsia" w:cs="Times New Roman"/>
                <w:sz w:val="24"/>
                <w:szCs w:val="24"/>
                <w:highlight w:val="none"/>
                <w:lang w:val="en-US" w:eastAsia="zh-CN"/>
              </w:rPr>
              <w:t>6分</w:t>
            </w:r>
          </w:p>
        </w:tc>
        <w:tc>
          <w:tcPr>
            <w:tcW w:w="6463" w:type="dxa"/>
            <w:tcBorders>
              <w:top w:val="single" w:color="auto" w:sz="4" w:space="0"/>
              <w:left w:val="single" w:color="auto" w:sz="4" w:space="0"/>
              <w:bottom w:val="single" w:color="auto" w:sz="4" w:space="0"/>
              <w:right w:val="single" w:color="auto" w:sz="4" w:space="0"/>
            </w:tcBorders>
            <w:noWrap w:val="0"/>
            <w:vAlign w:val="center"/>
          </w:tcPr>
          <w:p w14:paraId="38194AE6">
            <w:pPr>
              <w:spacing w:line="240" w:lineRule="auto"/>
              <w:jc w:val="left"/>
              <w:rPr>
                <w:rFonts w:hint="eastAsia"/>
                <w:b w:val="0"/>
                <w:bCs w:val="0"/>
                <w:color w:val="auto"/>
                <w:sz w:val="24"/>
                <w:highlight w:val="none"/>
              </w:rPr>
            </w:pPr>
            <w:r>
              <w:rPr>
                <w:rFonts w:hint="eastAsia" w:cs="Times New Roman"/>
                <w:sz w:val="24"/>
                <w:szCs w:val="24"/>
                <w:highlight w:val="none"/>
                <w:lang w:val="en-US" w:eastAsia="zh-CN"/>
              </w:rPr>
              <w:t>供应商拟投入本项目的团队人员（项目负责人除外）：</w:t>
            </w:r>
            <w:r>
              <w:rPr>
                <w:rFonts w:hint="eastAsia"/>
                <w:b w:val="0"/>
                <w:bCs w:val="0"/>
                <w:color w:val="auto"/>
                <w:sz w:val="24"/>
                <w:highlight w:val="none"/>
              </w:rPr>
              <w:t>具有园林绿化专业工程师初级（或以上）职称的，有一个得1分，最高得</w:t>
            </w:r>
            <w:r>
              <w:rPr>
                <w:rFonts w:hint="eastAsia"/>
                <w:b w:val="0"/>
                <w:bCs w:val="0"/>
                <w:color w:val="auto"/>
                <w:sz w:val="24"/>
                <w:highlight w:val="none"/>
                <w:lang w:val="en-US" w:eastAsia="zh-CN"/>
              </w:rPr>
              <w:t>4</w:t>
            </w:r>
            <w:r>
              <w:rPr>
                <w:rFonts w:hint="eastAsia"/>
                <w:b w:val="0"/>
                <w:bCs w:val="0"/>
                <w:color w:val="auto"/>
                <w:sz w:val="24"/>
                <w:highlight w:val="none"/>
              </w:rPr>
              <w:t>分；具有高空作业证的，有一个得1分，最高得2分。（同一人具有多项证书的不重复计算）</w:t>
            </w:r>
          </w:p>
          <w:p w14:paraId="08EAA3D5">
            <w:pPr>
              <w:spacing w:line="240" w:lineRule="auto"/>
              <w:jc w:val="left"/>
              <w:rPr>
                <w:rFonts w:hint="eastAsia"/>
                <w:b w:val="0"/>
                <w:bCs w:val="0"/>
                <w:color w:val="auto"/>
                <w:sz w:val="24"/>
                <w:highlight w:val="none"/>
              </w:rPr>
            </w:pPr>
            <w:r>
              <w:rPr>
                <w:rFonts w:hint="eastAsia"/>
                <w:b/>
                <w:bCs/>
                <w:color w:val="auto"/>
                <w:sz w:val="24"/>
                <w:highlight w:val="none"/>
              </w:rPr>
              <w:t>注：</w:t>
            </w:r>
            <w:r>
              <w:rPr>
                <w:rFonts w:hint="eastAsia"/>
                <w:b/>
                <w:bCs/>
                <w:color w:val="auto"/>
                <w:sz w:val="24"/>
                <w:highlight w:val="none"/>
                <w:lang w:val="en-US" w:eastAsia="zh-CN"/>
              </w:rPr>
              <w:t>响应</w:t>
            </w:r>
            <w:r>
              <w:rPr>
                <w:rFonts w:hint="eastAsia"/>
                <w:b/>
                <w:bCs/>
                <w:color w:val="auto"/>
                <w:sz w:val="24"/>
                <w:highlight w:val="none"/>
              </w:rPr>
              <w:t>文件中须提供相关证书及</w:t>
            </w:r>
            <w:r>
              <w:rPr>
                <w:rFonts w:hint="eastAsia"/>
                <w:b/>
                <w:bCs/>
                <w:color w:val="auto"/>
                <w:sz w:val="24"/>
                <w:highlight w:val="none"/>
                <w:lang w:val="en-US" w:eastAsia="zh-CN"/>
              </w:rPr>
              <w:t>供应商</w:t>
            </w:r>
            <w:r>
              <w:rPr>
                <w:rFonts w:hint="eastAsia"/>
                <w:b/>
                <w:bCs/>
                <w:color w:val="auto"/>
                <w:sz w:val="24"/>
                <w:highlight w:val="none"/>
              </w:rPr>
              <w:t>为其缴纳的近</w:t>
            </w:r>
            <w:r>
              <w:rPr>
                <w:rFonts w:hint="eastAsia"/>
                <w:b/>
                <w:bCs/>
                <w:color w:val="auto"/>
                <w:sz w:val="24"/>
                <w:highlight w:val="none"/>
                <w:lang w:val="en-US" w:eastAsia="zh-CN"/>
              </w:rPr>
              <w:t>三</w:t>
            </w:r>
            <w:r>
              <w:rPr>
                <w:rFonts w:hint="eastAsia"/>
                <w:b/>
                <w:bCs/>
                <w:color w:val="auto"/>
                <w:sz w:val="24"/>
                <w:highlight w:val="none"/>
              </w:rPr>
              <w:t>个月社保中任意</w:t>
            </w:r>
            <w:r>
              <w:rPr>
                <w:rFonts w:hint="eastAsia"/>
                <w:b/>
                <w:bCs/>
                <w:color w:val="auto"/>
                <w:sz w:val="24"/>
                <w:highlight w:val="none"/>
                <w:lang w:val="en-US" w:eastAsia="zh-CN"/>
              </w:rPr>
              <w:t>一</w:t>
            </w:r>
            <w:r>
              <w:rPr>
                <w:rFonts w:hint="eastAsia"/>
                <w:b/>
                <w:bCs/>
                <w:color w:val="auto"/>
                <w:sz w:val="24"/>
                <w:highlight w:val="none"/>
              </w:rPr>
              <w:t>个月证明材料，未提供的不得分。</w:t>
            </w:r>
          </w:p>
        </w:tc>
      </w:tr>
      <w:tr w14:paraId="5020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92" w:type="dxa"/>
            <w:shd w:val="clear" w:color="auto" w:fill="auto"/>
            <w:noWrap w:val="0"/>
            <w:vAlign w:val="center"/>
          </w:tcPr>
          <w:p w14:paraId="3408E9B2">
            <w:pPr>
              <w:spacing w:line="240" w:lineRule="auto"/>
              <w:jc w:val="center"/>
              <w:rPr>
                <w:rFonts w:hint="default" w:ascii="Times New Roman" w:hAnsi="Times New Roman" w:eastAsiaTheme="minorEastAsia"/>
                <w:sz w:val="24"/>
                <w:szCs w:val="24"/>
                <w:highlight w:val="none"/>
                <w:lang w:val="en-US" w:eastAsia="zh-CN"/>
              </w:rPr>
            </w:pPr>
            <w:r>
              <w:rPr>
                <w:rFonts w:hint="eastAsia"/>
                <w:sz w:val="24"/>
                <w:szCs w:val="24"/>
                <w:highlight w:val="none"/>
                <w:lang w:val="en-US" w:eastAsia="zh-CN"/>
              </w:rPr>
              <w:t>3</w:t>
            </w:r>
          </w:p>
        </w:tc>
        <w:tc>
          <w:tcPr>
            <w:tcW w:w="1613" w:type="dxa"/>
            <w:shd w:val="clear" w:color="auto" w:fill="auto"/>
            <w:noWrap w:val="0"/>
            <w:vAlign w:val="center"/>
          </w:tcPr>
          <w:p w14:paraId="3FAD7905">
            <w:pPr>
              <w:spacing w:line="240" w:lineRule="auto"/>
              <w:jc w:val="center"/>
              <w:rPr>
                <w:rFonts w:ascii="Times New Roman" w:hAnsi="Times New Roman"/>
                <w:bCs/>
                <w:color w:val="000000"/>
                <w:sz w:val="24"/>
                <w:szCs w:val="24"/>
                <w:highlight w:val="none"/>
              </w:rPr>
            </w:pPr>
            <w:r>
              <w:rPr>
                <w:rFonts w:hint="eastAsia"/>
                <w:color w:val="auto"/>
                <w:sz w:val="24"/>
                <w:szCs w:val="24"/>
                <w:highlight w:val="none"/>
              </w:rPr>
              <w:t>车辆配备</w:t>
            </w:r>
          </w:p>
        </w:tc>
        <w:tc>
          <w:tcPr>
            <w:tcW w:w="908" w:type="dxa"/>
            <w:shd w:val="clear" w:color="auto" w:fill="auto"/>
            <w:noWrap w:val="0"/>
            <w:vAlign w:val="center"/>
          </w:tcPr>
          <w:p w14:paraId="2F55131A">
            <w:pPr>
              <w:spacing w:line="240" w:lineRule="auto"/>
              <w:jc w:val="center"/>
              <w:rPr>
                <w:rFonts w:ascii="Times New Roman" w:hAnsi="Times New Roman"/>
                <w:color w:val="000000"/>
                <w:sz w:val="24"/>
                <w:szCs w:val="24"/>
                <w:highlight w:val="none"/>
              </w:rPr>
            </w:pPr>
            <w:r>
              <w:rPr>
                <w:rFonts w:hint="eastAsia"/>
                <w:sz w:val="24"/>
                <w:highlight w:val="none"/>
                <w:lang w:val="en-US" w:eastAsia="zh-CN"/>
              </w:rPr>
              <w:t>8</w:t>
            </w:r>
            <w:r>
              <w:rPr>
                <w:rFonts w:ascii="Times New Roman" w:hAnsi="Times New Roman"/>
                <w:sz w:val="24"/>
                <w:highlight w:val="none"/>
              </w:rPr>
              <w:t>分</w:t>
            </w:r>
          </w:p>
        </w:tc>
        <w:tc>
          <w:tcPr>
            <w:tcW w:w="6463" w:type="dxa"/>
            <w:shd w:val="clear" w:color="auto" w:fill="auto"/>
            <w:noWrap w:val="0"/>
            <w:vAlign w:val="center"/>
          </w:tcPr>
          <w:p w14:paraId="7BAAF618">
            <w:pPr>
              <w:spacing w:line="0" w:lineRule="atLeast"/>
              <w:jc w:val="left"/>
              <w:rPr>
                <w:rFonts w:hint="eastAsia"/>
                <w:color w:val="auto"/>
                <w:sz w:val="24"/>
                <w:szCs w:val="24"/>
                <w:highlight w:val="none"/>
              </w:rPr>
            </w:pPr>
            <w:r>
              <w:rPr>
                <w:rFonts w:hint="eastAsia"/>
                <w:color w:val="auto"/>
                <w:sz w:val="24"/>
                <w:szCs w:val="24"/>
                <w:highlight w:val="none"/>
              </w:rPr>
              <w:t>根据</w:t>
            </w:r>
            <w:r>
              <w:rPr>
                <w:rFonts w:hint="eastAsia"/>
                <w:color w:val="auto"/>
                <w:sz w:val="24"/>
                <w:szCs w:val="24"/>
                <w:highlight w:val="none"/>
                <w:lang w:val="en-US" w:eastAsia="zh-CN"/>
              </w:rPr>
              <w:t>供应商</w:t>
            </w:r>
            <w:r>
              <w:rPr>
                <w:rFonts w:hint="eastAsia"/>
                <w:color w:val="auto"/>
                <w:sz w:val="24"/>
                <w:szCs w:val="24"/>
                <w:highlight w:val="none"/>
              </w:rPr>
              <w:t>拟为本项目配备车辆（车辆为</w:t>
            </w:r>
            <w:r>
              <w:rPr>
                <w:rFonts w:hint="eastAsia"/>
                <w:color w:val="auto"/>
                <w:sz w:val="24"/>
                <w:szCs w:val="24"/>
                <w:highlight w:val="none"/>
                <w:lang w:val="en-US" w:eastAsia="zh-CN"/>
              </w:rPr>
              <w:t>供应商</w:t>
            </w:r>
            <w:r>
              <w:rPr>
                <w:rFonts w:hint="eastAsia"/>
                <w:color w:val="auto"/>
                <w:sz w:val="24"/>
                <w:szCs w:val="24"/>
                <w:highlight w:val="none"/>
              </w:rPr>
              <w:t>自有或租赁）情况进行评定：</w:t>
            </w:r>
          </w:p>
          <w:p w14:paraId="0A2C4AA7">
            <w:pPr>
              <w:spacing w:line="0" w:lineRule="atLeast"/>
              <w:jc w:val="left"/>
              <w:rPr>
                <w:rFonts w:hint="eastAsia"/>
                <w:color w:val="auto"/>
                <w:sz w:val="24"/>
                <w:szCs w:val="24"/>
                <w:highlight w:val="none"/>
              </w:rPr>
            </w:pPr>
            <w:r>
              <w:rPr>
                <w:rFonts w:hint="eastAsia"/>
                <w:color w:val="auto"/>
                <w:sz w:val="24"/>
                <w:szCs w:val="24"/>
                <w:highlight w:val="none"/>
              </w:rPr>
              <w:t>（1）每提供1辆中型/重型普通货车的得2分，此类最高得</w:t>
            </w:r>
            <w:r>
              <w:rPr>
                <w:rFonts w:hint="eastAsia"/>
                <w:color w:val="auto"/>
                <w:sz w:val="24"/>
                <w:szCs w:val="24"/>
                <w:highlight w:val="none"/>
                <w:lang w:val="en-US" w:eastAsia="zh-CN"/>
              </w:rPr>
              <w:t>2</w:t>
            </w:r>
            <w:r>
              <w:rPr>
                <w:rFonts w:hint="eastAsia"/>
                <w:color w:val="auto"/>
                <w:sz w:val="24"/>
                <w:szCs w:val="24"/>
                <w:highlight w:val="none"/>
              </w:rPr>
              <w:t>分。</w:t>
            </w:r>
          </w:p>
          <w:p w14:paraId="4E4D5C9D">
            <w:pPr>
              <w:spacing w:line="0" w:lineRule="atLeast"/>
              <w:jc w:val="left"/>
              <w:rPr>
                <w:rFonts w:hint="eastAsia"/>
                <w:color w:val="auto"/>
                <w:sz w:val="24"/>
                <w:szCs w:val="24"/>
                <w:highlight w:val="none"/>
              </w:rPr>
            </w:pPr>
            <w:r>
              <w:rPr>
                <w:rFonts w:hint="eastAsia"/>
                <w:color w:val="auto"/>
                <w:sz w:val="24"/>
                <w:szCs w:val="24"/>
                <w:highlight w:val="none"/>
              </w:rPr>
              <w:t>（2）每提供一辆洒水车（核定载质量不低于3000kg）的得2分，此类最高得</w:t>
            </w:r>
            <w:r>
              <w:rPr>
                <w:rFonts w:hint="eastAsia"/>
                <w:color w:val="auto"/>
                <w:sz w:val="24"/>
                <w:szCs w:val="24"/>
                <w:highlight w:val="none"/>
                <w:lang w:val="en-US" w:eastAsia="zh-CN"/>
              </w:rPr>
              <w:t>2</w:t>
            </w:r>
            <w:r>
              <w:rPr>
                <w:rFonts w:hint="eastAsia"/>
                <w:color w:val="auto"/>
                <w:sz w:val="24"/>
                <w:szCs w:val="24"/>
                <w:highlight w:val="none"/>
              </w:rPr>
              <w:t>分。</w:t>
            </w:r>
          </w:p>
          <w:p w14:paraId="05B928A3">
            <w:pPr>
              <w:spacing w:line="0" w:lineRule="atLeast"/>
              <w:jc w:val="left"/>
              <w:rPr>
                <w:rFonts w:hint="eastAsia"/>
                <w:color w:val="auto"/>
                <w:sz w:val="24"/>
                <w:szCs w:val="24"/>
                <w:highlight w:val="none"/>
              </w:rPr>
            </w:pPr>
            <w:r>
              <w:rPr>
                <w:rFonts w:hint="eastAsia"/>
                <w:color w:val="auto"/>
                <w:sz w:val="24"/>
                <w:szCs w:val="24"/>
                <w:highlight w:val="none"/>
              </w:rPr>
              <w:t>（3）每提供1辆汽车式起重机的得2分，此类最高得</w:t>
            </w:r>
            <w:r>
              <w:rPr>
                <w:rFonts w:hint="eastAsia"/>
                <w:color w:val="auto"/>
                <w:sz w:val="24"/>
                <w:szCs w:val="24"/>
                <w:highlight w:val="none"/>
                <w:lang w:val="en-US" w:eastAsia="zh-CN"/>
              </w:rPr>
              <w:t>2</w:t>
            </w:r>
            <w:r>
              <w:rPr>
                <w:rFonts w:hint="eastAsia"/>
                <w:color w:val="auto"/>
                <w:sz w:val="24"/>
                <w:szCs w:val="24"/>
                <w:highlight w:val="none"/>
              </w:rPr>
              <w:t>分。</w:t>
            </w:r>
          </w:p>
          <w:p w14:paraId="1E9E733A">
            <w:pPr>
              <w:spacing w:line="0" w:lineRule="atLeast"/>
              <w:jc w:val="left"/>
              <w:rPr>
                <w:rFonts w:hint="eastAsia"/>
                <w:color w:val="auto"/>
                <w:sz w:val="24"/>
                <w:szCs w:val="24"/>
                <w:highlight w:val="none"/>
              </w:rPr>
            </w:pPr>
            <w:r>
              <w:rPr>
                <w:rFonts w:hint="eastAsia"/>
                <w:color w:val="auto"/>
                <w:sz w:val="24"/>
                <w:szCs w:val="24"/>
                <w:highlight w:val="none"/>
              </w:rPr>
              <w:t>（4）每提供1辆升降车的得2分，此类最高得</w:t>
            </w:r>
            <w:r>
              <w:rPr>
                <w:rFonts w:hint="eastAsia"/>
                <w:color w:val="auto"/>
                <w:sz w:val="24"/>
                <w:szCs w:val="24"/>
                <w:highlight w:val="none"/>
                <w:lang w:val="en-US" w:eastAsia="zh-CN"/>
              </w:rPr>
              <w:t>2</w:t>
            </w:r>
            <w:r>
              <w:rPr>
                <w:rFonts w:hint="eastAsia"/>
                <w:color w:val="auto"/>
                <w:sz w:val="24"/>
                <w:szCs w:val="24"/>
                <w:highlight w:val="none"/>
              </w:rPr>
              <w:t>分。</w:t>
            </w:r>
          </w:p>
          <w:p w14:paraId="091D3E59">
            <w:pPr>
              <w:spacing w:line="240" w:lineRule="auto"/>
              <w:rPr>
                <w:rFonts w:ascii="Times New Roman" w:hAnsi="Times New Roman"/>
                <w:sz w:val="24"/>
                <w:highlight w:val="none"/>
              </w:rPr>
            </w:pPr>
            <w:r>
              <w:rPr>
                <w:rFonts w:hint="eastAsia"/>
                <w:b/>
                <w:bCs/>
                <w:color w:val="auto"/>
                <w:sz w:val="24"/>
                <w:szCs w:val="24"/>
                <w:highlight w:val="none"/>
              </w:rPr>
              <w:t>注：①本大项最高得</w:t>
            </w:r>
            <w:r>
              <w:rPr>
                <w:rFonts w:hint="eastAsia"/>
                <w:b/>
                <w:bCs/>
                <w:color w:val="auto"/>
                <w:sz w:val="24"/>
                <w:szCs w:val="24"/>
                <w:highlight w:val="none"/>
                <w:lang w:val="en-US" w:eastAsia="zh-CN"/>
              </w:rPr>
              <w:t>8</w:t>
            </w:r>
            <w:r>
              <w:rPr>
                <w:rFonts w:hint="eastAsia"/>
                <w:b/>
                <w:bCs/>
                <w:color w:val="auto"/>
                <w:sz w:val="24"/>
                <w:szCs w:val="24"/>
                <w:highlight w:val="none"/>
              </w:rPr>
              <w:t>分。②若车辆为自有的，</w:t>
            </w:r>
            <w:r>
              <w:rPr>
                <w:rFonts w:hint="eastAsia"/>
                <w:b/>
                <w:bCs/>
                <w:color w:val="auto"/>
                <w:sz w:val="24"/>
                <w:szCs w:val="24"/>
                <w:highlight w:val="none"/>
                <w:lang w:val="en-US" w:eastAsia="zh-CN"/>
              </w:rPr>
              <w:t>响应</w:t>
            </w:r>
            <w:r>
              <w:rPr>
                <w:rFonts w:hint="eastAsia"/>
                <w:b/>
                <w:bCs/>
                <w:color w:val="auto"/>
                <w:sz w:val="24"/>
                <w:szCs w:val="24"/>
                <w:highlight w:val="none"/>
              </w:rPr>
              <w:t>文件中提供车辆行驶证扫描件及车辆照片；若车辆为租赁的，</w:t>
            </w:r>
            <w:r>
              <w:rPr>
                <w:rFonts w:hint="eastAsia"/>
                <w:b/>
                <w:bCs/>
                <w:color w:val="auto"/>
                <w:sz w:val="24"/>
                <w:szCs w:val="24"/>
                <w:highlight w:val="none"/>
                <w:lang w:val="en-US" w:eastAsia="zh-CN"/>
              </w:rPr>
              <w:t>响应</w:t>
            </w:r>
            <w:r>
              <w:rPr>
                <w:rFonts w:hint="eastAsia"/>
                <w:b/>
                <w:bCs/>
                <w:color w:val="auto"/>
                <w:sz w:val="24"/>
                <w:szCs w:val="24"/>
                <w:highlight w:val="none"/>
              </w:rPr>
              <w:t>文件中需提供车辆行驶证扫描件、车辆照片、租赁合同扫描件。未按要求提供材料的不得分。③车辆名称表述不完全一致，但功能相近的，由评委统一认定后给予得分。</w:t>
            </w:r>
          </w:p>
        </w:tc>
      </w:tr>
      <w:tr w14:paraId="2014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792" w:type="dxa"/>
            <w:shd w:val="clear" w:color="auto" w:fill="auto"/>
            <w:noWrap w:val="0"/>
            <w:vAlign w:val="center"/>
          </w:tcPr>
          <w:p w14:paraId="297FD298">
            <w:pPr>
              <w:spacing w:line="240" w:lineRule="auto"/>
              <w:jc w:val="center"/>
              <w:rPr>
                <w:rFonts w:hint="default" w:ascii="Times New Roman" w:hAnsi="Times New Roman"/>
                <w:sz w:val="24"/>
                <w:szCs w:val="24"/>
                <w:highlight w:val="none"/>
                <w:lang w:val="en-US" w:eastAsia="zh-CN"/>
              </w:rPr>
            </w:pPr>
            <w:r>
              <w:rPr>
                <w:rFonts w:hint="eastAsia"/>
                <w:sz w:val="24"/>
                <w:szCs w:val="24"/>
                <w:highlight w:val="none"/>
                <w:lang w:val="en-US" w:eastAsia="zh-CN"/>
              </w:rPr>
              <w:t>4</w:t>
            </w:r>
          </w:p>
        </w:tc>
        <w:tc>
          <w:tcPr>
            <w:tcW w:w="1613" w:type="dxa"/>
            <w:shd w:val="clear" w:color="auto" w:fill="auto"/>
            <w:noWrap w:val="0"/>
            <w:vAlign w:val="center"/>
          </w:tcPr>
          <w:p w14:paraId="51892559">
            <w:pPr>
              <w:spacing w:line="240" w:lineRule="auto"/>
              <w:jc w:val="center"/>
              <w:rPr>
                <w:rFonts w:hint="default" w:ascii="Times New Roman" w:hAnsi="Times New Roman" w:eastAsia="宋体"/>
                <w:sz w:val="24"/>
                <w:highlight w:val="none"/>
                <w:lang w:val="en-US" w:eastAsia="zh-CN"/>
              </w:rPr>
            </w:pPr>
            <w:r>
              <w:rPr>
                <w:rFonts w:hint="eastAsia"/>
                <w:color w:val="auto"/>
                <w:sz w:val="24"/>
                <w:highlight w:val="none"/>
              </w:rPr>
              <w:t>小型机械设备配备</w:t>
            </w:r>
          </w:p>
        </w:tc>
        <w:tc>
          <w:tcPr>
            <w:tcW w:w="908" w:type="dxa"/>
            <w:shd w:val="clear" w:color="auto" w:fill="auto"/>
            <w:noWrap w:val="0"/>
            <w:vAlign w:val="center"/>
          </w:tcPr>
          <w:p w14:paraId="5AE0AC24">
            <w:pPr>
              <w:spacing w:line="240" w:lineRule="auto"/>
              <w:jc w:val="center"/>
              <w:rPr>
                <w:rFonts w:hint="default" w:ascii="Times New Roman" w:hAnsi="Times New Roman" w:eastAsia="宋体"/>
                <w:sz w:val="24"/>
                <w:highlight w:val="none"/>
                <w:lang w:val="en-US" w:eastAsia="zh-CN"/>
              </w:rPr>
            </w:pPr>
            <w:r>
              <w:rPr>
                <w:rFonts w:hint="eastAsia"/>
                <w:sz w:val="24"/>
                <w:highlight w:val="none"/>
                <w:lang w:val="en-US" w:eastAsia="zh-CN"/>
              </w:rPr>
              <w:t>6</w:t>
            </w:r>
            <w:r>
              <w:rPr>
                <w:rFonts w:hint="eastAsia" w:ascii="Times New Roman" w:hAnsi="Times New Roman"/>
                <w:sz w:val="24"/>
                <w:highlight w:val="none"/>
                <w:lang w:val="en-US" w:eastAsia="zh-CN"/>
              </w:rPr>
              <w:t>分</w:t>
            </w:r>
          </w:p>
        </w:tc>
        <w:tc>
          <w:tcPr>
            <w:tcW w:w="6463" w:type="dxa"/>
            <w:shd w:val="clear" w:color="auto" w:fill="auto"/>
            <w:noWrap w:val="0"/>
            <w:vAlign w:val="center"/>
          </w:tcPr>
          <w:p w14:paraId="5A14293F">
            <w:pPr>
              <w:spacing w:line="0" w:lineRule="atLeast"/>
              <w:jc w:val="left"/>
              <w:rPr>
                <w:color w:val="auto"/>
                <w:sz w:val="24"/>
                <w:szCs w:val="24"/>
                <w:highlight w:val="none"/>
              </w:rPr>
            </w:pPr>
            <w:r>
              <w:rPr>
                <w:rFonts w:hint="eastAsia"/>
                <w:color w:val="auto"/>
                <w:sz w:val="24"/>
                <w:szCs w:val="24"/>
                <w:highlight w:val="none"/>
              </w:rPr>
              <w:t>根据</w:t>
            </w:r>
            <w:r>
              <w:rPr>
                <w:rFonts w:hint="eastAsia"/>
                <w:color w:val="auto"/>
                <w:sz w:val="24"/>
                <w:szCs w:val="24"/>
                <w:highlight w:val="none"/>
                <w:lang w:val="en-US" w:eastAsia="zh-CN"/>
              </w:rPr>
              <w:t>供应商</w:t>
            </w:r>
            <w:r>
              <w:rPr>
                <w:rFonts w:hint="eastAsia"/>
                <w:color w:val="auto"/>
                <w:sz w:val="24"/>
                <w:szCs w:val="24"/>
                <w:highlight w:val="none"/>
              </w:rPr>
              <w:t>拟为本项目配备</w:t>
            </w:r>
            <w:r>
              <w:rPr>
                <w:rFonts w:hint="eastAsia"/>
                <w:color w:val="auto"/>
                <w:sz w:val="24"/>
                <w:szCs w:val="24"/>
                <w:highlight w:val="none"/>
                <w:lang w:val="en-US" w:eastAsia="zh-CN"/>
              </w:rPr>
              <w:t>设备</w:t>
            </w:r>
            <w:r>
              <w:rPr>
                <w:rFonts w:hint="eastAsia"/>
                <w:color w:val="auto"/>
                <w:sz w:val="24"/>
                <w:szCs w:val="24"/>
                <w:highlight w:val="none"/>
              </w:rPr>
              <w:t>情况进行评定：</w:t>
            </w:r>
          </w:p>
          <w:p w14:paraId="51B99B94">
            <w:pPr>
              <w:spacing w:line="0" w:lineRule="atLeast"/>
              <w:jc w:val="left"/>
              <w:rPr>
                <w:color w:val="auto"/>
                <w:sz w:val="24"/>
                <w:szCs w:val="24"/>
                <w:highlight w:val="none"/>
              </w:rPr>
            </w:pPr>
            <w:r>
              <w:rPr>
                <w:rFonts w:hint="eastAsia"/>
                <w:color w:val="auto"/>
                <w:sz w:val="24"/>
                <w:szCs w:val="24"/>
                <w:highlight w:val="none"/>
              </w:rPr>
              <w:t>①每提供1</w:t>
            </w:r>
            <w:r>
              <w:rPr>
                <w:rFonts w:hint="eastAsia" w:ascii="宋体" w:hAnsi="宋体" w:eastAsia="宋体" w:cs="宋体"/>
                <w:color w:val="000000"/>
                <w:sz w:val="24"/>
                <w:szCs w:val="24"/>
                <w:highlight w:val="none"/>
              </w:rPr>
              <w:t>台草坪机</w:t>
            </w:r>
            <w:r>
              <w:rPr>
                <w:rFonts w:hint="eastAsia"/>
                <w:color w:val="auto"/>
                <w:sz w:val="24"/>
                <w:szCs w:val="24"/>
                <w:highlight w:val="none"/>
              </w:rPr>
              <w:t>的得</w:t>
            </w:r>
            <w:r>
              <w:rPr>
                <w:rFonts w:hint="eastAsia"/>
                <w:color w:val="auto"/>
                <w:sz w:val="24"/>
                <w:szCs w:val="24"/>
                <w:highlight w:val="none"/>
                <w:lang w:val="en-US" w:eastAsia="zh-CN"/>
              </w:rPr>
              <w:t>0.5</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最多得1分</w:t>
            </w:r>
            <w:r>
              <w:rPr>
                <w:rFonts w:hint="eastAsia"/>
                <w:color w:val="auto"/>
                <w:sz w:val="24"/>
                <w:szCs w:val="24"/>
                <w:highlight w:val="none"/>
              </w:rPr>
              <w:t>；</w:t>
            </w:r>
          </w:p>
          <w:p w14:paraId="300098C9">
            <w:pPr>
              <w:spacing w:line="0" w:lineRule="atLeast"/>
              <w:jc w:val="left"/>
              <w:rPr>
                <w:color w:val="auto"/>
                <w:sz w:val="24"/>
                <w:szCs w:val="24"/>
                <w:highlight w:val="none"/>
              </w:rPr>
            </w:pPr>
            <w:r>
              <w:rPr>
                <w:rFonts w:hint="eastAsia"/>
                <w:color w:val="auto"/>
                <w:sz w:val="24"/>
                <w:szCs w:val="24"/>
                <w:highlight w:val="none"/>
              </w:rPr>
              <w:t>②每提供1</w:t>
            </w:r>
            <w:r>
              <w:rPr>
                <w:rFonts w:hint="eastAsia" w:ascii="宋体" w:hAnsi="宋体" w:eastAsia="宋体" w:cs="宋体"/>
                <w:color w:val="000000"/>
                <w:sz w:val="24"/>
                <w:szCs w:val="24"/>
                <w:highlight w:val="none"/>
              </w:rPr>
              <w:t>台割灌机</w:t>
            </w:r>
            <w:r>
              <w:rPr>
                <w:rFonts w:hint="eastAsia"/>
                <w:color w:val="auto"/>
                <w:sz w:val="24"/>
                <w:szCs w:val="24"/>
                <w:highlight w:val="none"/>
              </w:rPr>
              <w:t>的得</w:t>
            </w:r>
            <w:r>
              <w:rPr>
                <w:rFonts w:hint="eastAsia"/>
                <w:color w:val="auto"/>
                <w:sz w:val="24"/>
                <w:szCs w:val="24"/>
                <w:highlight w:val="none"/>
                <w:lang w:val="en-US" w:eastAsia="zh-CN"/>
              </w:rPr>
              <w:t>0.5</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最多得3分</w:t>
            </w:r>
            <w:r>
              <w:rPr>
                <w:rFonts w:hint="eastAsia"/>
                <w:color w:val="auto"/>
                <w:sz w:val="24"/>
                <w:szCs w:val="24"/>
                <w:highlight w:val="none"/>
              </w:rPr>
              <w:t>；</w:t>
            </w:r>
          </w:p>
          <w:p w14:paraId="2EE69A10">
            <w:pPr>
              <w:spacing w:line="0" w:lineRule="atLeast"/>
              <w:jc w:val="left"/>
              <w:rPr>
                <w:color w:val="auto"/>
                <w:sz w:val="24"/>
                <w:szCs w:val="24"/>
                <w:highlight w:val="none"/>
              </w:rPr>
            </w:pPr>
            <w:r>
              <w:rPr>
                <w:rFonts w:hint="eastAsia"/>
                <w:color w:val="auto"/>
                <w:sz w:val="24"/>
                <w:szCs w:val="24"/>
                <w:highlight w:val="none"/>
              </w:rPr>
              <w:t>③每提供1</w:t>
            </w:r>
            <w:r>
              <w:rPr>
                <w:rFonts w:hint="eastAsia"/>
                <w:color w:val="auto"/>
                <w:sz w:val="24"/>
                <w:szCs w:val="24"/>
                <w:highlight w:val="none"/>
                <w:lang w:val="en-US" w:eastAsia="zh-CN"/>
              </w:rPr>
              <w:t>台</w:t>
            </w:r>
            <w:r>
              <w:rPr>
                <w:rFonts w:hint="eastAsia" w:ascii="宋体" w:hAnsi="宋体" w:eastAsia="宋体" w:cs="宋体"/>
                <w:color w:val="000000"/>
                <w:sz w:val="24"/>
                <w:szCs w:val="24"/>
                <w:highlight w:val="none"/>
              </w:rPr>
              <w:t>药水机</w:t>
            </w:r>
            <w:r>
              <w:rPr>
                <w:rFonts w:hint="eastAsia"/>
                <w:color w:val="auto"/>
                <w:sz w:val="24"/>
                <w:szCs w:val="24"/>
                <w:highlight w:val="none"/>
              </w:rPr>
              <w:t>的得</w:t>
            </w:r>
            <w:r>
              <w:rPr>
                <w:rFonts w:hint="eastAsia"/>
                <w:color w:val="auto"/>
                <w:sz w:val="24"/>
                <w:szCs w:val="24"/>
                <w:highlight w:val="none"/>
                <w:lang w:val="en-US" w:eastAsia="zh-CN"/>
              </w:rPr>
              <w:t>0.5</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最多得1分</w:t>
            </w:r>
            <w:r>
              <w:rPr>
                <w:rFonts w:hint="eastAsia"/>
                <w:color w:val="auto"/>
                <w:sz w:val="24"/>
                <w:szCs w:val="24"/>
                <w:highlight w:val="none"/>
              </w:rPr>
              <w:t>；</w:t>
            </w:r>
          </w:p>
          <w:p w14:paraId="5BC2C0D2">
            <w:pPr>
              <w:spacing w:line="0" w:lineRule="atLeast"/>
              <w:jc w:val="left"/>
              <w:rPr>
                <w:rFonts w:hint="eastAsia" w:eastAsiaTheme="minorEastAsia"/>
                <w:color w:val="auto"/>
                <w:sz w:val="24"/>
                <w:szCs w:val="24"/>
                <w:highlight w:val="none"/>
                <w:lang w:eastAsia="zh-CN"/>
              </w:rPr>
            </w:pPr>
            <w:r>
              <w:rPr>
                <w:rFonts w:hint="eastAsia"/>
                <w:color w:val="auto"/>
                <w:sz w:val="24"/>
                <w:szCs w:val="24"/>
                <w:highlight w:val="none"/>
                <w:lang w:val="en-US" w:eastAsia="zh-CN"/>
              </w:rPr>
              <w:t>④</w:t>
            </w:r>
            <w:r>
              <w:rPr>
                <w:rFonts w:hint="eastAsia"/>
                <w:color w:val="auto"/>
                <w:sz w:val="24"/>
                <w:szCs w:val="24"/>
                <w:highlight w:val="none"/>
              </w:rPr>
              <w:t>每提供1</w:t>
            </w:r>
            <w:r>
              <w:rPr>
                <w:rFonts w:hint="eastAsia"/>
                <w:color w:val="auto"/>
                <w:sz w:val="24"/>
                <w:szCs w:val="24"/>
                <w:highlight w:val="none"/>
                <w:lang w:val="en-US" w:eastAsia="zh-CN"/>
              </w:rPr>
              <w:t>台</w:t>
            </w:r>
            <w:r>
              <w:rPr>
                <w:rFonts w:hint="eastAsia" w:ascii="宋体" w:hAnsi="宋体" w:eastAsia="宋体" w:cs="宋体"/>
                <w:color w:val="000000"/>
                <w:sz w:val="24"/>
                <w:szCs w:val="24"/>
                <w:highlight w:val="none"/>
              </w:rPr>
              <w:t>手抬水泵</w:t>
            </w:r>
            <w:r>
              <w:rPr>
                <w:rFonts w:hint="eastAsia"/>
                <w:color w:val="auto"/>
                <w:sz w:val="24"/>
                <w:szCs w:val="24"/>
                <w:highlight w:val="none"/>
              </w:rPr>
              <w:t>的得</w:t>
            </w:r>
            <w:r>
              <w:rPr>
                <w:rFonts w:hint="eastAsia"/>
                <w:color w:val="auto"/>
                <w:sz w:val="24"/>
                <w:szCs w:val="24"/>
                <w:highlight w:val="none"/>
                <w:lang w:val="en-US" w:eastAsia="zh-CN"/>
              </w:rPr>
              <w:t>0.5</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最多得1分</w:t>
            </w:r>
            <w:r>
              <w:rPr>
                <w:rFonts w:hint="eastAsia"/>
                <w:color w:val="auto"/>
                <w:sz w:val="24"/>
                <w:szCs w:val="24"/>
                <w:highlight w:val="none"/>
                <w:lang w:eastAsia="zh-CN"/>
              </w:rPr>
              <w:t>。</w:t>
            </w:r>
          </w:p>
          <w:p w14:paraId="670CAA7D">
            <w:pPr>
              <w:spacing w:line="0" w:lineRule="atLeast"/>
              <w:jc w:val="left"/>
              <w:rPr>
                <w:color w:val="auto"/>
                <w:sz w:val="24"/>
                <w:highlight w:val="none"/>
              </w:rPr>
            </w:pPr>
            <w:r>
              <w:rPr>
                <w:rFonts w:hint="eastAsia"/>
                <w:color w:val="auto"/>
                <w:sz w:val="24"/>
                <w:szCs w:val="24"/>
                <w:highlight w:val="none"/>
              </w:rPr>
              <w:t>上述</w:t>
            </w:r>
            <w:r>
              <w:rPr>
                <w:rFonts w:hint="eastAsia"/>
                <w:color w:val="auto"/>
                <w:sz w:val="24"/>
                <w:szCs w:val="24"/>
                <w:highlight w:val="none"/>
                <w:lang w:val="en-US" w:eastAsia="zh-CN"/>
              </w:rPr>
              <w:t>设备</w:t>
            </w:r>
            <w:r>
              <w:rPr>
                <w:rFonts w:hint="eastAsia"/>
                <w:color w:val="auto"/>
                <w:sz w:val="24"/>
                <w:szCs w:val="24"/>
                <w:highlight w:val="none"/>
              </w:rPr>
              <w:t>为</w:t>
            </w:r>
            <w:r>
              <w:rPr>
                <w:rFonts w:hint="eastAsia"/>
                <w:color w:val="auto"/>
                <w:sz w:val="24"/>
                <w:szCs w:val="24"/>
                <w:highlight w:val="none"/>
                <w:lang w:val="en-US" w:eastAsia="zh-CN"/>
              </w:rPr>
              <w:t>供应商</w:t>
            </w:r>
            <w:r>
              <w:rPr>
                <w:rFonts w:hint="eastAsia"/>
                <w:color w:val="auto"/>
                <w:sz w:val="24"/>
                <w:szCs w:val="24"/>
                <w:highlight w:val="none"/>
              </w:rPr>
              <w:t>自有或租赁；本项最多加至</w:t>
            </w:r>
            <w:r>
              <w:rPr>
                <w:rFonts w:hint="eastAsia"/>
                <w:color w:val="auto"/>
                <w:sz w:val="24"/>
                <w:szCs w:val="24"/>
                <w:highlight w:val="none"/>
                <w:lang w:val="en-US" w:eastAsia="zh-CN"/>
              </w:rPr>
              <w:t>6</w:t>
            </w:r>
            <w:r>
              <w:rPr>
                <w:rFonts w:hint="eastAsia"/>
                <w:color w:val="auto"/>
                <w:sz w:val="24"/>
                <w:szCs w:val="24"/>
                <w:highlight w:val="none"/>
              </w:rPr>
              <w:t>分。没有的不得分。</w:t>
            </w:r>
          </w:p>
          <w:p w14:paraId="398246E0">
            <w:pPr>
              <w:spacing w:line="240" w:lineRule="auto"/>
              <w:rPr>
                <w:rFonts w:hint="eastAsia" w:ascii="Times New Roman" w:hAnsi="Times New Roman"/>
                <w:sz w:val="24"/>
                <w:highlight w:val="none"/>
                <w:lang w:val="en-US" w:eastAsia="zh-CN"/>
              </w:rPr>
            </w:pPr>
            <w:r>
              <w:rPr>
                <w:rFonts w:hint="eastAsia"/>
                <w:b/>
                <w:bCs/>
                <w:color w:val="auto"/>
                <w:sz w:val="24"/>
                <w:highlight w:val="none"/>
              </w:rPr>
              <w:t>注：</w:t>
            </w:r>
            <w:r>
              <w:rPr>
                <w:rFonts w:hint="eastAsia" w:ascii="宋体" w:hAnsi="宋体" w:eastAsia="宋体" w:cs="宋体"/>
                <w:b/>
                <w:bCs/>
                <w:color w:val="000000"/>
                <w:sz w:val="24"/>
                <w:szCs w:val="24"/>
                <w:highlight w:val="none"/>
                <w:lang w:val="en-US" w:eastAsia="zh-CN"/>
              </w:rPr>
              <w:t>响应</w:t>
            </w:r>
            <w:r>
              <w:rPr>
                <w:rFonts w:hint="eastAsia" w:ascii="宋体" w:hAnsi="宋体" w:eastAsia="宋体" w:cs="宋体"/>
                <w:b/>
                <w:bCs/>
                <w:color w:val="000000"/>
                <w:sz w:val="24"/>
                <w:szCs w:val="24"/>
                <w:highlight w:val="none"/>
                <w:lang w:val="zh-CN"/>
              </w:rPr>
              <w:t>文件中提供相关证明材料扫描件，设备如为自有</w:t>
            </w:r>
            <w:r>
              <w:rPr>
                <w:rFonts w:hint="eastAsia" w:ascii="宋体" w:hAnsi="宋体" w:eastAsia="宋体" w:cs="宋体"/>
                <w:b/>
                <w:bCs/>
                <w:color w:val="000000"/>
                <w:sz w:val="24"/>
                <w:szCs w:val="24"/>
                <w:highlight w:val="none"/>
                <w:lang w:val="en-US" w:eastAsia="zh-CN"/>
              </w:rPr>
              <w:t>需</w:t>
            </w:r>
            <w:r>
              <w:rPr>
                <w:rFonts w:hint="eastAsia" w:ascii="宋体" w:hAnsi="宋体" w:eastAsia="宋体" w:cs="宋体"/>
                <w:b/>
                <w:bCs/>
                <w:color w:val="000000"/>
                <w:sz w:val="24"/>
                <w:szCs w:val="24"/>
                <w:highlight w:val="none"/>
                <w:lang w:val="zh-CN"/>
              </w:rPr>
              <w:t>提供购置发票</w:t>
            </w:r>
            <w:r>
              <w:rPr>
                <w:rFonts w:hint="eastAsia" w:ascii="宋体" w:hAnsi="宋体" w:eastAsia="宋体" w:cs="宋体"/>
                <w:b/>
                <w:bCs/>
                <w:color w:val="000000"/>
                <w:sz w:val="24"/>
                <w:szCs w:val="24"/>
                <w:highlight w:val="none"/>
                <w:lang w:val="en-US" w:eastAsia="zh-CN"/>
              </w:rPr>
              <w:t>及设备照片</w:t>
            </w:r>
            <w:r>
              <w:rPr>
                <w:rFonts w:hint="eastAsia" w:ascii="宋体" w:hAnsi="宋体" w:eastAsia="宋体" w:cs="宋体"/>
                <w:b/>
                <w:bCs/>
                <w:color w:val="000000"/>
                <w:sz w:val="24"/>
                <w:szCs w:val="24"/>
                <w:highlight w:val="none"/>
                <w:lang w:val="zh-CN"/>
              </w:rPr>
              <w:t>；如为租赁需提供租赁合同</w:t>
            </w:r>
            <w:r>
              <w:rPr>
                <w:rFonts w:hint="eastAsia" w:ascii="宋体" w:hAnsi="宋体" w:eastAsia="宋体" w:cs="宋体"/>
                <w:b/>
                <w:bCs/>
                <w:color w:val="000000"/>
                <w:sz w:val="24"/>
                <w:szCs w:val="24"/>
                <w:highlight w:val="none"/>
                <w:lang w:val="en-US" w:eastAsia="zh-CN"/>
              </w:rPr>
              <w:t>和发票及设备照片</w:t>
            </w:r>
            <w:r>
              <w:rPr>
                <w:rFonts w:hint="eastAsia" w:ascii="宋体" w:hAnsi="宋体" w:eastAsia="宋体" w:cs="宋体"/>
                <w:b/>
                <w:bCs/>
                <w:color w:val="000000"/>
                <w:sz w:val="24"/>
                <w:szCs w:val="24"/>
                <w:highlight w:val="none"/>
                <w:lang w:val="zh-CN"/>
              </w:rPr>
              <w:t>；未按要求提供的不得分。</w:t>
            </w:r>
          </w:p>
        </w:tc>
      </w:tr>
      <w:tr w14:paraId="4B5E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92" w:type="dxa"/>
            <w:shd w:val="clear" w:color="auto" w:fill="auto"/>
            <w:noWrap w:val="0"/>
            <w:vAlign w:val="center"/>
          </w:tcPr>
          <w:p w14:paraId="483116CB">
            <w:pPr>
              <w:spacing w:line="240" w:lineRule="auto"/>
              <w:jc w:val="center"/>
              <w:rPr>
                <w:rFonts w:hint="default"/>
                <w:sz w:val="24"/>
                <w:szCs w:val="24"/>
                <w:highlight w:val="none"/>
                <w:lang w:val="en-US" w:eastAsia="zh-CN"/>
              </w:rPr>
            </w:pPr>
            <w:r>
              <w:rPr>
                <w:rFonts w:hint="eastAsia"/>
                <w:sz w:val="24"/>
                <w:szCs w:val="24"/>
                <w:highlight w:val="none"/>
                <w:lang w:val="en-US" w:eastAsia="zh-CN"/>
              </w:rPr>
              <w:t>5</w:t>
            </w:r>
          </w:p>
        </w:tc>
        <w:tc>
          <w:tcPr>
            <w:tcW w:w="1613" w:type="dxa"/>
            <w:shd w:val="clear" w:color="auto" w:fill="auto"/>
            <w:noWrap w:val="0"/>
            <w:vAlign w:val="center"/>
          </w:tcPr>
          <w:p w14:paraId="26DDA779">
            <w:pPr>
              <w:spacing w:line="240" w:lineRule="auto"/>
              <w:jc w:val="center"/>
              <w:rPr>
                <w:rFonts w:hint="eastAsia"/>
                <w:color w:val="auto"/>
                <w:sz w:val="24"/>
                <w:highlight w:val="none"/>
              </w:rPr>
            </w:pPr>
            <w:r>
              <w:rPr>
                <w:rFonts w:hint="eastAsia"/>
                <w:sz w:val="24"/>
                <w:szCs w:val="24"/>
                <w:lang w:val="zh-CN"/>
              </w:rPr>
              <w:t>服务响应承诺</w:t>
            </w:r>
          </w:p>
        </w:tc>
        <w:tc>
          <w:tcPr>
            <w:tcW w:w="908" w:type="dxa"/>
            <w:shd w:val="clear" w:color="auto" w:fill="auto"/>
            <w:noWrap w:val="0"/>
            <w:vAlign w:val="center"/>
          </w:tcPr>
          <w:p w14:paraId="2536B667">
            <w:pPr>
              <w:spacing w:line="240" w:lineRule="auto"/>
              <w:jc w:val="center"/>
              <w:rPr>
                <w:rFonts w:hint="default"/>
                <w:sz w:val="24"/>
                <w:highlight w:val="none"/>
                <w:lang w:val="en-US" w:eastAsia="zh-CN"/>
              </w:rPr>
            </w:pPr>
            <w:r>
              <w:rPr>
                <w:rFonts w:hint="eastAsia"/>
                <w:sz w:val="24"/>
                <w:highlight w:val="none"/>
                <w:lang w:val="en-US" w:eastAsia="zh-CN"/>
              </w:rPr>
              <w:t>2分</w:t>
            </w:r>
          </w:p>
        </w:tc>
        <w:tc>
          <w:tcPr>
            <w:tcW w:w="6463" w:type="dxa"/>
            <w:shd w:val="clear" w:color="auto" w:fill="auto"/>
            <w:noWrap w:val="0"/>
            <w:vAlign w:val="center"/>
          </w:tcPr>
          <w:p w14:paraId="7677F351">
            <w:pPr>
              <w:spacing w:line="240" w:lineRule="auto"/>
              <w:rPr>
                <w:rFonts w:hint="eastAsia"/>
                <w:b/>
                <w:bCs/>
                <w:color w:val="auto"/>
                <w:sz w:val="24"/>
                <w:highlight w:val="none"/>
              </w:rPr>
            </w:pPr>
            <w:r>
              <w:rPr>
                <w:rFonts w:hint="eastAsia"/>
                <w:b w:val="0"/>
                <w:bCs w:val="0"/>
                <w:color w:val="auto"/>
                <w:sz w:val="24"/>
                <w:highlight w:val="none"/>
              </w:rPr>
              <w:t>根据</w:t>
            </w:r>
            <w:r>
              <w:rPr>
                <w:rFonts w:hint="eastAsia"/>
                <w:color w:val="auto"/>
                <w:sz w:val="24"/>
                <w:szCs w:val="24"/>
                <w:highlight w:val="none"/>
                <w:lang w:val="en-US" w:eastAsia="zh-CN"/>
              </w:rPr>
              <w:t>供应商</w:t>
            </w:r>
            <w:r>
              <w:rPr>
                <w:rFonts w:hint="eastAsia"/>
                <w:b w:val="0"/>
                <w:bCs w:val="0"/>
                <w:color w:val="auto"/>
                <w:sz w:val="24"/>
                <w:highlight w:val="none"/>
              </w:rPr>
              <w:t>接到采购人服务通知后的服务响应承诺进行评定：</w:t>
            </w:r>
            <w:r>
              <w:rPr>
                <w:rFonts w:hint="eastAsia"/>
                <w:color w:val="auto"/>
                <w:sz w:val="24"/>
                <w:szCs w:val="24"/>
                <w:highlight w:val="none"/>
                <w:lang w:val="en-US" w:eastAsia="zh-CN"/>
              </w:rPr>
              <w:t>供应商</w:t>
            </w:r>
            <w:r>
              <w:rPr>
                <w:rFonts w:hint="eastAsia"/>
                <w:b w:val="0"/>
                <w:bCs w:val="0"/>
                <w:color w:val="auto"/>
                <w:sz w:val="24"/>
                <w:highlight w:val="none"/>
              </w:rPr>
              <w:t>承诺在60分钟（含60分钟）内到达服务现场的得2分；承诺在60分钟（不含60分钟）~120分钟（含120分钟）内到达服务现场的得1分；其余情况不得分。</w:t>
            </w:r>
          </w:p>
          <w:p w14:paraId="1988D7C5">
            <w:pPr>
              <w:spacing w:line="240" w:lineRule="auto"/>
              <w:rPr>
                <w:rFonts w:hint="eastAsia"/>
                <w:b/>
                <w:bCs/>
                <w:color w:val="auto"/>
                <w:sz w:val="24"/>
                <w:highlight w:val="none"/>
              </w:rPr>
            </w:pPr>
            <w:r>
              <w:rPr>
                <w:rFonts w:hint="eastAsia"/>
                <w:b/>
                <w:bCs/>
                <w:color w:val="auto"/>
                <w:sz w:val="24"/>
                <w:highlight w:val="none"/>
              </w:rPr>
              <w:t>注：</w:t>
            </w:r>
            <w:r>
              <w:rPr>
                <w:rFonts w:hint="eastAsia"/>
                <w:b/>
                <w:bCs/>
                <w:color w:val="auto"/>
                <w:sz w:val="24"/>
                <w:highlight w:val="none"/>
                <w:lang w:val="en-US" w:eastAsia="zh-CN"/>
              </w:rPr>
              <w:t>响应</w:t>
            </w:r>
            <w:r>
              <w:rPr>
                <w:rFonts w:hint="eastAsia"/>
                <w:b/>
                <w:bCs/>
                <w:color w:val="auto"/>
                <w:sz w:val="24"/>
                <w:highlight w:val="none"/>
                <w:lang w:val="zh-CN"/>
              </w:rPr>
              <w:t>文件中需提供服务响应</w:t>
            </w:r>
            <w:r>
              <w:rPr>
                <w:rFonts w:hint="eastAsia"/>
                <w:b/>
                <w:bCs/>
                <w:color w:val="auto"/>
                <w:sz w:val="24"/>
                <w:highlight w:val="none"/>
              </w:rPr>
              <w:t>承诺函（格式</w:t>
            </w:r>
            <w:r>
              <w:rPr>
                <w:rFonts w:hint="eastAsia"/>
                <w:b/>
                <w:bCs/>
                <w:color w:val="auto"/>
                <w:sz w:val="24"/>
                <w:highlight w:val="none"/>
                <w:lang w:val="en-US" w:eastAsia="zh-CN"/>
              </w:rPr>
              <w:t>自拟</w:t>
            </w:r>
            <w:r>
              <w:rPr>
                <w:rFonts w:hint="eastAsia"/>
                <w:b/>
                <w:bCs/>
                <w:color w:val="auto"/>
                <w:sz w:val="24"/>
                <w:highlight w:val="none"/>
              </w:rPr>
              <w:t>）</w:t>
            </w:r>
            <w:r>
              <w:rPr>
                <w:rFonts w:hint="eastAsia"/>
                <w:b/>
                <w:bCs/>
                <w:color w:val="auto"/>
                <w:sz w:val="24"/>
                <w:highlight w:val="none"/>
                <w:lang w:val="zh-CN"/>
              </w:rPr>
              <w:t>，未提供的不得分。</w:t>
            </w:r>
          </w:p>
        </w:tc>
      </w:tr>
    </w:tbl>
    <w:p w14:paraId="21C01196">
      <w:pPr>
        <w:spacing w:line="440" w:lineRule="exact"/>
        <w:ind w:firstLine="482"/>
        <w:rPr>
          <w:b/>
          <w:bCs/>
          <w:sz w:val="24"/>
          <w:szCs w:val="24"/>
          <w:highlight w:val="none"/>
        </w:rPr>
      </w:pPr>
      <w:r>
        <w:rPr>
          <w:rFonts w:hint="eastAsia"/>
          <w:b/>
          <w:bCs/>
          <w:sz w:val="24"/>
          <w:szCs w:val="24"/>
          <w:highlight w:val="none"/>
        </w:rPr>
        <w:t>4、综合实力</w:t>
      </w:r>
      <w:r>
        <w:rPr>
          <w:rFonts w:hint="eastAsia"/>
          <w:b/>
          <w:bCs/>
          <w:sz w:val="24"/>
          <w:szCs w:val="24"/>
          <w:highlight w:val="none"/>
          <w:lang w:val="en-US" w:eastAsia="zh-CN"/>
        </w:rPr>
        <w:t>14</w:t>
      </w:r>
      <w:r>
        <w:rPr>
          <w:rFonts w:hint="eastAsia"/>
          <w:b/>
          <w:bCs/>
          <w:sz w:val="24"/>
          <w:szCs w:val="24"/>
          <w:highlight w:val="none"/>
        </w:rPr>
        <w:t>分</w:t>
      </w:r>
    </w:p>
    <w:tbl>
      <w:tblPr>
        <w:tblStyle w:val="53"/>
        <w:tblW w:w="9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612"/>
        <w:gridCol w:w="915"/>
        <w:gridCol w:w="6548"/>
      </w:tblGrid>
      <w:tr w14:paraId="6259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8" w:type="dxa"/>
            <w:noWrap w:val="0"/>
            <w:vAlign w:val="center"/>
          </w:tcPr>
          <w:p w14:paraId="3841405C">
            <w:pPr>
              <w:jc w:val="center"/>
              <w:rPr>
                <w:rFonts w:ascii="宋体" w:hAnsi="宋体" w:cs="宋体"/>
                <w:sz w:val="24"/>
                <w:szCs w:val="24"/>
                <w:highlight w:val="none"/>
              </w:rPr>
            </w:pPr>
            <w:r>
              <w:rPr>
                <w:rFonts w:hint="eastAsia" w:ascii="宋体" w:hAnsi="宋体" w:cs="宋体"/>
                <w:sz w:val="24"/>
                <w:szCs w:val="24"/>
                <w:highlight w:val="none"/>
              </w:rPr>
              <w:t>序号</w:t>
            </w:r>
          </w:p>
        </w:tc>
        <w:tc>
          <w:tcPr>
            <w:tcW w:w="1612" w:type="dxa"/>
            <w:noWrap w:val="0"/>
            <w:vAlign w:val="center"/>
          </w:tcPr>
          <w:p w14:paraId="0A4C8823">
            <w:pPr>
              <w:jc w:val="center"/>
              <w:rPr>
                <w:rFonts w:ascii="宋体" w:hAnsi="宋体" w:cs="宋体"/>
                <w:sz w:val="24"/>
                <w:szCs w:val="24"/>
                <w:highlight w:val="none"/>
              </w:rPr>
            </w:pPr>
            <w:r>
              <w:rPr>
                <w:rFonts w:hint="eastAsia" w:ascii="宋体" w:hAnsi="宋体" w:cs="宋体"/>
                <w:sz w:val="24"/>
                <w:szCs w:val="24"/>
                <w:highlight w:val="none"/>
              </w:rPr>
              <w:t>评审因素</w:t>
            </w:r>
          </w:p>
        </w:tc>
        <w:tc>
          <w:tcPr>
            <w:tcW w:w="915" w:type="dxa"/>
            <w:noWrap w:val="0"/>
            <w:vAlign w:val="center"/>
          </w:tcPr>
          <w:p w14:paraId="6456906E">
            <w:pPr>
              <w:jc w:val="center"/>
              <w:rPr>
                <w:rFonts w:ascii="宋体" w:hAnsi="宋体" w:cs="宋体"/>
                <w:sz w:val="24"/>
                <w:szCs w:val="24"/>
                <w:highlight w:val="none"/>
              </w:rPr>
            </w:pPr>
            <w:r>
              <w:rPr>
                <w:rFonts w:hint="eastAsia" w:ascii="宋体" w:hAnsi="宋体" w:cs="宋体"/>
                <w:sz w:val="24"/>
                <w:szCs w:val="24"/>
                <w:highlight w:val="none"/>
              </w:rPr>
              <w:t>权值</w:t>
            </w:r>
          </w:p>
        </w:tc>
        <w:tc>
          <w:tcPr>
            <w:tcW w:w="6548" w:type="dxa"/>
            <w:noWrap w:val="0"/>
            <w:vAlign w:val="center"/>
          </w:tcPr>
          <w:p w14:paraId="48C5B421">
            <w:pPr>
              <w:jc w:val="center"/>
              <w:rPr>
                <w:rFonts w:ascii="宋体" w:hAnsi="宋体" w:cs="宋体"/>
                <w:sz w:val="24"/>
                <w:szCs w:val="24"/>
                <w:highlight w:val="none"/>
              </w:rPr>
            </w:pPr>
            <w:r>
              <w:rPr>
                <w:rFonts w:hint="eastAsia" w:ascii="宋体" w:hAnsi="宋体" w:cs="宋体"/>
                <w:sz w:val="24"/>
                <w:szCs w:val="24"/>
                <w:highlight w:val="none"/>
              </w:rPr>
              <w:t>评分标准</w:t>
            </w:r>
          </w:p>
        </w:tc>
      </w:tr>
      <w:tr w14:paraId="375A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68" w:type="dxa"/>
            <w:noWrap w:val="0"/>
            <w:vAlign w:val="center"/>
          </w:tcPr>
          <w:p w14:paraId="51BE5966">
            <w:pPr>
              <w:jc w:val="center"/>
              <w:rPr>
                <w:rFonts w:ascii="宋体" w:hAnsi="宋体" w:cs="宋体"/>
                <w:sz w:val="24"/>
                <w:szCs w:val="24"/>
                <w:highlight w:val="none"/>
              </w:rPr>
            </w:pPr>
            <w:r>
              <w:rPr>
                <w:rFonts w:hint="eastAsia" w:ascii="宋体" w:hAnsi="宋体" w:cs="宋体"/>
                <w:sz w:val="24"/>
                <w:szCs w:val="24"/>
                <w:highlight w:val="none"/>
              </w:rPr>
              <w:t>1</w:t>
            </w:r>
          </w:p>
        </w:tc>
        <w:tc>
          <w:tcPr>
            <w:tcW w:w="1612" w:type="dxa"/>
            <w:noWrap w:val="0"/>
            <w:vAlign w:val="center"/>
          </w:tcPr>
          <w:p w14:paraId="2637C3FD">
            <w:pPr>
              <w:pStyle w:val="17"/>
              <w:jc w:val="center"/>
              <w:rPr>
                <w:rFonts w:ascii="宋体" w:hAnsi="宋体" w:cs="宋体"/>
                <w:sz w:val="24"/>
                <w:szCs w:val="24"/>
                <w:highlight w:val="none"/>
              </w:rPr>
            </w:pPr>
            <w:r>
              <w:rPr>
                <w:rFonts w:hint="eastAsia" w:ascii="宋体" w:hAnsi="宋体" w:cs="宋体"/>
                <w:sz w:val="24"/>
                <w:szCs w:val="24"/>
                <w:highlight w:val="none"/>
              </w:rPr>
              <w:t>商务条件响应性</w:t>
            </w:r>
          </w:p>
        </w:tc>
        <w:tc>
          <w:tcPr>
            <w:tcW w:w="915" w:type="dxa"/>
            <w:noWrap w:val="0"/>
            <w:vAlign w:val="center"/>
          </w:tcPr>
          <w:p w14:paraId="49C5E0A9">
            <w:pPr>
              <w:pStyle w:val="17"/>
              <w:jc w:val="center"/>
              <w:rPr>
                <w:rFonts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p>
        </w:tc>
        <w:tc>
          <w:tcPr>
            <w:tcW w:w="6548" w:type="dxa"/>
            <w:noWrap w:val="0"/>
            <w:vAlign w:val="center"/>
          </w:tcPr>
          <w:p w14:paraId="3E7B0B0C">
            <w:pPr>
              <w:rPr>
                <w:rFonts w:ascii="宋体" w:hAnsi="宋体" w:cs="宋体"/>
                <w:sz w:val="24"/>
                <w:szCs w:val="24"/>
                <w:highlight w:val="none"/>
              </w:rPr>
            </w:pPr>
            <w:r>
              <w:rPr>
                <w:rFonts w:hint="eastAsia" w:ascii="宋体" w:hAnsi="宋体" w:cs="宋体"/>
                <w:sz w:val="24"/>
                <w:szCs w:val="24"/>
                <w:highlight w:val="none"/>
              </w:rPr>
              <w:t>供应商对磋商文件中合同条款等商务条件完全响应的得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分；有负偏离条款的，每条扣0.</w:t>
            </w:r>
            <w:r>
              <w:rPr>
                <w:rFonts w:hint="eastAsia" w:ascii="宋体" w:hAnsi="宋体" w:cs="宋体"/>
                <w:sz w:val="24"/>
                <w:szCs w:val="24"/>
                <w:highlight w:val="none"/>
                <w:lang w:val="en-US" w:eastAsia="zh-CN"/>
              </w:rPr>
              <w:t>25</w:t>
            </w:r>
            <w:r>
              <w:rPr>
                <w:rFonts w:hint="eastAsia" w:ascii="宋体" w:hAnsi="宋体" w:cs="宋体"/>
                <w:sz w:val="24"/>
                <w:szCs w:val="24"/>
                <w:highlight w:val="none"/>
              </w:rPr>
              <w:t>分。</w:t>
            </w:r>
          </w:p>
        </w:tc>
      </w:tr>
      <w:tr w14:paraId="379C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68" w:type="dxa"/>
            <w:noWrap w:val="0"/>
            <w:vAlign w:val="center"/>
          </w:tcPr>
          <w:p w14:paraId="0FCDA8CE">
            <w:pPr>
              <w:jc w:val="center"/>
              <w:rPr>
                <w:rFonts w:ascii="宋体" w:hAnsi="宋体" w:cs="宋体"/>
                <w:sz w:val="24"/>
                <w:szCs w:val="24"/>
                <w:highlight w:val="none"/>
              </w:rPr>
            </w:pPr>
            <w:r>
              <w:rPr>
                <w:rFonts w:hint="eastAsia" w:ascii="宋体" w:hAnsi="宋体" w:cs="宋体"/>
                <w:sz w:val="24"/>
                <w:szCs w:val="24"/>
                <w:highlight w:val="none"/>
              </w:rPr>
              <w:t>2</w:t>
            </w:r>
          </w:p>
        </w:tc>
        <w:tc>
          <w:tcPr>
            <w:tcW w:w="1612" w:type="dxa"/>
            <w:noWrap w:val="0"/>
            <w:vAlign w:val="center"/>
          </w:tcPr>
          <w:p w14:paraId="4F277FE1">
            <w:pPr>
              <w:jc w:val="center"/>
              <w:rPr>
                <w:rFonts w:ascii="宋体" w:hAnsi="宋体" w:cs="宋体"/>
                <w:sz w:val="24"/>
                <w:szCs w:val="24"/>
                <w:highlight w:val="none"/>
              </w:rPr>
            </w:pPr>
            <w:r>
              <w:rPr>
                <w:rFonts w:hint="eastAsia" w:ascii="宋体" w:hAnsi="宋体" w:cs="宋体"/>
                <w:sz w:val="24"/>
                <w:szCs w:val="24"/>
                <w:highlight w:val="none"/>
              </w:rPr>
              <w:t>业绩情况</w:t>
            </w:r>
          </w:p>
        </w:tc>
        <w:tc>
          <w:tcPr>
            <w:tcW w:w="915" w:type="dxa"/>
            <w:noWrap w:val="0"/>
            <w:vAlign w:val="center"/>
          </w:tcPr>
          <w:p w14:paraId="456FA4EA">
            <w:pPr>
              <w:spacing w:line="480" w:lineRule="exact"/>
              <w:jc w:val="center"/>
              <w:rPr>
                <w:rFonts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分</w:t>
            </w:r>
          </w:p>
        </w:tc>
        <w:tc>
          <w:tcPr>
            <w:tcW w:w="6548" w:type="dxa"/>
            <w:noWrap w:val="0"/>
            <w:vAlign w:val="center"/>
          </w:tcPr>
          <w:p w14:paraId="5AD8FE03">
            <w:pPr>
              <w:rPr>
                <w:rFonts w:hint="eastAsia" w:ascii="宋体" w:hAnsi="宋体" w:eastAsia="宋体" w:cs="宋体"/>
                <w:sz w:val="24"/>
                <w:szCs w:val="24"/>
              </w:rPr>
            </w:pPr>
            <w:r>
              <w:rPr>
                <w:rFonts w:hint="eastAsia" w:ascii="宋体" w:hAnsi="宋体" w:eastAsia="宋体" w:cs="宋体"/>
                <w:sz w:val="24"/>
                <w:szCs w:val="24"/>
              </w:rPr>
              <w:t>根据</w:t>
            </w:r>
            <w:r>
              <w:rPr>
                <w:rFonts w:hint="eastAsia" w:ascii="宋体" w:hAnsi="宋体" w:cs="宋体"/>
                <w:sz w:val="24"/>
                <w:szCs w:val="24"/>
                <w:highlight w:val="none"/>
              </w:rPr>
              <w:t>供应商</w:t>
            </w:r>
            <w:r>
              <w:rPr>
                <w:rFonts w:hint="eastAsia" w:ascii="宋体" w:hAnsi="宋体" w:eastAsia="宋体" w:cs="宋体"/>
                <w:sz w:val="24"/>
                <w:szCs w:val="24"/>
              </w:rPr>
              <w:t>20</w:t>
            </w:r>
            <w:r>
              <w:rPr>
                <w:rFonts w:hint="eastAsia" w:ascii="宋体" w:hAnsi="宋体" w:eastAsia="宋体" w:cs="宋体"/>
                <w:sz w:val="24"/>
                <w:szCs w:val="24"/>
                <w:lang w:val="en-US" w:eastAsia="zh-CN"/>
              </w:rPr>
              <w:t>23</w:t>
            </w:r>
            <w:r>
              <w:rPr>
                <w:rFonts w:hint="eastAsia" w:ascii="宋体" w:hAnsi="宋体" w:eastAsia="宋体" w:cs="宋体"/>
                <w:sz w:val="24"/>
                <w:szCs w:val="24"/>
              </w:rPr>
              <w:t>年1月1日（以合同签订时间为准）至今实施的</w:t>
            </w:r>
            <w:r>
              <w:rPr>
                <w:rFonts w:hint="eastAsia"/>
                <w:color w:val="auto"/>
                <w:sz w:val="24"/>
                <w:szCs w:val="24"/>
                <w:highlight w:val="none"/>
              </w:rPr>
              <w:t>绿化</w:t>
            </w:r>
            <w:r>
              <w:rPr>
                <w:rFonts w:hint="eastAsia"/>
                <w:color w:val="auto"/>
                <w:sz w:val="24"/>
                <w:szCs w:val="24"/>
                <w:highlight w:val="none"/>
                <w:lang w:val="en-US" w:eastAsia="zh-CN"/>
              </w:rPr>
              <w:t>移植和绿化</w:t>
            </w:r>
            <w:r>
              <w:rPr>
                <w:rFonts w:hint="eastAsia"/>
                <w:color w:val="auto"/>
                <w:sz w:val="24"/>
                <w:szCs w:val="24"/>
                <w:highlight w:val="none"/>
              </w:rPr>
              <w:t>养护服务</w:t>
            </w:r>
            <w:r>
              <w:rPr>
                <w:rFonts w:hint="eastAsia"/>
                <w:color w:val="auto"/>
                <w:sz w:val="24"/>
                <w:szCs w:val="24"/>
                <w:highlight w:val="none"/>
                <w:lang w:val="zh-CN"/>
              </w:rPr>
              <w:t>项目</w:t>
            </w:r>
            <w:r>
              <w:rPr>
                <w:rFonts w:hint="eastAsia" w:ascii="宋体" w:hAnsi="宋体" w:eastAsia="宋体" w:cs="宋体"/>
                <w:sz w:val="24"/>
                <w:szCs w:val="24"/>
              </w:rPr>
              <w:t>业绩情况进行评定，每提供</w:t>
            </w:r>
            <w:r>
              <w:rPr>
                <w:rFonts w:hint="eastAsia" w:ascii="宋体" w:hAnsi="宋体" w:eastAsia="宋体" w:cs="宋体"/>
                <w:sz w:val="24"/>
                <w:szCs w:val="24"/>
                <w:lang w:val="en-US" w:eastAsia="zh-CN"/>
              </w:rPr>
              <w:t>1</w:t>
            </w:r>
            <w:r>
              <w:rPr>
                <w:rFonts w:hint="eastAsia" w:ascii="宋体" w:hAnsi="宋体" w:eastAsia="宋体" w:cs="宋体"/>
                <w:sz w:val="24"/>
                <w:szCs w:val="24"/>
              </w:rPr>
              <w:t>个得</w:t>
            </w:r>
            <w:r>
              <w:rPr>
                <w:rFonts w:hint="eastAsia" w:ascii="宋体" w:hAnsi="宋体" w:eastAsia="宋体" w:cs="宋体"/>
                <w:sz w:val="24"/>
                <w:szCs w:val="24"/>
                <w:lang w:val="en-US" w:eastAsia="zh-CN"/>
              </w:rPr>
              <w:t>2</w:t>
            </w:r>
            <w:r>
              <w:rPr>
                <w:rFonts w:hint="eastAsia" w:ascii="宋体" w:hAnsi="宋体" w:eastAsia="宋体" w:cs="宋体"/>
                <w:sz w:val="24"/>
                <w:szCs w:val="24"/>
              </w:rPr>
              <w:t>分，最高得8分。未提供业绩相关证明材料的不得分。</w:t>
            </w:r>
          </w:p>
          <w:p w14:paraId="0515A13C">
            <w:pPr>
              <w:rPr>
                <w:rFonts w:hint="eastAsia" w:ascii="宋体" w:hAnsi="宋体" w:eastAsia="宋体" w:cs="宋体"/>
                <w:sz w:val="24"/>
                <w:szCs w:val="24"/>
                <w:highlight w:val="none"/>
                <w:lang w:eastAsia="zh-CN"/>
              </w:rPr>
            </w:pPr>
            <w:r>
              <w:rPr>
                <w:rFonts w:hint="eastAsia" w:ascii="宋体" w:hAnsi="宋体" w:eastAsia="宋体" w:cs="宋体"/>
                <w:b/>
                <w:bCs/>
                <w:sz w:val="24"/>
                <w:szCs w:val="24"/>
              </w:rPr>
              <w:t>注：1）单个合同连续年度按一个业绩计算。2）</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文件中需提供业绩相关合同扫描件（合同首页、标的金额所在页、签字盖章页）等证明材料。</w:t>
            </w:r>
          </w:p>
        </w:tc>
      </w:tr>
      <w:tr w14:paraId="468C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68" w:type="dxa"/>
            <w:noWrap w:val="0"/>
            <w:vAlign w:val="center"/>
          </w:tcPr>
          <w:p w14:paraId="38F76E26">
            <w:pPr>
              <w:widowControl/>
              <w:spacing w:line="252" w:lineRule="auto"/>
              <w:jc w:val="center"/>
              <w:rPr>
                <w:rFonts w:hint="eastAsia" w:ascii="宋体" w:hAnsi="宋体" w:cs="宋体"/>
                <w:sz w:val="24"/>
                <w:szCs w:val="24"/>
                <w:highlight w:val="none"/>
              </w:rPr>
            </w:pPr>
            <w:r>
              <w:rPr>
                <w:rFonts w:hint="eastAsia" w:ascii="宋体" w:hAnsi="宋体" w:eastAsia="宋体" w:cs="宋体"/>
                <w:bCs/>
                <w:sz w:val="24"/>
                <w:szCs w:val="24"/>
                <w:lang w:val="en-US" w:eastAsia="zh-CN"/>
              </w:rPr>
              <w:t>3</w:t>
            </w:r>
          </w:p>
        </w:tc>
        <w:tc>
          <w:tcPr>
            <w:tcW w:w="1612" w:type="dxa"/>
            <w:noWrap w:val="0"/>
            <w:vAlign w:val="center"/>
          </w:tcPr>
          <w:p w14:paraId="7E639336">
            <w:pPr>
              <w:spacing w:line="0" w:lineRule="atLeast"/>
              <w:jc w:val="center"/>
              <w:rPr>
                <w:rFonts w:hint="eastAsia" w:ascii="宋体" w:hAnsi="宋体" w:cs="宋体"/>
                <w:sz w:val="24"/>
                <w:szCs w:val="24"/>
                <w:highlight w:val="none"/>
              </w:rPr>
            </w:pPr>
            <w:r>
              <w:rPr>
                <w:rFonts w:hint="eastAsia" w:eastAsia="宋体"/>
                <w:color w:val="auto"/>
                <w:sz w:val="24"/>
                <w:highlight w:val="none"/>
                <w:lang w:val="en-US" w:eastAsia="zh-CN"/>
              </w:rPr>
              <w:t>客户评价</w:t>
            </w:r>
          </w:p>
        </w:tc>
        <w:tc>
          <w:tcPr>
            <w:tcW w:w="915" w:type="dxa"/>
            <w:noWrap w:val="0"/>
            <w:vAlign w:val="center"/>
          </w:tcPr>
          <w:p w14:paraId="49687B5C">
            <w:pPr>
              <w:spacing w:line="0" w:lineRule="atLeast"/>
              <w:jc w:val="center"/>
              <w:rPr>
                <w:rFonts w:hint="eastAsia" w:ascii="宋体" w:hAnsi="宋体" w:cs="宋体"/>
                <w:sz w:val="24"/>
                <w:szCs w:val="24"/>
                <w:highlight w:val="none"/>
                <w:lang w:val="en-US" w:eastAsia="zh-CN"/>
              </w:rPr>
            </w:pPr>
            <w:r>
              <w:rPr>
                <w:rFonts w:hint="eastAsia"/>
                <w:color w:val="auto"/>
                <w:sz w:val="24"/>
                <w:highlight w:val="none"/>
                <w:lang w:val="en-US" w:eastAsia="zh-CN"/>
              </w:rPr>
              <w:t>2</w:t>
            </w:r>
            <w:r>
              <w:rPr>
                <w:rFonts w:hint="eastAsia"/>
                <w:color w:val="auto"/>
                <w:sz w:val="24"/>
                <w:highlight w:val="none"/>
              </w:rPr>
              <w:t>分</w:t>
            </w:r>
          </w:p>
        </w:tc>
        <w:tc>
          <w:tcPr>
            <w:tcW w:w="6548" w:type="dxa"/>
            <w:noWrap w:val="0"/>
            <w:vAlign w:val="center"/>
          </w:tcPr>
          <w:p w14:paraId="2361CB35">
            <w:pPr>
              <w:spacing w:line="0" w:lineRule="atLeast"/>
              <w:jc w:val="left"/>
              <w:rPr>
                <w:color w:val="auto"/>
                <w:sz w:val="24"/>
                <w:highlight w:val="none"/>
                <w:lang w:val="zh-CN"/>
              </w:rPr>
            </w:pPr>
            <w:r>
              <w:rPr>
                <w:rFonts w:hint="eastAsia"/>
                <w:color w:val="auto"/>
                <w:sz w:val="24"/>
                <w:highlight w:val="none"/>
                <w:lang w:val="zh-CN"/>
              </w:rPr>
              <w:t>根据</w:t>
            </w:r>
            <w:r>
              <w:rPr>
                <w:rFonts w:hint="eastAsia"/>
                <w:color w:val="auto"/>
                <w:sz w:val="24"/>
                <w:highlight w:val="none"/>
                <w:lang w:val="en-US" w:eastAsia="zh-CN"/>
              </w:rPr>
              <w:t>供应商</w:t>
            </w:r>
            <w:r>
              <w:rPr>
                <w:rFonts w:hint="eastAsia"/>
                <w:color w:val="auto"/>
                <w:sz w:val="24"/>
                <w:highlight w:val="none"/>
                <w:lang w:val="zh-CN"/>
              </w:rPr>
              <w:t>提供的与上述业绩相对应的客户评价表进行评定，每提供一份评价为优良（或满意）的得1分，最多得</w:t>
            </w:r>
            <w:r>
              <w:rPr>
                <w:rFonts w:hint="eastAsia"/>
                <w:color w:val="auto"/>
                <w:sz w:val="24"/>
                <w:highlight w:val="none"/>
                <w:lang w:val="en-US" w:eastAsia="zh-CN"/>
              </w:rPr>
              <w:t>2</w:t>
            </w:r>
            <w:r>
              <w:rPr>
                <w:rFonts w:hint="eastAsia"/>
                <w:color w:val="auto"/>
                <w:sz w:val="24"/>
                <w:highlight w:val="none"/>
                <w:lang w:val="zh-CN"/>
              </w:rPr>
              <w:t>分。评价一般或以下的不得分。</w:t>
            </w:r>
          </w:p>
          <w:p w14:paraId="76512AED">
            <w:pPr>
              <w:spacing w:line="0" w:lineRule="atLeast"/>
              <w:jc w:val="left"/>
              <w:rPr>
                <w:rFonts w:hint="eastAsia" w:ascii="宋体" w:hAnsi="宋体" w:eastAsia="宋体" w:cs="宋体"/>
                <w:b/>
                <w:bCs/>
                <w:sz w:val="24"/>
                <w:szCs w:val="24"/>
              </w:rPr>
            </w:pPr>
            <w:r>
              <w:rPr>
                <w:rFonts w:hint="eastAsia"/>
                <w:b/>
                <w:bCs/>
                <w:color w:val="auto"/>
                <w:sz w:val="24"/>
                <w:highlight w:val="none"/>
                <w:lang w:val="zh-CN"/>
              </w:rPr>
              <w:t>注：</w:t>
            </w:r>
            <w:r>
              <w:rPr>
                <w:rFonts w:hint="eastAsia"/>
                <w:b/>
                <w:bCs/>
                <w:color w:val="auto"/>
                <w:sz w:val="24"/>
                <w:szCs w:val="24"/>
                <w:highlight w:val="none"/>
              </w:rPr>
              <w:t>①</w:t>
            </w:r>
            <w:r>
              <w:rPr>
                <w:rFonts w:hint="eastAsia"/>
                <w:b/>
                <w:bCs/>
                <w:color w:val="auto"/>
                <w:sz w:val="24"/>
                <w:highlight w:val="none"/>
                <w:lang w:val="zh-CN"/>
              </w:rPr>
              <w:t>同一单位的评价意见表只计一份。</w:t>
            </w:r>
            <w:r>
              <w:rPr>
                <w:rFonts w:hint="eastAsia"/>
                <w:b/>
                <w:bCs/>
                <w:color w:val="auto"/>
                <w:sz w:val="24"/>
                <w:szCs w:val="24"/>
                <w:highlight w:val="none"/>
              </w:rPr>
              <w:t>②</w:t>
            </w:r>
            <w:r>
              <w:rPr>
                <w:rFonts w:hint="eastAsia"/>
                <w:b/>
                <w:bCs/>
                <w:color w:val="auto"/>
                <w:sz w:val="24"/>
                <w:highlight w:val="none"/>
              </w:rPr>
              <w:t>客户评价表须有相对应客户的公章。</w:t>
            </w:r>
          </w:p>
        </w:tc>
      </w:tr>
    </w:tbl>
    <w:p w14:paraId="06CF2944">
      <w:pPr>
        <w:tabs>
          <w:tab w:val="left" w:pos="0"/>
        </w:tabs>
        <w:spacing w:line="440" w:lineRule="exact"/>
        <w:ind w:right="-27"/>
        <w:rPr>
          <w:rFonts w:ascii="宋体" w:hAnsi="宋体"/>
          <w:b/>
          <w:bCs/>
          <w:sz w:val="24"/>
          <w:szCs w:val="24"/>
        </w:rPr>
      </w:pPr>
      <w:r>
        <w:rPr>
          <w:rFonts w:hint="eastAsia" w:ascii="宋体" w:hAnsi="宋体"/>
          <w:b/>
          <w:bCs/>
          <w:sz w:val="24"/>
          <w:szCs w:val="24"/>
        </w:rPr>
        <w:t>三、针对小微型企业的评审：</w:t>
      </w:r>
    </w:p>
    <w:p w14:paraId="386EE397">
      <w:pPr>
        <w:keepNext w:val="0"/>
        <w:keepLines w:val="0"/>
        <w:pageBreakBefore w:val="0"/>
        <w:widowControl w:val="0"/>
        <w:tabs>
          <w:tab w:val="left" w:pos="0"/>
        </w:tabs>
        <w:spacing w:line="480" w:lineRule="exact"/>
        <w:ind w:right="0" w:firstLine="480"/>
        <w:rPr>
          <w:sz w:val="24"/>
          <w:szCs w:val="24"/>
        </w:rPr>
      </w:pPr>
      <w:r>
        <w:rPr>
          <w:sz w:val="24"/>
          <w:szCs w:val="24"/>
        </w:rPr>
        <w:t>1</w:t>
      </w:r>
      <w:r>
        <w:rPr>
          <w:rFonts w:hint="eastAsia"/>
          <w:sz w:val="24"/>
          <w:szCs w:val="24"/>
        </w:rPr>
        <w:t>.</w:t>
      </w:r>
      <w:r>
        <w:rPr>
          <w:sz w:val="24"/>
          <w:szCs w:val="24"/>
        </w:rPr>
        <w:t>落实政府采购政策需满足的资格要求：</w:t>
      </w:r>
    </w:p>
    <w:p w14:paraId="54786120">
      <w:pPr>
        <w:keepNext w:val="0"/>
        <w:keepLines w:val="0"/>
        <w:pageBreakBefore w:val="0"/>
        <w:widowControl w:val="0"/>
        <w:tabs>
          <w:tab w:val="left" w:pos="0"/>
        </w:tabs>
        <w:spacing w:line="480" w:lineRule="exact"/>
        <w:ind w:right="0" w:firstLine="482"/>
        <w:rPr>
          <w:b/>
          <w:bCs/>
          <w:sz w:val="24"/>
          <w:szCs w:val="24"/>
        </w:rPr>
      </w:pPr>
      <w:r>
        <w:rPr>
          <w:b/>
          <w:bCs/>
          <w:sz w:val="24"/>
          <w:szCs w:val="24"/>
        </w:rPr>
        <w:t>（1）本项目专门面向中小企业采购，所属行业为</w:t>
      </w:r>
      <w:r>
        <w:rPr>
          <w:rFonts w:hint="eastAsia" w:ascii="宋体" w:hAnsi="宋体" w:cs="宋体"/>
          <w:b/>
          <w:sz w:val="24"/>
          <w:szCs w:val="24"/>
          <w:lang w:val="en-US" w:eastAsia="zh-CN"/>
        </w:rPr>
        <w:t>建筑业</w:t>
      </w:r>
      <w:r>
        <w:rPr>
          <w:b/>
          <w:bCs/>
          <w:sz w:val="24"/>
          <w:szCs w:val="24"/>
        </w:rPr>
        <w:t>。</w:t>
      </w:r>
    </w:p>
    <w:p w14:paraId="4170733F">
      <w:pPr>
        <w:keepNext w:val="0"/>
        <w:keepLines w:val="0"/>
        <w:pageBreakBefore w:val="0"/>
        <w:widowControl w:val="0"/>
        <w:tabs>
          <w:tab w:val="left" w:pos="0"/>
        </w:tabs>
        <w:spacing w:line="480" w:lineRule="exact"/>
        <w:ind w:right="0" w:firstLine="480"/>
        <w:rPr>
          <w:sz w:val="24"/>
          <w:szCs w:val="24"/>
        </w:rPr>
      </w:pPr>
      <w:r>
        <w:rPr>
          <w:sz w:val="24"/>
          <w:szCs w:val="24"/>
        </w:rPr>
        <w:t>（2）在响应文件中须提供《中小企业声明函》（填报严格按工信部联企业〔2011〕300号通知中的《中小企业划型标准规定》进行）。</w:t>
      </w:r>
    </w:p>
    <w:p w14:paraId="7904C659">
      <w:pPr>
        <w:keepNext w:val="0"/>
        <w:keepLines w:val="0"/>
        <w:pageBreakBefore w:val="0"/>
        <w:widowControl w:val="0"/>
        <w:tabs>
          <w:tab w:val="left" w:pos="0"/>
        </w:tabs>
        <w:spacing w:line="480" w:lineRule="exact"/>
        <w:ind w:right="0" w:firstLine="480"/>
        <w:rPr>
          <w:sz w:val="24"/>
          <w:szCs w:val="24"/>
        </w:rPr>
      </w:pPr>
      <w:r>
        <w:rPr>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26851E8">
      <w:pPr>
        <w:keepNext w:val="0"/>
        <w:keepLines w:val="0"/>
        <w:pageBreakBefore w:val="0"/>
        <w:widowControl w:val="0"/>
        <w:tabs>
          <w:tab w:val="left" w:pos="0"/>
        </w:tabs>
        <w:spacing w:line="480" w:lineRule="exact"/>
        <w:ind w:right="0" w:firstLine="480"/>
        <w:rPr>
          <w:sz w:val="24"/>
        </w:rPr>
      </w:pPr>
      <w:r>
        <w:rPr>
          <w:rFonts w:hint="eastAsia"/>
          <w:sz w:val="24"/>
        </w:rPr>
        <w:t>（4）享受政府采购支持政策的残疾人福利性单位应当同时满足以下条件：</w:t>
      </w:r>
    </w:p>
    <w:p w14:paraId="327FA4CB">
      <w:pPr>
        <w:keepNext w:val="0"/>
        <w:keepLines w:val="0"/>
        <w:pageBreakBefore w:val="0"/>
        <w:widowControl w:val="0"/>
        <w:tabs>
          <w:tab w:val="left" w:pos="0"/>
        </w:tabs>
        <w:spacing w:line="480" w:lineRule="exact"/>
        <w:ind w:right="0" w:firstLine="360"/>
        <w:rPr>
          <w:sz w:val="24"/>
        </w:rPr>
      </w:pPr>
      <w:r>
        <w:rPr>
          <w:rFonts w:hint="eastAsia"/>
          <w:sz w:val="24"/>
        </w:rPr>
        <w:t>安置的残疾人占本单位在职职工人数的比例不低于25%（含25%），并且安置的残疾人人数不少于10人（含10人）；依法与安置的每位残疾人签订了一年以上（含一年）的劳动合同或服务协议；</w:t>
      </w:r>
    </w:p>
    <w:p w14:paraId="1033ABEA">
      <w:pPr>
        <w:keepNext w:val="0"/>
        <w:keepLines w:val="0"/>
        <w:pageBreakBefore w:val="0"/>
        <w:widowControl w:val="0"/>
        <w:tabs>
          <w:tab w:val="left" w:pos="0"/>
        </w:tabs>
        <w:spacing w:line="480" w:lineRule="exact"/>
        <w:ind w:right="0" w:firstLine="480"/>
        <w:rPr>
          <w:sz w:val="24"/>
        </w:rPr>
      </w:pPr>
      <w:r>
        <w:rPr>
          <w:rFonts w:hint="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594A5180">
      <w:pPr>
        <w:keepNext w:val="0"/>
        <w:keepLines w:val="0"/>
        <w:pageBreakBefore w:val="0"/>
        <w:widowControl w:val="0"/>
        <w:tabs>
          <w:tab w:val="left" w:pos="0"/>
        </w:tabs>
        <w:spacing w:line="480" w:lineRule="exact"/>
        <w:ind w:right="0" w:firstLine="480"/>
        <w:rPr>
          <w:sz w:val="24"/>
        </w:rPr>
      </w:pPr>
      <w:r>
        <w:rPr>
          <w:rFonts w:hint="eastAsia"/>
          <w:sz w:val="24"/>
        </w:rPr>
        <w:t>提供本单位制造的货物、承担的工程或者服务，或者提供其他残疾人福利性单位制造的货物（不包括使用非残疾人福利性单位注册商标的货物）。</w:t>
      </w:r>
    </w:p>
    <w:p w14:paraId="07DD3A68">
      <w:pPr>
        <w:keepNext w:val="0"/>
        <w:keepLines w:val="0"/>
        <w:pageBreakBefore w:val="0"/>
        <w:widowControl w:val="0"/>
        <w:tabs>
          <w:tab w:val="left" w:pos="0"/>
        </w:tabs>
        <w:spacing w:line="480" w:lineRule="exact"/>
        <w:ind w:right="0" w:firstLine="480"/>
        <w:rPr>
          <w:sz w:val="24"/>
        </w:rPr>
      </w:pPr>
      <w:r>
        <w:rPr>
          <w:rFonts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EC225EC">
      <w:pPr>
        <w:keepNext w:val="0"/>
        <w:keepLines w:val="0"/>
        <w:pageBreakBefore w:val="0"/>
        <w:widowControl w:val="0"/>
        <w:tabs>
          <w:tab w:val="left" w:pos="0"/>
        </w:tabs>
        <w:spacing w:line="480" w:lineRule="exact"/>
        <w:ind w:right="0" w:firstLine="480"/>
        <w:rPr>
          <w:rFonts w:ascii="宋体" w:hAnsi="宋体"/>
          <w:sz w:val="24"/>
          <w:szCs w:val="24"/>
        </w:rPr>
      </w:pPr>
      <w:r>
        <w:rPr>
          <w:sz w:val="24"/>
          <w:szCs w:val="24"/>
        </w:rPr>
        <w:t>（5）中标、成交供应商为</w:t>
      </w:r>
      <w:r>
        <w:rPr>
          <w:rFonts w:hint="eastAsia"/>
          <w:sz w:val="24"/>
          <w:szCs w:val="24"/>
        </w:rPr>
        <w:t>中小</w:t>
      </w:r>
      <w:r>
        <w:rPr>
          <w:sz w:val="24"/>
          <w:szCs w:val="24"/>
        </w:rPr>
        <w:t>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料，按“政府采购法”相关规定处理并报请政府监管部门给予行政处罚。</w:t>
      </w:r>
    </w:p>
    <w:p w14:paraId="7A77AC11">
      <w:pPr>
        <w:spacing w:line="440" w:lineRule="exact"/>
        <w:ind w:firstLine="240"/>
        <w:rPr>
          <w:rFonts w:hint="eastAsia"/>
          <w:bCs/>
          <w:sz w:val="24"/>
          <w:szCs w:val="22"/>
        </w:rPr>
      </w:pPr>
    </w:p>
    <w:p w14:paraId="200B16E6">
      <w:pPr>
        <w:pStyle w:val="2"/>
        <w:jc w:val="both"/>
        <w:rPr>
          <w:rFonts w:cs="宋体"/>
          <w:bCs/>
          <w:color w:val="000000"/>
          <w:sz w:val="24"/>
          <w:szCs w:val="24"/>
        </w:rPr>
        <w:sectPr>
          <w:headerReference r:id="rId6" w:type="first"/>
          <w:footerReference r:id="rId8" w:type="first"/>
          <w:headerReference r:id="rId5" w:type="default"/>
          <w:footerReference r:id="rId7" w:type="default"/>
          <w:pgSz w:w="11907" w:h="16839"/>
          <w:pgMar w:top="1440" w:right="1077" w:bottom="1440" w:left="1077" w:header="0" w:footer="0" w:gutter="0"/>
          <w:pgNumType w:start="2"/>
          <w:cols w:space="720" w:num="1"/>
          <w:titlePg/>
          <w:docGrid w:linePitch="360" w:charSpace="0"/>
        </w:sectPr>
      </w:pPr>
      <w:bookmarkStart w:id="66" w:name="_Toc3079"/>
      <w:bookmarkEnd w:id="66"/>
      <w:bookmarkStart w:id="67" w:name="_Toc5698"/>
      <w:bookmarkEnd w:id="67"/>
      <w:bookmarkStart w:id="68" w:name="_Toc8586"/>
      <w:bookmarkEnd w:id="68"/>
      <w:bookmarkStart w:id="69" w:name="_Toc2375"/>
      <w:bookmarkEnd w:id="69"/>
      <w:bookmarkStart w:id="70" w:name="_Toc24662"/>
      <w:bookmarkEnd w:id="70"/>
      <w:bookmarkStart w:id="71" w:name="_Toc103080653"/>
    </w:p>
    <w:p w14:paraId="097B9FBE">
      <w:pPr>
        <w:pStyle w:val="2"/>
      </w:pPr>
      <w:bookmarkStart w:id="72" w:name="_Toc159312658"/>
      <w:bookmarkStart w:id="73" w:name="_Toc25617"/>
      <w:r>
        <w:t>第</w:t>
      </w:r>
      <w:r>
        <w:rPr>
          <w:rFonts w:hint="eastAsia"/>
        </w:rPr>
        <w:t>六</w:t>
      </w:r>
      <w:r>
        <w:t xml:space="preserve">章  </w:t>
      </w:r>
      <w:r>
        <w:rPr>
          <w:rFonts w:hint="eastAsia"/>
        </w:rPr>
        <w:t>磋商响应</w:t>
      </w:r>
      <w:r>
        <w:t>文件格式</w:t>
      </w:r>
      <w:bookmarkEnd w:id="71"/>
      <w:bookmarkEnd w:id="72"/>
      <w:bookmarkEnd w:id="73"/>
    </w:p>
    <w:p w14:paraId="7360E005">
      <w:pPr>
        <w:jc w:val="center"/>
        <w:rPr>
          <w:rFonts w:hint="eastAsia"/>
          <w:b/>
          <w:sz w:val="72"/>
          <w:szCs w:val="72"/>
        </w:rPr>
      </w:pPr>
    </w:p>
    <w:p w14:paraId="61DA861E">
      <w:pPr>
        <w:jc w:val="center"/>
        <w:rPr>
          <w:b/>
          <w:sz w:val="72"/>
          <w:szCs w:val="72"/>
        </w:rPr>
      </w:pPr>
    </w:p>
    <w:p w14:paraId="7159D463">
      <w:pPr>
        <w:jc w:val="center"/>
        <w:rPr>
          <w:b/>
          <w:sz w:val="72"/>
          <w:szCs w:val="72"/>
        </w:rPr>
      </w:pPr>
      <w:r>
        <w:rPr>
          <w:rFonts w:hint="eastAsia"/>
          <w:b/>
          <w:sz w:val="72"/>
          <w:szCs w:val="72"/>
        </w:rPr>
        <w:t xml:space="preserve"> 磋 商</w:t>
      </w:r>
      <w:r>
        <w:rPr>
          <w:b/>
          <w:sz w:val="72"/>
          <w:szCs w:val="72"/>
        </w:rPr>
        <w:t xml:space="preserve"> </w:t>
      </w:r>
      <w:r>
        <w:rPr>
          <w:rFonts w:hint="eastAsia"/>
          <w:b/>
          <w:sz w:val="72"/>
          <w:szCs w:val="72"/>
        </w:rPr>
        <w:t xml:space="preserve">响 应 </w:t>
      </w:r>
      <w:r>
        <w:rPr>
          <w:b/>
          <w:sz w:val="72"/>
          <w:szCs w:val="72"/>
        </w:rPr>
        <w:t>文 件</w:t>
      </w:r>
    </w:p>
    <w:p w14:paraId="7A2F052E">
      <w:pPr>
        <w:rPr>
          <w:rFonts w:hint="eastAsia"/>
          <w:b/>
          <w:sz w:val="36"/>
          <w:szCs w:val="36"/>
        </w:rPr>
      </w:pPr>
    </w:p>
    <w:p w14:paraId="3220D223">
      <w:pPr>
        <w:rPr>
          <w:b/>
          <w:sz w:val="36"/>
          <w:szCs w:val="36"/>
        </w:rPr>
      </w:pPr>
    </w:p>
    <w:p w14:paraId="3C5E7FD4">
      <w:pPr>
        <w:ind w:firstLine="1084"/>
        <w:jc w:val="both"/>
        <w:rPr>
          <w:rFonts w:hint="eastAsia" w:eastAsia="宋体"/>
          <w:b/>
          <w:sz w:val="36"/>
          <w:szCs w:val="36"/>
          <w:lang w:eastAsia="zh-CN"/>
        </w:rPr>
      </w:pPr>
      <w:r>
        <w:rPr>
          <w:b/>
          <w:sz w:val="36"/>
          <w:szCs w:val="36"/>
        </w:rPr>
        <w:t>项目名称：</w:t>
      </w:r>
      <w:r>
        <w:rPr>
          <w:rFonts w:hint="eastAsia"/>
          <w:b/>
          <w:sz w:val="36"/>
          <w:szCs w:val="36"/>
          <w:lang w:eastAsia="zh-CN"/>
        </w:rPr>
        <w:t>常熟市2026-2027年度储备地块绿化移植和养护项目</w:t>
      </w:r>
    </w:p>
    <w:p w14:paraId="46C994EF">
      <w:pPr>
        <w:ind w:firstLine="1084"/>
        <w:rPr>
          <w:b/>
          <w:sz w:val="36"/>
          <w:szCs w:val="36"/>
        </w:rPr>
      </w:pPr>
    </w:p>
    <w:p w14:paraId="4A757935">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JSZC-320581-CSXC-C2026-0012</w:t>
      </w:r>
    </w:p>
    <w:p w14:paraId="17A526EE">
      <w:pPr>
        <w:ind w:firstLine="1084"/>
        <w:rPr>
          <w:rFonts w:hint="eastAsia"/>
          <w:b/>
          <w:sz w:val="36"/>
          <w:szCs w:val="36"/>
        </w:rPr>
      </w:pPr>
    </w:p>
    <w:p w14:paraId="03F964EB">
      <w:pPr>
        <w:ind w:firstLine="1084"/>
        <w:rPr>
          <w:rFonts w:hint="eastAsia"/>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0A9B741E">
      <w:pPr>
        <w:ind w:firstLine="1084"/>
        <w:rPr>
          <w:b/>
          <w:sz w:val="36"/>
          <w:szCs w:val="36"/>
        </w:rPr>
      </w:pPr>
    </w:p>
    <w:p w14:paraId="146FEE17">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eastAsia="zh-CN"/>
        </w:rPr>
        <w:t>202</w:t>
      </w:r>
      <w:r>
        <w:rPr>
          <w:rFonts w:hint="eastAsia"/>
          <w:b/>
          <w:sz w:val="36"/>
          <w:szCs w:val="36"/>
          <w:lang w:val="en-US" w:eastAsia="zh-CN"/>
        </w:rPr>
        <w:t>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4B08A23D">
      <w:pPr>
        <w:ind w:firstLine="1807"/>
        <w:rPr>
          <w:rFonts w:hint="eastAsia"/>
          <w:b/>
          <w:sz w:val="36"/>
          <w:szCs w:val="36"/>
        </w:rPr>
      </w:pPr>
    </w:p>
    <w:p w14:paraId="27E2ACF8">
      <w:pPr>
        <w:rPr>
          <w:b/>
          <w:sz w:val="10"/>
          <w:szCs w:val="10"/>
        </w:rPr>
      </w:pPr>
    </w:p>
    <w:p w14:paraId="58BD7A41">
      <w:pPr>
        <w:ind w:firstLine="2530"/>
        <w:rPr>
          <w:b/>
          <w:sz w:val="36"/>
          <w:szCs w:val="36"/>
        </w:rPr>
      </w:pPr>
    </w:p>
    <w:p w14:paraId="0F86378F">
      <w:pPr>
        <w:rPr>
          <w:rFonts w:hint="eastAsia"/>
          <w:sz w:val="36"/>
          <w:szCs w:val="36"/>
        </w:rPr>
      </w:pPr>
    </w:p>
    <w:p w14:paraId="5A1EB353">
      <w:pPr>
        <w:rPr>
          <w:rFonts w:hint="eastAsia"/>
          <w:sz w:val="36"/>
          <w:szCs w:val="36"/>
        </w:rPr>
      </w:pPr>
    </w:p>
    <w:p w14:paraId="5C528878">
      <w:pPr>
        <w:rPr>
          <w:rFonts w:hint="eastAsia"/>
          <w:sz w:val="36"/>
          <w:szCs w:val="36"/>
        </w:rPr>
      </w:pPr>
    </w:p>
    <w:p w14:paraId="36D27A82">
      <w:pPr>
        <w:rPr>
          <w:rFonts w:hint="eastAsia"/>
          <w:sz w:val="36"/>
          <w:szCs w:val="36"/>
        </w:rPr>
      </w:pPr>
    </w:p>
    <w:p w14:paraId="433D1C29">
      <w:pPr>
        <w:jc w:val="center"/>
        <w:rPr>
          <w:rFonts w:hint="eastAsia" w:cs="宋体"/>
          <w:b/>
          <w:bCs/>
          <w:color w:val="000000"/>
          <w:sz w:val="32"/>
          <w:szCs w:val="32"/>
        </w:rPr>
      </w:pPr>
      <w:r>
        <w:rPr>
          <w:b/>
          <w:sz w:val="44"/>
          <w:szCs w:val="44"/>
        </w:rPr>
        <w:br w:type="page" w:clear="all"/>
      </w:r>
      <w:r>
        <w:rPr>
          <w:rFonts w:hint="eastAsia" w:cs="宋体"/>
          <w:b/>
          <w:bCs/>
          <w:color w:val="000000"/>
          <w:sz w:val="32"/>
          <w:szCs w:val="32"/>
        </w:rPr>
        <w:t>响应文件目录</w:t>
      </w:r>
    </w:p>
    <w:p w14:paraId="2AB8CC58">
      <w:pPr>
        <w:keepNext w:val="0"/>
        <w:keepLines w:val="0"/>
        <w:pageBreakBefore w:val="0"/>
        <w:widowControl w:val="0"/>
        <w:numPr>
          <w:ilvl w:val="0"/>
          <w:numId w:val="0"/>
        </w:numPr>
        <w:spacing w:line="360" w:lineRule="exact"/>
        <w:ind w:firstLine="241"/>
        <w:rPr>
          <w:rFonts w:hint="eastAsia"/>
          <w:b/>
          <w:sz w:val="24"/>
        </w:rPr>
      </w:pPr>
      <w:r>
        <w:rPr>
          <w:rFonts w:hint="eastAsia"/>
          <w:b/>
          <w:sz w:val="24"/>
          <w:lang w:val="en-US" w:eastAsia="zh-CN"/>
        </w:rPr>
        <w:t>一、</w:t>
      </w:r>
      <w:r>
        <w:rPr>
          <w:rFonts w:hint="eastAsia"/>
          <w:b/>
          <w:sz w:val="24"/>
        </w:rPr>
        <w:t>基本目录</w:t>
      </w:r>
    </w:p>
    <w:p w14:paraId="3D760D50">
      <w:pPr>
        <w:keepNext w:val="0"/>
        <w:keepLines w:val="0"/>
        <w:pageBreakBefore w:val="0"/>
        <w:widowControl w:val="0"/>
        <w:spacing w:line="360" w:lineRule="exact"/>
        <w:ind w:firstLine="48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1、封面</w:t>
      </w:r>
    </w:p>
    <w:p w14:paraId="222469FC">
      <w:pPr>
        <w:keepNext w:val="0"/>
        <w:keepLines w:val="0"/>
        <w:pageBreakBefore w:val="0"/>
        <w:widowControl w:val="0"/>
        <w:spacing w:line="360" w:lineRule="exact"/>
        <w:ind w:firstLine="42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*2、报价一览表（格式见附件1）</w:t>
      </w:r>
    </w:p>
    <w:p w14:paraId="24F3B710">
      <w:pPr>
        <w:keepNext w:val="0"/>
        <w:keepLines w:val="0"/>
        <w:pageBreakBefore w:val="0"/>
        <w:widowControl w:val="0"/>
        <w:numPr>
          <w:ilvl w:val="0"/>
          <w:numId w:val="0"/>
        </w:numPr>
        <w:spacing w:line="360" w:lineRule="exact"/>
        <w:ind w:firstLine="241"/>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二、资格审查内容</w:t>
      </w:r>
    </w:p>
    <w:p w14:paraId="16C78075">
      <w:pPr>
        <w:keepNext w:val="0"/>
        <w:keepLines w:val="0"/>
        <w:pageBreakBefore w:val="0"/>
        <w:widowControl w:val="0"/>
        <w:spacing w:line="360" w:lineRule="exact"/>
        <w:ind w:firstLine="420"/>
        <w:rPr>
          <w:sz w:val="24"/>
        </w:rPr>
      </w:pPr>
      <w:r>
        <w:rPr>
          <w:rFonts w:ascii="Times New Roman" w:hAnsi="Times New Roman"/>
          <w:color w:val="000000"/>
          <w:sz w:val="24"/>
        </w:rPr>
        <w:t>*</w:t>
      </w:r>
      <w:r>
        <w:rPr>
          <w:rFonts w:hint="eastAsia"/>
          <w:sz w:val="24"/>
        </w:rPr>
        <w:t>1、</w:t>
      </w:r>
      <w:r>
        <w:rPr>
          <w:sz w:val="24"/>
          <w:szCs w:val="24"/>
        </w:rPr>
        <w:t>满足《中华人民共和国政府采购法》第二十二条规定</w:t>
      </w:r>
      <w:r>
        <w:rPr>
          <w:rFonts w:hint="eastAsia"/>
          <w:sz w:val="24"/>
          <w:szCs w:val="24"/>
        </w:rPr>
        <w:t>，并提供下列材料：</w:t>
      </w:r>
    </w:p>
    <w:p w14:paraId="523701CE">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1.1 法人或者其他组织的营业执照等证明文件；</w:t>
      </w:r>
    </w:p>
    <w:p w14:paraId="7864942C">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1.1.1法人或者其他组织的营业执照</w:t>
      </w:r>
    </w:p>
    <w:p w14:paraId="61661602">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1.1.2法定代表人居民身份证</w:t>
      </w:r>
    </w:p>
    <w:p w14:paraId="1C8AC2A0">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1.1.3授权代表居民身份证</w:t>
      </w:r>
    </w:p>
    <w:p w14:paraId="3BD109B8">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1.1.4法人授权书（格式见附件</w:t>
      </w:r>
      <w:r>
        <w:rPr>
          <w:rFonts w:hint="eastAsia" w:ascii="宋体" w:hAnsi="宋体"/>
          <w:sz w:val="24"/>
          <w:lang w:val="en-US" w:eastAsia="zh-CN"/>
        </w:rPr>
        <w:t>4</w:t>
      </w:r>
      <w:r>
        <w:rPr>
          <w:rFonts w:hint="eastAsia" w:ascii="宋体" w:hAnsi="宋体"/>
          <w:sz w:val="24"/>
        </w:rPr>
        <w:t>）</w:t>
      </w:r>
    </w:p>
    <w:p w14:paraId="47319B60">
      <w:pPr>
        <w:keepNext w:val="0"/>
        <w:keepLines w:val="0"/>
        <w:pageBreakBefore w:val="0"/>
        <w:widowControl w:val="0"/>
        <w:spacing w:line="360" w:lineRule="exact"/>
        <w:ind w:firstLine="480"/>
        <w:rPr>
          <w:rFonts w:hint="eastAsia" w:ascii="宋体" w:hAnsi="宋体"/>
          <w:sz w:val="24"/>
        </w:rPr>
      </w:pPr>
      <w:r>
        <w:rPr>
          <w:rFonts w:hint="eastAsia" w:ascii="宋体" w:hAnsi="宋体"/>
          <w:b/>
          <w:bCs/>
          <w:color w:val="auto"/>
          <w:sz w:val="24"/>
        </w:rPr>
        <w:t>注：法定代表人签署</w:t>
      </w:r>
      <w:r>
        <w:rPr>
          <w:rFonts w:hint="eastAsia" w:ascii="宋体" w:hAnsi="宋体"/>
          <w:b/>
          <w:bCs/>
          <w:color w:val="auto"/>
          <w:sz w:val="24"/>
          <w:lang w:val="en-US" w:eastAsia="zh-CN"/>
        </w:rPr>
        <w:t>响应</w:t>
      </w:r>
      <w:r>
        <w:rPr>
          <w:rFonts w:hint="eastAsia" w:ascii="宋体" w:hAnsi="宋体"/>
          <w:b/>
          <w:bCs/>
          <w:color w:val="auto"/>
          <w:sz w:val="24"/>
        </w:rPr>
        <w:t>文件并参加投标的无需提供授权书及授权代表居民身份证</w:t>
      </w:r>
    </w:p>
    <w:p w14:paraId="6A86E8A3">
      <w:pPr>
        <w:keepNext w:val="0"/>
        <w:keepLines w:val="0"/>
        <w:pageBreakBefore w:val="0"/>
        <w:widowControl w:val="0"/>
        <w:spacing w:line="360" w:lineRule="exact"/>
        <w:ind w:firstLine="787"/>
        <w:rPr>
          <w:rFonts w:hint="eastAsia" w:ascii="宋体" w:hAnsi="宋体"/>
          <w:b/>
          <w:bCs/>
          <w:sz w:val="24"/>
        </w:rPr>
      </w:pPr>
      <w:r>
        <w:rPr>
          <w:rFonts w:hint="eastAsia" w:ascii="宋体" w:hAnsi="宋体"/>
          <w:sz w:val="24"/>
        </w:rPr>
        <w:t>1.2 提供最近一期经会计事务所审计的财务报告（成立不满一年需提供资产负债表和利润表）或银行（金融机构）出具的资信证明</w:t>
      </w:r>
      <w:r>
        <w:rPr>
          <w:rFonts w:hint="eastAsia" w:ascii="宋体" w:hAnsi="宋体"/>
          <w:b/>
          <w:bCs/>
          <w:sz w:val="24"/>
        </w:rPr>
        <w:t>（距开标时间六个月内开具的资信证明）</w:t>
      </w:r>
    </w:p>
    <w:p w14:paraId="6B5FC567">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6CC539A9">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1.4 具备履行合同所必需的设备和专业技术能力的书面声明（格式见附件</w:t>
      </w:r>
      <w:r>
        <w:rPr>
          <w:rFonts w:hint="eastAsia" w:ascii="宋体" w:hAnsi="宋体"/>
          <w:sz w:val="24"/>
          <w:lang w:val="en-US" w:eastAsia="zh-CN"/>
        </w:rPr>
        <w:t>2</w:t>
      </w:r>
      <w:r>
        <w:rPr>
          <w:rFonts w:hint="eastAsia" w:ascii="宋体" w:hAnsi="宋体"/>
          <w:sz w:val="24"/>
        </w:rPr>
        <w:t>）</w:t>
      </w:r>
    </w:p>
    <w:p w14:paraId="6AD44979">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1.5 参加政府采购活动前 3 年内在经营活动中没有重大违法记录的书面声明（格式见附件</w:t>
      </w:r>
      <w:r>
        <w:rPr>
          <w:rFonts w:hint="eastAsia" w:ascii="宋体" w:hAnsi="宋体"/>
          <w:sz w:val="24"/>
          <w:lang w:val="en-US" w:eastAsia="zh-CN"/>
        </w:rPr>
        <w:t>3</w:t>
      </w:r>
      <w:r>
        <w:rPr>
          <w:rFonts w:hint="eastAsia" w:ascii="宋体" w:hAnsi="宋体"/>
          <w:sz w:val="24"/>
        </w:rPr>
        <w:t>）</w:t>
      </w:r>
    </w:p>
    <w:p w14:paraId="75D0A51F">
      <w:pPr>
        <w:keepNext w:val="0"/>
        <w:keepLines w:val="0"/>
        <w:pageBreakBefore w:val="0"/>
        <w:widowControl w:val="0"/>
        <w:spacing w:line="360" w:lineRule="exact"/>
        <w:ind w:firstLine="480"/>
        <w:rPr>
          <w:rFonts w:hint="eastAsia"/>
          <w:bCs/>
          <w:color w:val="000000"/>
          <w:sz w:val="24"/>
          <w:szCs w:val="24"/>
        </w:rPr>
      </w:pPr>
      <w:r>
        <w:rPr>
          <w:rFonts w:ascii="Times New Roman" w:hAnsi="Times New Roman"/>
          <w:color w:val="000000"/>
          <w:sz w:val="24"/>
        </w:rPr>
        <w:t>*</w:t>
      </w:r>
      <w:r>
        <w:rPr>
          <w:rFonts w:hint="eastAsia"/>
          <w:bCs/>
          <w:color w:val="000000"/>
          <w:sz w:val="24"/>
          <w:szCs w:val="24"/>
          <w:lang w:val="en-US" w:eastAsia="zh-CN"/>
        </w:rPr>
        <w:t>2</w:t>
      </w:r>
      <w:r>
        <w:rPr>
          <w:rFonts w:hint="eastAsia"/>
          <w:bCs/>
          <w:color w:val="000000"/>
          <w:sz w:val="24"/>
          <w:szCs w:val="24"/>
        </w:rPr>
        <w:t>、中小企业声明函（格式见附件</w:t>
      </w:r>
      <w:r>
        <w:rPr>
          <w:rFonts w:hint="eastAsia"/>
          <w:bCs/>
          <w:color w:val="000000"/>
          <w:sz w:val="24"/>
          <w:szCs w:val="24"/>
          <w:lang w:val="en-US" w:eastAsia="zh-CN"/>
        </w:rPr>
        <w:t>6</w:t>
      </w:r>
      <w:r>
        <w:rPr>
          <w:rFonts w:hint="eastAsia"/>
          <w:bCs/>
          <w:color w:val="000000"/>
          <w:sz w:val="24"/>
          <w:szCs w:val="24"/>
        </w:rPr>
        <w:t>）或残疾人福利性单位声明函（格式见附件</w:t>
      </w:r>
      <w:r>
        <w:rPr>
          <w:rFonts w:hint="eastAsia"/>
          <w:bCs/>
          <w:color w:val="000000"/>
          <w:sz w:val="24"/>
          <w:szCs w:val="24"/>
          <w:lang w:val="en-US" w:eastAsia="zh-CN"/>
        </w:rPr>
        <w:t>7</w:t>
      </w:r>
      <w:r>
        <w:rPr>
          <w:rFonts w:hint="eastAsia"/>
          <w:bCs/>
          <w:color w:val="000000"/>
          <w:sz w:val="24"/>
          <w:szCs w:val="24"/>
        </w:rPr>
        <w:t>）或省级以上监狱管理局、戒毒管理局（含新疆生产建设兵团）出具的属于监狱企业的证明文件。</w:t>
      </w:r>
    </w:p>
    <w:p w14:paraId="134C9134">
      <w:pPr>
        <w:keepNext w:val="0"/>
        <w:keepLines w:val="0"/>
        <w:pageBreakBefore w:val="0"/>
        <w:widowControl w:val="0"/>
        <w:spacing w:line="360" w:lineRule="exact"/>
        <w:rPr>
          <w:b/>
          <w:sz w:val="24"/>
        </w:rPr>
      </w:pPr>
      <w:r>
        <w:rPr>
          <w:rFonts w:hint="eastAsia"/>
          <w:b/>
          <w:sz w:val="24"/>
        </w:rPr>
        <w:t>三</w:t>
      </w:r>
      <w:r>
        <w:rPr>
          <w:b/>
          <w:sz w:val="24"/>
        </w:rPr>
        <w:t>、</w:t>
      </w:r>
      <w:r>
        <w:rPr>
          <w:rFonts w:hint="eastAsia"/>
          <w:b/>
          <w:sz w:val="24"/>
        </w:rPr>
        <w:t>符合性</w:t>
      </w:r>
      <w:r>
        <w:rPr>
          <w:b/>
          <w:sz w:val="24"/>
        </w:rPr>
        <w:t>审查内容</w:t>
      </w:r>
    </w:p>
    <w:p w14:paraId="3431FF41">
      <w:pPr>
        <w:keepNext w:val="0"/>
        <w:keepLines w:val="0"/>
        <w:pageBreakBefore w:val="0"/>
        <w:widowControl w:val="0"/>
        <w:spacing w:line="360" w:lineRule="exact"/>
        <w:ind w:firstLine="420"/>
        <w:rPr>
          <w:rFonts w:hint="eastAsia"/>
          <w:sz w:val="24"/>
        </w:rPr>
      </w:pPr>
      <w:r>
        <w:rPr>
          <w:rFonts w:ascii="Times New Roman" w:hAnsi="Times New Roman"/>
          <w:color w:val="000000"/>
          <w:sz w:val="24"/>
        </w:rPr>
        <w:t>*</w:t>
      </w:r>
      <w:r>
        <w:rPr>
          <w:rFonts w:hint="eastAsia"/>
          <w:sz w:val="24"/>
        </w:rPr>
        <w:t>1</w:t>
      </w:r>
      <w:r>
        <w:rPr>
          <w:sz w:val="24"/>
        </w:rPr>
        <w:t>.</w:t>
      </w:r>
      <w:r>
        <w:rPr>
          <w:rFonts w:hint="eastAsia"/>
          <w:sz w:val="24"/>
        </w:rPr>
        <w:t>磋商响应函（格式见附件</w:t>
      </w:r>
      <w:r>
        <w:rPr>
          <w:rFonts w:hint="eastAsia"/>
          <w:sz w:val="24"/>
          <w:lang w:val="en-US" w:eastAsia="zh-CN"/>
        </w:rPr>
        <w:t>5</w:t>
      </w:r>
      <w:r>
        <w:rPr>
          <w:rFonts w:hint="eastAsia"/>
          <w:sz w:val="24"/>
        </w:rPr>
        <w:t>）</w:t>
      </w:r>
    </w:p>
    <w:p w14:paraId="3E385AEB">
      <w:pPr>
        <w:keepNext w:val="0"/>
        <w:keepLines w:val="0"/>
        <w:pageBreakBefore w:val="0"/>
        <w:widowControl w:val="0"/>
        <w:spacing w:line="360" w:lineRule="exact"/>
        <w:ind w:firstLine="420"/>
        <w:rPr>
          <w:rFonts w:hint="eastAsia"/>
          <w:sz w:val="24"/>
        </w:rPr>
      </w:pPr>
      <w:r>
        <w:rPr>
          <w:rFonts w:ascii="Times New Roman" w:hAnsi="Times New Roman" w:eastAsia="宋体" w:cs="Times New Roman"/>
          <w:color w:val="000000"/>
          <w:sz w:val="24"/>
        </w:rPr>
        <w:t>*</w:t>
      </w:r>
      <w:r>
        <w:rPr>
          <w:rFonts w:hint="eastAsia" w:ascii="Times New Roman" w:hAnsi="Times New Roman" w:eastAsia="宋体" w:cs="Times New Roman"/>
          <w:color w:val="000000"/>
          <w:sz w:val="24"/>
          <w:lang w:val="en-US" w:eastAsia="zh-CN"/>
        </w:rPr>
        <w:t>2.报价一览表（格式见附件1）</w:t>
      </w:r>
    </w:p>
    <w:p w14:paraId="70F24A2F">
      <w:pPr>
        <w:keepNext w:val="0"/>
        <w:keepLines w:val="0"/>
        <w:pageBreakBefore w:val="0"/>
        <w:widowControl w:val="0"/>
        <w:spacing w:line="360" w:lineRule="exact"/>
        <w:ind w:firstLine="420"/>
        <w:rPr>
          <w:rFonts w:hint="eastAsia"/>
          <w:sz w:val="24"/>
        </w:rPr>
      </w:pPr>
      <w:r>
        <w:rPr>
          <w:rFonts w:ascii="Times New Roman" w:hAnsi="Times New Roman" w:eastAsia="宋体" w:cs="Times New Roman"/>
          <w:color w:val="000000"/>
          <w:sz w:val="24"/>
        </w:rPr>
        <w:t>*</w:t>
      </w:r>
      <w:r>
        <w:rPr>
          <w:rFonts w:hint="eastAsia" w:ascii="Times New Roman" w:hAnsi="Times New Roman" w:eastAsia="宋体" w:cs="Times New Roman"/>
          <w:color w:val="000000"/>
          <w:sz w:val="24"/>
          <w:lang w:val="en-US" w:eastAsia="zh-CN"/>
        </w:rPr>
        <w:t>3.</w:t>
      </w:r>
      <w:r>
        <w:rPr>
          <w:rFonts w:hint="eastAsia" w:ascii="Times New Roman" w:hAnsi="Times New Roman" w:eastAsia="宋体" w:cs="Times New Roman"/>
          <w:color w:val="000000"/>
          <w:sz w:val="24"/>
        </w:rPr>
        <w:t>实质性要求响应及偏离表（格式见附件</w:t>
      </w:r>
      <w:r>
        <w:rPr>
          <w:rFonts w:hint="eastAsia" w:ascii="Times New Roman" w:hAnsi="Times New Roman" w:eastAsia="宋体" w:cs="Times New Roman"/>
          <w:color w:val="000000"/>
          <w:sz w:val="24"/>
          <w:lang w:val="en-US" w:eastAsia="zh-CN"/>
        </w:rPr>
        <w:t>8</w:t>
      </w:r>
      <w:r>
        <w:rPr>
          <w:rFonts w:hint="eastAsia" w:ascii="Times New Roman" w:hAnsi="Times New Roman" w:eastAsia="宋体" w:cs="Times New Roman"/>
          <w:color w:val="000000"/>
          <w:sz w:val="24"/>
        </w:rPr>
        <w:t>）</w:t>
      </w:r>
    </w:p>
    <w:p w14:paraId="53820E77">
      <w:pPr>
        <w:keepNext w:val="0"/>
        <w:keepLines w:val="0"/>
        <w:pageBreakBefore w:val="0"/>
        <w:widowControl w:val="0"/>
        <w:spacing w:line="360" w:lineRule="exact"/>
        <w:rPr>
          <w:rFonts w:hint="eastAsia"/>
          <w:b/>
          <w:sz w:val="24"/>
        </w:rPr>
      </w:pPr>
      <w:r>
        <w:rPr>
          <w:rFonts w:hint="eastAsia"/>
          <w:b/>
          <w:sz w:val="24"/>
        </w:rPr>
        <w:t>四、综合评审文件</w:t>
      </w:r>
    </w:p>
    <w:p w14:paraId="4744AD07">
      <w:pPr>
        <w:keepNext w:val="0"/>
        <w:keepLines w:val="0"/>
        <w:pageBreakBefore w:val="0"/>
        <w:widowControl w:val="0"/>
        <w:spacing w:line="360" w:lineRule="exact"/>
        <w:ind w:firstLine="420"/>
        <w:rPr>
          <w:sz w:val="24"/>
        </w:rPr>
      </w:pPr>
      <w:r>
        <w:rPr>
          <w:rFonts w:hint="eastAsia"/>
          <w:sz w:val="24"/>
          <w:lang w:val="en-US" w:eastAsia="zh-CN"/>
        </w:rPr>
        <w:t>1</w:t>
      </w:r>
      <w:r>
        <w:rPr>
          <w:rFonts w:hint="eastAsia"/>
          <w:sz w:val="24"/>
        </w:rPr>
        <w:t>、项目实施方案（格式见</w:t>
      </w:r>
      <w:r>
        <w:rPr>
          <w:sz w:val="24"/>
        </w:rPr>
        <w:t>附件</w:t>
      </w:r>
      <w:r>
        <w:rPr>
          <w:rFonts w:hint="eastAsia"/>
          <w:sz w:val="24"/>
          <w:lang w:val="en-US" w:eastAsia="zh-CN"/>
        </w:rPr>
        <w:t>9</w:t>
      </w:r>
      <w:r>
        <w:rPr>
          <w:rFonts w:hint="eastAsia"/>
          <w:sz w:val="24"/>
        </w:rPr>
        <w:t>）</w:t>
      </w:r>
    </w:p>
    <w:p w14:paraId="65960936">
      <w:pPr>
        <w:keepNext w:val="0"/>
        <w:keepLines w:val="0"/>
        <w:pageBreakBefore w:val="0"/>
        <w:widowControl w:val="0"/>
        <w:spacing w:line="360" w:lineRule="exact"/>
        <w:ind w:firstLine="420"/>
        <w:rPr>
          <w:sz w:val="24"/>
        </w:rPr>
      </w:pPr>
      <w:r>
        <w:rPr>
          <w:rFonts w:hint="eastAsia"/>
          <w:sz w:val="24"/>
          <w:lang w:val="en-US" w:eastAsia="zh-CN"/>
        </w:rPr>
        <w:t>2</w:t>
      </w:r>
      <w:r>
        <w:rPr>
          <w:rFonts w:hint="eastAsia"/>
          <w:sz w:val="24"/>
        </w:rPr>
        <w:t>、业绩一览表（格式见</w:t>
      </w:r>
      <w:r>
        <w:rPr>
          <w:sz w:val="24"/>
        </w:rPr>
        <w:t>附件</w:t>
      </w:r>
      <w:r>
        <w:rPr>
          <w:rFonts w:hint="eastAsia"/>
          <w:sz w:val="24"/>
          <w:lang w:val="en-US" w:eastAsia="zh-CN"/>
        </w:rPr>
        <w:t>10</w:t>
      </w:r>
      <w:r>
        <w:rPr>
          <w:rFonts w:hint="eastAsia"/>
          <w:sz w:val="24"/>
        </w:rPr>
        <w:t>）</w:t>
      </w:r>
    </w:p>
    <w:p w14:paraId="52F4B745">
      <w:pPr>
        <w:keepNext w:val="0"/>
        <w:keepLines w:val="0"/>
        <w:pageBreakBefore w:val="0"/>
        <w:widowControl w:val="0"/>
        <w:spacing w:line="360" w:lineRule="exact"/>
        <w:ind w:firstLine="420"/>
        <w:rPr>
          <w:rFonts w:hint="eastAsia"/>
          <w:sz w:val="24"/>
          <w:lang w:val="en-US" w:eastAsia="zh-CN"/>
        </w:rPr>
      </w:pPr>
      <w:r>
        <w:rPr>
          <w:rFonts w:hint="eastAsia"/>
          <w:sz w:val="24"/>
          <w:lang w:val="en-US" w:eastAsia="zh-CN"/>
        </w:rPr>
        <w:t>3</w:t>
      </w:r>
      <w:r>
        <w:rPr>
          <w:rFonts w:hint="eastAsia"/>
          <w:sz w:val="24"/>
        </w:rPr>
        <w:t>、</w:t>
      </w:r>
      <w:r>
        <w:rPr>
          <w:rFonts w:hint="eastAsia"/>
          <w:sz w:val="24"/>
          <w:lang w:val="en-US" w:eastAsia="zh-CN"/>
        </w:rPr>
        <w:t>商务条件响应表（</w:t>
      </w:r>
      <w:r>
        <w:rPr>
          <w:rFonts w:hint="eastAsia"/>
          <w:sz w:val="24"/>
        </w:rPr>
        <w:t>格式见</w:t>
      </w:r>
      <w:r>
        <w:rPr>
          <w:sz w:val="24"/>
        </w:rPr>
        <w:t>附件</w:t>
      </w:r>
      <w:r>
        <w:rPr>
          <w:rFonts w:hint="eastAsia"/>
          <w:sz w:val="24"/>
          <w:lang w:val="en-US" w:eastAsia="zh-CN"/>
        </w:rPr>
        <w:t>11）</w:t>
      </w:r>
    </w:p>
    <w:p w14:paraId="1EEA0C3D">
      <w:pPr>
        <w:keepNext w:val="0"/>
        <w:keepLines w:val="0"/>
        <w:pageBreakBefore w:val="0"/>
        <w:widowControl w:val="0"/>
        <w:spacing w:line="360" w:lineRule="exact"/>
        <w:ind w:firstLine="420"/>
        <w:rPr>
          <w:rFonts w:hint="default"/>
          <w:sz w:val="24"/>
          <w:lang w:val="en-US" w:eastAsia="zh-CN"/>
        </w:rPr>
      </w:pPr>
      <w:r>
        <w:rPr>
          <w:rFonts w:hint="eastAsia"/>
          <w:sz w:val="24"/>
          <w:lang w:val="en-US" w:eastAsia="zh-CN"/>
        </w:rPr>
        <w:t>4、人员配备情况</w:t>
      </w:r>
      <w:r>
        <w:rPr>
          <w:rFonts w:hint="eastAsia"/>
          <w:sz w:val="24"/>
        </w:rPr>
        <w:t>（格式见</w:t>
      </w:r>
      <w:r>
        <w:rPr>
          <w:sz w:val="24"/>
        </w:rPr>
        <w:t>附件</w:t>
      </w:r>
      <w:r>
        <w:rPr>
          <w:rFonts w:hint="eastAsia"/>
          <w:sz w:val="24"/>
        </w:rPr>
        <w:t>1</w:t>
      </w:r>
      <w:r>
        <w:rPr>
          <w:rFonts w:hint="eastAsia"/>
          <w:sz w:val="24"/>
          <w:lang w:val="en-US" w:eastAsia="zh-CN"/>
        </w:rPr>
        <w:t>2</w:t>
      </w:r>
      <w:r>
        <w:rPr>
          <w:rFonts w:hint="eastAsia"/>
          <w:sz w:val="24"/>
        </w:rPr>
        <w:t>）</w:t>
      </w:r>
    </w:p>
    <w:p w14:paraId="119FBC62">
      <w:pPr>
        <w:keepNext w:val="0"/>
        <w:keepLines w:val="0"/>
        <w:pageBreakBefore w:val="0"/>
        <w:widowControl w:val="0"/>
        <w:spacing w:line="360" w:lineRule="exact"/>
        <w:ind w:firstLine="420"/>
        <w:rPr>
          <w:rFonts w:hint="default" w:eastAsia="宋体"/>
          <w:sz w:val="24"/>
          <w:lang w:val="en-US" w:eastAsia="zh-CN"/>
        </w:rPr>
      </w:pPr>
      <w:r>
        <w:rPr>
          <w:rFonts w:hint="eastAsia"/>
          <w:sz w:val="24"/>
          <w:lang w:val="en-US" w:eastAsia="zh-CN"/>
        </w:rPr>
        <w:t>5、保险购买承诺函</w:t>
      </w:r>
      <w:r>
        <w:rPr>
          <w:rFonts w:hint="eastAsia"/>
          <w:sz w:val="24"/>
        </w:rPr>
        <w:t>（格式见</w:t>
      </w:r>
      <w:r>
        <w:rPr>
          <w:sz w:val="24"/>
        </w:rPr>
        <w:t>附件</w:t>
      </w:r>
      <w:r>
        <w:rPr>
          <w:rFonts w:hint="eastAsia"/>
          <w:sz w:val="24"/>
          <w:lang w:val="en-US" w:eastAsia="zh-CN"/>
        </w:rPr>
        <w:t>13</w:t>
      </w:r>
      <w:r>
        <w:rPr>
          <w:rFonts w:hint="eastAsia"/>
          <w:sz w:val="24"/>
        </w:rPr>
        <w:t>）</w:t>
      </w:r>
    </w:p>
    <w:p w14:paraId="7F113E57">
      <w:pPr>
        <w:spacing w:line="400" w:lineRule="exact"/>
        <w:ind w:firstLine="480"/>
        <w:rPr>
          <w:rFonts w:ascii="宋体" w:hAnsi="宋体"/>
          <w:sz w:val="24"/>
        </w:rPr>
      </w:pPr>
      <w:r>
        <w:rPr>
          <w:rFonts w:hint="eastAsia" w:ascii="宋体" w:hAnsi="宋体"/>
          <w:b/>
          <w:bCs/>
          <w:sz w:val="24"/>
        </w:rPr>
        <w:t>备注：其中加“*”项目若有缺失或无效，将导致其失去</w:t>
      </w:r>
      <w:r>
        <w:rPr>
          <w:rFonts w:hint="eastAsia" w:ascii="宋体" w:hAnsi="宋体"/>
          <w:b/>
          <w:bCs/>
          <w:sz w:val="24"/>
          <w:lang w:val="en-US" w:eastAsia="zh-CN"/>
        </w:rPr>
        <w:t>磋商</w:t>
      </w:r>
      <w:r>
        <w:rPr>
          <w:rFonts w:hint="eastAsia" w:ascii="宋体" w:hAnsi="宋体"/>
          <w:b/>
          <w:bCs/>
          <w:sz w:val="24"/>
        </w:rPr>
        <w:t>资格且不允许在</w:t>
      </w:r>
      <w:r>
        <w:rPr>
          <w:rFonts w:hint="eastAsia" w:ascii="宋体" w:hAnsi="宋体"/>
          <w:b/>
          <w:bCs/>
          <w:sz w:val="24"/>
          <w:lang w:val="en-US" w:eastAsia="zh-CN"/>
        </w:rPr>
        <w:t>响应</w:t>
      </w:r>
      <w:r>
        <w:rPr>
          <w:rFonts w:hint="eastAsia" w:ascii="宋体" w:hAnsi="宋体"/>
          <w:b/>
          <w:bCs/>
          <w:sz w:val="24"/>
        </w:rPr>
        <w:t>文件开启时间后补正。</w:t>
      </w:r>
    </w:p>
    <w:p w14:paraId="685C167A">
      <w:pPr>
        <w:pStyle w:val="3"/>
        <w:spacing w:line="440" w:lineRule="exact"/>
        <w:rPr>
          <w:b w:val="0"/>
          <w:sz w:val="24"/>
          <w:szCs w:val="24"/>
        </w:rPr>
      </w:pPr>
      <w:r>
        <w:rPr/>
        <w:br w:type="page" w:clear="all"/>
      </w:r>
      <w:bookmarkStart w:id="74" w:name="_Toc159312659"/>
      <w:bookmarkStart w:id="75" w:name="_Toc103080654"/>
      <w:bookmarkStart w:id="76" w:name="_Toc27972"/>
      <w:r>
        <w:rPr>
          <w:rFonts w:hint="eastAsia"/>
          <w:sz w:val="24"/>
          <w:szCs w:val="24"/>
        </w:rPr>
        <w:t>附件1 报价一览表</w:t>
      </w:r>
      <w:bookmarkEnd w:id="74"/>
      <w:bookmarkEnd w:id="75"/>
      <w:bookmarkEnd w:id="76"/>
    </w:p>
    <w:p w14:paraId="54AA59B2">
      <w:pPr>
        <w:rPr>
          <w:b/>
          <w:sz w:val="24"/>
          <w:szCs w:val="24"/>
        </w:rPr>
      </w:pPr>
    </w:p>
    <w:p w14:paraId="201BA977">
      <w:pPr>
        <w:spacing w:line="400" w:lineRule="exact"/>
        <w:ind w:firstLine="482"/>
        <w:rPr>
          <w:sz w:val="24"/>
          <w:szCs w:val="24"/>
        </w:rPr>
      </w:pPr>
      <w:r>
        <w:rPr>
          <w:rFonts w:hint="eastAsia"/>
          <w:sz w:val="24"/>
          <w:szCs w:val="24"/>
        </w:rPr>
        <w:t>供应商全称（加盖CA电子签章）：</w:t>
      </w:r>
    </w:p>
    <w:p w14:paraId="795A0897">
      <w:pPr>
        <w:spacing w:line="400" w:lineRule="exact"/>
        <w:ind w:firstLine="482"/>
        <w:rPr>
          <w:rFonts w:hint="eastAsia" w:eastAsia="宋体"/>
          <w:sz w:val="24"/>
          <w:szCs w:val="24"/>
          <w:lang w:eastAsia="zh-CN"/>
        </w:rPr>
      </w:pPr>
      <w:r>
        <w:rPr>
          <w:rFonts w:hint="eastAsia"/>
          <w:sz w:val="24"/>
          <w:szCs w:val="24"/>
        </w:rPr>
        <w:t>项目名称：</w:t>
      </w:r>
      <w:r>
        <w:rPr>
          <w:rFonts w:hint="eastAsia"/>
          <w:sz w:val="24"/>
          <w:szCs w:val="24"/>
          <w:lang w:eastAsia="zh-CN"/>
        </w:rPr>
        <w:t>常熟市2026-2027年度储备地块绿化移植和养护项目</w:t>
      </w:r>
    </w:p>
    <w:p w14:paraId="29AAED07">
      <w:pPr>
        <w:spacing w:line="400" w:lineRule="exact"/>
        <w:ind w:firstLine="482"/>
        <w:rPr>
          <w:sz w:val="24"/>
          <w:szCs w:val="24"/>
        </w:rPr>
      </w:pPr>
      <w:r>
        <w:rPr>
          <w:rFonts w:hint="eastAsia"/>
          <w:sz w:val="24"/>
          <w:szCs w:val="24"/>
        </w:rPr>
        <w:t>项目编号：</w:t>
      </w:r>
      <w:r>
        <w:rPr>
          <w:rFonts w:hint="eastAsia"/>
          <w:sz w:val="24"/>
          <w:szCs w:val="24"/>
          <w:lang w:eastAsia="zh-CN"/>
        </w:rPr>
        <w:t>JSZC-320581-CSXC-C2026-0012</w:t>
      </w:r>
      <w:r>
        <w:rPr>
          <w:rFonts w:hint="eastAsia"/>
          <w:sz w:val="24"/>
          <w:szCs w:val="24"/>
        </w:rPr>
        <w:t xml:space="preserve">                                  </w:t>
      </w:r>
    </w:p>
    <w:tbl>
      <w:tblPr>
        <w:tblStyle w:val="53"/>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4531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66D8621F">
            <w:pPr>
              <w:jc w:val="center"/>
              <w:rPr>
                <w:sz w:val="24"/>
                <w:szCs w:val="24"/>
              </w:rPr>
            </w:pPr>
            <w:r>
              <w:rPr>
                <w:rFonts w:hint="eastAsia"/>
                <w:sz w:val="24"/>
                <w:szCs w:val="24"/>
              </w:rPr>
              <w:t>报价</w:t>
            </w:r>
            <w:r>
              <w:rPr>
                <w:rFonts w:hint="eastAsia" w:ascii="宋体" w:hAnsi="宋体"/>
                <w:sz w:val="24"/>
                <w:szCs w:val="24"/>
                <w:lang w:val="en-US" w:eastAsia="zh-CN"/>
              </w:rPr>
              <w:t>固定优惠率</w:t>
            </w:r>
          </w:p>
        </w:tc>
      </w:tr>
      <w:tr w14:paraId="6B9A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2552F076">
            <w:pPr>
              <w:spacing w:line="500" w:lineRule="exact"/>
              <w:rPr>
                <w:rFonts w:hint="eastAsia" w:eastAsia="宋体"/>
                <w:sz w:val="24"/>
                <w:lang w:val="en-US" w:eastAsia="zh-CN"/>
              </w:rPr>
            </w:pPr>
            <w:r>
              <w:rPr>
                <w:rFonts w:hint="eastAsia" w:cs="宋体"/>
                <w:sz w:val="24"/>
                <w:szCs w:val="24"/>
                <w:u w:val="single"/>
              </w:rPr>
              <w:t xml:space="preserve">                        </w:t>
            </w:r>
            <w:r>
              <w:rPr>
                <w:rFonts w:hint="eastAsia" w:cs="宋体"/>
                <w:sz w:val="24"/>
                <w:szCs w:val="24"/>
                <w:u w:val="single"/>
                <w:lang w:val="en-US" w:eastAsia="zh-CN"/>
              </w:rPr>
              <w:t>%</w:t>
            </w:r>
          </w:p>
        </w:tc>
      </w:tr>
    </w:tbl>
    <w:p w14:paraId="628D591F">
      <w:pPr>
        <w:spacing w:line="440" w:lineRule="exact"/>
        <w:rPr>
          <w:sz w:val="24"/>
          <w:szCs w:val="24"/>
        </w:rPr>
      </w:pPr>
    </w:p>
    <w:p w14:paraId="78ADDCF5">
      <w:pPr>
        <w:spacing w:line="440" w:lineRule="exact"/>
        <w:ind w:firstLine="480"/>
        <w:rPr>
          <w:sz w:val="24"/>
          <w:szCs w:val="24"/>
        </w:rPr>
      </w:pPr>
      <w:r>
        <w:rPr>
          <w:rFonts w:hint="eastAsia"/>
          <w:sz w:val="24"/>
          <w:szCs w:val="24"/>
        </w:rPr>
        <w:t>注：1、请保留小数点后两位</w:t>
      </w:r>
      <w:r>
        <w:rPr>
          <w:sz w:val="24"/>
          <w:szCs w:val="24"/>
        </w:rPr>
        <w:t>。</w:t>
      </w:r>
    </w:p>
    <w:p w14:paraId="66CB8D44">
      <w:pPr>
        <w:keepNext w:val="0"/>
        <w:keepLines w:val="0"/>
        <w:pageBreakBefore w:val="0"/>
        <w:widowControl w:val="0"/>
        <w:numPr>
          <w:ilvl w:val="0"/>
          <w:numId w:val="0"/>
        </w:numPr>
        <w:spacing w:line="440" w:lineRule="exact"/>
        <w:ind w:firstLine="964"/>
        <w:rPr>
          <w:rFonts w:hint="default" w:ascii="宋体" w:hAnsi="宋体" w:cs="宋体"/>
          <w:b/>
          <w:bCs/>
          <w:sz w:val="24"/>
          <w:szCs w:val="24"/>
          <w:highlight w:val="none"/>
          <w:lang w:val="en-US"/>
        </w:rPr>
      </w:pPr>
      <w:r>
        <w:rPr>
          <w:rFonts w:hint="eastAsia" w:asciiTheme="minorEastAsia" w:hAnsiTheme="minorEastAsia" w:cstheme="minorEastAsia"/>
          <w:b/>
          <w:bCs/>
          <w:i w:val="0"/>
          <w:iCs w:val="0"/>
          <w:color w:val="000000"/>
          <w:sz w:val="24"/>
          <w:szCs w:val="24"/>
          <w:u w:val="none"/>
          <w:lang w:val="en-US" w:eastAsia="zh-CN"/>
        </w:rPr>
        <w:t>2、本项目按优惠率进行报价，优惠率即为下浮率，报价优惠率不得低于10%且不得超过100%，否则将失去磋商资格。</w:t>
      </w:r>
    </w:p>
    <w:p w14:paraId="1ABD783E">
      <w:pPr>
        <w:spacing w:line="440" w:lineRule="exact"/>
        <w:ind w:firstLine="480"/>
        <w:jc w:val="left"/>
        <w:rPr>
          <w:bCs/>
          <w:sz w:val="24"/>
        </w:rPr>
      </w:pPr>
      <w:r>
        <w:rPr/>
        <w:br w:type="page" w:clear="all"/>
      </w:r>
    </w:p>
    <w:p w14:paraId="558AF154">
      <w:pPr>
        <w:pStyle w:val="3"/>
        <w:spacing w:line="440" w:lineRule="exact"/>
        <w:jc w:val="center"/>
        <w:rPr>
          <w:b w:val="0"/>
          <w:sz w:val="24"/>
        </w:rPr>
      </w:pPr>
      <w:bookmarkStart w:id="77" w:name="_Toc159312663"/>
      <w:bookmarkStart w:id="78" w:name="_Toc6475"/>
      <w:r>
        <w:rPr>
          <w:rFonts w:hint="eastAsia"/>
          <w:sz w:val="24"/>
          <w:szCs w:val="24"/>
        </w:rPr>
        <w:t>附件</w:t>
      </w:r>
      <w:r>
        <w:rPr>
          <w:rFonts w:hint="eastAsia"/>
          <w:sz w:val="24"/>
          <w:szCs w:val="24"/>
          <w:lang w:val="en-US" w:eastAsia="zh-CN"/>
        </w:rPr>
        <w:t>2</w:t>
      </w:r>
      <w:r>
        <w:rPr>
          <w:rFonts w:hint="eastAsia"/>
          <w:sz w:val="24"/>
          <w:szCs w:val="24"/>
        </w:rPr>
        <w:t xml:space="preserve"> 具备履行合同所必需的设备和专业技术能力的书面声明</w:t>
      </w:r>
      <w:bookmarkEnd w:id="77"/>
      <w:bookmarkEnd w:id="78"/>
    </w:p>
    <w:p w14:paraId="7294C874">
      <w:pPr>
        <w:spacing w:line="460" w:lineRule="exact"/>
        <w:ind w:firstLine="492"/>
        <w:rPr>
          <w:bCs/>
          <w:sz w:val="24"/>
        </w:rPr>
      </w:pPr>
      <w:r>
        <w:rPr>
          <w:rFonts w:hint="eastAsia"/>
          <w:bCs/>
          <w:sz w:val="24"/>
        </w:rPr>
        <w:t>我单位郑重声明：我单位具备履行本项采购合同所必需的设备和专业技术能力，为履行本项采购合同我公司具备如下主要设备和主要专业技术能力：</w:t>
      </w:r>
    </w:p>
    <w:p w14:paraId="173B1C4B">
      <w:pPr>
        <w:spacing w:line="460" w:lineRule="exact"/>
        <w:ind w:firstLine="492"/>
        <w:rPr>
          <w:bCs/>
          <w:sz w:val="24"/>
        </w:rPr>
      </w:pPr>
      <w:r>
        <w:rPr>
          <w:rFonts w:hint="eastAsia"/>
          <w:bCs/>
          <w:sz w:val="24"/>
        </w:rPr>
        <w:t>主要设备有：</w:t>
      </w:r>
      <w:r>
        <w:rPr>
          <w:rFonts w:hint="eastAsia"/>
          <w:bCs/>
          <w:sz w:val="24"/>
          <w:u w:val="single"/>
        </w:rPr>
        <w:t xml:space="preserve">  </w:t>
      </w:r>
      <w:r>
        <w:rPr>
          <w:bCs/>
          <w:sz w:val="24"/>
          <w:u w:val="single"/>
        </w:rPr>
        <w:t xml:space="preserve">    </w:t>
      </w:r>
      <w:r>
        <w:rPr>
          <w:rFonts w:hint="eastAsia"/>
          <w:bCs/>
          <w:sz w:val="24"/>
        </w:rPr>
        <w:t>。</w:t>
      </w:r>
    </w:p>
    <w:p w14:paraId="629E8466">
      <w:pPr>
        <w:spacing w:line="460" w:lineRule="exact"/>
        <w:ind w:firstLine="492"/>
        <w:rPr>
          <w:bCs/>
          <w:sz w:val="24"/>
        </w:rPr>
      </w:pPr>
      <w:r>
        <w:rPr>
          <w:rFonts w:hint="eastAsia"/>
          <w:bCs/>
          <w:sz w:val="24"/>
        </w:rPr>
        <w:t>主要专业技术能力有：</w:t>
      </w:r>
      <w:r>
        <w:rPr>
          <w:rFonts w:hint="eastAsia"/>
          <w:bCs/>
          <w:sz w:val="24"/>
          <w:u w:val="single"/>
        </w:rPr>
        <w:t xml:space="preserve">   </w:t>
      </w:r>
      <w:r>
        <w:rPr>
          <w:bCs/>
          <w:sz w:val="24"/>
          <w:u w:val="single"/>
        </w:rPr>
        <w:t xml:space="preserve">      </w:t>
      </w:r>
      <w:r>
        <w:rPr>
          <w:rFonts w:hint="eastAsia"/>
          <w:bCs/>
          <w:sz w:val="24"/>
        </w:rPr>
        <w:t>。</w:t>
      </w:r>
    </w:p>
    <w:p w14:paraId="0C5820EF">
      <w:pPr>
        <w:spacing w:line="460" w:lineRule="exact"/>
        <w:rPr>
          <w:bCs/>
          <w:sz w:val="24"/>
        </w:rPr>
      </w:pPr>
    </w:p>
    <w:p w14:paraId="6D81215D">
      <w:pPr>
        <w:rPr>
          <w:rFonts w:hint="eastAsia"/>
          <w:sz w:val="24"/>
          <w:szCs w:val="24"/>
        </w:rPr>
      </w:pPr>
      <w:bookmarkStart w:id="79" w:name="_Toc159312664"/>
      <w:r>
        <w:rPr>
          <w:rFonts w:hint="eastAsia"/>
          <w:sz w:val="24"/>
          <w:szCs w:val="24"/>
        </w:rPr>
        <w:br w:type="page" w:clear="all"/>
      </w:r>
    </w:p>
    <w:p w14:paraId="699F6B5B">
      <w:pPr>
        <w:pStyle w:val="3"/>
        <w:spacing w:line="440" w:lineRule="exact"/>
        <w:rPr>
          <w:b w:val="0"/>
          <w:sz w:val="24"/>
        </w:rPr>
      </w:pPr>
      <w:bookmarkStart w:id="80" w:name="_Toc11969"/>
      <w:r>
        <w:rPr>
          <w:rFonts w:hint="eastAsia"/>
          <w:sz w:val="24"/>
          <w:szCs w:val="24"/>
        </w:rPr>
        <w:t>附件</w:t>
      </w:r>
      <w:r>
        <w:rPr>
          <w:rFonts w:hint="eastAsia"/>
          <w:sz w:val="24"/>
          <w:szCs w:val="24"/>
          <w:lang w:val="en-US" w:eastAsia="zh-CN"/>
        </w:rPr>
        <w:t>3</w:t>
      </w:r>
      <w:r>
        <w:rPr>
          <w:sz w:val="24"/>
          <w:szCs w:val="24"/>
        </w:rPr>
        <w:t xml:space="preserve"> </w:t>
      </w:r>
      <w:r>
        <w:rPr>
          <w:rFonts w:hint="eastAsia"/>
          <w:sz w:val="24"/>
          <w:szCs w:val="24"/>
        </w:rPr>
        <w:t>参加政府采购活动前 3 年内在经营活动中没有重大违法记录的书面声明</w:t>
      </w:r>
      <w:bookmarkEnd w:id="79"/>
      <w:bookmarkEnd w:id="80"/>
    </w:p>
    <w:p w14:paraId="4F23A404">
      <w:pPr>
        <w:spacing w:line="460" w:lineRule="exact"/>
        <w:jc w:val="center"/>
        <w:rPr>
          <w:b/>
          <w:bCs/>
          <w:sz w:val="24"/>
        </w:rPr>
      </w:pPr>
      <w:r>
        <w:rPr>
          <w:rFonts w:hint="eastAsia"/>
          <w:b/>
          <w:bCs/>
          <w:sz w:val="24"/>
        </w:rPr>
        <w:t>声  明</w:t>
      </w:r>
    </w:p>
    <w:p w14:paraId="66E5A9C0">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58186E96">
      <w:pPr>
        <w:pStyle w:val="3"/>
        <w:spacing w:line="440" w:lineRule="exact"/>
        <w:rPr>
          <w:bCs w:val="0"/>
          <w:sz w:val="24"/>
        </w:rPr>
      </w:pPr>
      <w:r>
        <w:rPr>
          <w:rFonts w:hint="eastAsia"/>
          <w:sz w:val="24"/>
          <w:szCs w:val="24"/>
        </w:rPr>
        <w:br w:type="page" w:clear="all"/>
      </w:r>
      <w:bookmarkStart w:id="81" w:name="_Toc159312665"/>
      <w:bookmarkStart w:id="82" w:name="_Toc4203"/>
      <w:r>
        <w:rPr>
          <w:rFonts w:hint="eastAsia"/>
          <w:sz w:val="24"/>
          <w:szCs w:val="24"/>
        </w:rPr>
        <w:t>附件</w:t>
      </w:r>
      <w:r>
        <w:rPr>
          <w:rFonts w:hint="eastAsia"/>
          <w:sz w:val="24"/>
          <w:szCs w:val="24"/>
          <w:lang w:val="en-US" w:eastAsia="zh-CN"/>
        </w:rPr>
        <w:t>4</w:t>
      </w:r>
      <w:r>
        <w:rPr>
          <w:sz w:val="24"/>
          <w:szCs w:val="24"/>
        </w:rPr>
        <w:t xml:space="preserve"> </w:t>
      </w:r>
      <w:r>
        <w:rPr>
          <w:rFonts w:hint="eastAsia"/>
          <w:sz w:val="24"/>
          <w:szCs w:val="24"/>
        </w:rPr>
        <w:t>法人授权书</w:t>
      </w:r>
      <w:bookmarkEnd w:id="81"/>
      <w:bookmarkEnd w:id="82"/>
    </w:p>
    <w:p w14:paraId="5798915B">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JSZC-320581-CSXC-C2026-0012</w:t>
      </w:r>
      <w:r>
        <w:rPr>
          <w:sz w:val="24"/>
          <w:szCs w:val="24"/>
        </w:rPr>
        <w:t>号项目采购活动的合法代理人，以本单位名义全权处理一切与该项目采购有关的事务。</w:t>
      </w:r>
    </w:p>
    <w:p w14:paraId="5C284FED">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eastAsia="zh-CN"/>
        </w:rPr>
        <w:t>202</w:t>
      </w:r>
      <w:r>
        <w:rPr>
          <w:rFonts w:hint="eastAsia"/>
          <w:sz w:val="24"/>
          <w:szCs w:val="24"/>
          <w:u w:val="single"/>
          <w:lang w:val="en-US" w:eastAsia="zh-CN"/>
        </w:rPr>
        <w:t>6</w:t>
      </w:r>
      <w:r>
        <w:rPr>
          <w:rFonts w:hint="eastAsia"/>
          <w:sz w:val="24"/>
          <w:szCs w:val="24"/>
          <w:u w:val="single"/>
        </w:rPr>
        <w:t xml:space="preserve">   </w:t>
      </w:r>
      <w:r>
        <w:rPr>
          <w:sz w:val="24"/>
          <w:szCs w:val="24"/>
        </w:rPr>
        <w:t>年____月____日起生效，特此声明。</w:t>
      </w:r>
    </w:p>
    <w:p w14:paraId="25D6F23C">
      <w:pPr>
        <w:tabs>
          <w:tab w:val="left" w:pos="360"/>
        </w:tabs>
        <w:spacing w:line="440" w:lineRule="exact"/>
        <w:ind w:firstLine="480"/>
        <w:rPr>
          <w:sz w:val="24"/>
          <w:szCs w:val="24"/>
        </w:rPr>
      </w:pPr>
    </w:p>
    <w:p w14:paraId="0ED3DDF3">
      <w:pPr>
        <w:tabs>
          <w:tab w:val="left" w:pos="360"/>
        </w:tabs>
        <w:spacing w:line="440" w:lineRule="exact"/>
        <w:ind w:firstLine="480"/>
        <w:rPr>
          <w:rFonts w:hint="eastAsia"/>
          <w:sz w:val="24"/>
          <w:szCs w:val="24"/>
        </w:rPr>
      </w:pPr>
    </w:p>
    <w:p w14:paraId="75AD954B">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3244BD7C">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1947FDF2">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4323C640">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7705A6DD">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26D3DEA1">
      <w:pPr>
        <w:spacing w:line="400" w:lineRule="exact"/>
        <w:ind w:firstLine="360"/>
        <w:rPr>
          <w:rFonts w:hint="eastAsia"/>
          <w:b/>
          <w:sz w:val="24"/>
          <w:szCs w:val="24"/>
        </w:rPr>
      </w:pPr>
    </w:p>
    <w:p w14:paraId="6CF335D7">
      <w:pPr>
        <w:spacing w:line="400" w:lineRule="exact"/>
        <w:ind w:firstLine="360"/>
        <w:rPr>
          <w:b/>
          <w:sz w:val="24"/>
          <w:szCs w:val="24"/>
        </w:rPr>
      </w:pPr>
      <w:r>
        <w:rPr>
          <w:rFonts w:hint="eastAsia"/>
          <w:b/>
          <w:sz w:val="24"/>
          <w:szCs w:val="24"/>
        </w:rPr>
        <w:t>注：如法定代表人参加投标，“附件</w:t>
      </w:r>
      <w:r>
        <w:rPr>
          <w:rFonts w:hint="eastAsia"/>
          <w:b/>
          <w:sz w:val="24"/>
          <w:szCs w:val="24"/>
          <w:lang w:val="en-US" w:eastAsia="zh-CN"/>
        </w:rPr>
        <w:t>4</w:t>
      </w:r>
      <w:r>
        <w:rPr>
          <w:b/>
          <w:sz w:val="24"/>
          <w:szCs w:val="24"/>
        </w:rPr>
        <w:t xml:space="preserve"> 法人授权书”可不提供。</w:t>
      </w:r>
    </w:p>
    <w:p w14:paraId="159DF4DC">
      <w:pPr>
        <w:ind w:firstLine="420"/>
        <w:rPr>
          <w:rFonts w:hint="eastAsia"/>
          <w:i/>
          <w:color w:val="000000"/>
          <w:sz w:val="24"/>
          <w:szCs w:val="24"/>
          <w:u w:val="single"/>
        </w:rPr>
      </w:pPr>
    </w:p>
    <w:p w14:paraId="2F604EC0">
      <w:pPr>
        <w:pStyle w:val="3"/>
        <w:spacing w:line="440" w:lineRule="exact"/>
      </w:pPr>
      <w:r>
        <w:rPr>
          <w:rFonts w:eastAsia="幼圆" w:cs="Arial"/>
          <w:color w:val="000000"/>
          <w:sz w:val="24"/>
          <w:szCs w:val="44"/>
        </w:rPr>
        <w:br w:type="page" w:clear="all"/>
      </w:r>
      <w:bookmarkStart w:id="83" w:name="_Toc159312666"/>
      <w:bookmarkStart w:id="84" w:name="_Toc31034"/>
      <w:r>
        <w:rPr>
          <w:rFonts w:hint="eastAsia"/>
          <w:sz w:val="24"/>
          <w:szCs w:val="24"/>
        </w:rPr>
        <w:t>附件</w:t>
      </w:r>
      <w:r>
        <w:rPr>
          <w:rFonts w:hint="eastAsia"/>
          <w:sz w:val="24"/>
          <w:szCs w:val="24"/>
          <w:lang w:val="en-US" w:eastAsia="zh-CN"/>
        </w:rPr>
        <w:t>5</w:t>
      </w:r>
      <w:r>
        <w:rPr>
          <w:rFonts w:hint="eastAsia"/>
          <w:sz w:val="24"/>
          <w:szCs w:val="24"/>
        </w:rPr>
        <w:t xml:space="preserve"> 磋商响应</w:t>
      </w:r>
      <w:r>
        <w:rPr>
          <w:sz w:val="24"/>
          <w:szCs w:val="24"/>
        </w:rPr>
        <w:t>函</w:t>
      </w:r>
      <w:bookmarkEnd w:id="83"/>
      <w:bookmarkEnd w:id="84"/>
    </w:p>
    <w:p w14:paraId="7AAE979B">
      <w:pPr>
        <w:spacing w:line="440" w:lineRule="exact"/>
        <w:rPr>
          <w:sz w:val="24"/>
          <w:szCs w:val="24"/>
        </w:rPr>
      </w:pPr>
      <w:r>
        <w:rPr>
          <w:sz w:val="24"/>
          <w:szCs w:val="24"/>
        </w:rPr>
        <w:t>致：</w:t>
      </w:r>
      <w:r>
        <w:rPr>
          <w:rFonts w:hint="eastAsia"/>
          <w:sz w:val="24"/>
          <w:szCs w:val="24"/>
        </w:rPr>
        <w:t>江苏协诚工程咨询有限公司</w:t>
      </w:r>
    </w:p>
    <w:p w14:paraId="34C91C24">
      <w:pPr>
        <w:spacing w:line="440" w:lineRule="exact"/>
        <w:ind w:firstLine="480"/>
        <w:jc w:val="left"/>
        <w:rPr>
          <w:rFonts w:cs="宋体"/>
          <w:sz w:val="24"/>
          <w:szCs w:val="24"/>
        </w:rPr>
      </w:pPr>
      <w:r>
        <w:rPr>
          <w:sz w:val="24"/>
          <w:szCs w:val="24"/>
        </w:rPr>
        <w:t>根据贵方的</w:t>
      </w:r>
      <w:r>
        <w:rPr>
          <w:rFonts w:hint="eastAsia"/>
          <w:sz w:val="24"/>
          <w:szCs w:val="24"/>
          <w:u w:val="single"/>
          <w:lang w:eastAsia="zh-CN"/>
        </w:rPr>
        <w:t>JSZC-320581-CSXC-C2026-0012</w:t>
      </w:r>
      <w:r>
        <w:rPr>
          <w:rFonts w:hint="eastAsia" w:cs="宋体"/>
          <w:color w:val="000000"/>
          <w:sz w:val="24"/>
          <w:szCs w:val="24"/>
        </w:rPr>
        <w:t>号磋商文件，正式授权下述签字人______(姓名)代表我方______________（供应商的名称），全权处理本次项目磋商的有关事宜。</w:t>
      </w:r>
    </w:p>
    <w:p w14:paraId="6FE27564">
      <w:pPr>
        <w:spacing w:line="440" w:lineRule="exact"/>
        <w:ind w:firstLine="480"/>
        <w:jc w:val="left"/>
        <w:rPr>
          <w:rFonts w:cs="宋体"/>
          <w:sz w:val="24"/>
          <w:szCs w:val="24"/>
        </w:rPr>
      </w:pPr>
      <w:r>
        <w:rPr>
          <w:rFonts w:hint="eastAsia" w:cs="宋体"/>
          <w:color w:val="000000"/>
          <w:sz w:val="24"/>
          <w:szCs w:val="24"/>
        </w:rPr>
        <w:t>据此函，__________签字人兹宣布同意如下：</w:t>
      </w:r>
    </w:p>
    <w:p w14:paraId="51FB87EB">
      <w:pPr>
        <w:spacing w:line="440" w:lineRule="exact"/>
        <w:ind w:firstLine="480"/>
        <w:jc w:val="left"/>
        <w:rPr>
          <w:rFonts w:cs="宋体"/>
          <w:sz w:val="24"/>
          <w:szCs w:val="24"/>
        </w:rPr>
      </w:pPr>
      <w:r>
        <w:rPr>
          <w:rFonts w:hint="eastAsia" w:cs="宋体"/>
          <w:color w:val="000000"/>
          <w:sz w:val="24"/>
          <w:szCs w:val="24"/>
        </w:rPr>
        <w:t>1.按磋商文件规定的各项要求，向买方提供所需货物、服务（包含与货物相关的服务及与服务相关的货物）。</w:t>
      </w:r>
    </w:p>
    <w:p w14:paraId="3C2A3D22">
      <w:pPr>
        <w:spacing w:line="440" w:lineRule="exact"/>
        <w:ind w:firstLine="480"/>
        <w:jc w:val="left"/>
        <w:rPr>
          <w:rFonts w:cs="宋体"/>
          <w:sz w:val="24"/>
          <w:szCs w:val="24"/>
        </w:rPr>
      </w:pPr>
      <w:r>
        <w:rPr>
          <w:rFonts w:hint="eastAsia" w:cs="宋体"/>
          <w:color w:val="000000"/>
          <w:sz w:val="24"/>
          <w:szCs w:val="24"/>
        </w:rPr>
        <w:t>2.我们完全理解贵方不一定将合同授予最低报价的供应商。</w:t>
      </w:r>
    </w:p>
    <w:p w14:paraId="19ED1948">
      <w:pPr>
        <w:spacing w:line="440" w:lineRule="exact"/>
        <w:ind w:firstLine="480"/>
        <w:jc w:val="left"/>
        <w:rPr>
          <w:rFonts w:cs="宋体"/>
          <w:sz w:val="24"/>
          <w:szCs w:val="24"/>
        </w:rPr>
      </w:pPr>
      <w:r>
        <w:rPr>
          <w:rFonts w:hint="eastAsia" w:cs="宋体"/>
          <w:color w:val="000000"/>
          <w:sz w:val="24"/>
          <w:szCs w:val="24"/>
        </w:rPr>
        <w:t>3.我们已详细审核全部磋商文件及其有效补充文件，我们知道必须放弃提出含糊不清或误解问题的权利。</w:t>
      </w:r>
    </w:p>
    <w:p w14:paraId="0BC284F6">
      <w:pPr>
        <w:spacing w:line="440" w:lineRule="exact"/>
        <w:ind w:firstLine="480"/>
        <w:jc w:val="left"/>
        <w:rPr>
          <w:rFonts w:cs="宋体"/>
          <w:sz w:val="24"/>
          <w:szCs w:val="24"/>
        </w:rPr>
      </w:pPr>
      <w:r>
        <w:rPr>
          <w:rFonts w:hint="eastAsia" w:cs="宋体"/>
          <w:color w:val="000000"/>
          <w:sz w:val="24"/>
          <w:szCs w:val="24"/>
        </w:rPr>
        <w:t>4.我们同意从规定的开标日期起遵循本响应文件，并在规定的磋商有效期期满之前均具有约束力。</w:t>
      </w:r>
    </w:p>
    <w:p w14:paraId="52112615">
      <w:pPr>
        <w:spacing w:line="440" w:lineRule="exact"/>
        <w:ind w:firstLine="480"/>
        <w:jc w:val="left"/>
        <w:rPr>
          <w:rFonts w:cs="宋体"/>
          <w:sz w:val="24"/>
          <w:szCs w:val="24"/>
        </w:rPr>
      </w:pPr>
      <w:r>
        <w:rPr>
          <w:rFonts w:hint="eastAsia" w:cs="宋体"/>
          <w:color w:val="000000"/>
          <w:sz w:val="24"/>
          <w:szCs w:val="24"/>
        </w:rPr>
        <w:t>5.同意向贵方提供贵方可能另外要求的与磋商有关的任何证据或资料，并保证我方已提供和将要提供的文件是真实的、准确的。</w:t>
      </w:r>
    </w:p>
    <w:p w14:paraId="58AD6B50">
      <w:pPr>
        <w:spacing w:line="440" w:lineRule="exact"/>
        <w:ind w:firstLine="480"/>
        <w:jc w:val="left"/>
        <w:rPr>
          <w:rFonts w:cs="宋体"/>
          <w:sz w:val="24"/>
          <w:szCs w:val="24"/>
        </w:rPr>
      </w:pPr>
      <w:r>
        <w:rPr>
          <w:rFonts w:hint="eastAsia" w:cs="宋体"/>
          <w:color w:val="000000"/>
          <w:sz w:val="24"/>
          <w:szCs w:val="24"/>
        </w:rPr>
        <w:t>6.一旦我方成交,我方将根据磋商文件的规定，严格履行合同的责任和义务,并保证在磋商文件规定的时间完成项目，交付买方验收、使用。</w:t>
      </w:r>
    </w:p>
    <w:p w14:paraId="4BBCDED6">
      <w:pPr>
        <w:spacing w:line="440" w:lineRule="exact"/>
        <w:ind w:left="425"/>
        <w:jc w:val="left"/>
        <w:rPr>
          <w:rFonts w:cs="宋体"/>
          <w:sz w:val="24"/>
          <w:szCs w:val="24"/>
        </w:rPr>
      </w:pPr>
      <w:r>
        <w:rPr>
          <w:rFonts w:hint="eastAsia" w:cs="宋体"/>
          <w:color w:val="000000"/>
          <w:sz w:val="24"/>
          <w:szCs w:val="24"/>
        </w:rPr>
        <w:t>7.我方与本磋商有关的正式通讯地址为：</w:t>
      </w:r>
    </w:p>
    <w:p w14:paraId="3B91B361">
      <w:pPr>
        <w:spacing w:line="440" w:lineRule="exact"/>
        <w:ind w:left="420" w:firstLine="480"/>
        <w:jc w:val="left"/>
        <w:rPr>
          <w:rFonts w:cs="宋体"/>
          <w:sz w:val="24"/>
          <w:szCs w:val="24"/>
        </w:rPr>
      </w:pPr>
      <w:r>
        <w:rPr>
          <w:rFonts w:hint="eastAsia" w:cs="宋体"/>
          <w:color w:val="000000"/>
          <w:sz w:val="24"/>
          <w:szCs w:val="24"/>
        </w:rPr>
        <w:t>地        址：</w:t>
      </w:r>
    </w:p>
    <w:p w14:paraId="0877E645">
      <w:pPr>
        <w:spacing w:line="440" w:lineRule="exact"/>
        <w:ind w:left="420" w:firstLine="480"/>
        <w:jc w:val="left"/>
        <w:rPr>
          <w:rFonts w:cs="宋体"/>
          <w:sz w:val="24"/>
          <w:szCs w:val="24"/>
        </w:rPr>
      </w:pPr>
      <w:r>
        <w:rPr>
          <w:rFonts w:hint="eastAsia" w:cs="宋体"/>
          <w:color w:val="000000"/>
          <w:sz w:val="24"/>
          <w:szCs w:val="24"/>
        </w:rPr>
        <w:t>邮        编：</w:t>
      </w:r>
    </w:p>
    <w:p w14:paraId="4DC1ADF7">
      <w:pPr>
        <w:spacing w:line="440" w:lineRule="exact"/>
        <w:ind w:left="420" w:firstLine="480"/>
        <w:jc w:val="left"/>
        <w:rPr>
          <w:rFonts w:cs="宋体"/>
          <w:sz w:val="24"/>
          <w:szCs w:val="24"/>
        </w:rPr>
      </w:pPr>
      <w:r>
        <w:rPr>
          <w:rFonts w:hint="eastAsia" w:cs="宋体"/>
          <w:color w:val="000000"/>
          <w:sz w:val="24"/>
          <w:szCs w:val="24"/>
        </w:rPr>
        <w:t>电        话：</w:t>
      </w:r>
    </w:p>
    <w:p w14:paraId="44A72126">
      <w:pPr>
        <w:spacing w:line="440" w:lineRule="exact"/>
        <w:ind w:left="420" w:firstLine="480"/>
        <w:jc w:val="left"/>
        <w:rPr>
          <w:rFonts w:cs="宋体"/>
          <w:sz w:val="24"/>
          <w:szCs w:val="24"/>
        </w:rPr>
      </w:pPr>
      <w:r>
        <w:rPr>
          <w:rFonts w:hint="eastAsia" w:cs="宋体"/>
          <w:color w:val="000000"/>
          <w:sz w:val="24"/>
          <w:szCs w:val="24"/>
        </w:rPr>
        <w:t>传        真：</w:t>
      </w:r>
    </w:p>
    <w:p w14:paraId="76F1FAAE">
      <w:pPr>
        <w:spacing w:line="440" w:lineRule="exact"/>
        <w:ind w:left="420" w:firstLine="480"/>
        <w:jc w:val="left"/>
        <w:rPr>
          <w:rFonts w:cs="宋体"/>
          <w:sz w:val="24"/>
          <w:szCs w:val="24"/>
        </w:rPr>
      </w:pPr>
      <w:r>
        <w:rPr>
          <w:rFonts w:hint="eastAsia" w:cs="宋体"/>
          <w:color w:val="000000"/>
          <w:sz w:val="24"/>
          <w:szCs w:val="24"/>
        </w:rPr>
        <w:t>供应商开户行：</w:t>
      </w:r>
    </w:p>
    <w:p w14:paraId="6EC5AAE7">
      <w:pPr>
        <w:spacing w:line="440" w:lineRule="exact"/>
        <w:ind w:left="420" w:firstLine="480"/>
        <w:jc w:val="left"/>
        <w:rPr>
          <w:rFonts w:cs="宋体"/>
          <w:sz w:val="24"/>
          <w:szCs w:val="24"/>
        </w:rPr>
      </w:pPr>
      <w:r>
        <w:rPr>
          <w:rFonts w:hint="eastAsia" w:cs="宋体"/>
          <w:color w:val="000000"/>
          <w:sz w:val="24"/>
          <w:szCs w:val="24"/>
        </w:rPr>
        <w:t>账        号：</w:t>
      </w:r>
    </w:p>
    <w:p w14:paraId="45A1C28B">
      <w:pPr>
        <w:spacing w:line="440" w:lineRule="exact"/>
        <w:ind w:left="420" w:firstLine="480"/>
        <w:jc w:val="left"/>
        <w:rPr>
          <w:rFonts w:cs="宋体"/>
          <w:sz w:val="24"/>
          <w:szCs w:val="24"/>
        </w:rPr>
      </w:pPr>
      <w:r>
        <w:rPr>
          <w:rFonts w:hint="eastAsia" w:cs="宋体"/>
          <w:color w:val="000000"/>
          <w:sz w:val="24"/>
          <w:szCs w:val="24"/>
        </w:rPr>
        <w:t>日        期：________年____月____日</w:t>
      </w:r>
    </w:p>
    <w:p w14:paraId="3666E0B4">
      <w:pPr>
        <w:pStyle w:val="3"/>
        <w:spacing w:line="440" w:lineRule="exact"/>
        <w:rPr>
          <w:rFonts w:cs="宋体"/>
          <w:sz w:val="24"/>
          <w:szCs w:val="24"/>
        </w:rPr>
      </w:pPr>
      <w:r>
        <w:rPr>
          <w:sz w:val="24"/>
          <w:szCs w:val="24"/>
        </w:rPr>
        <w:br w:type="page" w:clear="all"/>
      </w:r>
      <w:bookmarkStart w:id="85" w:name="_Toc31131"/>
      <w:bookmarkStart w:id="86" w:name="_Toc159312667"/>
      <w:r>
        <w:rPr>
          <w:rFonts w:hint="eastAsia"/>
          <w:sz w:val="24"/>
          <w:szCs w:val="24"/>
        </w:rPr>
        <w:t>附件</w:t>
      </w:r>
      <w:r>
        <w:rPr>
          <w:rFonts w:hint="eastAsia"/>
          <w:sz w:val="24"/>
          <w:szCs w:val="24"/>
          <w:lang w:val="en-US" w:eastAsia="zh-CN"/>
        </w:rPr>
        <w:t>6</w:t>
      </w:r>
      <w:r>
        <w:rPr>
          <w:rFonts w:hint="eastAsia"/>
          <w:sz w:val="24"/>
          <w:szCs w:val="24"/>
        </w:rPr>
        <w:t xml:space="preserve"> 中小企业声明函</w:t>
      </w:r>
      <w:bookmarkEnd w:id="85"/>
      <w:bookmarkEnd w:id="86"/>
    </w:p>
    <w:p w14:paraId="6A5BE253">
      <w:pPr>
        <w:keepNext w:val="0"/>
        <w:keepLines w:val="0"/>
        <w:pageBreakBefore w:val="0"/>
        <w:widowControl w:val="0"/>
        <w:spacing w:line="500" w:lineRule="exact"/>
        <w:ind w:firstLine="480"/>
        <w:rPr>
          <w:sz w:val="24"/>
          <w:szCs w:val="24"/>
        </w:rPr>
      </w:pPr>
      <w:r>
        <w:rPr>
          <w:rFonts w:hint="eastAsia" w:cs="宋体"/>
          <w:color w:val="000000"/>
          <w:sz w:val="24"/>
          <w:szCs w:val="24"/>
        </w:rPr>
        <w:t>本公司郑重声明，根据《政府采购促进中小企业发展管理办法》(财库[2020]46号)的规定，本公司参加</w:t>
      </w:r>
      <w:r>
        <w:rPr>
          <w:rFonts w:hint="eastAsia" w:cs="宋体"/>
          <w:color w:val="000000"/>
          <w:sz w:val="24"/>
          <w:szCs w:val="24"/>
          <w:u w:val="single"/>
          <w:lang w:eastAsia="zh-CN"/>
        </w:rPr>
        <w:t>常熟市自然资源和规划局</w:t>
      </w:r>
      <w:r>
        <w:rPr>
          <w:rFonts w:hint="eastAsia" w:cs="宋体"/>
          <w:color w:val="000000"/>
          <w:sz w:val="24"/>
          <w:szCs w:val="24"/>
        </w:rPr>
        <w:t>的</w:t>
      </w:r>
      <w:r>
        <w:rPr>
          <w:rFonts w:hint="eastAsia" w:cs="宋体"/>
          <w:color w:val="000000"/>
          <w:sz w:val="24"/>
          <w:szCs w:val="24"/>
          <w:lang w:eastAsia="zh-CN"/>
        </w:rPr>
        <w:t>常熟市2026-2027年度储备地块绿化移植和养护项目</w:t>
      </w:r>
      <w:r>
        <w:rPr>
          <w:rFonts w:hint="eastAsia" w:ascii="Segoe UI Symbol" w:hAnsi="Segoe UI Symbol" w:cs="Segoe UI Symbol"/>
          <w:sz w:val="24"/>
          <w:szCs w:val="24"/>
        </w:rPr>
        <w:t>，</w:t>
      </w:r>
      <w:r>
        <w:rPr>
          <w:rFonts w:hint="eastAsia" w:cs="宋体"/>
          <w:color w:val="000000"/>
          <w:sz w:val="24"/>
          <w:szCs w:val="24"/>
        </w:rPr>
        <w:t>采购编号为</w:t>
      </w:r>
      <w:r>
        <w:rPr>
          <w:rFonts w:hint="eastAsia" w:cs="宋体"/>
          <w:color w:val="000000"/>
          <w:sz w:val="24"/>
          <w:szCs w:val="24"/>
          <w:u w:val="single"/>
          <w:lang w:eastAsia="zh-CN"/>
        </w:rPr>
        <w:t>JSZC-320581-CSXC-C2026-0012</w:t>
      </w:r>
      <w:r>
        <w:rPr>
          <w:rFonts w:hint="eastAsia" w:cs="宋体"/>
          <w:color w:val="000000"/>
          <w:sz w:val="24"/>
          <w:szCs w:val="24"/>
        </w:rPr>
        <w:t>，的采购活动，服务</w:t>
      </w:r>
      <w:r>
        <w:rPr>
          <w:sz w:val="24"/>
          <w:szCs w:val="24"/>
        </w:rPr>
        <w:t>全部由符合政策要求的中小企业承接。</w:t>
      </w:r>
      <w:r>
        <w:rPr>
          <w:rFonts w:hint="eastAsia"/>
          <w:sz w:val="24"/>
          <w:szCs w:val="24"/>
        </w:rPr>
        <w:t>相关</w:t>
      </w:r>
      <w:r>
        <w:rPr>
          <w:sz w:val="24"/>
          <w:szCs w:val="24"/>
        </w:rPr>
        <w:t>企业的具体情况如下：</w:t>
      </w:r>
    </w:p>
    <w:p w14:paraId="0CF6BC88">
      <w:pPr>
        <w:keepNext w:val="0"/>
        <w:keepLines w:val="0"/>
        <w:pageBreakBefore w:val="0"/>
        <w:widowControl w:val="0"/>
        <w:spacing w:line="500" w:lineRule="exact"/>
        <w:ind w:firstLine="360"/>
        <w:rPr>
          <w:rFonts w:cs="宋体"/>
          <w:sz w:val="24"/>
          <w:szCs w:val="24"/>
        </w:rPr>
      </w:pPr>
      <w:r>
        <w:rPr>
          <w:rFonts w:hint="eastAsia" w:cs="宋体"/>
          <w:color w:val="000000"/>
          <w:sz w:val="24"/>
          <w:szCs w:val="24"/>
        </w:rPr>
        <w:t>1.</w:t>
      </w:r>
      <w:r>
        <w:rPr>
          <w:rFonts w:hint="eastAsia" w:cs="宋体"/>
          <w:color w:val="000000"/>
          <w:sz w:val="24"/>
          <w:szCs w:val="24"/>
          <w:u w:val="single"/>
          <w:lang w:eastAsia="zh-CN"/>
        </w:rPr>
        <w:t>常熟市2026-2027年度储备地块绿化移植和养护项目</w:t>
      </w:r>
      <w:r>
        <w:rPr>
          <w:rFonts w:hint="eastAsia" w:cs="宋体"/>
          <w:i/>
          <w:iCs/>
          <w:color w:val="000000"/>
          <w:sz w:val="24"/>
          <w:szCs w:val="24"/>
        </w:rPr>
        <w:t>，</w:t>
      </w:r>
      <w:r>
        <w:rPr>
          <w:rFonts w:hint="eastAsia" w:cs="宋体"/>
          <w:color w:val="000000"/>
          <w:sz w:val="24"/>
          <w:szCs w:val="24"/>
        </w:rPr>
        <w:t>属于</w:t>
      </w:r>
      <w:r>
        <w:rPr>
          <w:rFonts w:hint="eastAsia" w:cs="宋体"/>
          <w:color w:val="000000"/>
          <w:sz w:val="24"/>
          <w:szCs w:val="24"/>
          <w:u w:val="single"/>
        </w:rPr>
        <w:t xml:space="preserve"> </w:t>
      </w:r>
      <w:r>
        <w:rPr>
          <w:rFonts w:hint="eastAsia" w:cs="宋体"/>
          <w:color w:val="000000"/>
          <w:sz w:val="24"/>
          <w:szCs w:val="24"/>
          <w:u w:val="single"/>
          <w:lang w:eastAsia="zh-CN"/>
        </w:rPr>
        <w:t>建筑业</w:t>
      </w:r>
      <w:r>
        <w:rPr>
          <w:rFonts w:hint="eastAsia" w:cs="宋体"/>
          <w:color w:val="000000"/>
          <w:sz w:val="24"/>
          <w:szCs w:val="24"/>
          <w:u w:val="single"/>
        </w:rPr>
        <w:t xml:space="preserve"> </w:t>
      </w:r>
      <w:r>
        <w:rPr>
          <w:rFonts w:hint="eastAsia" w:cs="宋体"/>
          <w:color w:val="000000"/>
          <w:sz w:val="24"/>
          <w:szCs w:val="24"/>
          <w:u w:val="none"/>
        </w:rPr>
        <w:t>行业</w:t>
      </w:r>
      <w:r>
        <w:rPr>
          <w:rFonts w:hint="eastAsia" w:cs="宋体"/>
          <w:color w:val="000000"/>
          <w:sz w:val="24"/>
          <w:szCs w:val="24"/>
        </w:rPr>
        <w:t>；承接企业为</w:t>
      </w:r>
      <w:r>
        <w:rPr>
          <w:rFonts w:hint="eastAsia" w:cs="宋体"/>
          <w:color w:val="000000"/>
          <w:sz w:val="24"/>
          <w:szCs w:val="24"/>
          <w:u w:val="single"/>
        </w:rPr>
        <w:t>（企业名称）</w:t>
      </w:r>
      <w:r>
        <w:rPr>
          <w:rFonts w:hint="eastAsia" w:cs="宋体"/>
          <w:color w:val="000000"/>
          <w:sz w:val="24"/>
          <w:szCs w:val="24"/>
        </w:rPr>
        <w:t>，从业人员</w:t>
      </w:r>
      <w:r>
        <w:rPr>
          <w:rFonts w:hint="eastAsia" w:cs="宋体"/>
          <w:color w:val="000000"/>
          <w:sz w:val="24"/>
          <w:szCs w:val="24"/>
          <w:u w:val="single"/>
        </w:rPr>
        <w:t xml:space="preserve">   </w:t>
      </w:r>
      <w:r>
        <w:rPr>
          <w:rFonts w:hint="eastAsia" w:cs="宋体"/>
          <w:color w:val="000000"/>
          <w:sz w:val="24"/>
          <w:szCs w:val="24"/>
        </w:rPr>
        <w:t>人，营业收入为</w:t>
      </w:r>
      <w:r>
        <w:rPr>
          <w:rFonts w:hint="eastAsia" w:cs="宋体"/>
          <w:color w:val="000000"/>
          <w:sz w:val="24"/>
          <w:szCs w:val="24"/>
          <w:u w:val="single"/>
        </w:rPr>
        <w:t xml:space="preserve">         </w:t>
      </w:r>
      <w:r>
        <w:rPr>
          <w:rFonts w:hint="eastAsia" w:cs="宋体"/>
          <w:color w:val="000000"/>
          <w:sz w:val="24"/>
          <w:szCs w:val="24"/>
        </w:rPr>
        <w:t>万元，资产总额为</w:t>
      </w:r>
      <w:r>
        <w:rPr>
          <w:rFonts w:hint="eastAsia" w:cs="宋体"/>
          <w:color w:val="000000"/>
          <w:sz w:val="24"/>
          <w:szCs w:val="24"/>
          <w:u w:val="single"/>
        </w:rPr>
        <w:t xml:space="preserve">         </w:t>
      </w:r>
      <w:r>
        <w:rPr>
          <w:rFonts w:hint="eastAsia" w:cs="宋体"/>
          <w:color w:val="000000"/>
          <w:sz w:val="24"/>
          <w:szCs w:val="24"/>
        </w:rPr>
        <w:t>万元，属于</w:t>
      </w:r>
      <w:r>
        <w:rPr>
          <w:rFonts w:hint="eastAsia" w:cs="宋体"/>
          <w:color w:val="000000"/>
          <w:sz w:val="24"/>
          <w:szCs w:val="24"/>
          <w:u w:val="single"/>
        </w:rPr>
        <w:t>（小型企业、微型企业、</w:t>
      </w:r>
      <w:r>
        <w:rPr>
          <w:rFonts w:hint="eastAsia" w:cs="宋体"/>
          <w:bCs/>
          <w:color w:val="000000"/>
          <w:sz w:val="24"/>
          <w:szCs w:val="24"/>
          <w:u w:val="single"/>
        </w:rPr>
        <w:t>中型企业</w:t>
      </w:r>
      <w:r>
        <w:rPr>
          <w:rFonts w:hint="eastAsia" w:cs="宋体"/>
          <w:color w:val="000000"/>
          <w:sz w:val="24"/>
          <w:szCs w:val="24"/>
          <w:u w:val="single"/>
        </w:rPr>
        <w:t>）；</w:t>
      </w:r>
    </w:p>
    <w:p w14:paraId="401ECE63">
      <w:pPr>
        <w:keepNext w:val="0"/>
        <w:keepLines w:val="0"/>
        <w:pageBreakBefore w:val="0"/>
        <w:widowControl w:val="0"/>
        <w:spacing w:line="500" w:lineRule="exact"/>
        <w:rPr>
          <w:rFonts w:hint="eastAsia" w:cs="宋体"/>
          <w:color w:val="000000"/>
          <w:sz w:val="24"/>
          <w:szCs w:val="24"/>
        </w:rPr>
      </w:pPr>
    </w:p>
    <w:p w14:paraId="649D04DF">
      <w:pPr>
        <w:keepNext w:val="0"/>
        <w:keepLines w:val="0"/>
        <w:pageBreakBefore w:val="0"/>
        <w:widowControl w:val="0"/>
        <w:spacing w:line="500" w:lineRule="exact"/>
        <w:ind w:firstLine="480"/>
        <w:rPr>
          <w:rFonts w:cs="宋体"/>
          <w:sz w:val="24"/>
          <w:szCs w:val="24"/>
        </w:rPr>
      </w:pPr>
      <w:r>
        <w:rPr>
          <w:rFonts w:hint="eastAsia" w:cs="宋体"/>
          <w:color w:val="000000"/>
          <w:sz w:val="24"/>
          <w:szCs w:val="24"/>
        </w:rPr>
        <w:t>以上企业，不属于大企业的分支机构，不存在控股股东为大企业的情形，也不存在与大企业的负责人为同一人的情形。</w:t>
      </w:r>
    </w:p>
    <w:p w14:paraId="787548BD">
      <w:pPr>
        <w:keepNext w:val="0"/>
        <w:keepLines w:val="0"/>
        <w:pageBreakBefore w:val="0"/>
        <w:widowControl w:val="0"/>
        <w:spacing w:line="500" w:lineRule="exact"/>
        <w:ind w:firstLine="360"/>
        <w:rPr>
          <w:rFonts w:cs="宋体"/>
          <w:sz w:val="24"/>
          <w:szCs w:val="24"/>
        </w:rPr>
      </w:pPr>
      <w:r>
        <w:rPr>
          <w:rFonts w:hint="eastAsia" w:cs="宋体"/>
          <w:color w:val="000000"/>
          <w:sz w:val="24"/>
          <w:szCs w:val="24"/>
        </w:rPr>
        <w:t>本企业对上述声明内容的真实性负责。如有虚假，将依法承担相应责任</w:t>
      </w:r>
    </w:p>
    <w:p w14:paraId="130012B9">
      <w:pPr>
        <w:keepNext w:val="0"/>
        <w:keepLines w:val="0"/>
        <w:pageBreakBefore w:val="0"/>
        <w:widowControl w:val="0"/>
        <w:spacing w:line="500" w:lineRule="exact"/>
        <w:ind w:right="180" w:firstLine="360"/>
        <w:jc w:val="center"/>
        <w:rPr>
          <w:rFonts w:cs="宋体"/>
          <w:sz w:val="24"/>
          <w:szCs w:val="24"/>
        </w:rPr>
      </w:pPr>
      <w:r>
        <w:rPr>
          <w:rFonts w:hint="eastAsia" w:cs="宋体"/>
          <w:color w:val="000000"/>
          <w:sz w:val="24"/>
          <w:szCs w:val="24"/>
        </w:rPr>
        <w:t xml:space="preserve">                                              企业名称（加盖CA电子公章）：</w:t>
      </w:r>
    </w:p>
    <w:p w14:paraId="2A160D3D">
      <w:pPr>
        <w:keepNext w:val="0"/>
        <w:keepLines w:val="0"/>
        <w:pageBreakBefore w:val="0"/>
        <w:widowControl w:val="0"/>
        <w:spacing w:line="500" w:lineRule="exact"/>
        <w:ind w:right="480" w:firstLine="6000"/>
        <w:rPr>
          <w:rFonts w:cs="宋体"/>
          <w:sz w:val="24"/>
          <w:szCs w:val="24"/>
        </w:rPr>
      </w:pPr>
      <w:r>
        <w:rPr>
          <w:rFonts w:hint="eastAsia" w:cs="宋体"/>
          <w:color w:val="000000"/>
          <w:sz w:val="24"/>
          <w:szCs w:val="24"/>
        </w:rPr>
        <w:t>日    期：</w:t>
      </w:r>
    </w:p>
    <w:p w14:paraId="749DC56C">
      <w:pPr>
        <w:spacing w:line="440" w:lineRule="exact"/>
        <w:rPr>
          <w:b/>
          <w:bCs/>
          <w:sz w:val="24"/>
          <w:szCs w:val="24"/>
        </w:rPr>
      </w:pPr>
      <w:r>
        <w:rPr>
          <w:rFonts w:hint="eastAsia"/>
          <w:b/>
          <w:bCs/>
          <w:sz w:val="24"/>
          <w:szCs w:val="24"/>
        </w:rPr>
        <w:t>注：（1）从业人员、营业收入、资产总额填报上一年度数据，无上一年度数据的新成立企业可不填报。</w:t>
      </w:r>
    </w:p>
    <w:p w14:paraId="4141D020">
      <w:pPr>
        <w:spacing w:line="44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w:t>
      </w:r>
      <w:r>
        <w:rPr>
          <w:rFonts w:hint="eastAsia"/>
          <w:b/>
          <w:bCs/>
          <w:sz w:val="24"/>
          <w:szCs w:val="24"/>
          <w:lang w:eastAsia="zh-CN"/>
        </w:rPr>
        <w:t>建筑业</w:t>
      </w:r>
      <w:r>
        <w:rPr>
          <w:rFonts w:hint="eastAsia"/>
          <w:b/>
          <w:bCs/>
          <w:sz w:val="24"/>
          <w:szCs w:val="24"/>
        </w:rPr>
        <w:t>。</w:t>
      </w:r>
    </w:p>
    <w:p w14:paraId="0D2C3AE8">
      <w:pPr>
        <w:spacing w:line="440" w:lineRule="exact"/>
        <w:ind w:firstLine="482"/>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供应商</w:t>
      </w:r>
      <w:r>
        <w:rPr>
          <w:b/>
          <w:bCs/>
          <w:sz w:val="24"/>
          <w:szCs w:val="24"/>
        </w:rPr>
        <w:t>自行承担。如</w:t>
      </w:r>
      <w:r>
        <w:rPr>
          <w:rFonts w:hint="eastAsia"/>
          <w:b/>
          <w:bCs/>
          <w:sz w:val="24"/>
          <w:szCs w:val="24"/>
        </w:rPr>
        <w:t>供应商</w:t>
      </w:r>
      <w:r>
        <w:rPr>
          <w:b/>
          <w:bCs/>
          <w:sz w:val="24"/>
          <w:szCs w:val="24"/>
        </w:rPr>
        <w:t>提供其它小微企业制造的货物时，不需要相关制造商另外提供声明函。</w:t>
      </w:r>
    </w:p>
    <w:p w14:paraId="7E4CA32D">
      <w:pPr>
        <w:spacing w:line="440" w:lineRule="exact"/>
        <w:ind w:firstLine="482"/>
        <w:rPr>
          <w:b/>
          <w:bCs/>
          <w:sz w:val="24"/>
          <w:szCs w:val="24"/>
        </w:rPr>
      </w:pPr>
      <w:r>
        <w:rPr>
          <w:rFonts w:hint="eastAsia"/>
          <w:b/>
          <w:bCs/>
          <w:sz w:val="24"/>
          <w:szCs w:val="24"/>
        </w:rPr>
        <w:t>（4）如未对上述声明函内（中型企业、小型企业、微型企业）进行勾选或明确，引起的评审风险由供应商自行承担。</w:t>
      </w:r>
    </w:p>
    <w:p w14:paraId="7883C61F">
      <w:pPr>
        <w:ind w:firstLine="480"/>
        <w:rPr>
          <w:rFonts w:cs="宋体"/>
          <w:sz w:val="24"/>
          <w:szCs w:val="24"/>
        </w:rPr>
      </w:pPr>
    </w:p>
    <w:p w14:paraId="4BA217B7">
      <w:pPr>
        <w:pStyle w:val="3"/>
        <w:spacing w:line="440" w:lineRule="exact"/>
        <w:rPr>
          <w:rFonts w:hint="eastAsia" w:cs="宋体"/>
          <w:sz w:val="24"/>
          <w:szCs w:val="24"/>
        </w:rPr>
      </w:pPr>
      <w:r>
        <w:rPr>
          <w:sz w:val="24"/>
          <w:szCs w:val="24"/>
        </w:rPr>
        <w:br w:type="page" w:clear="all"/>
      </w:r>
      <w:bookmarkStart w:id="87" w:name="_Toc23420"/>
      <w:bookmarkStart w:id="88" w:name="_Toc159312668"/>
      <w:r>
        <w:rPr>
          <w:rFonts w:hint="eastAsia"/>
          <w:sz w:val="24"/>
          <w:szCs w:val="24"/>
        </w:rPr>
        <w:t>附件</w:t>
      </w:r>
      <w:r>
        <w:rPr>
          <w:rFonts w:hint="eastAsia"/>
          <w:sz w:val="24"/>
          <w:szCs w:val="24"/>
          <w:lang w:val="en-US" w:eastAsia="zh-CN"/>
        </w:rPr>
        <w:t>7</w:t>
      </w:r>
      <w:r>
        <w:rPr>
          <w:rFonts w:hint="eastAsia"/>
          <w:sz w:val="24"/>
          <w:szCs w:val="24"/>
        </w:rPr>
        <w:t xml:space="preserve"> 残疾人福利性单位声明函</w:t>
      </w:r>
      <w:bookmarkEnd w:id="87"/>
      <w:bookmarkEnd w:id="88"/>
    </w:p>
    <w:p w14:paraId="1B07F51D">
      <w:pPr>
        <w:spacing w:line="588" w:lineRule="exact"/>
        <w:ind w:firstLine="480"/>
        <w:rPr>
          <w:rFonts w:hint="eastAsia"/>
          <w:color w:val="000000"/>
          <w:sz w:val="24"/>
          <w:szCs w:val="21"/>
        </w:rPr>
      </w:pPr>
      <w:r>
        <w:rPr>
          <w:rFonts w:hint="eastAsia"/>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sz w:val="24"/>
          <w:szCs w:val="21"/>
          <w:u w:val="single"/>
        </w:rPr>
        <w:t xml:space="preserve">       </w:t>
      </w:r>
      <w:r>
        <w:rPr>
          <w:rFonts w:hint="eastAsia"/>
          <w:color w:val="000000"/>
          <w:sz w:val="24"/>
          <w:szCs w:val="21"/>
        </w:rPr>
        <w:t>项目采购活动提供本单位制造的货物</w:t>
      </w:r>
      <w:r>
        <w:rPr>
          <w:spacing w:val="6"/>
          <w:sz w:val="24"/>
          <w:szCs w:val="24"/>
        </w:rPr>
        <w:t>（由本单位承担工程/提供服务）</w:t>
      </w:r>
      <w:r>
        <w:rPr>
          <w:rFonts w:hint="eastAsia"/>
          <w:color w:val="000000"/>
          <w:sz w:val="24"/>
          <w:szCs w:val="21"/>
        </w:rPr>
        <w:t>，或者提供其他残疾人福利性单位制造的货物（不包括使用非残疾人福利性单位注册商标的货物）。</w:t>
      </w:r>
    </w:p>
    <w:p w14:paraId="785AF671">
      <w:pPr>
        <w:spacing w:line="588" w:lineRule="exact"/>
        <w:ind w:firstLine="480"/>
        <w:rPr>
          <w:color w:val="000000"/>
          <w:sz w:val="24"/>
          <w:szCs w:val="21"/>
        </w:rPr>
      </w:pPr>
      <w:r>
        <w:rPr>
          <w:rFonts w:hint="eastAsia"/>
          <w:color w:val="000000"/>
          <w:sz w:val="24"/>
          <w:szCs w:val="21"/>
        </w:rPr>
        <w:t>本单位对上述声明的真实性负责。如有虚假，将依法承担相应责任。</w:t>
      </w:r>
    </w:p>
    <w:p w14:paraId="651B2897">
      <w:pPr>
        <w:spacing w:line="588" w:lineRule="exact"/>
        <w:ind w:firstLine="480"/>
        <w:rPr>
          <w:rFonts w:hint="eastAsia"/>
          <w:color w:val="000000"/>
          <w:sz w:val="24"/>
          <w:szCs w:val="21"/>
        </w:rPr>
      </w:pPr>
    </w:p>
    <w:p w14:paraId="3DE141EA">
      <w:pPr>
        <w:spacing w:line="588" w:lineRule="exact"/>
        <w:ind w:firstLine="480"/>
        <w:rPr>
          <w:color w:val="000000"/>
          <w:sz w:val="24"/>
          <w:szCs w:val="21"/>
        </w:rPr>
      </w:pPr>
      <w:r>
        <w:rPr>
          <w:rFonts w:hint="eastAsia"/>
          <w:color w:val="000000"/>
          <w:sz w:val="24"/>
          <w:szCs w:val="21"/>
        </w:rPr>
        <w:t>（备注：1、供应商如不提供此声明函，价格将不做相应扣除。2、</w:t>
      </w:r>
      <w:r>
        <w:rPr>
          <w:rFonts w:hint="eastAsia"/>
          <w:color w:val="000000"/>
          <w:sz w:val="24"/>
          <w:szCs w:val="21"/>
          <w:lang w:val="en-US" w:eastAsia="zh-CN"/>
        </w:rPr>
        <w:t>成交</w:t>
      </w:r>
      <w:r>
        <w:rPr>
          <w:rFonts w:hint="eastAsia"/>
          <w:color w:val="000000"/>
          <w:sz w:val="24"/>
          <w:szCs w:val="21"/>
        </w:rPr>
        <w:t>供应商为残疾人福利单位的，此声明函将随成交结果同时公告，接受社会监督）</w:t>
      </w:r>
    </w:p>
    <w:p w14:paraId="5CAB2022">
      <w:pPr>
        <w:spacing w:line="588" w:lineRule="exact"/>
        <w:ind w:firstLine="624"/>
        <w:rPr>
          <w:rFonts w:ascii="仿宋_GB2312" w:eastAsia="仿宋_GB2312"/>
          <w:color w:val="000000"/>
          <w:spacing w:val="6"/>
          <w:sz w:val="30"/>
          <w:szCs w:val="30"/>
        </w:rPr>
      </w:pPr>
    </w:p>
    <w:p w14:paraId="356A9D54">
      <w:pPr>
        <w:tabs>
          <w:tab w:val="left" w:pos="4860"/>
        </w:tabs>
        <w:spacing w:line="588" w:lineRule="exact"/>
        <w:ind w:right="1560" w:firstLine="624"/>
        <w:jc w:val="center"/>
        <w:rPr>
          <w:color w:val="000000"/>
          <w:sz w:val="24"/>
          <w:szCs w:val="21"/>
        </w:rPr>
      </w:pPr>
      <w:r>
        <w:rPr>
          <w:rFonts w:hint="eastAsia" w:ascii="仿宋_GB2312" w:eastAsia="仿宋_GB2312"/>
          <w:color w:val="000000"/>
          <w:spacing w:val="6"/>
          <w:sz w:val="30"/>
          <w:szCs w:val="30"/>
        </w:rPr>
        <w:t xml:space="preserve">             </w:t>
      </w:r>
      <w:r>
        <w:rPr>
          <w:rFonts w:hint="eastAsia"/>
          <w:color w:val="000000"/>
          <w:sz w:val="24"/>
          <w:szCs w:val="21"/>
        </w:rPr>
        <w:t xml:space="preserve">          供应商全称（加盖CA电子公章）：</w:t>
      </w:r>
    </w:p>
    <w:p w14:paraId="62560495">
      <w:pPr>
        <w:tabs>
          <w:tab w:val="left" w:pos="4860"/>
        </w:tabs>
        <w:spacing w:line="588" w:lineRule="exact"/>
        <w:ind w:right="1560" w:firstLine="480"/>
        <w:jc w:val="center"/>
        <w:rPr>
          <w:color w:val="000000"/>
          <w:sz w:val="24"/>
          <w:szCs w:val="21"/>
        </w:rPr>
      </w:pPr>
      <w:r>
        <w:rPr>
          <w:rFonts w:hint="eastAsia"/>
          <w:color w:val="000000"/>
          <w:sz w:val="24"/>
          <w:szCs w:val="21"/>
        </w:rPr>
        <w:t xml:space="preserve">        日  期：</w:t>
      </w:r>
    </w:p>
    <w:p w14:paraId="17E491C1">
      <w:pPr>
        <w:spacing w:line="400" w:lineRule="exact"/>
        <w:rPr>
          <w:sz w:val="24"/>
          <w:szCs w:val="24"/>
        </w:rPr>
      </w:pPr>
      <w:bookmarkStart w:id="89" w:name="_Toc315875332"/>
      <w:bookmarkStart w:id="90" w:name="_Toc341427247"/>
      <w:bookmarkStart w:id="91" w:name="_Toc315868069"/>
      <w:bookmarkStart w:id="92" w:name="_Toc447796829"/>
      <w:bookmarkStart w:id="93" w:name="_Toc345248156"/>
      <w:bookmarkStart w:id="94" w:name="_Toc414881345"/>
    </w:p>
    <w:p w14:paraId="1F31AE8D">
      <w:pPr>
        <w:spacing w:line="440" w:lineRule="exact"/>
        <w:jc w:val="center"/>
        <w:outlineLvl w:val="1"/>
        <w:rPr>
          <w:rFonts w:ascii="Times New Roman" w:hAnsi="Times New Roman"/>
          <w:b/>
          <w:bCs/>
          <w:sz w:val="28"/>
          <w:szCs w:val="28"/>
        </w:rPr>
      </w:pPr>
      <w:r>
        <w:rPr>
          <w:rFonts w:hint="eastAsia"/>
          <w:b w:val="0"/>
          <w:sz w:val="24"/>
          <w:szCs w:val="24"/>
        </w:rPr>
        <w:br w:type="page" w:clear="all"/>
      </w:r>
      <w:bookmarkStart w:id="95" w:name="_Toc4730"/>
      <w:bookmarkStart w:id="96" w:name="_Toc6910"/>
      <w:bookmarkStart w:id="97" w:name="_Toc7959"/>
      <w:bookmarkStart w:id="98" w:name="_Toc158042216"/>
      <w:bookmarkStart w:id="99" w:name="_Toc159312670"/>
      <w:r>
        <w:rPr>
          <w:rFonts w:hint="eastAsia" w:ascii="Times New Roman" w:hAnsi="Times New Roman"/>
          <w:b/>
          <w:bCs/>
          <w:sz w:val="28"/>
          <w:szCs w:val="28"/>
        </w:rPr>
        <w:t>附件</w:t>
      </w:r>
      <w:r>
        <w:rPr>
          <w:rFonts w:hint="eastAsia"/>
          <w:b/>
          <w:bCs/>
          <w:sz w:val="28"/>
          <w:szCs w:val="28"/>
          <w:lang w:val="en-US" w:eastAsia="zh-CN"/>
        </w:rPr>
        <w:t>8</w:t>
      </w:r>
      <w:r>
        <w:rPr>
          <w:rFonts w:hint="eastAsia" w:ascii="Times New Roman" w:hAnsi="Times New Roman"/>
          <w:b/>
          <w:bCs/>
          <w:sz w:val="28"/>
          <w:szCs w:val="28"/>
        </w:rPr>
        <w:t xml:space="preserve"> 实质性要求响应及偏离表</w:t>
      </w:r>
      <w:bookmarkEnd w:id="95"/>
      <w:bookmarkEnd w:id="96"/>
      <w:bookmarkEnd w:id="97"/>
      <w:bookmarkEnd w:id="98"/>
    </w:p>
    <w:tbl>
      <w:tblPr>
        <w:tblStyle w:val="53"/>
        <w:tblW w:w="98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5259"/>
        <w:gridCol w:w="2533"/>
        <w:gridCol w:w="1485"/>
      </w:tblGrid>
      <w:tr w14:paraId="7116B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noWrap w:val="0"/>
            <w:vAlign w:val="center"/>
          </w:tcPr>
          <w:p w14:paraId="6DA9398F">
            <w:pPr>
              <w:spacing w:line="400" w:lineRule="exact"/>
              <w:jc w:val="center"/>
              <w:rPr>
                <w:rFonts w:ascii="宋体" w:hAnsi="宋体"/>
                <w:sz w:val="24"/>
              </w:rPr>
            </w:pPr>
            <w:r>
              <w:rPr>
                <w:rFonts w:hint="eastAsia" w:ascii="宋体" w:hAnsi="宋体"/>
                <w:sz w:val="24"/>
              </w:rPr>
              <w:t>序号</w:t>
            </w:r>
          </w:p>
        </w:tc>
        <w:tc>
          <w:tcPr>
            <w:tcW w:w="5259" w:type="dxa"/>
            <w:noWrap w:val="0"/>
            <w:vAlign w:val="center"/>
          </w:tcPr>
          <w:p w14:paraId="35967B8F">
            <w:pPr>
              <w:spacing w:line="400" w:lineRule="exact"/>
              <w:jc w:val="center"/>
              <w:rPr>
                <w:rFonts w:ascii="宋体" w:hAnsi="宋体"/>
                <w:sz w:val="24"/>
              </w:rPr>
            </w:pPr>
            <w:r>
              <w:rPr>
                <w:rFonts w:hint="eastAsia" w:ascii="宋体" w:hAnsi="宋体"/>
                <w:sz w:val="24"/>
              </w:rPr>
              <w:t>技术要求和商务要求中的实质性要求</w:t>
            </w:r>
          </w:p>
        </w:tc>
        <w:tc>
          <w:tcPr>
            <w:tcW w:w="2533" w:type="dxa"/>
            <w:noWrap w:val="0"/>
            <w:vAlign w:val="center"/>
          </w:tcPr>
          <w:p w14:paraId="6BC3799F">
            <w:pPr>
              <w:spacing w:line="400" w:lineRule="exact"/>
              <w:jc w:val="center"/>
              <w:rPr>
                <w:rFonts w:ascii="宋体" w:hAnsi="宋体"/>
                <w:sz w:val="24"/>
              </w:rPr>
            </w:pPr>
            <w:r>
              <w:rPr>
                <w:rFonts w:hint="eastAsia" w:ascii="宋体" w:hAnsi="宋体"/>
                <w:sz w:val="24"/>
              </w:rPr>
              <w:t>投标响应情况</w:t>
            </w:r>
          </w:p>
        </w:tc>
        <w:tc>
          <w:tcPr>
            <w:tcW w:w="1485" w:type="dxa"/>
            <w:noWrap w:val="0"/>
            <w:vAlign w:val="center"/>
          </w:tcPr>
          <w:p w14:paraId="00168620">
            <w:pPr>
              <w:spacing w:line="400" w:lineRule="exact"/>
              <w:jc w:val="center"/>
              <w:rPr>
                <w:rFonts w:ascii="宋体" w:hAnsi="宋体"/>
                <w:sz w:val="24"/>
              </w:rPr>
            </w:pPr>
            <w:r>
              <w:rPr>
                <w:rFonts w:hint="eastAsia" w:ascii="宋体" w:hAnsi="宋体"/>
                <w:sz w:val="24"/>
              </w:rPr>
              <w:t>超出、符合或偏离</w:t>
            </w:r>
          </w:p>
        </w:tc>
      </w:tr>
      <w:tr w14:paraId="28BD3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1CE2728">
            <w:pPr>
              <w:spacing w:line="400" w:lineRule="exact"/>
              <w:jc w:val="center"/>
              <w:rPr>
                <w:rFonts w:hint="eastAsia" w:ascii="宋体" w:hAnsi="宋体" w:eastAsia="宋体"/>
                <w:sz w:val="24"/>
                <w:lang w:val="en-US" w:eastAsia="zh-CN"/>
              </w:rPr>
            </w:pPr>
            <w:r>
              <w:rPr>
                <w:rFonts w:hint="eastAsia" w:ascii="宋体" w:hAnsi="宋体"/>
                <w:sz w:val="24"/>
                <w:lang w:val="en-US" w:eastAsia="zh-CN"/>
              </w:rPr>
              <w:t>1</w:t>
            </w:r>
          </w:p>
        </w:tc>
        <w:tc>
          <w:tcPr>
            <w:tcW w:w="5259" w:type="dxa"/>
            <w:noWrap w:val="0"/>
            <w:vAlign w:val="center"/>
          </w:tcPr>
          <w:p w14:paraId="7CBB674E">
            <w:pPr>
              <w:spacing w:line="440" w:lineRule="exact"/>
              <w:rPr>
                <w:rFonts w:hint="eastAsia" w:ascii="宋体" w:hAnsi="宋体"/>
                <w:sz w:val="24"/>
              </w:rPr>
            </w:pPr>
            <w:r>
              <w:rPr>
                <w:color w:val="000000"/>
                <w:sz w:val="24"/>
                <w:szCs w:val="24"/>
                <w:highlight w:val="none"/>
              </w:rPr>
              <w:t>★</w:t>
            </w:r>
            <w:r>
              <w:rPr>
                <w:rFonts w:hint="eastAsia"/>
                <w:sz w:val="24"/>
                <w:szCs w:val="24"/>
                <w:highlight w:val="none"/>
              </w:rPr>
              <w:t>合同履行期限：绿化移植服务期限为自合同签订之日起两年，绿化养护服务期限为项目竣工之日起五年。</w:t>
            </w:r>
          </w:p>
        </w:tc>
        <w:tc>
          <w:tcPr>
            <w:tcW w:w="2533" w:type="dxa"/>
            <w:noWrap w:val="0"/>
            <w:vAlign w:val="center"/>
          </w:tcPr>
          <w:p w14:paraId="6FA81902">
            <w:pPr>
              <w:spacing w:line="400" w:lineRule="exact"/>
              <w:jc w:val="center"/>
              <w:rPr>
                <w:rFonts w:hint="eastAsia" w:ascii="宋体" w:hAnsi="宋体"/>
                <w:sz w:val="24"/>
              </w:rPr>
            </w:pPr>
          </w:p>
        </w:tc>
        <w:tc>
          <w:tcPr>
            <w:tcW w:w="1485" w:type="dxa"/>
            <w:noWrap w:val="0"/>
            <w:vAlign w:val="center"/>
          </w:tcPr>
          <w:p w14:paraId="3C7EA965">
            <w:pPr>
              <w:spacing w:line="400" w:lineRule="exact"/>
              <w:jc w:val="center"/>
              <w:rPr>
                <w:rFonts w:hint="eastAsia" w:ascii="宋体" w:hAnsi="宋体"/>
                <w:sz w:val="24"/>
              </w:rPr>
            </w:pPr>
          </w:p>
        </w:tc>
      </w:tr>
      <w:tr w14:paraId="0D6A2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center"/>
          </w:tcPr>
          <w:p w14:paraId="52A9E397">
            <w:pPr>
              <w:spacing w:line="400" w:lineRule="exact"/>
              <w:jc w:val="center"/>
              <w:rPr>
                <w:rFonts w:hint="eastAsia" w:ascii="宋体" w:hAnsi="宋体" w:eastAsia="宋体"/>
                <w:sz w:val="24"/>
                <w:lang w:eastAsia="zh-CN"/>
              </w:rPr>
            </w:pPr>
            <w:r>
              <w:rPr>
                <w:rFonts w:hint="eastAsia" w:ascii="宋体" w:hAnsi="宋体"/>
                <w:sz w:val="24"/>
                <w:lang w:val="en-US" w:eastAsia="zh-CN"/>
              </w:rPr>
              <w:t>2</w:t>
            </w:r>
          </w:p>
        </w:tc>
        <w:tc>
          <w:tcPr>
            <w:tcW w:w="5259" w:type="dxa"/>
            <w:noWrap w:val="0"/>
          </w:tcPr>
          <w:p w14:paraId="5BD46E32">
            <w:pPr>
              <w:spacing w:line="440" w:lineRule="exact"/>
              <w:ind w:firstLine="0"/>
              <w:jc w:val="left"/>
              <w:rPr>
                <w:color w:val="000000"/>
                <w:sz w:val="24"/>
                <w:szCs w:val="24"/>
              </w:rPr>
            </w:pPr>
            <w:r>
              <w:rPr>
                <w:color w:val="000000"/>
                <w:sz w:val="24"/>
                <w:szCs w:val="24"/>
                <w:highlight w:val="none"/>
              </w:rPr>
              <w:t>★</w:t>
            </w:r>
            <w:r>
              <w:rPr>
                <w:rFonts w:hint="eastAsia"/>
                <w:color w:val="000000"/>
                <w:sz w:val="24"/>
                <w:szCs w:val="24"/>
                <w:highlight w:val="none"/>
                <w:lang w:val="en-US" w:eastAsia="zh-CN"/>
              </w:rPr>
              <w:t>工程量及工程造价的确认：采用固定综合单价方式结算。采购人根据项目具体实施情况，委托第三方造价咨询单位按照工程内容编制工程量清单和预算价；再由成交供应商核对，确认后根据(1-成交优惠率)确定“已标价工程量清单”；采购人与供应商据此签订单个工程的施工合同。竣工后工程量按实结算，已标价工程量清单中未包括的子目，按照建设行政主管部门发布的计价办法和计价标准重新组价后*（1-成交优惠率），执行文件包括但不限于：(1)《建设工程工程量清单计价规范》(GB50500-2013)及其9本计算规范；(2)国家或省级，行业建设主管部门颁发的计价办法；(3)国家或省级，行业建设主管部门颁发的计价定额；(4)与建设项目相关的标准，规范等技术资料；(5)市场价格信息或工程造价管理机构发布的工程造价信息。</w:t>
            </w:r>
          </w:p>
        </w:tc>
        <w:tc>
          <w:tcPr>
            <w:tcW w:w="2533" w:type="dxa"/>
            <w:noWrap w:val="0"/>
          </w:tcPr>
          <w:p w14:paraId="3A443153">
            <w:pPr>
              <w:spacing w:line="400" w:lineRule="exact"/>
              <w:jc w:val="center"/>
              <w:rPr>
                <w:rFonts w:ascii="宋体" w:hAnsi="宋体"/>
                <w:sz w:val="24"/>
              </w:rPr>
            </w:pPr>
          </w:p>
        </w:tc>
        <w:tc>
          <w:tcPr>
            <w:tcW w:w="1485" w:type="dxa"/>
            <w:noWrap w:val="0"/>
          </w:tcPr>
          <w:p w14:paraId="005EA978">
            <w:pPr>
              <w:spacing w:line="400" w:lineRule="exact"/>
              <w:jc w:val="center"/>
              <w:rPr>
                <w:rFonts w:ascii="宋体" w:hAnsi="宋体"/>
                <w:sz w:val="24"/>
              </w:rPr>
            </w:pPr>
          </w:p>
        </w:tc>
      </w:tr>
      <w:tr w14:paraId="66365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center"/>
          </w:tcPr>
          <w:p w14:paraId="6AB480A9">
            <w:pPr>
              <w:spacing w:line="400" w:lineRule="exact"/>
              <w:jc w:val="center"/>
              <w:rPr>
                <w:rFonts w:hint="eastAsia" w:ascii="宋体" w:hAnsi="宋体" w:eastAsia="宋体"/>
                <w:sz w:val="24"/>
                <w:lang w:val="en-US" w:eastAsia="zh-CN"/>
              </w:rPr>
            </w:pPr>
            <w:r>
              <w:rPr>
                <w:rFonts w:hint="eastAsia" w:ascii="宋体" w:hAnsi="宋体"/>
                <w:sz w:val="24"/>
                <w:lang w:val="en-US" w:eastAsia="zh-CN"/>
              </w:rPr>
              <w:t>3</w:t>
            </w:r>
          </w:p>
        </w:tc>
        <w:tc>
          <w:tcPr>
            <w:tcW w:w="5259" w:type="dxa"/>
            <w:noWrap w:val="0"/>
          </w:tcPr>
          <w:p w14:paraId="482E0BC6">
            <w:pPr>
              <w:numPr>
                <w:ilvl w:val="0"/>
                <w:numId w:val="0"/>
              </w:numPr>
              <w:spacing w:line="440" w:lineRule="exact"/>
              <w:rPr>
                <w:rFonts w:hint="eastAsia" w:ascii="宋体" w:hAnsi="宋体" w:eastAsia="宋体"/>
                <w:sz w:val="24"/>
                <w:szCs w:val="24"/>
                <w:highlight w:val="none"/>
                <w:lang w:val="en-US" w:eastAsia="zh-CN"/>
              </w:rPr>
            </w:pPr>
            <w:r>
              <w:rPr>
                <w:color w:val="000000"/>
                <w:sz w:val="24"/>
                <w:szCs w:val="24"/>
                <w:highlight w:val="none"/>
              </w:rPr>
              <w:t>★</w:t>
            </w:r>
            <w:r>
              <w:rPr>
                <w:rFonts w:hint="eastAsia" w:ascii="宋体" w:hAnsi="宋体" w:eastAsia="宋体"/>
                <w:sz w:val="24"/>
                <w:szCs w:val="24"/>
                <w:highlight w:val="none"/>
                <w:lang w:val="en-US" w:eastAsia="zh-CN"/>
              </w:rPr>
              <w:t>付款方式：由成交供应商编制</w:t>
            </w:r>
            <w:r>
              <w:rPr>
                <w:rFonts w:hint="eastAsia" w:ascii="宋体" w:hAnsi="宋体"/>
                <w:sz w:val="24"/>
                <w:szCs w:val="24"/>
                <w:highlight w:val="none"/>
                <w:lang w:val="en-US" w:eastAsia="zh-CN"/>
              </w:rPr>
              <w:t>年度</w:t>
            </w:r>
            <w:r>
              <w:rPr>
                <w:rFonts w:hint="eastAsia" w:ascii="宋体" w:hAnsi="宋体" w:eastAsia="宋体"/>
                <w:sz w:val="24"/>
                <w:szCs w:val="24"/>
                <w:highlight w:val="none"/>
                <w:lang w:val="en-US" w:eastAsia="zh-CN"/>
              </w:rPr>
              <w:t>结算报告，由采购人委托第三方审计单位审核，项目结算价按照“已标价工程量清单”据实结算，已标价工程量清单中未包括的子目，按照建设行政主管部门发布的计价办法和计价标准、执行文件组价，并根据（1-成交优惠率）计算。合同签订后，2027年1月支付2026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所得金额的60%；2028年1月支付2026年度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的30%及2027年度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的60%；2029年1月支付2027年度</w:t>
            </w:r>
            <w:r>
              <w:rPr>
                <w:rFonts w:hint="eastAsia" w:ascii="宋体" w:hAnsi="宋体"/>
                <w:sz w:val="24"/>
                <w:szCs w:val="24"/>
                <w:highlight w:val="none"/>
                <w:lang w:val="en-US" w:eastAsia="zh-CN"/>
              </w:rPr>
              <w:t>结算价</w:t>
            </w:r>
            <w:r>
              <w:rPr>
                <w:rFonts w:hint="eastAsia" w:ascii="宋体" w:hAnsi="宋体" w:eastAsia="宋体"/>
                <w:sz w:val="24"/>
                <w:szCs w:val="24"/>
                <w:highlight w:val="none"/>
                <w:lang w:val="en-US" w:eastAsia="zh-CN"/>
              </w:rPr>
              <w:t>的30%；余款在绿化养护期满且通过最终验收（以最迟养护期满为准）后3个月内付清。</w:t>
            </w:r>
          </w:p>
          <w:p w14:paraId="40C9D700">
            <w:pPr>
              <w:numPr>
                <w:ilvl w:val="0"/>
                <w:numId w:val="0"/>
              </w:numPr>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注：（1）以上每次付款前，成交供应商均应提供符合采购人要求的同等金额的合法有效发票。否则，采购人有权顺延付款时间，且不承担任何违约或赔偿责任。</w:t>
            </w:r>
          </w:p>
          <w:p w14:paraId="5A0EC63D">
            <w:pPr>
              <w:spacing w:line="440" w:lineRule="exact"/>
              <w:ind w:firstLine="482"/>
              <w:rPr>
                <w:rFonts w:hint="default" w:ascii="Times New Roman" w:hAnsi="Times New Roman" w:cs="Times New Roman"/>
                <w:color w:val="000000"/>
                <w:sz w:val="24"/>
                <w:szCs w:val="24"/>
                <w:highlight w:val="none"/>
              </w:rPr>
            </w:pPr>
            <w:r>
              <w:rPr>
                <w:rFonts w:hint="eastAsia" w:ascii="宋体" w:hAnsi="宋体" w:cs="宋体"/>
                <w:b/>
                <w:color w:val="000000"/>
                <w:sz w:val="24"/>
                <w:szCs w:val="24"/>
                <w:highlight w:val="none"/>
              </w:rPr>
              <w:t>（2）</w:t>
            </w:r>
            <w:r>
              <w:rPr>
                <w:rFonts w:hint="eastAsia"/>
                <w:b/>
                <w:sz w:val="24"/>
                <w:szCs w:val="24"/>
                <w:highlight w:val="none"/>
              </w:rPr>
              <w:t>本合同项目下所有款项允许通过数字人民币支付。</w:t>
            </w:r>
          </w:p>
        </w:tc>
        <w:tc>
          <w:tcPr>
            <w:tcW w:w="2533" w:type="dxa"/>
            <w:noWrap w:val="0"/>
          </w:tcPr>
          <w:p w14:paraId="4E086809">
            <w:pPr>
              <w:spacing w:line="400" w:lineRule="exact"/>
              <w:jc w:val="center"/>
              <w:rPr>
                <w:rFonts w:ascii="宋体" w:hAnsi="宋体"/>
                <w:sz w:val="24"/>
              </w:rPr>
            </w:pPr>
          </w:p>
        </w:tc>
        <w:tc>
          <w:tcPr>
            <w:tcW w:w="1485" w:type="dxa"/>
            <w:noWrap w:val="0"/>
          </w:tcPr>
          <w:p w14:paraId="44EF05A1">
            <w:pPr>
              <w:spacing w:line="400" w:lineRule="exact"/>
              <w:jc w:val="center"/>
              <w:rPr>
                <w:rFonts w:ascii="宋体" w:hAnsi="宋体"/>
                <w:sz w:val="24"/>
              </w:rPr>
            </w:pPr>
          </w:p>
        </w:tc>
      </w:tr>
      <w:tr w14:paraId="56407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center"/>
          </w:tcPr>
          <w:p w14:paraId="552B11E0">
            <w:pPr>
              <w:spacing w:line="400" w:lineRule="exact"/>
              <w:jc w:val="center"/>
              <w:rPr>
                <w:rFonts w:hint="default" w:ascii="宋体" w:hAnsi="宋体"/>
                <w:sz w:val="24"/>
                <w:lang w:val="en-US" w:eastAsia="zh-CN"/>
              </w:rPr>
            </w:pPr>
            <w:r>
              <w:rPr>
                <w:rFonts w:hint="eastAsia" w:ascii="宋体" w:hAnsi="宋体"/>
                <w:sz w:val="24"/>
                <w:lang w:val="en-US" w:eastAsia="zh-CN"/>
              </w:rPr>
              <w:t>4</w:t>
            </w:r>
          </w:p>
        </w:tc>
        <w:tc>
          <w:tcPr>
            <w:tcW w:w="5259" w:type="dxa"/>
            <w:noWrap w:val="0"/>
          </w:tcPr>
          <w:p w14:paraId="26161C5A">
            <w:pPr>
              <w:spacing w:line="440" w:lineRule="exact"/>
              <w:rPr>
                <w:rFonts w:hint="eastAsia" w:ascii="宋体" w:hAnsi="宋体" w:cs="宋体"/>
                <w:b/>
                <w:color w:val="000000"/>
                <w:sz w:val="24"/>
                <w:szCs w:val="24"/>
                <w:highlight w:val="none"/>
              </w:rPr>
            </w:pPr>
            <w:r>
              <w:rPr>
                <w:color w:val="000000"/>
                <w:sz w:val="24"/>
                <w:szCs w:val="24"/>
                <w:highlight w:val="none"/>
              </w:rPr>
              <w:t>★</w:t>
            </w:r>
            <w:r>
              <w:rPr>
                <w:rFonts w:hint="eastAsia"/>
                <w:color w:val="000000"/>
                <w:sz w:val="24"/>
                <w:szCs w:val="24"/>
                <w:highlight w:val="none"/>
              </w:rPr>
              <w:t>项目人员最低数量要求：本项目配1名项目负责人，项目配备人数（含项目负责人）配备不低于</w:t>
            </w:r>
            <w:r>
              <w:rPr>
                <w:color w:val="000000"/>
                <w:sz w:val="24"/>
                <w:szCs w:val="24"/>
                <w:highlight w:val="none"/>
              </w:rPr>
              <w:t>10</w:t>
            </w:r>
            <w:r>
              <w:rPr>
                <w:rFonts w:hint="eastAsia"/>
                <w:color w:val="000000"/>
                <w:sz w:val="24"/>
                <w:szCs w:val="24"/>
                <w:highlight w:val="none"/>
              </w:rPr>
              <w:t>人。</w:t>
            </w:r>
          </w:p>
        </w:tc>
        <w:tc>
          <w:tcPr>
            <w:tcW w:w="2533" w:type="dxa"/>
            <w:noWrap w:val="0"/>
          </w:tcPr>
          <w:p w14:paraId="49C194A9">
            <w:pPr>
              <w:spacing w:line="400" w:lineRule="exact"/>
              <w:jc w:val="center"/>
              <w:rPr>
                <w:rFonts w:ascii="宋体" w:hAnsi="宋体"/>
                <w:sz w:val="24"/>
              </w:rPr>
            </w:pPr>
          </w:p>
        </w:tc>
        <w:tc>
          <w:tcPr>
            <w:tcW w:w="1485" w:type="dxa"/>
            <w:noWrap w:val="0"/>
          </w:tcPr>
          <w:p w14:paraId="25B43D45">
            <w:pPr>
              <w:spacing w:line="400" w:lineRule="exact"/>
              <w:jc w:val="center"/>
              <w:rPr>
                <w:rFonts w:ascii="宋体" w:hAnsi="宋体"/>
                <w:sz w:val="24"/>
              </w:rPr>
            </w:pPr>
          </w:p>
        </w:tc>
      </w:tr>
      <w:tr w14:paraId="59730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center"/>
          </w:tcPr>
          <w:p w14:paraId="333B7CFD">
            <w:pPr>
              <w:spacing w:line="400" w:lineRule="exact"/>
              <w:jc w:val="center"/>
              <w:rPr>
                <w:rFonts w:hint="default" w:ascii="宋体" w:hAnsi="宋体"/>
                <w:sz w:val="24"/>
                <w:lang w:val="en-US" w:eastAsia="zh-CN"/>
              </w:rPr>
            </w:pPr>
            <w:r>
              <w:rPr>
                <w:rFonts w:hint="eastAsia" w:ascii="宋体" w:hAnsi="宋体"/>
                <w:sz w:val="24"/>
                <w:lang w:val="en-US" w:eastAsia="zh-CN"/>
              </w:rPr>
              <w:t>5</w:t>
            </w:r>
          </w:p>
        </w:tc>
        <w:tc>
          <w:tcPr>
            <w:tcW w:w="5259" w:type="dxa"/>
            <w:noWrap w:val="0"/>
          </w:tcPr>
          <w:p w14:paraId="3D6CB6FC">
            <w:pPr>
              <w:spacing w:line="440" w:lineRule="exact"/>
              <w:rPr>
                <w:rFonts w:hint="eastAsia" w:ascii="宋体" w:hAnsi="宋体" w:cs="宋体"/>
                <w:b/>
                <w:color w:val="000000"/>
                <w:sz w:val="24"/>
                <w:szCs w:val="24"/>
                <w:highlight w:val="none"/>
              </w:rPr>
            </w:pPr>
            <w:r>
              <w:rPr>
                <w:color w:val="000000"/>
                <w:sz w:val="24"/>
                <w:szCs w:val="24"/>
                <w:highlight w:val="none"/>
              </w:rPr>
              <w:t>★</w:t>
            </w:r>
            <w:r>
              <w:rPr>
                <w:rFonts w:hint="eastAsia"/>
                <w:color w:val="000000"/>
                <w:sz w:val="24"/>
                <w:szCs w:val="24"/>
                <w:highlight w:val="none"/>
              </w:rPr>
              <w:t>小型机械设备配置要求：</w:t>
            </w:r>
            <w:r>
              <w:rPr>
                <w:rFonts w:hint="eastAsia"/>
                <w:color w:val="000000"/>
                <w:sz w:val="24"/>
                <w:szCs w:val="24"/>
                <w:highlight w:val="none"/>
                <w:lang w:val="en-US" w:eastAsia="zh-CN"/>
              </w:rPr>
              <w:t>供应商</w:t>
            </w:r>
            <w:r>
              <w:rPr>
                <w:rFonts w:hint="eastAsia"/>
                <w:color w:val="000000"/>
                <w:sz w:val="24"/>
                <w:szCs w:val="24"/>
                <w:highlight w:val="none"/>
              </w:rPr>
              <w:t>须为本项目配备小型机械设备（均应为</w:t>
            </w:r>
            <w:r>
              <w:rPr>
                <w:rFonts w:hint="eastAsia"/>
                <w:color w:val="000000"/>
                <w:sz w:val="24"/>
                <w:szCs w:val="24"/>
                <w:highlight w:val="none"/>
                <w:lang w:val="en-US" w:eastAsia="zh-CN"/>
              </w:rPr>
              <w:t>供应商</w:t>
            </w:r>
            <w:r>
              <w:rPr>
                <w:rFonts w:hint="eastAsia"/>
                <w:color w:val="000000"/>
                <w:sz w:val="24"/>
                <w:szCs w:val="24"/>
                <w:highlight w:val="none"/>
              </w:rPr>
              <w:t>自有），小型机械设备配置不低于：药水机</w:t>
            </w:r>
            <w:r>
              <w:rPr>
                <w:color w:val="000000"/>
                <w:sz w:val="24"/>
                <w:szCs w:val="24"/>
                <w:highlight w:val="none"/>
              </w:rPr>
              <w:t>1</w:t>
            </w:r>
            <w:r>
              <w:rPr>
                <w:rFonts w:hint="eastAsia"/>
                <w:color w:val="000000"/>
                <w:sz w:val="24"/>
                <w:szCs w:val="24"/>
                <w:highlight w:val="none"/>
              </w:rPr>
              <w:t>台（用于喷洒农药）、水泵</w:t>
            </w:r>
            <w:r>
              <w:rPr>
                <w:color w:val="000000"/>
                <w:sz w:val="24"/>
                <w:szCs w:val="24"/>
                <w:highlight w:val="none"/>
              </w:rPr>
              <w:t>1</w:t>
            </w:r>
            <w:r>
              <w:rPr>
                <w:rFonts w:hint="eastAsia"/>
                <w:color w:val="000000"/>
                <w:sz w:val="24"/>
                <w:szCs w:val="24"/>
                <w:highlight w:val="none"/>
              </w:rPr>
              <w:t>台（用于排除积水）、割灌机</w:t>
            </w:r>
            <w:r>
              <w:rPr>
                <w:color w:val="000000"/>
                <w:sz w:val="24"/>
                <w:szCs w:val="24"/>
                <w:highlight w:val="none"/>
              </w:rPr>
              <w:t>1</w:t>
            </w:r>
            <w:r>
              <w:rPr>
                <w:rFonts w:hint="eastAsia"/>
                <w:color w:val="000000"/>
                <w:sz w:val="24"/>
                <w:szCs w:val="24"/>
                <w:highlight w:val="none"/>
              </w:rPr>
              <w:t>台（用于修剪杂草、小树）、草坪机</w:t>
            </w:r>
            <w:r>
              <w:rPr>
                <w:color w:val="000000"/>
                <w:sz w:val="24"/>
                <w:szCs w:val="24"/>
                <w:highlight w:val="none"/>
              </w:rPr>
              <w:t>1</w:t>
            </w:r>
            <w:r>
              <w:rPr>
                <w:rFonts w:hint="eastAsia"/>
                <w:color w:val="000000"/>
                <w:sz w:val="24"/>
                <w:szCs w:val="24"/>
                <w:highlight w:val="none"/>
              </w:rPr>
              <w:t>台（用于修剪草坪）、粉碎机1台（用于粉碎树枝）、油锯</w:t>
            </w:r>
            <w:r>
              <w:rPr>
                <w:color w:val="000000"/>
                <w:sz w:val="24"/>
                <w:szCs w:val="24"/>
                <w:highlight w:val="none"/>
              </w:rPr>
              <w:t>1</w:t>
            </w:r>
            <w:r>
              <w:rPr>
                <w:rFonts w:hint="eastAsia"/>
                <w:color w:val="000000"/>
                <w:sz w:val="24"/>
                <w:szCs w:val="24"/>
                <w:highlight w:val="none"/>
              </w:rPr>
              <w:t>台（用于苗木修剪）。</w:t>
            </w:r>
          </w:p>
        </w:tc>
        <w:tc>
          <w:tcPr>
            <w:tcW w:w="2533" w:type="dxa"/>
            <w:noWrap w:val="0"/>
          </w:tcPr>
          <w:p w14:paraId="237D3708">
            <w:pPr>
              <w:spacing w:line="400" w:lineRule="exact"/>
              <w:jc w:val="center"/>
              <w:rPr>
                <w:rFonts w:ascii="宋体" w:hAnsi="宋体"/>
                <w:sz w:val="24"/>
              </w:rPr>
            </w:pPr>
          </w:p>
        </w:tc>
        <w:tc>
          <w:tcPr>
            <w:tcW w:w="1485" w:type="dxa"/>
            <w:noWrap w:val="0"/>
          </w:tcPr>
          <w:p w14:paraId="7C897DA5">
            <w:pPr>
              <w:spacing w:line="400" w:lineRule="exact"/>
              <w:jc w:val="center"/>
              <w:rPr>
                <w:rFonts w:ascii="宋体" w:hAnsi="宋体"/>
                <w:sz w:val="24"/>
              </w:rPr>
            </w:pPr>
          </w:p>
        </w:tc>
      </w:tr>
    </w:tbl>
    <w:p w14:paraId="5C9A4573">
      <w:pPr>
        <w:spacing w:line="400" w:lineRule="exact"/>
        <w:ind w:firstLine="240"/>
        <w:rPr>
          <w:rFonts w:ascii="宋体" w:hAnsi="宋体"/>
          <w:sz w:val="24"/>
        </w:rPr>
      </w:pPr>
      <w:r>
        <w:rPr>
          <w:rFonts w:hint="eastAsia" w:ascii="宋体" w:hAnsi="宋体"/>
          <w:sz w:val="24"/>
        </w:rPr>
        <w:t>注</w:t>
      </w:r>
      <w:r>
        <w:rPr>
          <w:rFonts w:ascii="宋体" w:hAnsi="宋体"/>
          <w:sz w:val="24"/>
        </w:rPr>
        <w:t>：</w:t>
      </w:r>
      <w:r>
        <w:rPr>
          <w:rFonts w:hint="eastAsia" w:ascii="宋体" w:hAnsi="宋体"/>
          <w:sz w:val="24"/>
        </w:rPr>
        <w:t>1.</w:t>
      </w:r>
      <w:r>
        <w:rPr>
          <w:rFonts w:hint="eastAsia" w:ascii="宋体" w:hAnsi="宋体"/>
          <w:sz w:val="24"/>
          <w:lang w:val="en-US" w:eastAsia="zh-CN"/>
        </w:rPr>
        <w:t>供应商</w:t>
      </w:r>
      <w:r>
        <w:rPr>
          <w:rFonts w:hint="eastAsia" w:ascii="宋体" w:hAnsi="宋体"/>
          <w:sz w:val="24"/>
        </w:rPr>
        <w:t>必须</w:t>
      </w:r>
      <w:r>
        <w:rPr>
          <w:rFonts w:ascii="宋体" w:hAnsi="宋体"/>
          <w:sz w:val="24"/>
        </w:rPr>
        <w:t>对技术</w:t>
      </w:r>
      <w:r>
        <w:rPr>
          <w:rFonts w:hint="eastAsia" w:ascii="宋体" w:hAnsi="宋体"/>
          <w:sz w:val="24"/>
        </w:rPr>
        <w:t>要求</w:t>
      </w:r>
      <w:r>
        <w:rPr>
          <w:rFonts w:ascii="宋体" w:hAnsi="宋体"/>
          <w:sz w:val="24"/>
        </w:rPr>
        <w:t>和商务要求中的实质性要求逐条做出明确响应</w:t>
      </w:r>
      <w:r>
        <w:rPr>
          <w:rFonts w:hint="eastAsia" w:ascii="宋体" w:hAnsi="宋体"/>
          <w:sz w:val="24"/>
        </w:rPr>
        <w:t>，否则</w:t>
      </w:r>
      <w:r>
        <w:rPr>
          <w:rFonts w:hint="eastAsia" w:ascii="宋体" w:hAnsi="宋体"/>
          <w:sz w:val="24"/>
          <w:lang w:val="en-US" w:eastAsia="zh-CN"/>
        </w:rPr>
        <w:t>将失去磋商资格</w:t>
      </w:r>
      <w:r>
        <w:rPr>
          <w:rFonts w:ascii="宋体" w:hAnsi="宋体"/>
          <w:sz w:val="24"/>
        </w:rPr>
        <w:t>。</w:t>
      </w:r>
    </w:p>
    <w:p w14:paraId="6C62C1E4">
      <w:pPr>
        <w:spacing w:line="400" w:lineRule="exact"/>
        <w:ind w:firstLine="720"/>
        <w:rPr>
          <w:rFonts w:ascii="宋体" w:hAnsi="宋体"/>
          <w:sz w:val="24"/>
        </w:rPr>
      </w:pPr>
      <w:r>
        <w:rPr>
          <w:rFonts w:ascii="宋体" w:hAnsi="宋体"/>
          <w:sz w:val="24"/>
        </w:rPr>
        <w:t>2</w:t>
      </w:r>
      <w:r>
        <w:rPr>
          <w:rFonts w:hint="eastAsia" w:ascii="宋体" w:hAnsi="宋体"/>
          <w:sz w:val="24"/>
        </w:rPr>
        <w:t>.</w:t>
      </w:r>
      <w:r>
        <w:rPr>
          <w:rFonts w:hint="eastAsia" w:ascii="宋体" w:hAnsi="宋体"/>
          <w:sz w:val="24"/>
          <w:lang w:val="en-US" w:eastAsia="zh-CN"/>
        </w:rPr>
        <w:t>供应商</w:t>
      </w:r>
      <w:r>
        <w:rPr>
          <w:rFonts w:hint="eastAsia" w:ascii="宋体" w:hAnsi="宋体"/>
          <w:sz w:val="24"/>
        </w:rPr>
        <w:t>未对实质性要求逐条作出明确响应的，或未按</w:t>
      </w:r>
      <w:r>
        <w:rPr>
          <w:rFonts w:hint="eastAsia" w:ascii="宋体" w:hAnsi="宋体"/>
          <w:sz w:val="24"/>
          <w:lang w:val="en-US" w:eastAsia="zh-CN"/>
        </w:rPr>
        <w:t>磋商</w:t>
      </w:r>
      <w:r>
        <w:rPr>
          <w:rFonts w:hint="eastAsia" w:ascii="宋体" w:hAnsi="宋体"/>
          <w:sz w:val="24"/>
        </w:rPr>
        <w:t>文件要求提供证明材料（如有）的，该项目作无效投标处理。</w:t>
      </w:r>
    </w:p>
    <w:p w14:paraId="7F77D26F">
      <w:pPr>
        <w:rPr>
          <w:rFonts w:hint="eastAsia"/>
          <w:b w:val="0"/>
          <w:sz w:val="24"/>
          <w:szCs w:val="24"/>
        </w:rPr>
      </w:pPr>
      <w:r>
        <w:rPr>
          <w:rFonts w:hint="eastAsia"/>
          <w:b w:val="0"/>
          <w:sz w:val="24"/>
          <w:szCs w:val="24"/>
        </w:rPr>
        <w:br w:type="page" w:clear="all"/>
      </w:r>
    </w:p>
    <w:p w14:paraId="14C00D38">
      <w:pPr>
        <w:pStyle w:val="3"/>
        <w:spacing w:line="440" w:lineRule="exact"/>
        <w:rPr>
          <w:rFonts w:hint="eastAsia"/>
          <w:sz w:val="24"/>
          <w:szCs w:val="24"/>
        </w:rPr>
      </w:pPr>
      <w:bookmarkStart w:id="100" w:name="_Toc1682"/>
      <w:r>
        <w:rPr>
          <w:rFonts w:hint="eastAsia"/>
          <w:sz w:val="24"/>
          <w:szCs w:val="24"/>
        </w:rPr>
        <w:t>附件</w:t>
      </w:r>
      <w:r>
        <w:rPr>
          <w:rFonts w:hint="eastAsia"/>
          <w:sz w:val="24"/>
          <w:szCs w:val="24"/>
          <w:lang w:val="en-US" w:eastAsia="zh-CN"/>
        </w:rPr>
        <w:t xml:space="preserve">9 </w:t>
      </w:r>
      <w:r>
        <w:rPr>
          <w:rFonts w:hint="eastAsia"/>
          <w:sz w:val="24"/>
          <w:szCs w:val="24"/>
        </w:rPr>
        <w:t>项目实施方案</w:t>
      </w:r>
      <w:bookmarkEnd w:id="99"/>
      <w:bookmarkEnd w:id="100"/>
    </w:p>
    <w:p w14:paraId="2D235631">
      <w:pPr>
        <w:spacing w:line="500" w:lineRule="exact"/>
        <w:rPr>
          <w:rFonts w:hint="eastAsia"/>
          <w:sz w:val="24"/>
          <w:szCs w:val="24"/>
        </w:rPr>
      </w:pPr>
      <w:r>
        <w:rPr>
          <w:rFonts w:hint="eastAsia"/>
          <w:sz w:val="24"/>
          <w:szCs w:val="24"/>
        </w:rPr>
        <w:t>主要内容应包括但不限于以下方面：</w:t>
      </w:r>
    </w:p>
    <w:p w14:paraId="5A2F05FE">
      <w:r>
        <w:rPr>
          <w:rFonts w:hint="eastAsia"/>
          <w:sz w:val="24"/>
          <w:szCs w:val="24"/>
        </w:rPr>
        <w:t>按照第五章</w:t>
      </w:r>
      <w:r>
        <w:rPr>
          <w:sz w:val="24"/>
          <w:szCs w:val="24"/>
        </w:rPr>
        <w:t xml:space="preserve">  </w:t>
      </w:r>
      <w:r>
        <w:rPr>
          <w:rFonts w:hint="eastAsia"/>
          <w:sz w:val="24"/>
          <w:szCs w:val="24"/>
        </w:rPr>
        <w:t>评审方法与评审标准”提供方案</w:t>
      </w:r>
    </w:p>
    <w:p w14:paraId="33A0EEED">
      <w:pPr>
        <w:rPr>
          <w:rFonts w:ascii="宋体" w:hAnsi="宋体"/>
          <w:sz w:val="24"/>
        </w:rPr>
      </w:pPr>
      <w:r>
        <w:rPr>
          <w:sz w:val="24"/>
          <w:szCs w:val="24"/>
        </w:rPr>
        <w:br w:type="page" w:clear="all"/>
      </w:r>
      <w:bookmarkEnd w:id="89"/>
      <w:bookmarkEnd w:id="90"/>
      <w:bookmarkEnd w:id="91"/>
      <w:bookmarkEnd w:id="92"/>
      <w:bookmarkEnd w:id="93"/>
      <w:bookmarkEnd w:id="94"/>
    </w:p>
    <w:p w14:paraId="345D96B8">
      <w:pPr>
        <w:pStyle w:val="3"/>
        <w:spacing w:line="440" w:lineRule="exact"/>
        <w:rPr>
          <w:rFonts w:hint="eastAsia"/>
          <w:sz w:val="24"/>
          <w:szCs w:val="24"/>
        </w:rPr>
      </w:pPr>
      <w:bookmarkStart w:id="101" w:name="_Toc159312672"/>
      <w:bookmarkStart w:id="102" w:name="_Toc21964"/>
      <w:bookmarkStart w:id="103" w:name="_Toc103080661"/>
      <w:bookmarkStart w:id="104" w:name="_Toc4672"/>
      <w:bookmarkStart w:id="105" w:name="_Toc345248158"/>
      <w:bookmarkStart w:id="106" w:name="_Toc414881347"/>
      <w:bookmarkStart w:id="107" w:name="_Toc341427249"/>
      <w:bookmarkStart w:id="108" w:name="_Toc447796831"/>
      <w:r>
        <w:rPr>
          <w:rFonts w:hint="eastAsia"/>
          <w:sz w:val="24"/>
          <w:szCs w:val="24"/>
        </w:rPr>
        <w:t>附件</w:t>
      </w:r>
      <w:r>
        <w:rPr>
          <w:rFonts w:hint="eastAsia"/>
          <w:sz w:val="24"/>
          <w:szCs w:val="24"/>
          <w:lang w:val="en-US" w:eastAsia="zh-CN"/>
        </w:rPr>
        <w:t>10</w:t>
      </w:r>
      <w:r>
        <w:rPr>
          <w:rFonts w:hint="eastAsia"/>
          <w:sz w:val="24"/>
          <w:szCs w:val="24"/>
        </w:rPr>
        <w:t xml:space="preserve"> </w:t>
      </w:r>
      <w:r>
        <w:rPr>
          <w:sz w:val="24"/>
          <w:szCs w:val="24"/>
        </w:rPr>
        <w:t>业绩一览表</w:t>
      </w:r>
      <w:bookmarkEnd w:id="101"/>
      <w:bookmarkEnd w:id="102"/>
      <w:bookmarkEnd w:id="103"/>
      <w:bookmarkEnd w:id="104"/>
    </w:p>
    <w:tbl>
      <w:tblPr>
        <w:tblStyle w:val="53"/>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400"/>
        <w:gridCol w:w="1500"/>
        <w:gridCol w:w="1798"/>
        <w:gridCol w:w="1735"/>
        <w:gridCol w:w="1116"/>
      </w:tblGrid>
      <w:tr w14:paraId="5737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55" w:type="dxa"/>
            <w:noWrap w:val="0"/>
            <w:vAlign w:val="center"/>
          </w:tcPr>
          <w:p w14:paraId="74A163F2">
            <w:pPr>
              <w:pStyle w:val="19"/>
              <w:jc w:val="center"/>
              <w:rPr>
                <w:rFonts w:ascii="Times New Roman" w:hAnsi="Times New Roman" w:eastAsia="宋体"/>
                <w:sz w:val="24"/>
              </w:rPr>
            </w:pPr>
            <w:r>
              <w:rPr>
                <w:rFonts w:ascii="Times New Roman" w:hAnsi="Times New Roman" w:eastAsia="宋体"/>
                <w:sz w:val="24"/>
              </w:rPr>
              <w:t>序号</w:t>
            </w:r>
          </w:p>
        </w:tc>
        <w:tc>
          <w:tcPr>
            <w:tcW w:w="2400" w:type="dxa"/>
            <w:noWrap w:val="0"/>
            <w:vAlign w:val="center"/>
          </w:tcPr>
          <w:p w14:paraId="3A6E3F3C">
            <w:pPr>
              <w:pStyle w:val="19"/>
              <w:jc w:val="center"/>
              <w:rPr>
                <w:rFonts w:ascii="Times New Roman" w:hAnsi="Times New Roman" w:eastAsia="宋体"/>
                <w:sz w:val="24"/>
              </w:rPr>
            </w:pPr>
            <w:r>
              <w:rPr>
                <w:rFonts w:ascii="Times New Roman" w:hAnsi="Times New Roman" w:eastAsia="宋体"/>
                <w:sz w:val="24"/>
              </w:rPr>
              <w:t>项目名称</w:t>
            </w:r>
          </w:p>
        </w:tc>
        <w:tc>
          <w:tcPr>
            <w:tcW w:w="1500" w:type="dxa"/>
            <w:noWrap w:val="0"/>
            <w:vAlign w:val="center"/>
          </w:tcPr>
          <w:p w14:paraId="7DC2BCB2">
            <w:pPr>
              <w:pStyle w:val="19"/>
              <w:jc w:val="center"/>
              <w:rPr>
                <w:rFonts w:ascii="Times New Roman" w:hAnsi="Times New Roman" w:eastAsia="宋体"/>
                <w:sz w:val="24"/>
              </w:rPr>
            </w:pPr>
            <w:r>
              <w:rPr>
                <w:rFonts w:hint="eastAsia" w:ascii="Times New Roman" w:hAnsi="Times New Roman" w:eastAsia="宋体"/>
                <w:sz w:val="24"/>
              </w:rPr>
              <w:t>项目地址</w:t>
            </w:r>
          </w:p>
        </w:tc>
        <w:tc>
          <w:tcPr>
            <w:tcW w:w="1798" w:type="dxa"/>
            <w:noWrap w:val="0"/>
            <w:vAlign w:val="center"/>
          </w:tcPr>
          <w:p w14:paraId="3AAF5FC9">
            <w:pPr>
              <w:pStyle w:val="19"/>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noWrap w:val="0"/>
            <w:vAlign w:val="center"/>
          </w:tcPr>
          <w:p w14:paraId="72080545">
            <w:pPr>
              <w:pStyle w:val="19"/>
              <w:jc w:val="center"/>
              <w:rPr>
                <w:rFonts w:ascii="Times New Roman" w:hAnsi="Times New Roman" w:eastAsia="宋体"/>
                <w:sz w:val="24"/>
              </w:rPr>
            </w:pPr>
            <w:r>
              <w:rPr>
                <w:rFonts w:ascii="Times New Roman" w:hAnsi="Times New Roman" w:eastAsia="宋体"/>
                <w:sz w:val="24"/>
              </w:rPr>
              <w:t>业主联系人及联系电话</w:t>
            </w:r>
          </w:p>
        </w:tc>
        <w:tc>
          <w:tcPr>
            <w:tcW w:w="1116" w:type="dxa"/>
            <w:noWrap w:val="0"/>
            <w:vAlign w:val="center"/>
          </w:tcPr>
          <w:p w14:paraId="7AA747BF">
            <w:pPr>
              <w:pStyle w:val="19"/>
              <w:jc w:val="center"/>
              <w:rPr>
                <w:rFonts w:ascii="Times New Roman" w:hAnsi="Times New Roman" w:eastAsia="宋体"/>
                <w:sz w:val="24"/>
              </w:rPr>
            </w:pPr>
            <w:r>
              <w:rPr>
                <w:rFonts w:ascii="Times New Roman" w:hAnsi="Times New Roman" w:eastAsia="宋体"/>
                <w:sz w:val="24"/>
              </w:rPr>
              <w:t>备  注</w:t>
            </w:r>
          </w:p>
        </w:tc>
      </w:tr>
      <w:tr w14:paraId="682C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32008AC6">
            <w:pPr>
              <w:pStyle w:val="19"/>
              <w:jc w:val="center"/>
              <w:rPr>
                <w:rFonts w:ascii="Times New Roman" w:hAnsi="Times New Roman" w:eastAsia="宋体"/>
                <w:sz w:val="24"/>
              </w:rPr>
            </w:pPr>
            <w:r>
              <w:rPr>
                <w:rFonts w:ascii="Times New Roman" w:hAnsi="Times New Roman" w:eastAsia="宋体"/>
                <w:sz w:val="24"/>
              </w:rPr>
              <w:t>1</w:t>
            </w:r>
          </w:p>
        </w:tc>
        <w:tc>
          <w:tcPr>
            <w:tcW w:w="2400" w:type="dxa"/>
            <w:noWrap w:val="0"/>
            <w:vAlign w:val="center"/>
          </w:tcPr>
          <w:p w14:paraId="2DD10294">
            <w:pPr>
              <w:pStyle w:val="19"/>
              <w:jc w:val="center"/>
              <w:rPr>
                <w:rFonts w:ascii="Times New Roman" w:hAnsi="Times New Roman" w:eastAsia="宋体"/>
                <w:sz w:val="24"/>
              </w:rPr>
            </w:pPr>
          </w:p>
        </w:tc>
        <w:tc>
          <w:tcPr>
            <w:tcW w:w="1500" w:type="dxa"/>
            <w:noWrap w:val="0"/>
            <w:vAlign w:val="center"/>
          </w:tcPr>
          <w:p w14:paraId="7719FDE6">
            <w:pPr>
              <w:pStyle w:val="19"/>
              <w:jc w:val="center"/>
              <w:rPr>
                <w:rFonts w:ascii="Times New Roman" w:hAnsi="Times New Roman" w:eastAsia="宋体"/>
                <w:sz w:val="24"/>
              </w:rPr>
            </w:pPr>
          </w:p>
        </w:tc>
        <w:tc>
          <w:tcPr>
            <w:tcW w:w="1798" w:type="dxa"/>
            <w:noWrap w:val="0"/>
            <w:vAlign w:val="center"/>
          </w:tcPr>
          <w:p w14:paraId="4D85328C">
            <w:pPr>
              <w:pStyle w:val="19"/>
              <w:jc w:val="center"/>
              <w:rPr>
                <w:rFonts w:ascii="Times New Roman" w:hAnsi="Times New Roman" w:eastAsia="宋体"/>
                <w:sz w:val="24"/>
              </w:rPr>
            </w:pPr>
          </w:p>
        </w:tc>
        <w:tc>
          <w:tcPr>
            <w:tcW w:w="1735" w:type="dxa"/>
            <w:noWrap w:val="0"/>
            <w:vAlign w:val="center"/>
          </w:tcPr>
          <w:p w14:paraId="6FB1A94A">
            <w:pPr>
              <w:pStyle w:val="19"/>
              <w:jc w:val="center"/>
              <w:rPr>
                <w:rFonts w:ascii="Times New Roman" w:hAnsi="Times New Roman" w:eastAsia="宋体"/>
                <w:sz w:val="24"/>
              </w:rPr>
            </w:pPr>
          </w:p>
        </w:tc>
        <w:tc>
          <w:tcPr>
            <w:tcW w:w="1116" w:type="dxa"/>
            <w:noWrap w:val="0"/>
            <w:vAlign w:val="center"/>
          </w:tcPr>
          <w:p w14:paraId="509E1962">
            <w:pPr>
              <w:pStyle w:val="19"/>
              <w:jc w:val="center"/>
              <w:rPr>
                <w:rFonts w:ascii="Times New Roman" w:hAnsi="Times New Roman" w:eastAsia="宋体"/>
                <w:sz w:val="24"/>
              </w:rPr>
            </w:pPr>
          </w:p>
        </w:tc>
      </w:tr>
      <w:tr w14:paraId="062C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4B589373">
            <w:pPr>
              <w:pStyle w:val="19"/>
              <w:jc w:val="center"/>
              <w:rPr>
                <w:rFonts w:ascii="Times New Roman" w:hAnsi="Times New Roman" w:eastAsia="宋体"/>
                <w:sz w:val="24"/>
              </w:rPr>
            </w:pPr>
            <w:r>
              <w:rPr>
                <w:rFonts w:ascii="Times New Roman" w:hAnsi="Times New Roman" w:eastAsia="宋体"/>
                <w:sz w:val="24"/>
              </w:rPr>
              <w:t>2</w:t>
            </w:r>
          </w:p>
        </w:tc>
        <w:tc>
          <w:tcPr>
            <w:tcW w:w="2400" w:type="dxa"/>
            <w:noWrap w:val="0"/>
            <w:vAlign w:val="center"/>
          </w:tcPr>
          <w:p w14:paraId="70334463">
            <w:pPr>
              <w:pStyle w:val="19"/>
              <w:jc w:val="center"/>
              <w:rPr>
                <w:rFonts w:ascii="Times New Roman" w:hAnsi="Times New Roman" w:eastAsia="宋体"/>
                <w:sz w:val="24"/>
              </w:rPr>
            </w:pPr>
          </w:p>
        </w:tc>
        <w:tc>
          <w:tcPr>
            <w:tcW w:w="1500" w:type="dxa"/>
            <w:noWrap w:val="0"/>
            <w:vAlign w:val="center"/>
          </w:tcPr>
          <w:p w14:paraId="462A9E87">
            <w:pPr>
              <w:pStyle w:val="19"/>
              <w:jc w:val="center"/>
              <w:rPr>
                <w:rFonts w:ascii="Times New Roman" w:hAnsi="Times New Roman" w:eastAsia="宋体"/>
                <w:sz w:val="24"/>
              </w:rPr>
            </w:pPr>
          </w:p>
        </w:tc>
        <w:tc>
          <w:tcPr>
            <w:tcW w:w="1798" w:type="dxa"/>
            <w:noWrap w:val="0"/>
            <w:vAlign w:val="center"/>
          </w:tcPr>
          <w:p w14:paraId="41AC24FD">
            <w:pPr>
              <w:pStyle w:val="19"/>
              <w:jc w:val="center"/>
              <w:rPr>
                <w:rFonts w:ascii="Times New Roman" w:hAnsi="Times New Roman" w:eastAsia="宋体"/>
                <w:sz w:val="24"/>
              </w:rPr>
            </w:pPr>
          </w:p>
        </w:tc>
        <w:tc>
          <w:tcPr>
            <w:tcW w:w="1735" w:type="dxa"/>
            <w:noWrap w:val="0"/>
            <w:vAlign w:val="center"/>
          </w:tcPr>
          <w:p w14:paraId="745D73AA">
            <w:pPr>
              <w:pStyle w:val="19"/>
              <w:jc w:val="center"/>
              <w:rPr>
                <w:rFonts w:ascii="Times New Roman" w:hAnsi="Times New Roman" w:eastAsia="宋体"/>
                <w:sz w:val="24"/>
              </w:rPr>
            </w:pPr>
          </w:p>
        </w:tc>
        <w:tc>
          <w:tcPr>
            <w:tcW w:w="1116" w:type="dxa"/>
            <w:noWrap w:val="0"/>
            <w:vAlign w:val="center"/>
          </w:tcPr>
          <w:p w14:paraId="52C719A4">
            <w:pPr>
              <w:pStyle w:val="19"/>
              <w:jc w:val="center"/>
              <w:rPr>
                <w:rFonts w:ascii="Times New Roman" w:hAnsi="Times New Roman" w:eastAsia="宋体"/>
                <w:sz w:val="24"/>
              </w:rPr>
            </w:pPr>
          </w:p>
        </w:tc>
      </w:tr>
      <w:tr w14:paraId="5885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1DA0F2A2">
            <w:pPr>
              <w:pStyle w:val="19"/>
              <w:jc w:val="center"/>
              <w:rPr>
                <w:rFonts w:ascii="Times New Roman" w:hAnsi="Times New Roman" w:eastAsia="宋体"/>
                <w:sz w:val="24"/>
              </w:rPr>
            </w:pPr>
            <w:r>
              <w:rPr>
                <w:rFonts w:ascii="Times New Roman" w:hAnsi="Times New Roman" w:eastAsia="宋体"/>
                <w:sz w:val="24"/>
              </w:rPr>
              <w:t>3</w:t>
            </w:r>
          </w:p>
        </w:tc>
        <w:tc>
          <w:tcPr>
            <w:tcW w:w="2400" w:type="dxa"/>
            <w:noWrap w:val="0"/>
            <w:vAlign w:val="center"/>
          </w:tcPr>
          <w:p w14:paraId="17C7296C">
            <w:pPr>
              <w:pStyle w:val="19"/>
              <w:jc w:val="center"/>
              <w:rPr>
                <w:rFonts w:ascii="Times New Roman" w:hAnsi="Times New Roman" w:eastAsia="宋体"/>
                <w:sz w:val="24"/>
              </w:rPr>
            </w:pPr>
          </w:p>
        </w:tc>
        <w:tc>
          <w:tcPr>
            <w:tcW w:w="1500" w:type="dxa"/>
            <w:noWrap w:val="0"/>
            <w:vAlign w:val="center"/>
          </w:tcPr>
          <w:p w14:paraId="41DAAD8B">
            <w:pPr>
              <w:pStyle w:val="19"/>
              <w:jc w:val="center"/>
              <w:rPr>
                <w:rFonts w:ascii="Times New Roman" w:hAnsi="Times New Roman" w:eastAsia="宋体"/>
                <w:sz w:val="24"/>
              </w:rPr>
            </w:pPr>
          </w:p>
        </w:tc>
        <w:tc>
          <w:tcPr>
            <w:tcW w:w="1798" w:type="dxa"/>
            <w:noWrap w:val="0"/>
            <w:vAlign w:val="center"/>
          </w:tcPr>
          <w:p w14:paraId="63388682">
            <w:pPr>
              <w:pStyle w:val="19"/>
              <w:jc w:val="center"/>
              <w:rPr>
                <w:rFonts w:ascii="Times New Roman" w:hAnsi="Times New Roman" w:eastAsia="宋体"/>
                <w:sz w:val="24"/>
              </w:rPr>
            </w:pPr>
          </w:p>
        </w:tc>
        <w:tc>
          <w:tcPr>
            <w:tcW w:w="1735" w:type="dxa"/>
            <w:noWrap w:val="0"/>
            <w:vAlign w:val="center"/>
          </w:tcPr>
          <w:p w14:paraId="5182C50E">
            <w:pPr>
              <w:pStyle w:val="19"/>
              <w:jc w:val="center"/>
              <w:rPr>
                <w:rFonts w:ascii="Times New Roman" w:hAnsi="Times New Roman" w:eastAsia="宋体"/>
                <w:sz w:val="24"/>
              </w:rPr>
            </w:pPr>
          </w:p>
        </w:tc>
        <w:tc>
          <w:tcPr>
            <w:tcW w:w="1116" w:type="dxa"/>
            <w:noWrap w:val="0"/>
            <w:vAlign w:val="center"/>
          </w:tcPr>
          <w:p w14:paraId="4E42846C">
            <w:pPr>
              <w:pStyle w:val="19"/>
              <w:jc w:val="center"/>
              <w:rPr>
                <w:rFonts w:ascii="Times New Roman" w:hAnsi="Times New Roman" w:eastAsia="宋体"/>
                <w:sz w:val="24"/>
              </w:rPr>
            </w:pPr>
          </w:p>
        </w:tc>
      </w:tr>
      <w:tr w14:paraId="14D07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283D63EF">
            <w:pPr>
              <w:pStyle w:val="19"/>
              <w:jc w:val="center"/>
              <w:rPr>
                <w:rFonts w:ascii="Times New Roman" w:hAnsi="Times New Roman" w:eastAsia="宋体"/>
                <w:sz w:val="24"/>
              </w:rPr>
            </w:pPr>
            <w:r>
              <w:rPr>
                <w:rFonts w:ascii="Times New Roman" w:hAnsi="Times New Roman" w:eastAsia="宋体"/>
                <w:sz w:val="24"/>
              </w:rPr>
              <w:t>4</w:t>
            </w:r>
          </w:p>
        </w:tc>
        <w:tc>
          <w:tcPr>
            <w:tcW w:w="2400" w:type="dxa"/>
            <w:noWrap w:val="0"/>
            <w:vAlign w:val="center"/>
          </w:tcPr>
          <w:p w14:paraId="704C81DB">
            <w:pPr>
              <w:pStyle w:val="19"/>
              <w:jc w:val="center"/>
              <w:rPr>
                <w:rFonts w:ascii="Times New Roman" w:hAnsi="Times New Roman" w:eastAsia="宋体"/>
                <w:sz w:val="24"/>
              </w:rPr>
            </w:pPr>
          </w:p>
        </w:tc>
        <w:tc>
          <w:tcPr>
            <w:tcW w:w="1500" w:type="dxa"/>
            <w:noWrap w:val="0"/>
            <w:vAlign w:val="center"/>
          </w:tcPr>
          <w:p w14:paraId="02B0E616">
            <w:pPr>
              <w:pStyle w:val="19"/>
              <w:jc w:val="center"/>
              <w:rPr>
                <w:rFonts w:ascii="Times New Roman" w:hAnsi="Times New Roman" w:eastAsia="宋体"/>
                <w:sz w:val="24"/>
              </w:rPr>
            </w:pPr>
          </w:p>
        </w:tc>
        <w:tc>
          <w:tcPr>
            <w:tcW w:w="1798" w:type="dxa"/>
            <w:noWrap w:val="0"/>
            <w:vAlign w:val="center"/>
          </w:tcPr>
          <w:p w14:paraId="0C49C99D">
            <w:pPr>
              <w:pStyle w:val="19"/>
              <w:jc w:val="center"/>
              <w:rPr>
                <w:rFonts w:ascii="Times New Roman" w:hAnsi="Times New Roman" w:eastAsia="宋体"/>
                <w:sz w:val="24"/>
              </w:rPr>
            </w:pPr>
          </w:p>
        </w:tc>
        <w:tc>
          <w:tcPr>
            <w:tcW w:w="1735" w:type="dxa"/>
            <w:noWrap w:val="0"/>
            <w:vAlign w:val="center"/>
          </w:tcPr>
          <w:p w14:paraId="0F469F01">
            <w:pPr>
              <w:pStyle w:val="19"/>
              <w:jc w:val="center"/>
              <w:rPr>
                <w:rFonts w:ascii="Times New Roman" w:hAnsi="Times New Roman" w:eastAsia="宋体"/>
                <w:sz w:val="24"/>
              </w:rPr>
            </w:pPr>
          </w:p>
        </w:tc>
        <w:tc>
          <w:tcPr>
            <w:tcW w:w="1116" w:type="dxa"/>
            <w:noWrap w:val="0"/>
            <w:vAlign w:val="center"/>
          </w:tcPr>
          <w:p w14:paraId="39B1BCC2">
            <w:pPr>
              <w:pStyle w:val="19"/>
              <w:jc w:val="center"/>
              <w:rPr>
                <w:rFonts w:ascii="Times New Roman" w:hAnsi="Times New Roman" w:eastAsia="宋体"/>
                <w:sz w:val="24"/>
              </w:rPr>
            </w:pPr>
          </w:p>
        </w:tc>
      </w:tr>
      <w:tr w14:paraId="376A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noWrap w:val="0"/>
            <w:vAlign w:val="center"/>
          </w:tcPr>
          <w:p w14:paraId="6F8A943B">
            <w:pPr>
              <w:pStyle w:val="19"/>
              <w:jc w:val="center"/>
              <w:rPr>
                <w:rFonts w:ascii="Times New Roman" w:hAnsi="Times New Roman" w:eastAsia="宋体"/>
                <w:sz w:val="24"/>
              </w:rPr>
            </w:pPr>
            <w:r>
              <w:rPr>
                <w:rFonts w:hint="eastAsia" w:ascii="宋体" w:hAnsi="宋体" w:eastAsia="宋体"/>
                <w:sz w:val="24"/>
              </w:rPr>
              <w:t>…</w:t>
            </w:r>
          </w:p>
        </w:tc>
        <w:tc>
          <w:tcPr>
            <w:tcW w:w="2400" w:type="dxa"/>
            <w:tcBorders>
              <w:bottom w:val="single" w:color="auto" w:sz="4" w:space="0"/>
            </w:tcBorders>
            <w:noWrap w:val="0"/>
            <w:vAlign w:val="center"/>
          </w:tcPr>
          <w:p w14:paraId="0ECCA053">
            <w:pPr>
              <w:pStyle w:val="19"/>
              <w:jc w:val="center"/>
              <w:rPr>
                <w:rFonts w:ascii="Times New Roman" w:hAnsi="Times New Roman" w:eastAsia="宋体"/>
                <w:sz w:val="24"/>
              </w:rPr>
            </w:pPr>
          </w:p>
        </w:tc>
        <w:tc>
          <w:tcPr>
            <w:tcW w:w="1500" w:type="dxa"/>
            <w:tcBorders>
              <w:bottom w:val="single" w:color="auto" w:sz="4" w:space="0"/>
            </w:tcBorders>
            <w:noWrap w:val="0"/>
            <w:vAlign w:val="center"/>
          </w:tcPr>
          <w:p w14:paraId="4CAC283E">
            <w:pPr>
              <w:pStyle w:val="19"/>
              <w:jc w:val="center"/>
              <w:rPr>
                <w:rFonts w:ascii="Times New Roman" w:hAnsi="Times New Roman" w:eastAsia="宋体"/>
                <w:sz w:val="24"/>
              </w:rPr>
            </w:pPr>
          </w:p>
          <w:bookmarkEnd w:id="105"/>
          <w:bookmarkEnd w:id="106"/>
          <w:bookmarkEnd w:id="107"/>
          <w:bookmarkEnd w:id="108"/>
        </w:tc>
        <w:tc>
          <w:tcPr>
            <w:tcW w:w="1798" w:type="dxa"/>
            <w:tcBorders>
              <w:bottom w:val="single" w:color="auto" w:sz="4" w:space="0"/>
            </w:tcBorders>
            <w:noWrap w:val="0"/>
            <w:vAlign w:val="center"/>
          </w:tcPr>
          <w:p w14:paraId="0179A0A4">
            <w:pPr>
              <w:pStyle w:val="19"/>
              <w:jc w:val="center"/>
              <w:rPr>
                <w:rFonts w:ascii="Times New Roman" w:hAnsi="Times New Roman" w:eastAsia="宋体"/>
                <w:sz w:val="24"/>
              </w:rPr>
            </w:pPr>
          </w:p>
        </w:tc>
        <w:tc>
          <w:tcPr>
            <w:tcW w:w="1735" w:type="dxa"/>
            <w:tcBorders>
              <w:bottom w:val="single" w:color="auto" w:sz="4" w:space="0"/>
            </w:tcBorders>
            <w:noWrap w:val="0"/>
            <w:vAlign w:val="center"/>
          </w:tcPr>
          <w:p w14:paraId="4EF2B9A6">
            <w:pPr>
              <w:pStyle w:val="19"/>
              <w:jc w:val="center"/>
              <w:rPr>
                <w:rFonts w:ascii="Times New Roman" w:hAnsi="Times New Roman" w:eastAsia="宋体"/>
                <w:sz w:val="24"/>
              </w:rPr>
            </w:pPr>
          </w:p>
        </w:tc>
        <w:tc>
          <w:tcPr>
            <w:tcW w:w="1116" w:type="dxa"/>
            <w:tcBorders>
              <w:bottom w:val="single" w:color="auto" w:sz="4" w:space="0"/>
            </w:tcBorders>
            <w:noWrap w:val="0"/>
            <w:vAlign w:val="center"/>
          </w:tcPr>
          <w:p w14:paraId="5C69B60D">
            <w:pPr>
              <w:pStyle w:val="19"/>
              <w:jc w:val="center"/>
              <w:rPr>
                <w:rFonts w:ascii="Times New Roman" w:hAnsi="Times New Roman" w:eastAsia="宋体"/>
                <w:sz w:val="24"/>
              </w:rPr>
            </w:pPr>
          </w:p>
        </w:tc>
      </w:tr>
    </w:tbl>
    <w:p w14:paraId="127501A7">
      <w:pPr>
        <w:spacing w:line="440" w:lineRule="exact"/>
        <w:rPr>
          <w:rFonts w:ascii="Times New Roman" w:hAnsi="Times New Roman" w:eastAsia="宋体" w:cs="Times New Roman"/>
          <w:sz w:val="24"/>
          <w:szCs w:val="22"/>
        </w:rPr>
      </w:pPr>
      <w:r>
        <w:rPr>
          <w:sz w:val="24"/>
          <w:szCs w:val="22"/>
        </w:rPr>
        <w:t>注：</w:t>
      </w:r>
      <w:r>
        <w:rPr>
          <w:rFonts w:hint="eastAsia" w:ascii="Times New Roman" w:hAnsi="Times New Roman" w:eastAsia="宋体" w:cs="Times New Roman"/>
          <w:sz w:val="24"/>
          <w:szCs w:val="22"/>
        </w:rPr>
        <w:t>1、</w:t>
      </w:r>
      <w:r>
        <w:rPr>
          <w:rFonts w:hint="eastAsia" w:ascii="Times New Roman" w:hAnsi="Times New Roman" w:eastAsia="宋体" w:cs="Times New Roman"/>
          <w:sz w:val="24"/>
          <w:szCs w:val="22"/>
          <w:lang w:val="en-US" w:eastAsia="zh-CN"/>
        </w:rPr>
        <w:t>供应商</w:t>
      </w:r>
      <w:r>
        <w:rPr>
          <w:rFonts w:hint="eastAsia" w:ascii="Times New Roman" w:hAnsi="Times New Roman" w:eastAsia="宋体" w:cs="Times New Roman"/>
          <w:bCs/>
          <w:sz w:val="24"/>
        </w:rPr>
        <w:t>根据“第五章  评审方法与评审标准”要求提供相关证明材料</w:t>
      </w:r>
      <w:r>
        <w:rPr>
          <w:rFonts w:hint="eastAsia"/>
          <w:sz w:val="24"/>
        </w:rPr>
        <w:t>。</w:t>
      </w:r>
    </w:p>
    <w:p w14:paraId="4300EF09">
      <w:pPr>
        <w:spacing w:line="440" w:lineRule="exact"/>
        <w:ind w:firstLine="480"/>
        <w:rPr>
          <w:rFonts w:hint="eastAsia"/>
          <w:bCs/>
          <w:sz w:val="24"/>
          <w:szCs w:val="22"/>
        </w:rPr>
      </w:pPr>
      <w:r>
        <w:rPr>
          <w:rFonts w:hint="eastAsia"/>
          <w:bCs/>
          <w:sz w:val="24"/>
          <w:szCs w:val="22"/>
          <w:lang w:val="en-US" w:eastAsia="zh-CN"/>
        </w:rPr>
        <w:t>2</w:t>
      </w:r>
      <w:r>
        <w:rPr>
          <w:rFonts w:hint="eastAsia"/>
          <w:bCs/>
          <w:sz w:val="24"/>
          <w:szCs w:val="22"/>
        </w:rPr>
        <w:t>、如有需要说明的事项，请在备注中列明。</w:t>
      </w:r>
    </w:p>
    <w:p w14:paraId="4324A48D">
      <w:pPr>
        <w:spacing w:line="440" w:lineRule="exact"/>
        <w:ind w:firstLine="480"/>
        <w:rPr>
          <w:rFonts w:hint="eastAsia"/>
          <w:sz w:val="24"/>
          <w:szCs w:val="22"/>
        </w:rPr>
      </w:pPr>
      <w:r>
        <w:rPr>
          <w:rFonts w:hint="eastAsia"/>
          <w:bCs/>
          <w:sz w:val="24"/>
          <w:szCs w:val="22"/>
          <w:lang w:val="en-US" w:eastAsia="zh-CN"/>
        </w:rPr>
        <w:t>3</w:t>
      </w:r>
      <w:r>
        <w:rPr>
          <w:rFonts w:hint="eastAsia"/>
          <w:bCs/>
          <w:sz w:val="24"/>
          <w:szCs w:val="22"/>
        </w:rPr>
        <w:t>、</w:t>
      </w:r>
      <w:r>
        <w:rPr>
          <w:rFonts w:hint="eastAsia"/>
          <w:sz w:val="24"/>
          <w:szCs w:val="22"/>
        </w:rPr>
        <w:t>我方在此声明，我方保证上述信息的真实和准确，并愿意承担因我方就此弄虚作假所引起的一切法律后果。</w:t>
      </w:r>
    </w:p>
    <w:p w14:paraId="74554700">
      <w:pPr>
        <w:rPr>
          <w:rFonts w:hint="default" w:ascii="Times New Roman" w:hAnsi="Times New Roman" w:cs="Times New Roman"/>
          <w:b/>
          <w:bCs/>
          <w:sz w:val="28"/>
          <w:szCs w:val="28"/>
          <w:lang w:val="en-US" w:eastAsia="zh-CN"/>
        </w:rPr>
      </w:pPr>
    </w:p>
    <w:p w14:paraId="4584BD22">
      <w:pPr>
        <w:rPr>
          <w:rFonts w:hint="eastAsia" w:ascii="宋体" w:hAnsi="宋体"/>
          <w:b/>
          <w:bCs/>
          <w:sz w:val="32"/>
          <w:szCs w:val="32"/>
        </w:rPr>
      </w:pPr>
      <w:bookmarkStart w:id="109" w:name="_Toc201311075"/>
      <w:r>
        <w:rPr>
          <w:rFonts w:hint="eastAsia" w:ascii="宋体" w:hAnsi="宋体"/>
          <w:b/>
          <w:bCs/>
          <w:sz w:val="32"/>
          <w:szCs w:val="32"/>
        </w:rPr>
        <w:br w:type="page" w:clear="all"/>
      </w:r>
    </w:p>
    <w:p w14:paraId="3ACEE0EC">
      <w:pPr>
        <w:pStyle w:val="3"/>
        <w:spacing w:line="440" w:lineRule="exact"/>
        <w:rPr>
          <w:rFonts w:hint="eastAsia" w:ascii="Times New Roman" w:hAnsi="Times New Roman" w:eastAsia="宋体" w:cs="Times New Roman"/>
          <w:sz w:val="24"/>
          <w:szCs w:val="24"/>
        </w:rPr>
      </w:pPr>
      <w:bookmarkStart w:id="110" w:name="_Toc24003"/>
      <w:r>
        <w:rPr>
          <w:rFonts w:hint="eastAsia" w:ascii="Times New Roman" w:hAnsi="Times New Roman" w:eastAsia="宋体" w:cs="Times New Roman"/>
          <w:sz w:val="24"/>
          <w:szCs w:val="24"/>
        </w:rPr>
        <w:t>附件1</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 xml:space="preserve"> 商务条件响应表</w:t>
      </w:r>
      <w:bookmarkEnd w:id="109"/>
      <w:bookmarkEnd w:id="110"/>
    </w:p>
    <w:tbl>
      <w:tblPr>
        <w:tblStyle w:val="53"/>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2565"/>
        <w:gridCol w:w="3261"/>
      </w:tblGrid>
      <w:tr w14:paraId="6374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780" w:type="dxa"/>
            <w:noWrap w:val="0"/>
            <w:vAlign w:val="center"/>
          </w:tcPr>
          <w:p w14:paraId="16AED2CE">
            <w:pPr>
              <w:jc w:val="center"/>
              <w:rPr>
                <w:sz w:val="24"/>
                <w:szCs w:val="24"/>
              </w:rPr>
            </w:pPr>
            <w:r>
              <w:rPr>
                <w:sz w:val="24"/>
                <w:szCs w:val="24"/>
              </w:rPr>
              <w:t>合同条款</w:t>
            </w:r>
          </w:p>
        </w:tc>
        <w:tc>
          <w:tcPr>
            <w:tcW w:w="2565" w:type="dxa"/>
            <w:noWrap w:val="0"/>
            <w:vAlign w:val="center"/>
          </w:tcPr>
          <w:p w14:paraId="19FBDDC0">
            <w:pPr>
              <w:jc w:val="center"/>
              <w:rPr>
                <w:sz w:val="24"/>
                <w:szCs w:val="24"/>
              </w:rPr>
            </w:pPr>
            <w:r>
              <w:rPr>
                <w:sz w:val="24"/>
                <w:szCs w:val="24"/>
              </w:rPr>
              <w:t>有无偏离</w:t>
            </w:r>
          </w:p>
        </w:tc>
        <w:tc>
          <w:tcPr>
            <w:tcW w:w="3261" w:type="dxa"/>
            <w:noWrap w:val="0"/>
            <w:vAlign w:val="center"/>
          </w:tcPr>
          <w:p w14:paraId="1D24BA50">
            <w:pPr>
              <w:jc w:val="center"/>
              <w:rPr>
                <w:sz w:val="24"/>
                <w:szCs w:val="24"/>
              </w:rPr>
            </w:pPr>
            <w:r>
              <w:rPr>
                <w:sz w:val="24"/>
                <w:szCs w:val="24"/>
              </w:rPr>
              <w:t>偏离内容及原因</w:t>
            </w:r>
          </w:p>
        </w:tc>
      </w:tr>
      <w:tr w14:paraId="6C2E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2A7EB5D6">
            <w:pPr>
              <w:rPr>
                <w:sz w:val="24"/>
                <w:szCs w:val="24"/>
              </w:rPr>
            </w:pPr>
          </w:p>
        </w:tc>
        <w:tc>
          <w:tcPr>
            <w:tcW w:w="2565" w:type="dxa"/>
            <w:noWrap w:val="0"/>
            <w:vAlign w:val="center"/>
          </w:tcPr>
          <w:p w14:paraId="3D3E867E">
            <w:pPr>
              <w:rPr>
                <w:sz w:val="24"/>
                <w:szCs w:val="24"/>
              </w:rPr>
            </w:pPr>
          </w:p>
        </w:tc>
        <w:tc>
          <w:tcPr>
            <w:tcW w:w="3261" w:type="dxa"/>
            <w:noWrap w:val="0"/>
            <w:vAlign w:val="center"/>
          </w:tcPr>
          <w:p w14:paraId="46DF20B8">
            <w:pPr>
              <w:rPr>
                <w:sz w:val="24"/>
                <w:szCs w:val="24"/>
              </w:rPr>
            </w:pPr>
          </w:p>
        </w:tc>
      </w:tr>
      <w:tr w14:paraId="5192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2516CFA1">
            <w:pPr>
              <w:rPr>
                <w:sz w:val="24"/>
                <w:szCs w:val="24"/>
              </w:rPr>
            </w:pPr>
          </w:p>
        </w:tc>
        <w:tc>
          <w:tcPr>
            <w:tcW w:w="2565" w:type="dxa"/>
            <w:noWrap w:val="0"/>
            <w:vAlign w:val="center"/>
          </w:tcPr>
          <w:p w14:paraId="3D88FD07">
            <w:pPr>
              <w:rPr>
                <w:sz w:val="24"/>
                <w:szCs w:val="24"/>
              </w:rPr>
            </w:pPr>
          </w:p>
        </w:tc>
        <w:tc>
          <w:tcPr>
            <w:tcW w:w="3261" w:type="dxa"/>
            <w:noWrap w:val="0"/>
            <w:vAlign w:val="center"/>
          </w:tcPr>
          <w:p w14:paraId="511A0D3C">
            <w:pPr>
              <w:rPr>
                <w:sz w:val="24"/>
                <w:szCs w:val="24"/>
              </w:rPr>
            </w:pPr>
          </w:p>
        </w:tc>
      </w:tr>
      <w:tr w14:paraId="2BE7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5ED13C25">
            <w:pPr>
              <w:rPr>
                <w:sz w:val="24"/>
                <w:szCs w:val="24"/>
              </w:rPr>
            </w:pPr>
          </w:p>
        </w:tc>
        <w:tc>
          <w:tcPr>
            <w:tcW w:w="2565" w:type="dxa"/>
            <w:noWrap w:val="0"/>
            <w:vAlign w:val="center"/>
          </w:tcPr>
          <w:p w14:paraId="1A98EBD9">
            <w:pPr>
              <w:rPr>
                <w:sz w:val="24"/>
                <w:szCs w:val="24"/>
              </w:rPr>
            </w:pPr>
          </w:p>
        </w:tc>
        <w:tc>
          <w:tcPr>
            <w:tcW w:w="3261" w:type="dxa"/>
            <w:noWrap w:val="0"/>
            <w:vAlign w:val="center"/>
          </w:tcPr>
          <w:p w14:paraId="4866024A">
            <w:pPr>
              <w:rPr>
                <w:sz w:val="24"/>
                <w:szCs w:val="24"/>
              </w:rPr>
            </w:pPr>
          </w:p>
        </w:tc>
      </w:tr>
      <w:tr w14:paraId="6E9D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78E853FD">
            <w:pPr>
              <w:rPr>
                <w:sz w:val="24"/>
                <w:szCs w:val="24"/>
              </w:rPr>
            </w:pPr>
          </w:p>
        </w:tc>
        <w:tc>
          <w:tcPr>
            <w:tcW w:w="2565" w:type="dxa"/>
            <w:noWrap w:val="0"/>
            <w:vAlign w:val="center"/>
          </w:tcPr>
          <w:p w14:paraId="6C2E00F2">
            <w:pPr>
              <w:rPr>
                <w:sz w:val="24"/>
                <w:szCs w:val="24"/>
              </w:rPr>
            </w:pPr>
          </w:p>
        </w:tc>
        <w:tc>
          <w:tcPr>
            <w:tcW w:w="3261" w:type="dxa"/>
            <w:noWrap w:val="0"/>
            <w:vAlign w:val="center"/>
          </w:tcPr>
          <w:p w14:paraId="4B47C724">
            <w:pPr>
              <w:rPr>
                <w:sz w:val="24"/>
                <w:szCs w:val="24"/>
              </w:rPr>
            </w:pPr>
          </w:p>
        </w:tc>
      </w:tr>
      <w:tr w14:paraId="542B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57ED5EA9">
            <w:pPr>
              <w:rPr>
                <w:sz w:val="24"/>
                <w:szCs w:val="24"/>
              </w:rPr>
            </w:pPr>
          </w:p>
        </w:tc>
        <w:tc>
          <w:tcPr>
            <w:tcW w:w="2565" w:type="dxa"/>
            <w:noWrap w:val="0"/>
            <w:vAlign w:val="center"/>
          </w:tcPr>
          <w:p w14:paraId="4680FC5A">
            <w:pPr>
              <w:rPr>
                <w:sz w:val="24"/>
                <w:szCs w:val="24"/>
              </w:rPr>
            </w:pPr>
          </w:p>
        </w:tc>
        <w:tc>
          <w:tcPr>
            <w:tcW w:w="3261" w:type="dxa"/>
            <w:noWrap w:val="0"/>
            <w:vAlign w:val="center"/>
          </w:tcPr>
          <w:p w14:paraId="23CAD896">
            <w:pPr>
              <w:rPr>
                <w:sz w:val="24"/>
                <w:szCs w:val="24"/>
              </w:rPr>
            </w:pPr>
          </w:p>
        </w:tc>
      </w:tr>
      <w:tr w14:paraId="642A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20E30912">
            <w:pPr>
              <w:rPr>
                <w:sz w:val="24"/>
                <w:szCs w:val="24"/>
              </w:rPr>
            </w:pPr>
          </w:p>
        </w:tc>
        <w:tc>
          <w:tcPr>
            <w:tcW w:w="2565" w:type="dxa"/>
            <w:noWrap w:val="0"/>
            <w:vAlign w:val="center"/>
          </w:tcPr>
          <w:p w14:paraId="4979A34B">
            <w:pPr>
              <w:rPr>
                <w:sz w:val="24"/>
                <w:szCs w:val="24"/>
              </w:rPr>
            </w:pPr>
          </w:p>
        </w:tc>
        <w:tc>
          <w:tcPr>
            <w:tcW w:w="3261" w:type="dxa"/>
            <w:noWrap w:val="0"/>
            <w:vAlign w:val="center"/>
          </w:tcPr>
          <w:p w14:paraId="3B0E3B80">
            <w:pPr>
              <w:rPr>
                <w:sz w:val="24"/>
                <w:szCs w:val="24"/>
              </w:rPr>
            </w:pPr>
          </w:p>
        </w:tc>
      </w:tr>
      <w:tr w14:paraId="3B79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09D1C62D">
            <w:pPr>
              <w:rPr>
                <w:sz w:val="24"/>
                <w:szCs w:val="24"/>
              </w:rPr>
            </w:pPr>
          </w:p>
        </w:tc>
        <w:tc>
          <w:tcPr>
            <w:tcW w:w="2565" w:type="dxa"/>
            <w:noWrap w:val="0"/>
            <w:vAlign w:val="center"/>
          </w:tcPr>
          <w:p w14:paraId="16261A59">
            <w:pPr>
              <w:rPr>
                <w:sz w:val="24"/>
                <w:szCs w:val="24"/>
              </w:rPr>
            </w:pPr>
          </w:p>
        </w:tc>
        <w:tc>
          <w:tcPr>
            <w:tcW w:w="3261" w:type="dxa"/>
            <w:noWrap w:val="0"/>
            <w:vAlign w:val="center"/>
          </w:tcPr>
          <w:p w14:paraId="5323078C">
            <w:pPr>
              <w:rPr>
                <w:sz w:val="24"/>
                <w:szCs w:val="24"/>
              </w:rPr>
            </w:pPr>
          </w:p>
        </w:tc>
      </w:tr>
      <w:tr w14:paraId="726F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362BBFB8">
            <w:pPr>
              <w:rPr>
                <w:sz w:val="24"/>
                <w:szCs w:val="24"/>
              </w:rPr>
            </w:pPr>
          </w:p>
        </w:tc>
        <w:tc>
          <w:tcPr>
            <w:tcW w:w="2565" w:type="dxa"/>
            <w:noWrap w:val="0"/>
            <w:vAlign w:val="center"/>
          </w:tcPr>
          <w:p w14:paraId="3D4E2D16">
            <w:pPr>
              <w:rPr>
                <w:sz w:val="24"/>
                <w:szCs w:val="24"/>
              </w:rPr>
            </w:pPr>
          </w:p>
        </w:tc>
        <w:tc>
          <w:tcPr>
            <w:tcW w:w="3261" w:type="dxa"/>
            <w:noWrap w:val="0"/>
            <w:vAlign w:val="center"/>
          </w:tcPr>
          <w:p w14:paraId="6DCA603F">
            <w:pPr>
              <w:rPr>
                <w:sz w:val="24"/>
                <w:szCs w:val="24"/>
              </w:rPr>
            </w:pPr>
          </w:p>
        </w:tc>
      </w:tr>
      <w:tr w14:paraId="75B67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37C1D20B">
            <w:pPr>
              <w:rPr>
                <w:sz w:val="24"/>
                <w:szCs w:val="24"/>
              </w:rPr>
            </w:pPr>
          </w:p>
        </w:tc>
        <w:tc>
          <w:tcPr>
            <w:tcW w:w="2565" w:type="dxa"/>
            <w:noWrap w:val="0"/>
            <w:vAlign w:val="center"/>
          </w:tcPr>
          <w:p w14:paraId="3ABD36D6">
            <w:pPr>
              <w:rPr>
                <w:sz w:val="24"/>
                <w:szCs w:val="24"/>
              </w:rPr>
            </w:pPr>
          </w:p>
        </w:tc>
        <w:tc>
          <w:tcPr>
            <w:tcW w:w="3261" w:type="dxa"/>
            <w:noWrap w:val="0"/>
            <w:vAlign w:val="center"/>
          </w:tcPr>
          <w:p w14:paraId="3F7F3D1B">
            <w:pPr>
              <w:rPr>
                <w:sz w:val="24"/>
                <w:szCs w:val="24"/>
              </w:rPr>
            </w:pPr>
          </w:p>
        </w:tc>
      </w:tr>
      <w:tr w14:paraId="5D1C8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7595DC9E">
            <w:pPr>
              <w:rPr>
                <w:sz w:val="24"/>
                <w:szCs w:val="24"/>
              </w:rPr>
            </w:pPr>
          </w:p>
        </w:tc>
        <w:tc>
          <w:tcPr>
            <w:tcW w:w="2565" w:type="dxa"/>
            <w:noWrap w:val="0"/>
            <w:vAlign w:val="center"/>
          </w:tcPr>
          <w:p w14:paraId="78B9F7FD">
            <w:pPr>
              <w:rPr>
                <w:sz w:val="24"/>
                <w:szCs w:val="24"/>
              </w:rPr>
            </w:pPr>
          </w:p>
        </w:tc>
        <w:tc>
          <w:tcPr>
            <w:tcW w:w="3261" w:type="dxa"/>
            <w:noWrap w:val="0"/>
            <w:vAlign w:val="center"/>
          </w:tcPr>
          <w:p w14:paraId="06E5447E">
            <w:pPr>
              <w:rPr>
                <w:sz w:val="24"/>
                <w:szCs w:val="24"/>
              </w:rPr>
            </w:pPr>
          </w:p>
        </w:tc>
      </w:tr>
      <w:tr w14:paraId="4EC77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7CD50A09">
            <w:pPr>
              <w:rPr>
                <w:sz w:val="24"/>
                <w:szCs w:val="24"/>
              </w:rPr>
            </w:pPr>
          </w:p>
        </w:tc>
        <w:tc>
          <w:tcPr>
            <w:tcW w:w="2565" w:type="dxa"/>
            <w:noWrap w:val="0"/>
            <w:vAlign w:val="center"/>
          </w:tcPr>
          <w:p w14:paraId="19BA3412">
            <w:pPr>
              <w:rPr>
                <w:sz w:val="24"/>
                <w:szCs w:val="24"/>
              </w:rPr>
            </w:pPr>
          </w:p>
        </w:tc>
        <w:tc>
          <w:tcPr>
            <w:tcW w:w="3261" w:type="dxa"/>
            <w:noWrap w:val="0"/>
            <w:vAlign w:val="center"/>
          </w:tcPr>
          <w:p w14:paraId="17957418">
            <w:pPr>
              <w:rPr>
                <w:sz w:val="24"/>
                <w:szCs w:val="24"/>
              </w:rPr>
            </w:pPr>
          </w:p>
        </w:tc>
      </w:tr>
      <w:tr w14:paraId="73B3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5B3CED1D">
            <w:pPr>
              <w:rPr>
                <w:sz w:val="24"/>
                <w:szCs w:val="24"/>
              </w:rPr>
            </w:pPr>
          </w:p>
        </w:tc>
        <w:tc>
          <w:tcPr>
            <w:tcW w:w="2565" w:type="dxa"/>
            <w:noWrap w:val="0"/>
            <w:vAlign w:val="center"/>
          </w:tcPr>
          <w:p w14:paraId="4DFE3FCA">
            <w:pPr>
              <w:rPr>
                <w:sz w:val="24"/>
                <w:szCs w:val="24"/>
              </w:rPr>
            </w:pPr>
          </w:p>
        </w:tc>
        <w:tc>
          <w:tcPr>
            <w:tcW w:w="3261" w:type="dxa"/>
            <w:noWrap w:val="0"/>
            <w:vAlign w:val="center"/>
          </w:tcPr>
          <w:p w14:paraId="05B8FE28">
            <w:pPr>
              <w:rPr>
                <w:sz w:val="24"/>
                <w:szCs w:val="24"/>
              </w:rPr>
            </w:pPr>
          </w:p>
        </w:tc>
      </w:tr>
      <w:tr w14:paraId="38AA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3C788233">
            <w:pPr>
              <w:rPr>
                <w:sz w:val="24"/>
                <w:szCs w:val="24"/>
              </w:rPr>
            </w:pPr>
          </w:p>
        </w:tc>
        <w:tc>
          <w:tcPr>
            <w:tcW w:w="2565" w:type="dxa"/>
            <w:noWrap w:val="0"/>
            <w:vAlign w:val="center"/>
          </w:tcPr>
          <w:p w14:paraId="7D8F62B3">
            <w:pPr>
              <w:rPr>
                <w:sz w:val="28"/>
                <w:szCs w:val="24"/>
              </w:rPr>
            </w:pPr>
          </w:p>
        </w:tc>
        <w:tc>
          <w:tcPr>
            <w:tcW w:w="3261" w:type="dxa"/>
            <w:noWrap w:val="0"/>
            <w:vAlign w:val="center"/>
          </w:tcPr>
          <w:p w14:paraId="7E60C1DA">
            <w:pPr>
              <w:rPr>
                <w:sz w:val="24"/>
                <w:szCs w:val="24"/>
              </w:rPr>
            </w:pPr>
          </w:p>
        </w:tc>
      </w:tr>
      <w:tr w14:paraId="4053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6643676D">
            <w:pPr>
              <w:rPr>
                <w:sz w:val="24"/>
                <w:szCs w:val="24"/>
              </w:rPr>
            </w:pPr>
          </w:p>
        </w:tc>
        <w:tc>
          <w:tcPr>
            <w:tcW w:w="2565" w:type="dxa"/>
            <w:noWrap w:val="0"/>
            <w:vAlign w:val="center"/>
          </w:tcPr>
          <w:p w14:paraId="3657562C">
            <w:pPr>
              <w:rPr>
                <w:sz w:val="24"/>
                <w:szCs w:val="24"/>
              </w:rPr>
            </w:pPr>
          </w:p>
        </w:tc>
        <w:tc>
          <w:tcPr>
            <w:tcW w:w="3261" w:type="dxa"/>
            <w:noWrap w:val="0"/>
            <w:vAlign w:val="center"/>
          </w:tcPr>
          <w:p w14:paraId="1233096F">
            <w:pPr>
              <w:rPr>
                <w:sz w:val="24"/>
                <w:szCs w:val="24"/>
              </w:rPr>
            </w:pPr>
          </w:p>
        </w:tc>
      </w:tr>
      <w:tr w14:paraId="337A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3D816E52">
            <w:pPr>
              <w:rPr>
                <w:sz w:val="24"/>
                <w:szCs w:val="24"/>
              </w:rPr>
            </w:pPr>
          </w:p>
        </w:tc>
        <w:tc>
          <w:tcPr>
            <w:tcW w:w="2565" w:type="dxa"/>
            <w:noWrap w:val="0"/>
            <w:vAlign w:val="center"/>
          </w:tcPr>
          <w:p w14:paraId="3E649B36">
            <w:pPr>
              <w:rPr>
                <w:sz w:val="24"/>
                <w:szCs w:val="24"/>
              </w:rPr>
            </w:pPr>
          </w:p>
        </w:tc>
        <w:tc>
          <w:tcPr>
            <w:tcW w:w="3261" w:type="dxa"/>
            <w:noWrap w:val="0"/>
            <w:vAlign w:val="center"/>
          </w:tcPr>
          <w:p w14:paraId="0C17D9A6">
            <w:pPr>
              <w:rPr>
                <w:sz w:val="24"/>
                <w:szCs w:val="24"/>
              </w:rPr>
            </w:pPr>
          </w:p>
        </w:tc>
      </w:tr>
      <w:tr w14:paraId="39C0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113067A8">
            <w:pPr>
              <w:rPr>
                <w:sz w:val="24"/>
                <w:szCs w:val="24"/>
              </w:rPr>
            </w:pPr>
          </w:p>
        </w:tc>
        <w:tc>
          <w:tcPr>
            <w:tcW w:w="2565" w:type="dxa"/>
            <w:noWrap w:val="0"/>
            <w:vAlign w:val="center"/>
          </w:tcPr>
          <w:p w14:paraId="14E7BACB">
            <w:pPr>
              <w:rPr>
                <w:sz w:val="24"/>
                <w:szCs w:val="24"/>
              </w:rPr>
            </w:pPr>
          </w:p>
        </w:tc>
        <w:tc>
          <w:tcPr>
            <w:tcW w:w="3261" w:type="dxa"/>
            <w:noWrap w:val="0"/>
            <w:vAlign w:val="center"/>
          </w:tcPr>
          <w:p w14:paraId="16F1CC96">
            <w:pPr>
              <w:rPr>
                <w:sz w:val="24"/>
                <w:szCs w:val="24"/>
              </w:rPr>
            </w:pPr>
          </w:p>
        </w:tc>
      </w:tr>
      <w:tr w14:paraId="73F5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noWrap w:val="0"/>
            <w:vAlign w:val="center"/>
          </w:tcPr>
          <w:p w14:paraId="63F841C3">
            <w:pPr>
              <w:rPr>
                <w:sz w:val="24"/>
                <w:szCs w:val="24"/>
              </w:rPr>
            </w:pPr>
          </w:p>
        </w:tc>
        <w:tc>
          <w:tcPr>
            <w:tcW w:w="2565" w:type="dxa"/>
            <w:noWrap w:val="0"/>
            <w:vAlign w:val="center"/>
          </w:tcPr>
          <w:p w14:paraId="312DC9FA">
            <w:pPr>
              <w:rPr>
                <w:sz w:val="24"/>
                <w:szCs w:val="24"/>
              </w:rPr>
            </w:pPr>
          </w:p>
        </w:tc>
        <w:tc>
          <w:tcPr>
            <w:tcW w:w="3261" w:type="dxa"/>
            <w:noWrap w:val="0"/>
            <w:vAlign w:val="center"/>
          </w:tcPr>
          <w:p w14:paraId="6201B001">
            <w:pPr>
              <w:rPr>
                <w:sz w:val="24"/>
                <w:szCs w:val="24"/>
              </w:rPr>
            </w:pPr>
          </w:p>
        </w:tc>
      </w:tr>
    </w:tbl>
    <w:p w14:paraId="5A2A83FC">
      <w:pPr>
        <w:spacing w:line="480" w:lineRule="exact"/>
        <w:rPr>
          <w:sz w:val="24"/>
          <w:szCs w:val="24"/>
        </w:rPr>
      </w:pPr>
      <w:r>
        <w:rPr>
          <w:sz w:val="24"/>
          <w:szCs w:val="24"/>
        </w:rPr>
        <w:t>注：</w:t>
      </w:r>
    </w:p>
    <w:p w14:paraId="4E47FDB4">
      <w:pPr>
        <w:spacing w:line="480" w:lineRule="exact"/>
        <w:rPr>
          <w:sz w:val="24"/>
          <w:szCs w:val="24"/>
        </w:rPr>
      </w:pPr>
      <w:r>
        <w:rPr>
          <w:sz w:val="24"/>
          <w:szCs w:val="24"/>
        </w:rPr>
        <w:t>1</w:t>
      </w:r>
      <w:r>
        <w:rPr>
          <w:rFonts w:hint="eastAsia"/>
          <w:sz w:val="24"/>
          <w:szCs w:val="24"/>
        </w:rPr>
        <w:t>.供应商</w:t>
      </w:r>
      <w:r>
        <w:rPr>
          <w:sz w:val="24"/>
          <w:szCs w:val="24"/>
        </w:rPr>
        <w:t>应</w:t>
      </w:r>
      <w:r>
        <w:rPr>
          <w:rFonts w:hint="eastAsia"/>
          <w:sz w:val="24"/>
          <w:szCs w:val="24"/>
        </w:rPr>
        <w:t>根据“第三章  合同文本”</w:t>
      </w:r>
      <w:r>
        <w:rPr>
          <w:sz w:val="24"/>
          <w:szCs w:val="24"/>
        </w:rPr>
        <w:t>据实、详细填写上述表格，因表述含糊导致的评标风险将由</w:t>
      </w:r>
      <w:r>
        <w:rPr>
          <w:rFonts w:hint="eastAsia"/>
          <w:sz w:val="24"/>
          <w:szCs w:val="24"/>
        </w:rPr>
        <w:t>供应商</w:t>
      </w:r>
      <w:r>
        <w:rPr>
          <w:sz w:val="24"/>
          <w:szCs w:val="24"/>
        </w:rPr>
        <w:t>承担。</w:t>
      </w:r>
    </w:p>
    <w:p w14:paraId="2F7D13DF">
      <w:pPr>
        <w:spacing w:line="480" w:lineRule="exact"/>
        <w:rPr>
          <w:sz w:val="24"/>
          <w:szCs w:val="24"/>
        </w:rPr>
      </w:pPr>
      <w:r>
        <w:rPr>
          <w:sz w:val="24"/>
          <w:szCs w:val="24"/>
        </w:rPr>
        <w:t>2</w:t>
      </w:r>
      <w:r>
        <w:rPr>
          <w:rFonts w:hint="eastAsia"/>
          <w:sz w:val="24"/>
          <w:szCs w:val="24"/>
        </w:rPr>
        <w:t>.</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1AF296F6">
      <w:pPr>
        <w:rPr>
          <w:sz w:val="24"/>
          <w:szCs w:val="24"/>
        </w:rPr>
      </w:pPr>
      <w:r>
        <w:rPr>
          <w:sz w:val="24"/>
          <w:szCs w:val="24"/>
        </w:rPr>
        <w:br w:type="page" w:clear="all"/>
      </w:r>
    </w:p>
    <w:p w14:paraId="074260E4">
      <w:pPr>
        <w:pStyle w:val="3"/>
        <w:spacing w:line="440" w:lineRule="exact"/>
        <w:rPr>
          <w:rFonts w:hint="eastAsia" w:ascii="Times New Roman" w:hAnsi="Times New Roman" w:eastAsia="宋体" w:cs="Times New Roman"/>
          <w:sz w:val="24"/>
          <w:szCs w:val="24"/>
        </w:rPr>
      </w:pPr>
      <w:bookmarkStart w:id="111" w:name="_Toc31815"/>
      <w:bookmarkStart w:id="112" w:name="_Toc201311073"/>
      <w:r>
        <w:rPr>
          <w:rFonts w:hint="eastAsia" w:ascii="Times New Roman" w:hAnsi="Times New Roman" w:eastAsia="宋体" w:cs="Times New Roman"/>
          <w:sz w:val="24"/>
          <w:szCs w:val="24"/>
        </w:rPr>
        <w:t>附件12 人员配备情况</w:t>
      </w:r>
      <w:bookmarkEnd w:id="111"/>
      <w:bookmarkEnd w:id="112"/>
    </w:p>
    <w:p w14:paraId="5E92C8DD">
      <w:pPr>
        <w:rPr>
          <w:bCs/>
          <w:sz w:val="24"/>
        </w:rPr>
      </w:pPr>
    </w:p>
    <w:tbl>
      <w:tblPr>
        <w:tblStyle w:val="53"/>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497"/>
        <w:gridCol w:w="682"/>
        <w:gridCol w:w="817"/>
        <w:gridCol w:w="682"/>
        <w:gridCol w:w="832"/>
        <w:gridCol w:w="2405"/>
        <w:gridCol w:w="962"/>
        <w:gridCol w:w="817"/>
      </w:tblGrid>
      <w:tr w14:paraId="30DE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699" w:type="dxa"/>
            <w:noWrap w:val="0"/>
            <w:vAlign w:val="center"/>
          </w:tcPr>
          <w:p w14:paraId="121413F3">
            <w:pPr>
              <w:widowControl/>
              <w:tabs>
                <w:tab w:val="left" w:pos="0"/>
              </w:tabs>
              <w:spacing w:line="360" w:lineRule="auto"/>
              <w:ind w:right="-27"/>
              <w:jc w:val="center"/>
              <w:rPr>
                <w:rFonts w:ascii="宋体" w:hAnsi="宋体"/>
                <w:sz w:val="24"/>
                <w:szCs w:val="24"/>
              </w:rPr>
            </w:pPr>
            <w:r>
              <w:rPr>
                <w:rFonts w:ascii="宋体" w:hAnsi="宋体"/>
                <w:sz w:val="24"/>
                <w:szCs w:val="24"/>
              </w:rPr>
              <w:t>序号</w:t>
            </w:r>
          </w:p>
        </w:tc>
        <w:tc>
          <w:tcPr>
            <w:tcW w:w="1497" w:type="dxa"/>
            <w:noWrap w:val="0"/>
            <w:vAlign w:val="center"/>
          </w:tcPr>
          <w:p w14:paraId="39205134">
            <w:pPr>
              <w:widowControl/>
              <w:tabs>
                <w:tab w:val="left" w:pos="0"/>
              </w:tabs>
              <w:spacing w:line="360" w:lineRule="auto"/>
              <w:ind w:right="-27"/>
              <w:jc w:val="center"/>
              <w:rPr>
                <w:rFonts w:ascii="宋体" w:hAnsi="宋体"/>
                <w:sz w:val="24"/>
                <w:szCs w:val="24"/>
              </w:rPr>
            </w:pPr>
            <w:r>
              <w:rPr>
                <w:rFonts w:ascii="宋体" w:hAnsi="宋体"/>
                <w:sz w:val="24"/>
                <w:szCs w:val="24"/>
              </w:rPr>
              <w:t>本项目中</w:t>
            </w:r>
            <w:r>
              <w:rPr>
                <w:rFonts w:hint="eastAsia" w:ascii="宋体" w:hAnsi="宋体"/>
                <w:sz w:val="24"/>
                <w:szCs w:val="24"/>
              </w:rPr>
              <w:t>拟</w:t>
            </w:r>
            <w:r>
              <w:rPr>
                <w:rFonts w:ascii="宋体" w:hAnsi="宋体"/>
                <w:sz w:val="24"/>
                <w:szCs w:val="24"/>
              </w:rPr>
              <w:t>担任的职务</w:t>
            </w:r>
          </w:p>
        </w:tc>
        <w:tc>
          <w:tcPr>
            <w:tcW w:w="682" w:type="dxa"/>
            <w:noWrap w:val="0"/>
            <w:vAlign w:val="center"/>
          </w:tcPr>
          <w:p w14:paraId="049DA253">
            <w:pPr>
              <w:widowControl/>
              <w:tabs>
                <w:tab w:val="left" w:pos="0"/>
              </w:tabs>
              <w:spacing w:line="360" w:lineRule="auto"/>
              <w:ind w:right="-27"/>
              <w:jc w:val="center"/>
              <w:rPr>
                <w:rFonts w:ascii="宋体" w:hAnsi="宋体"/>
                <w:sz w:val="24"/>
                <w:szCs w:val="24"/>
              </w:rPr>
            </w:pPr>
            <w:r>
              <w:rPr>
                <w:rFonts w:ascii="宋体" w:hAnsi="宋体"/>
                <w:sz w:val="24"/>
                <w:szCs w:val="24"/>
              </w:rPr>
              <w:t>姓名</w:t>
            </w:r>
          </w:p>
        </w:tc>
        <w:tc>
          <w:tcPr>
            <w:tcW w:w="817" w:type="dxa"/>
            <w:noWrap w:val="0"/>
            <w:vAlign w:val="center"/>
          </w:tcPr>
          <w:p w14:paraId="2E8B280D">
            <w:pPr>
              <w:widowControl/>
              <w:tabs>
                <w:tab w:val="left" w:pos="0"/>
              </w:tabs>
              <w:spacing w:line="360" w:lineRule="auto"/>
              <w:ind w:right="-27"/>
              <w:jc w:val="center"/>
              <w:rPr>
                <w:rFonts w:ascii="宋体" w:hAnsi="宋体"/>
                <w:sz w:val="24"/>
                <w:szCs w:val="24"/>
              </w:rPr>
            </w:pPr>
            <w:r>
              <w:rPr>
                <w:rFonts w:hint="eastAsia" w:ascii="宋体" w:hAnsi="宋体"/>
                <w:sz w:val="24"/>
                <w:szCs w:val="24"/>
              </w:rPr>
              <w:t>专业</w:t>
            </w:r>
          </w:p>
        </w:tc>
        <w:tc>
          <w:tcPr>
            <w:tcW w:w="682" w:type="dxa"/>
            <w:noWrap w:val="0"/>
            <w:vAlign w:val="center"/>
          </w:tcPr>
          <w:p w14:paraId="4A5FB491">
            <w:pPr>
              <w:tabs>
                <w:tab w:val="left" w:pos="0"/>
              </w:tabs>
              <w:spacing w:line="360" w:lineRule="auto"/>
              <w:ind w:right="-27"/>
              <w:jc w:val="center"/>
              <w:rPr>
                <w:rFonts w:ascii="宋体" w:hAnsi="宋体"/>
                <w:sz w:val="24"/>
                <w:szCs w:val="24"/>
              </w:rPr>
            </w:pPr>
            <w:r>
              <w:rPr>
                <w:rFonts w:ascii="宋体" w:hAnsi="宋体"/>
                <w:sz w:val="24"/>
                <w:szCs w:val="24"/>
              </w:rPr>
              <w:t>职称</w:t>
            </w:r>
          </w:p>
        </w:tc>
        <w:tc>
          <w:tcPr>
            <w:tcW w:w="832" w:type="dxa"/>
            <w:noWrap w:val="0"/>
            <w:vAlign w:val="center"/>
          </w:tcPr>
          <w:p w14:paraId="75C50F6A">
            <w:pPr>
              <w:widowControl/>
              <w:tabs>
                <w:tab w:val="left" w:pos="0"/>
              </w:tabs>
              <w:spacing w:line="360" w:lineRule="auto"/>
              <w:ind w:right="-27"/>
              <w:jc w:val="center"/>
              <w:rPr>
                <w:rFonts w:ascii="宋体" w:hAnsi="宋体"/>
                <w:sz w:val="24"/>
                <w:szCs w:val="24"/>
              </w:rPr>
            </w:pPr>
            <w:r>
              <w:rPr>
                <w:rFonts w:hint="eastAsia" w:ascii="宋体" w:hAnsi="宋体"/>
                <w:sz w:val="24"/>
                <w:szCs w:val="24"/>
              </w:rPr>
              <w:t>学历</w:t>
            </w:r>
          </w:p>
          <w:p w14:paraId="7C2657DD">
            <w:pPr>
              <w:widowControl/>
              <w:tabs>
                <w:tab w:val="left" w:pos="0"/>
              </w:tabs>
              <w:spacing w:line="360" w:lineRule="auto"/>
              <w:ind w:right="-27"/>
              <w:jc w:val="center"/>
              <w:rPr>
                <w:rFonts w:ascii="宋体" w:hAnsi="宋体"/>
                <w:sz w:val="24"/>
                <w:szCs w:val="24"/>
              </w:rPr>
            </w:pPr>
            <w:r>
              <w:rPr>
                <w:rFonts w:hint="eastAsia" w:ascii="宋体" w:hAnsi="宋体"/>
                <w:sz w:val="24"/>
                <w:szCs w:val="24"/>
              </w:rPr>
              <w:t>学位</w:t>
            </w:r>
          </w:p>
        </w:tc>
        <w:tc>
          <w:tcPr>
            <w:tcW w:w="2405" w:type="dxa"/>
            <w:noWrap w:val="0"/>
            <w:vAlign w:val="center"/>
          </w:tcPr>
          <w:p w14:paraId="65113B65">
            <w:pPr>
              <w:widowControl/>
              <w:tabs>
                <w:tab w:val="left" w:pos="0"/>
              </w:tabs>
              <w:spacing w:line="360" w:lineRule="auto"/>
              <w:ind w:right="-27"/>
              <w:jc w:val="center"/>
              <w:rPr>
                <w:rFonts w:ascii="宋体" w:hAnsi="宋体"/>
                <w:sz w:val="24"/>
                <w:szCs w:val="24"/>
              </w:rPr>
            </w:pPr>
            <w:r>
              <w:rPr>
                <w:rFonts w:hint="eastAsia" w:ascii="宋体" w:hAnsi="宋体"/>
                <w:sz w:val="24"/>
                <w:szCs w:val="24"/>
              </w:rPr>
              <w:t>具有证书情况</w:t>
            </w:r>
          </w:p>
        </w:tc>
        <w:tc>
          <w:tcPr>
            <w:tcW w:w="962" w:type="dxa"/>
            <w:noWrap w:val="0"/>
            <w:vAlign w:val="center"/>
          </w:tcPr>
          <w:p w14:paraId="3D82215D">
            <w:pPr>
              <w:widowControl/>
              <w:tabs>
                <w:tab w:val="left" w:pos="0"/>
              </w:tabs>
              <w:spacing w:line="360" w:lineRule="auto"/>
              <w:ind w:right="-27"/>
              <w:jc w:val="center"/>
              <w:rPr>
                <w:rFonts w:ascii="宋体" w:hAnsi="宋体"/>
                <w:sz w:val="24"/>
                <w:szCs w:val="24"/>
              </w:rPr>
            </w:pPr>
            <w:r>
              <w:rPr>
                <w:rFonts w:ascii="宋体" w:hAnsi="宋体"/>
                <w:sz w:val="24"/>
                <w:szCs w:val="24"/>
              </w:rPr>
              <w:t>从业经验</w:t>
            </w:r>
          </w:p>
        </w:tc>
        <w:tc>
          <w:tcPr>
            <w:tcW w:w="817" w:type="dxa"/>
            <w:noWrap w:val="0"/>
            <w:vAlign w:val="center"/>
          </w:tcPr>
          <w:p w14:paraId="797DBBE6">
            <w:pPr>
              <w:widowControl/>
              <w:tabs>
                <w:tab w:val="left" w:pos="0"/>
              </w:tabs>
              <w:spacing w:line="360" w:lineRule="auto"/>
              <w:ind w:right="-27"/>
              <w:jc w:val="center"/>
              <w:rPr>
                <w:rFonts w:ascii="宋体" w:hAnsi="宋体"/>
                <w:sz w:val="24"/>
                <w:szCs w:val="24"/>
              </w:rPr>
            </w:pPr>
            <w:r>
              <w:rPr>
                <w:rFonts w:hint="eastAsia" w:ascii="宋体" w:hAnsi="宋体"/>
                <w:sz w:val="24"/>
                <w:szCs w:val="24"/>
              </w:rPr>
              <w:t>备注</w:t>
            </w:r>
          </w:p>
        </w:tc>
      </w:tr>
      <w:tr w14:paraId="6FBA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99" w:type="dxa"/>
            <w:noWrap w:val="0"/>
            <w:vAlign w:val="center"/>
          </w:tcPr>
          <w:p w14:paraId="3571245E">
            <w:pPr>
              <w:widowControl/>
              <w:tabs>
                <w:tab w:val="left" w:pos="0"/>
              </w:tabs>
              <w:spacing w:line="360" w:lineRule="auto"/>
              <w:ind w:right="-27"/>
              <w:jc w:val="center"/>
              <w:rPr>
                <w:rFonts w:ascii="宋体" w:hAnsi="宋体"/>
                <w:sz w:val="24"/>
                <w:szCs w:val="24"/>
              </w:rPr>
            </w:pPr>
            <w:r>
              <w:rPr>
                <w:rFonts w:ascii="宋体" w:hAnsi="宋体"/>
                <w:sz w:val="24"/>
                <w:szCs w:val="24"/>
              </w:rPr>
              <w:t>1</w:t>
            </w:r>
          </w:p>
        </w:tc>
        <w:tc>
          <w:tcPr>
            <w:tcW w:w="1497" w:type="dxa"/>
            <w:noWrap w:val="0"/>
            <w:vAlign w:val="center"/>
          </w:tcPr>
          <w:p w14:paraId="228AA599">
            <w:pPr>
              <w:widowControl/>
              <w:tabs>
                <w:tab w:val="left" w:pos="0"/>
              </w:tabs>
              <w:spacing w:line="360" w:lineRule="auto"/>
              <w:ind w:right="-27"/>
              <w:jc w:val="center"/>
              <w:rPr>
                <w:rFonts w:ascii="宋体" w:hAnsi="宋体"/>
                <w:sz w:val="24"/>
                <w:szCs w:val="24"/>
              </w:rPr>
            </w:pPr>
          </w:p>
        </w:tc>
        <w:tc>
          <w:tcPr>
            <w:tcW w:w="682" w:type="dxa"/>
            <w:noWrap w:val="0"/>
            <w:vAlign w:val="center"/>
          </w:tcPr>
          <w:p w14:paraId="4BC958FF">
            <w:pPr>
              <w:widowControl/>
              <w:tabs>
                <w:tab w:val="left" w:pos="0"/>
              </w:tabs>
              <w:spacing w:line="360" w:lineRule="auto"/>
              <w:ind w:right="-27"/>
              <w:jc w:val="center"/>
              <w:rPr>
                <w:rFonts w:ascii="宋体" w:hAnsi="宋体"/>
                <w:sz w:val="24"/>
                <w:szCs w:val="24"/>
              </w:rPr>
            </w:pPr>
          </w:p>
        </w:tc>
        <w:tc>
          <w:tcPr>
            <w:tcW w:w="817" w:type="dxa"/>
            <w:noWrap w:val="0"/>
            <w:vAlign w:val="center"/>
          </w:tcPr>
          <w:p w14:paraId="53CE3BC0">
            <w:pPr>
              <w:widowControl/>
              <w:tabs>
                <w:tab w:val="left" w:pos="0"/>
              </w:tabs>
              <w:spacing w:line="360" w:lineRule="auto"/>
              <w:ind w:right="-27"/>
              <w:jc w:val="center"/>
              <w:rPr>
                <w:rFonts w:ascii="宋体" w:hAnsi="宋体"/>
                <w:sz w:val="24"/>
                <w:szCs w:val="24"/>
              </w:rPr>
            </w:pPr>
          </w:p>
        </w:tc>
        <w:tc>
          <w:tcPr>
            <w:tcW w:w="682" w:type="dxa"/>
            <w:noWrap w:val="0"/>
            <w:vAlign w:val="center"/>
          </w:tcPr>
          <w:p w14:paraId="6DF7EF99">
            <w:pPr>
              <w:widowControl/>
              <w:tabs>
                <w:tab w:val="left" w:pos="0"/>
              </w:tabs>
              <w:spacing w:line="360" w:lineRule="auto"/>
              <w:ind w:right="-27"/>
              <w:jc w:val="center"/>
              <w:rPr>
                <w:rFonts w:ascii="宋体" w:hAnsi="宋体"/>
                <w:sz w:val="24"/>
                <w:szCs w:val="24"/>
              </w:rPr>
            </w:pPr>
          </w:p>
        </w:tc>
        <w:tc>
          <w:tcPr>
            <w:tcW w:w="832" w:type="dxa"/>
            <w:noWrap w:val="0"/>
            <w:vAlign w:val="center"/>
          </w:tcPr>
          <w:p w14:paraId="3FEA67C5">
            <w:pPr>
              <w:widowControl/>
              <w:tabs>
                <w:tab w:val="left" w:pos="0"/>
              </w:tabs>
              <w:spacing w:line="360" w:lineRule="auto"/>
              <w:ind w:right="-27"/>
              <w:jc w:val="center"/>
              <w:rPr>
                <w:rFonts w:ascii="宋体" w:hAnsi="宋体"/>
                <w:sz w:val="24"/>
                <w:szCs w:val="24"/>
              </w:rPr>
            </w:pPr>
          </w:p>
        </w:tc>
        <w:tc>
          <w:tcPr>
            <w:tcW w:w="2405" w:type="dxa"/>
            <w:noWrap w:val="0"/>
            <w:vAlign w:val="center"/>
          </w:tcPr>
          <w:p w14:paraId="7B7C7146">
            <w:pPr>
              <w:widowControl/>
              <w:tabs>
                <w:tab w:val="left" w:pos="0"/>
              </w:tabs>
              <w:spacing w:line="360" w:lineRule="auto"/>
              <w:ind w:right="-27"/>
              <w:jc w:val="center"/>
              <w:rPr>
                <w:rFonts w:ascii="宋体" w:hAnsi="宋体"/>
                <w:sz w:val="24"/>
                <w:szCs w:val="24"/>
              </w:rPr>
            </w:pPr>
          </w:p>
        </w:tc>
        <w:tc>
          <w:tcPr>
            <w:tcW w:w="962" w:type="dxa"/>
            <w:noWrap w:val="0"/>
            <w:vAlign w:val="center"/>
          </w:tcPr>
          <w:p w14:paraId="4343FD8F">
            <w:pPr>
              <w:widowControl/>
              <w:tabs>
                <w:tab w:val="left" w:pos="0"/>
              </w:tabs>
              <w:spacing w:line="360" w:lineRule="auto"/>
              <w:ind w:right="-27"/>
              <w:jc w:val="center"/>
              <w:rPr>
                <w:rFonts w:ascii="宋体" w:hAnsi="宋体"/>
                <w:sz w:val="24"/>
                <w:szCs w:val="24"/>
              </w:rPr>
            </w:pPr>
          </w:p>
        </w:tc>
        <w:tc>
          <w:tcPr>
            <w:tcW w:w="817" w:type="dxa"/>
            <w:noWrap w:val="0"/>
            <w:vAlign w:val="center"/>
          </w:tcPr>
          <w:p w14:paraId="50F6EA17">
            <w:pPr>
              <w:widowControl/>
              <w:tabs>
                <w:tab w:val="left" w:pos="0"/>
              </w:tabs>
              <w:spacing w:line="360" w:lineRule="auto"/>
              <w:ind w:right="-27"/>
              <w:jc w:val="center"/>
              <w:rPr>
                <w:rFonts w:ascii="宋体" w:hAnsi="宋体"/>
                <w:sz w:val="24"/>
                <w:szCs w:val="24"/>
              </w:rPr>
            </w:pPr>
          </w:p>
        </w:tc>
      </w:tr>
      <w:tr w14:paraId="762AF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699" w:type="dxa"/>
            <w:noWrap w:val="0"/>
            <w:vAlign w:val="center"/>
          </w:tcPr>
          <w:p w14:paraId="7FCA91D1">
            <w:pPr>
              <w:widowControl/>
              <w:tabs>
                <w:tab w:val="left" w:pos="0"/>
              </w:tabs>
              <w:spacing w:line="360" w:lineRule="auto"/>
              <w:ind w:right="-27"/>
              <w:jc w:val="center"/>
              <w:rPr>
                <w:rFonts w:ascii="宋体" w:hAnsi="宋体"/>
                <w:sz w:val="24"/>
                <w:szCs w:val="24"/>
              </w:rPr>
            </w:pPr>
            <w:r>
              <w:rPr>
                <w:rFonts w:ascii="宋体" w:hAnsi="宋体"/>
                <w:sz w:val="24"/>
                <w:szCs w:val="24"/>
              </w:rPr>
              <w:t>2</w:t>
            </w:r>
          </w:p>
        </w:tc>
        <w:tc>
          <w:tcPr>
            <w:tcW w:w="1497" w:type="dxa"/>
            <w:noWrap w:val="0"/>
            <w:vAlign w:val="center"/>
          </w:tcPr>
          <w:p w14:paraId="402C813A">
            <w:pPr>
              <w:widowControl/>
              <w:tabs>
                <w:tab w:val="left" w:pos="0"/>
              </w:tabs>
              <w:spacing w:line="360" w:lineRule="auto"/>
              <w:ind w:right="-27"/>
              <w:jc w:val="center"/>
              <w:rPr>
                <w:rFonts w:ascii="宋体" w:hAnsi="宋体"/>
                <w:sz w:val="24"/>
                <w:szCs w:val="24"/>
              </w:rPr>
            </w:pPr>
          </w:p>
        </w:tc>
        <w:tc>
          <w:tcPr>
            <w:tcW w:w="682" w:type="dxa"/>
            <w:noWrap w:val="0"/>
            <w:vAlign w:val="center"/>
          </w:tcPr>
          <w:p w14:paraId="5159136B">
            <w:pPr>
              <w:widowControl/>
              <w:tabs>
                <w:tab w:val="left" w:pos="0"/>
              </w:tabs>
              <w:spacing w:line="360" w:lineRule="auto"/>
              <w:ind w:right="-27"/>
              <w:jc w:val="center"/>
              <w:rPr>
                <w:rFonts w:ascii="宋体" w:hAnsi="宋体"/>
                <w:sz w:val="24"/>
                <w:szCs w:val="24"/>
              </w:rPr>
            </w:pPr>
          </w:p>
        </w:tc>
        <w:tc>
          <w:tcPr>
            <w:tcW w:w="817" w:type="dxa"/>
            <w:noWrap w:val="0"/>
            <w:vAlign w:val="center"/>
          </w:tcPr>
          <w:p w14:paraId="62EE845B">
            <w:pPr>
              <w:widowControl/>
              <w:tabs>
                <w:tab w:val="left" w:pos="0"/>
              </w:tabs>
              <w:spacing w:line="360" w:lineRule="auto"/>
              <w:ind w:right="-27"/>
              <w:jc w:val="center"/>
              <w:rPr>
                <w:rFonts w:ascii="宋体" w:hAnsi="宋体"/>
                <w:sz w:val="24"/>
                <w:szCs w:val="24"/>
              </w:rPr>
            </w:pPr>
          </w:p>
        </w:tc>
        <w:tc>
          <w:tcPr>
            <w:tcW w:w="682" w:type="dxa"/>
            <w:noWrap w:val="0"/>
            <w:vAlign w:val="center"/>
          </w:tcPr>
          <w:p w14:paraId="792B6B86">
            <w:pPr>
              <w:widowControl/>
              <w:tabs>
                <w:tab w:val="left" w:pos="0"/>
              </w:tabs>
              <w:spacing w:line="360" w:lineRule="auto"/>
              <w:ind w:right="-27"/>
              <w:jc w:val="center"/>
              <w:rPr>
                <w:rFonts w:ascii="宋体" w:hAnsi="宋体"/>
                <w:sz w:val="24"/>
                <w:szCs w:val="24"/>
              </w:rPr>
            </w:pPr>
          </w:p>
        </w:tc>
        <w:tc>
          <w:tcPr>
            <w:tcW w:w="832" w:type="dxa"/>
            <w:noWrap w:val="0"/>
            <w:vAlign w:val="center"/>
          </w:tcPr>
          <w:p w14:paraId="7729930B">
            <w:pPr>
              <w:widowControl/>
              <w:tabs>
                <w:tab w:val="left" w:pos="0"/>
              </w:tabs>
              <w:spacing w:line="360" w:lineRule="auto"/>
              <w:ind w:right="-27"/>
              <w:jc w:val="center"/>
              <w:rPr>
                <w:rFonts w:ascii="宋体" w:hAnsi="宋体"/>
                <w:sz w:val="24"/>
                <w:szCs w:val="24"/>
              </w:rPr>
            </w:pPr>
          </w:p>
        </w:tc>
        <w:tc>
          <w:tcPr>
            <w:tcW w:w="2405" w:type="dxa"/>
            <w:noWrap w:val="0"/>
            <w:vAlign w:val="center"/>
          </w:tcPr>
          <w:p w14:paraId="7FEC2B5F">
            <w:pPr>
              <w:widowControl/>
              <w:tabs>
                <w:tab w:val="left" w:pos="0"/>
              </w:tabs>
              <w:spacing w:line="360" w:lineRule="auto"/>
              <w:ind w:right="-27"/>
              <w:jc w:val="center"/>
              <w:rPr>
                <w:rFonts w:ascii="宋体" w:hAnsi="宋体"/>
                <w:sz w:val="24"/>
                <w:szCs w:val="24"/>
              </w:rPr>
            </w:pPr>
          </w:p>
        </w:tc>
        <w:tc>
          <w:tcPr>
            <w:tcW w:w="962" w:type="dxa"/>
            <w:noWrap w:val="0"/>
            <w:vAlign w:val="center"/>
          </w:tcPr>
          <w:p w14:paraId="2633A6F4">
            <w:pPr>
              <w:widowControl/>
              <w:tabs>
                <w:tab w:val="left" w:pos="0"/>
              </w:tabs>
              <w:spacing w:line="360" w:lineRule="auto"/>
              <w:ind w:right="-27"/>
              <w:jc w:val="center"/>
              <w:rPr>
                <w:rFonts w:ascii="宋体" w:hAnsi="宋体"/>
                <w:sz w:val="24"/>
                <w:szCs w:val="24"/>
              </w:rPr>
            </w:pPr>
          </w:p>
        </w:tc>
        <w:tc>
          <w:tcPr>
            <w:tcW w:w="817" w:type="dxa"/>
            <w:noWrap w:val="0"/>
            <w:vAlign w:val="center"/>
          </w:tcPr>
          <w:p w14:paraId="399AD0D7">
            <w:pPr>
              <w:widowControl/>
              <w:tabs>
                <w:tab w:val="left" w:pos="0"/>
              </w:tabs>
              <w:spacing w:line="360" w:lineRule="auto"/>
              <w:ind w:right="-27"/>
              <w:jc w:val="center"/>
              <w:rPr>
                <w:rFonts w:ascii="宋体" w:hAnsi="宋体"/>
                <w:sz w:val="24"/>
                <w:szCs w:val="24"/>
              </w:rPr>
            </w:pPr>
          </w:p>
        </w:tc>
      </w:tr>
      <w:tr w14:paraId="5D99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699" w:type="dxa"/>
            <w:noWrap w:val="0"/>
            <w:vAlign w:val="center"/>
          </w:tcPr>
          <w:p w14:paraId="2B784EA1">
            <w:pPr>
              <w:widowControl/>
              <w:tabs>
                <w:tab w:val="left" w:pos="0"/>
              </w:tabs>
              <w:spacing w:line="360" w:lineRule="auto"/>
              <w:ind w:right="-27"/>
              <w:jc w:val="center"/>
              <w:rPr>
                <w:rFonts w:ascii="宋体" w:hAnsi="宋体"/>
                <w:sz w:val="24"/>
                <w:szCs w:val="24"/>
              </w:rPr>
            </w:pPr>
            <w:r>
              <w:rPr>
                <w:rFonts w:ascii="宋体" w:hAnsi="宋体"/>
                <w:sz w:val="24"/>
                <w:szCs w:val="24"/>
              </w:rPr>
              <w:t>……</w:t>
            </w:r>
          </w:p>
        </w:tc>
        <w:tc>
          <w:tcPr>
            <w:tcW w:w="1497" w:type="dxa"/>
            <w:noWrap w:val="0"/>
            <w:vAlign w:val="center"/>
          </w:tcPr>
          <w:p w14:paraId="3ED3EFC4">
            <w:pPr>
              <w:widowControl/>
              <w:tabs>
                <w:tab w:val="left" w:pos="0"/>
              </w:tabs>
              <w:spacing w:line="360" w:lineRule="auto"/>
              <w:ind w:right="-27"/>
              <w:jc w:val="center"/>
              <w:rPr>
                <w:rFonts w:ascii="宋体" w:hAnsi="宋体"/>
                <w:sz w:val="24"/>
                <w:szCs w:val="24"/>
              </w:rPr>
            </w:pPr>
          </w:p>
        </w:tc>
        <w:tc>
          <w:tcPr>
            <w:tcW w:w="682" w:type="dxa"/>
            <w:noWrap w:val="0"/>
            <w:vAlign w:val="center"/>
          </w:tcPr>
          <w:p w14:paraId="28DB615A">
            <w:pPr>
              <w:widowControl/>
              <w:tabs>
                <w:tab w:val="left" w:pos="0"/>
              </w:tabs>
              <w:spacing w:line="360" w:lineRule="auto"/>
              <w:ind w:right="-27"/>
              <w:jc w:val="center"/>
              <w:rPr>
                <w:rFonts w:ascii="宋体" w:hAnsi="宋体"/>
                <w:sz w:val="24"/>
                <w:szCs w:val="24"/>
              </w:rPr>
            </w:pPr>
          </w:p>
        </w:tc>
        <w:tc>
          <w:tcPr>
            <w:tcW w:w="817" w:type="dxa"/>
            <w:noWrap w:val="0"/>
            <w:vAlign w:val="center"/>
          </w:tcPr>
          <w:p w14:paraId="69862417">
            <w:pPr>
              <w:widowControl/>
              <w:tabs>
                <w:tab w:val="left" w:pos="0"/>
              </w:tabs>
              <w:spacing w:line="360" w:lineRule="auto"/>
              <w:ind w:right="-27"/>
              <w:jc w:val="center"/>
              <w:rPr>
                <w:rFonts w:ascii="宋体" w:hAnsi="宋体"/>
                <w:sz w:val="24"/>
                <w:szCs w:val="24"/>
              </w:rPr>
            </w:pPr>
          </w:p>
        </w:tc>
        <w:tc>
          <w:tcPr>
            <w:tcW w:w="682" w:type="dxa"/>
            <w:noWrap w:val="0"/>
            <w:vAlign w:val="center"/>
          </w:tcPr>
          <w:p w14:paraId="46B40E47">
            <w:pPr>
              <w:widowControl/>
              <w:tabs>
                <w:tab w:val="left" w:pos="0"/>
              </w:tabs>
              <w:spacing w:line="360" w:lineRule="auto"/>
              <w:ind w:right="-27"/>
              <w:jc w:val="center"/>
              <w:rPr>
                <w:rFonts w:ascii="宋体" w:hAnsi="宋体"/>
                <w:sz w:val="24"/>
                <w:szCs w:val="24"/>
              </w:rPr>
            </w:pPr>
          </w:p>
        </w:tc>
        <w:tc>
          <w:tcPr>
            <w:tcW w:w="832" w:type="dxa"/>
            <w:noWrap w:val="0"/>
            <w:vAlign w:val="center"/>
          </w:tcPr>
          <w:p w14:paraId="48B1D4A3">
            <w:pPr>
              <w:widowControl/>
              <w:tabs>
                <w:tab w:val="left" w:pos="0"/>
              </w:tabs>
              <w:spacing w:line="360" w:lineRule="auto"/>
              <w:ind w:right="-27"/>
              <w:jc w:val="center"/>
              <w:rPr>
                <w:rFonts w:ascii="宋体" w:hAnsi="宋体"/>
                <w:sz w:val="24"/>
                <w:szCs w:val="24"/>
              </w:rPr>
            </w:pPr>
          </w:p>
        </w:tc>
        <w:tc>
          <w:tcPr>
            <w:tcW w:w="2405" w:type="dxa"/>
            <w:noWrap w:val="0"/>
            <w:vAlign w:val="center"/>
          </w:tcPr>
          <w:p w14:paraId="44A096D7">
            <w:pPr>
              <w:widowControl/>
              <w:tabs>
                <w:tab w:val="left" w:pos="0"/>
              </w:tabs>
              <w:spacing w:line="360" w:lineRule="auto"/>
              <w:ind w:right="-27"/>
              <w:jc w:val="center"/>
              <w:rPr>
                <w:rFonts w:ascii="宋体" w:hAnsi="宋体"/>
                <w:sz w:val="24"/>
                <w:szCs w:val="24"/>
              </w:rPr>
            </w:pPr>
          </w:p>
        </w:tc>
        <w:tc>
          <w:tcPr>
            <w:tcW w:w="962" w:type="dxa"/>
            <w:noWrap w:val="0"/>
            <w:vAlign w:val="center"/>
          </w:tcPr>
          <w:p w14:paraId="6D1BE9A7">
            <w:pPr>
              <w:widowControl/>
              <w:tabs>
                <w:tab w:val="left" w:pos="0"/>
              </w:tabs>
              <w:spacing w:line="360" w:lineRule="auto"/>
              <w:ind w:right="-27"/>
              <w:jc w:val="center"/>
              <w:rPr>
                <w:rFonts w:ascii="宋体" w:hAnsi="宋体"/>
                <w:sz w:val="24"/>
                <w:szCs w:val="24"/>
              </w:rPr>
            </w:pPr>
          </w:p>
        </w:tc>
        <w:tc>
          <w:tcPr>
            <w:tcW w:w="817" w:type="dxa"/>
            <w:noWrap w:val="0"/>
            <w:vAlign w:val="center"/>
          </w:tcPr>
          <w:p w14:paraId="16A72D57">
            <w:pPr>
              <w:widowControl/>
              <w:tabs>
                <w:tab w:val="left" w:pos="0"/>
              </w:tabs>
              <w:spacing w:line="360" w:lineRule="auto"/>
              <w:ind w:right="-27"/>
              <w:jc w:val="center"/>
              <w:rPr>
                <w:rFonts w:ascii="宋体" w:hAnsi="宋体"/>
                <w:sz w:val="24"/>
                <w:szCs w:val="24"/>
              </w:rPr>
            </w:pPr>
          </w:p>
        </w:tc>
      </w:tr>
    </w:tbl>
    <w:p w14:paraId="1B42E618">
      <w:pPr>
        <w:tabs>
          <w:tab w:val="left" w:pos="0"/>
        </w:tabs>
        <w:spacing w:line="460" w:lineRule="exact"/>
        <w:ind w:right="-27"/>
        <w:jc w:val="left"/>
        <w:rPr>
          <w:rFonts w:ascii="宋体" w:hAnsi="宋体" w:cs="宋体"/>
          <w:sz w:val="24"/>
          <w:szCs w:val="24"/>
        </w:rPr>
      </w:pPr>
      <w:r>
        <w:rPr>
          <w:rFonts w:hint="eastAsia" w:ascii="宋体" w:hAnsi="宋体" w:cs="宋体"/>
          <w:sz w:val="24"/>
          <w:szCs w:val="24"/>
        </w:rPr>
        <w:t>注：</w:t>
      </w:r>
    </w:p>
    <w:p w14:paraId="158EE72D">
      <w:pPr>
        <w:tabs>
          <w:tab w:val="left" w:pos="0"/>
        </w:tabs>
        <w:spacing w:line="460" w:lineRule="exact"/>
        <w:ind w:right="-27"/>
        <w:jc w:val="left"/>
        <w:rPr>
          <w:bCs/>
          <w:sz w:val="24"/>
        </w:rPr>
      </w:pPr>
      <w:r>
        <w:rPr>
          <w:rFonts w:hint="eastAsia" w:ascii="宋体" w:hAnsi="宋体" w:cs="宋体"/>
          <w:sz w:val="24"/>
          <w:szCs w:val="24"/>
        </w:rPr>
        <w:t>1.供应商根据“第五章  评审方法与评审标准”填写上述表格并提供相关证明材料。</w:t>
      </w:r>
    </w:p>
    <w:p w14:paraId="78683024">
      <w:pPr>
        <w:rPr>
          <w:rFonts w:hint="default"/>
          <w:lang w:val="en-US" w:eastAsia="zh-CN"/>
        </w:rPr>
      </w:pPr>
      <w:r>
        <w:rPr>
          <w:rFonts w:hint="default"/>
          <w:lang w:val="en-US" w:eastAsia="zh-CN"/>
        </w:rPr>
        <w:br w:type="page" w:clear="all"/>
      </w:r>
    </w:p>
    <w:p w14:paraId="0BFB0219">
      <w:pPr>
        <w:pStyle w:val="3"/>
        <w:spacing w:line="440" w:lineRule="exact"/>
      </w:pPr>
      <w:bookmarkStart w:id="113" w:name="_Toc162249616"/>
      <w:bookmarkStart w:id="114" w:name="_Toc11099"/>
      <w:bookmarkStart w:id="115" w:name="_Toc30593"/>
      <w:r>
        <w:rPr>
          <w:rFonts w:hint="eastAsia" w:ascii="Times New Roman" w:hAnsi="Times New Roman" w:eastAsia="宋体" w:cs="Times New Roman"/>
          <w:sz w:val="24"/>
          <w:szCs w:val="24"/>
        </w:rPr>
        <w:t>附件1</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rPr>
        <w:t>保险购买承诺函</w:t>
      </w:r>
      <w:bookmarkEnd w:id="113"/>
      <w:bookmarkEnd w:id="114"/>
      <w:bookmarkEnd w:id="115"/>
    </w:p>
    <w:p w14:paraId="320C88F9">
      <w:pPr>
        <w:spacing w:line="560" w:lineRule="exact"/>
        <w:ind w:left="239" w:firstLine="240"/>
        <w:rPr>
          <w:sz w:val="24"/>
          <w:szCs w:val="24"/>
        </w:rPr>
      </w:pPr>
      <w:r>
        <w:rPr>
          <w:rFonts w:hint="eastAsia"/>
          <w:sz w:val="24"/>
          <w:szCs w:val="24"/>
        </w:rPr>
        <w:t>本单位参加由贵单位组织实施的</w:t>
      </w:r>
      <w:r>
        <w:rPr>
          <w:rFonts w:hint="eastAsia"/>
          <w:sz w:val="24"/>
          <w:szCs w:val="24"/>
          <w:u w:val="single"/>
        </w:rPr>
        <w:t>常熟市2026-2027年度储备地块绿化移植和养护项目</w:t>
      </w:r>
      <w:r>
        <w:rPr>
          <w:rFonts w:hint="eastAsia"/>
          <w:sz w:val="24"/>
          <w:szCs w:val="24"/>
        </w:rPr>
        <w:t>项目（项目编号：</w:t>
      </w:r>
      <w:r>
        <w:rPr>
          <w:rFonts w:hint="eastAsia"/>
          <w:sz w:val="24"/>
          <w:szCs w:val="24"/>
          <w:lang w:eastAsia="zh-CN"/>
        </w:rPr>
        <w:t>JSZC-320581-CSXC-C2026-0012</w:t>
      </w:r>
      <w:r>
        <w:rPr>
          <w:rFonts w:hint="eastAsia"/>
          <w:sz w:val="24"/>
          <w:szCs w:val="24"/>
        </w:rPr>
        <w:t>）公开招标采购活动，并作以下承诺：</w:t>
      </w:r>
    </w:p>
    <w:p w14:paraId="63152615">
      <w:pPr>
        <w:spacing w:line="560" w:lineRule="exact"/>
        <w:ind w:firstLine="492"/>
        <w:rPr>
          <w:rFonts w:hint="eastAsia" w:eastAsiaTheme="minorEastAsia"/>
          <w:bCs/>
          <w:sz w:val="24"/>
          <w:szCs w:val="21"/>
          <w:lang w:val="en-US" w:eastAsia="zh-CN"/>
        </w:rPr>
      </w:pPr>
      <w:r>
        <w:rPr>
          <w:rFonts w:hint="eastAsia"/>
          <w:bCs/>
          <w:sz w:val="24"/>
          <w:szCs w:val="21"/>
          <w:lang w:val="en-US" w:eastAsia="zh-CN"/>
        </w:rPr>
        <w:t>格式自拟。</w:t>
      </w:r>
    </w:p>
    <w:p w14:paraId="5C279D4D">
      <w:pPr>
        <w:spacing w:line="560" w:lineRule="exact"/>
        <w:ind w:firstLine="492"/>
        <w:rPr>
          <w:bCs/>
          <w:sz w:val="24"/>
          <w:szCs w:val="21"/>
        </w:rPr>
      </w:pPr>
    </w:p>
    <w:p w14:paraId="54B476A5">
      <w:pPr>
        <w:spacing w:line="560" w:lineRule="exact"/>
        <w:ind w:right="2642" w:firstLine="360"/>
        <w:jc w:val="right"/>
        <w:rPr>
          <w:sz w:val="24"/>
          <w:szCs w:val="21"/>
        </w:rPr>
      </w:pPr>
      <w:r>
        <w:rPr>
          <w:rFonts w:hint="eastAsia"/>
          <w:sz w:val="24"/>
          <w:szCs w:val="21"/>
          <w:lang w:val="en-US" w:eastAsia="zh-CN"/>
        </w:rPr>
        <w:t>供应商</w:t>
      </w:r>
      <w:r>
        <w:rPr>
          <w:rFonts w:hint="eastAsia"/>
          <w:sz w:val="24"/>
          <w:szCs w:val="21"/>
        </w:rPr>
        <w:t>名称：</w:t>
      </w:r>
    </w:p>
    <w:p w14:paraId="0A6B6DF6">
      <w:pPr>
        <w:pStyle w:val="21"/>
        <w:jc w:val="center"/>
        <w:rPr>
          <w:rFonts w:hint="default"/>
          <w:lang w:val="en-US" w:eastAsia="zh-CN"/>
        </w:rPr>
      </w:pPr>
      <w:r>
        <w:rPr>
          <w:rFonts w:hint="eastAsia"/>
          <w:sz w:val="24"/>
          <w:szCs w:val="21"/>
          <w:lang w:val="en-US" w:eastAsia="zh-CN"/>
        </w:rPr>
        <w:t xml:space="preserve">                         </w:t>
      </w:r>
      <w:r>
        <w:rPr>
          <w:rFonts w:hint="eastAsia"/>
          <w:sz w:val="24"/>
          <w:szCs w:val="21"/>
        </w:rPr>
        <w:t>日期：</w:t>
      </w:r>
    </w:p>
    <w:sectPr>
      <w:footerReference r:id="rId11" w:type="first"/>
      <w:footerReference r:id="rId9" w:type="default"/>
      <w:footerReference r:id="rId10" w:type="even"/>
      <w:pgSz w:w="11907" w:h="16840"/>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幼圆">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20ACF">
    <w:pPr>
      <w:pStyle w:val="33"/>
      <w:jc w:val="center"/>
    </w:pPr>
  </w:p>
  <w:p w14:paraId="4ED31157">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5ECE1">
    <w:pPr>
      <w:pStyle w:val="3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CCE70">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5U+I8AgAAbwQAAA4AAABkcnMvZTJvRG9jLnhtbK1UzW7UMBC+I/EO&#10;lu8021ZU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PTl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T5U+I8AgAAbwQAAA4AAAAAAAAAAQAgAAAAHwEAAGRycy9lMm9E&#10;b2MueG1sUEsFBgAAAAAGAAYAWQEAAM0FAAAAAA==&#10;">
              <v:fill on="f" focussize="0,0"/>
              <v:stroke on="f" weight="0.5pt"/>
              <v:imagedata o:title=""/>
              <o:lock v:ext="edit" aspectratio="f"/>
              <v:textbox inset="0mm,0mm,0mm,0mm" style="mso-fit-shape-to-text:t;">
                <w:txbxContent>
                  <w:p w14:paraId="0CACCE70">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p>
  <w:p w14:paraId="1B9D8979">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DCE8A">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9B06E2">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6F9B06E2">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E843E">
    <w:pPr>
      <w:pStyle w:val="33"/>
      <w:ind w:right="360"/>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480C9">
                          <w:pPr>
                            <w:pStyle w:val="33"/>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k08k9AgAAbw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x5NPJPQIAAG8EAAAOAAAAAAAAAAEAIAAAAB8BAABkcnMvZTJv&#10;RG9jLnhtbFBLBQYAAAAABgAGAFkBAADOBQAAAAA=&#10;">
              <v:fill on="f" focussize="0,0"/>
              <v:stroke on="f" weight="0.5pt"/>
              <v:imagedata o:title=""/>
              <o:lock v:ext="edit" aspectratio="f"/>
              <v:textbox inset="0mm,0mm,0mm,0mm" style="mso-fit-shape-to-text:t;">
                <w:txbxContent>
                  <w:p w14:paraId="727480C9">
                    <w:pPr>
                      <w:pStyle w:val="33"/>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B4950">
    <w:pPr>
      <w:pStyle w:val="33"/>
      <w:framePr w:wrap="around" w:vAnchor="text" w:hAnchor="margin" w:xAlign="right" w:y="1"/>
      <w:rPr>
        <w:rStyle w:val="58"/>
      </w:rPr>
    </w:pPr>
    <w:r>
      <w:fldChar w:fldCharType="begin"/>
    </w:r>
    <w:r>
      <w:rPr>
        <w:rStyle w:val="58"/>
      </w:rPr>
      <w:instrText xml:space="preserve">PAGE  </w:instrText>
    </w:r>
    <w:r>
      <w:fldChar w:fldCharType="separate"/>
    </w:r>
    <w:r>
      <w:rPr>
        <w:rStyle w:val="58"/>
        <w:lang w:val="en-US" w:eastAsia="zh-CN"/>
      </w:rPr>
      <w:t>16</w:t>
    </w:r>
    <w:r>
      <w:fldChar w:fldCharType="end"/>
    </w:r>
  </w:p>
  <w:p w14:paraId="673CD56F">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2D517">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86C7A">
                          <w:pPr>
                            <w:pStyle w:val="33"/>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K75g9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xSu+YPQIAAG8EAAAOAAAAAAAAAAEAIAAAAB8BAABkcnMvZTJv&#10;RG9jLnhtbFBLBQYAAAAABgAGAFkBAADOBQAAAAA=&#10;">
              <v:fill on="f" focussize="0,0"/>
              <v:stroke on="f" weight="0.5pt"/>
              <v:imagedata o:title=""/>
              <o:lock v:ext="edit" aspectratio="f"/>
              <v:textbox inset="0mm,0mm,0mm,0mm" style="mso-fit-shape-to-text:t;">
                <w:txbxContent>
                  <w:p w14:paraId="27186C7A">
                    <w:pPr>
                      <w:pStyle w:val="33"/>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49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0F20B">
    <w:pPr>
      <w:pStyle w:val="34"/>
      <w:jc w:val="both"/>
      <w:rPr>
        <w:rFonts w:hint="eastAsia"/>
        <w:sz w:val="21"/>
        <w:szCs w:val="22"/>
      </w:rPr>
    </w:pPr>
  </w:p>
  <w:p w14:paraId="1BEADC56">
    <w:pPr>
      <w:pStyle w:val="34"/>
      <w:jc w:val="both"/>
      <w:rPr>
        <w:rFonts w:hint="eastAsia"/>
        <w:b/>
        <w:bCs/>
        <w:spacing w:val="6"/>
        <w:sz w:val="21"/>
      </w:rPr>
    </w:pPr>
  </w:p>
  <w:p w14:paraId="7AC747D2">
    <w:pPr>
      <w:pStyle w:val="34"/>
      <w:jc w:val="both"/>
      <w:rPr>
        <w:sz w:val="21"/>
        <w:szCs w:val="22"/>
      </w:rPr>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38E31">
    <w:pPr>
      <w:pStyle w:val="34"/>
      <w:jc w:val="both"/>
      <w:rPr>
        <w:rFonts w:hint="eastAsia"/>
        <w:sz w:val="21"/>
        <w:szCs w:val="22"/>
      </w:rPr>
    </w:pPr>
  </w:p>
  <w:p w14:paraId="40E90EE3">
    <w:pPr>
      <w:pStyle w:val="34"/>
      <w:jc w:val="both"/>
      <w:rPr>
        <w:rFonts w:hint="eastAsia"/>
        <w:b/>
        <w:bCs/>
        <w:spacing w:val="6"/>
        <w:sz w:val="21"/>
      </w:rPr>
    </w:pPr>
  </w:p>
  <w:p w14:paraId="04C382BB">
    <w:pPr>
      <w:pStyle w:val="34"/>
      <w:jc w:val="both"/>
      <w:rPr>
        <w:sz w:val="21"/>
        <w:szCs w:val="22"/>
      </w:rPr>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A3FE8">
    <w:pPr>
      <w:pStyle w:val="34"/>
      <w:jc w:val="both"/>
      <w:rPr>
        <w:rFonts w:hint="eastAsia"/>
        <w:b/>
        <w:bCs/>
        <w:spacing w:val="6"/>
        <w:sz w:val="21"/>
      </w:rPr>
    </w:pPr>
  </w:p>
  <w:p w14:paraId="6D250EDE">
    <w:pPr>
      <w:pStyle w:val="34"/>
      <w:jc w:val="both"/>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53208E"/>
    <w:multiLevelType w:val="multilevel"/>
    <w:tmpl w:val="0053208E"/>
    <w:lvl w:ilvl="0" w:tentative="0">
      <w:start w:val="1"/>
      <w:numFmt w:val="decimal"/>
      <w:pStyle w:val="250"/>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ADCABA"/>
    <w:multiLevelType w:val="multilevel"/>
    <w:tmpl w:val="59ADCABA"/>
    <w:lvl w:ilvl="0" w:tentative="0">
      <w:start w:val="1"/>
      <w:numFmt w:val="decimal"/>
      <w:pStyle w:val="254"/>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DF2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20"/>
    <w:qFormat/>
    <w:uiPriority w:val="0"/>
    <w:pPr>
      <w:keepNext/>
      <w:tabs>
        <w:tab w:val="left" w:pos="200"/>
      </w:tabs>
      <w:jc w:val="center"/>
      <w:outlineLvl w:val="0"/>
    </w:pPr>
    <w:rPr>
      <w:b/>
      <w:sz w:val="36"/>
    </w:rPr>
  </w:style>
  <w:style w:type="paragraph" w:styleId="3">
    <w:name w:val="heading 2"/>
    <w:basedOn w:val="1"/>
    <w:next w:val="1"/>
    <w:link w:val="221"/>
    <w:qFormat/>
    <w:uiPriority w:val="0"/>
    <w:pPr>
      <w:keepNext/>
      <w:jc w:val="center"/>
      <w:outlineLvl w:val="1"/>
    </w:pPr>
    <w:rPr>
      <w:b/>
      <w:bCs/>
      <w:sz w:val="28"/>
      <w:szCs w:val="28"/>
    </w:rPr>
  </w:style>
  <w:style w:type="paragraph" w:styleId="4">
    <w:name w:val="heading 3"/>
    <w:basedOn w:val="1"/>
    <w:next w:val="1"/>
    <w:link w:val="222"/>
    <w:qFormat/>
    <w:uiPriority w:val="0"/>
    <w:pPr>
      <w:keepNext/>
      <w:jc w:val="center"/>
      <w:outlineLvl w:val="2"/>
    </w:pPr>
    <w:rPr>
      <w:sz w:val="28"/>
    </w:rPr>
  </w:style>
  <w:style w:type="paragraph" w:styleId="5">
    <w:name w:val="heading 4"/>
    <w:basedOn w:val="1"/>
    <w:next w:val="1"/>
    <w:link w:val="223"/>
    <w:qFormat/>
    <w:uiPriority w:val="0"/>
    <w:pPr>
      <w:keepNext/>
      <w:outlineLvl w:val="3"/>
    </w:pPr>
    <w:rPr>
      <w:b/>
      <w:bCs/>
      <w:sz w:val="18"/>
    </w:rPr>
  </w:style>
  <w:style w:type="paragraph" w:styleId="6">
    <w:name w:val="heading 5"/>
    <w:basedOn w:val="1"/>
    <w:next w:val="1"/>
    <w:link w:val="224"/>
    <w:qFormat/>
    <w:uiPriority w:val="0"/>
    <w:pPr>
      <w:keepNext/>
      <w:jc w:val="center"/>
      <w:outlineLvl w:val="4"/>
    </w:pPr>
    <w:rPr>
      <w:b/>
      <w:bCs/>
      <w:sz w:val="18"/>
    </w:rPr>
  </w:style>
  <w:style w:type="paragraph" w:styleId="7">
    <w:name w:val="heading 6"/>
    <w:basedOn w:val="1"/>
    <w:next w:val="1"/>
    <w:link w:val="7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1"/>
    <w:unhideWhenUsed/>
    <w:qFormat/>
    <w:uiPriority w:val="9"/>
    <w:pPr>
      <w:keepNext/>
      <w:keepLines/>
      <w:spacing w:before="320" w:after="200"/>
      <w:outlineLvl w:val="8"/>
    </w:pPr>
    <w:rPr>
      <w:rFonts w:ascii="Arial" w:hAnsi="Arial" w:eastAsia="Arial" w:cs="Arial"/>
      <w:i/>
      <w:iCs/>
      <w:sz w:val="21"/>
      <w:szCs w:val="21"/>
    </w:rPr>
  </w:style>
  <w:style w:type="character" w:default="1" w:styleId="55">
    <w:name w:val="Default Paragraph Font"/>
    <w:semiHidden/>
    <w:qFormat/>
    <w:uiPriority w:val="0"/>
  </w:style>
  <w:style w:type="table" w:default="1" w:styleId="53">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jc w:val="left"/>
    </w:pPr>
    <w:rPr>
      <w:szCs w:val="21"/>
    </w:rPr>
  </w:style>
  <w:style w:type="paragraph" w:styleId="12">
    <w:name w:val="index 8"/>
    <w:basedOn w:val="1"/>
    <w:next w:val="1"/>
    <w:qFormat/>
    <w:uiPriority w:val="0"/>
    <w:pPr>
      <w:ind w:left="1400"/>
    </w:pPr>
  </w:style>
  <w:style w:type="paragraph" w:styleId="13">
    <w:name w:val="Normal Indent"/>
    <w:basedOn w:val="1"/>
    <w:link w:val="225"/>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0"/>
    <w:pPr>
      <w:ind w:left="800"/>
    </w:pPr>
  </w:style>
  <w:style w:type="paragraph" w:styleId="16">
    <w:name w:val="Document Map"/>
    <w:basedOn w:val="1"/>
    <w:link w:val="226"/>
    <w:qFormat/>
    <w:uiPriority w:val="0"/>
    <w:pPr>
      <w:shd w:val="clear" w:color="auto" w:fill="000080"/>
    </w:pPr>
  </w:style>
  <w:style w:type="paragraph" w:styleId="17">
    <w:name w:val="annotation text"/>
    <w:basedOn w:val="1"/>
    <w:link w:val="227"/>
    <w:qFormat/>
    <w:uiPriority w:val="0"/>
    <w:pPr>
      <w:jc w:val="left"/>
    </w:pPr>
  </w:style>
  <w:style w:type="paragraph" w:styleId="18">
    <w:name w:val="index 6"/>
    <w:basedOn w:val="1"/>
    <w:next w:val="1"/>
    <w:qFormat/>
    <w:uiPriority w:val="0"/>
    <w:pPr>
      <w:ind w:left="1000"/>
    </w:pPr>
  </w:style>
  <w:style w:type="paragraph" w:styleId="19">
    <w:name w:val="Body Text"/>
    <w:basedOn w:val="1"/>
    <w:link w:val="228"/>
    <w:qFormat/>
    <w:uiPriority w:val="0"/>
    <w:rPr>
      <w:rFonts w:ascii="楷体_GB2312" w:hAnsi="Arial" w:eastAsia="楷体_GB2312"/>
      <w:sz w:val="28"/>
    </w:rPr>
  </w:style>
  <w:style w:type="paragraph" w:styleId="20">
    <w:name w:val="Body Text Indent"/>
    <w:basedOn w:val="1"/>
    <w:next w:val="21"/>
    <w:link w:val="229"/>
    <w:qFormat/>
    <w:uiPriority w:val="0"/>
    <w:pPr>
      <w:spacing w:line="312" w:lineRule="atLeast"/>
      <w:ind w:firstLine="574"/>
    </w:pPr>
    <w:rPr>
      <w:sz w:val="28"/>
    </w:rPr>
  </w:style>
  <w:style w:type="paragraph" w:styleId="21">
    <w:name w:val="envelope return"/>
    <w:basedOn w:val="1"/>
    <w:qFormat/>
    <w:uiPriority w:val="0"/>
    <w:rPr>
      <w:rFonts w:ascii="Arial" w:hAnsi="Arial"/>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index 4"/>
    <w:basedOn w:val="1"/>
    <w:next w:val="1"/>
    <w:qFormat/>
    <w:uiPriority w:val="0"/>
    <w:pPr>
      <w:ind w:left="600"/>
    </w:pPr>
  </w:style>
  <w:style w:type="paragraph" w:styleId="24">
    <w:name w:val="toc 5"/>
    <w:basedOn w:val="1"/>
    <w:next w:val="1"/>
    <w:qFormat/>
    <w:uiPriority w:val="0"/>
    <w:pPr>
      <w:ind w:left="840"/>
      <w:jc w:val="left"/>
    </w:pPr>
    <w:rPr>
      <w:szCs w:val="21"/>
    </w:rPr>
  </w:style>
  <w:style w:type="paragraph" w:styleId="25">
    <w:name w:val="toc 3"/>
    <w:basedOn w:val="1"/>
    <w:next w:val="1"/>
    <w:qFormat/>
    <w:uiPriority w:val="39"/>
    <w:pPr>
      <w:ind w:left="420"/>
      <w:jc w:val="left"/>
    </w:pPr>
    <w:rPr>
      <w:i/>
      <w:iCs/>
      <w:szCs w:val="24"/>
    </w:rPr>
  </w:style>
  <w:style w:type="paragraph" w:styleId="26">
    <w:name w:val="Plain Text"/>
    <w:basedOn w:val="1"/>
    <w:link w:val="230"/>
    <w:qFormat/>
    <w:uiPriority w:val="0"/>
    <w:rPr>
      <w:rFonts w:hAnsi="Courier New"/>
    </w:rPr>
  </w:style>
  <w:style w:type="paragraph" w:styleId="27">
    <w:name w:val="toc 8"/>
    <w:basedOn w:val="1"/>
    <w:next w:val="1"/>
    <w:qFormat/>
    <w:uiPriority w:val="0"/>
    <w:pPr>
      <w:ind w:left="1470"/>
      <w:jc w:val="left"/>
    </w:pPr>
    <w:rPr>
      <w:szCs w:val="21"/>
    </w:rPr>
  </w:style>
  <w:style w:type="paragraph" w:styleId="28">
    <w:name w:val="index 3"/>
    <w:basedOn w:val="1"/>
    <w:next w:val="1"/>
    <w:qFormat/>
    <w:uiPriority w:val="0"/>
    <w:pPr>
      <w:ind w:left="400"/>
    </w:pPr>
  </w:style>
  <w:style w:type="paragraph" w:styleId="29">
    <w:name w:val="Date"/>
    <w:basedOn w:val="1"/>
    <w:next w:val="1"/>
    <w:link w:val="231"/>
    <w:qFormat/>
    <w:uiPriority w:val="0"/>
    <w:pPr>
      <w:spacing w:line="312" w:lineRule="atLeast"/>
    </w:pPr>
    <w:rPr>
      <w:sz w:val="28"/>
    </w:rPr>
  </w:style>
  <w:style w:type="paragraph" w:styleId="30">
    <w:name w:val="Body Text Indent 2"/>
    <w:basedOn w:val="1"/>
    <w:link w:val="232"/>
    <w:qFormat/>
    <w:uiPriority w:val="0"/>
    <w:pPr>
      <w:tabs>
        <w:tab w:val="left" w:pos="1785"/>
        <w:tab w:val="left" w:pos="1887"/>
        <w:tab w:val="left" w:pos="2112"/>
        <w:tab w:val="left" w:pos="9000"/>
      </w:tabs>
      <w:ind w:left="1890" w:hanging="1409"/>
    </w:pPr>
    <w:rPr>
      <w:sz w:val="24"/>
    </w:rPr>
  </w:style>
  <w:style w:type="paragraph" w:styleId="31">
    <w:name w:val="endnote text"/>
    <w:basedOn w:val="1"/>
    <w:link w:val="218"/>
    <w:semiHidden/>
    <w:unhideWhenUsed/>
    <w:qFormat/>
    <w:uiPriority w:val="99"/>
    <w:pPr>
      <w:spacing w:after="0" w:line="240" w:lineRule="auto"/>
    </w:pPr>
    <w:rPr>
      <w:sz w:val="20"/>
    </w:rPr>
  </w:style>
  <w:style w:type="paragraph" w:styleId="32">
    <w:name w:val="Balloon Text"/>
    <w:basedOn w:val="1"/>
    <w:link w:val="233"/>
    <w:unhideWhenUsed/>
    <w:qFormat/>
    <w:uiPriority w:val="99"/>
    <w:rPr>
      <w:sz w:val="18"/>
      <w:szCs w:val="18"/>
    </w:rPr>
  </w:style>
  <w:style w:type="paragraph" w:styleId="33">
    <w:name w:val="footer"/>
    <w:basedOn w:val="1"/>
    <w:link w:val="234"/>
    <w:qFormat/>
    <w:uiPriority w:val="99"/>
    <w:pPr>
      <w:tabs>
        <w:tab w:val="center" w:pos="4153"/>
        <w:tab w:val="right" w:pos="8306"/>
      </w:tabs>
      <w:jc w:val="left"/>
    </w:pPr>
    <w:rPr>
      <w:sz w:val="18"/>
    </w:rPr>
  </w:style>
  <w:style w:type="paragraph" w:styleId="34">
    <w:name w:val="header"/>
    <w:basedOn w:val="1"/>
    <w:link w:val="235"/>
    <w:qFormat/>
    <w:uiPriority w:val="99"/>
    <w:pPr>
      <w:pBdr>
        <w:bottom w:val="single" w:color="auto" w:sz="6" w:space="1"/>
      </w:pBdr>
      <w:tabs>
        <w:tab w:val="center" w:pos="4153"/>
        <w:tab w:val="right" w:pos="8306"/>
      </w:tabs>
      <w:jc w:val="center"/>
    </w:pPr>
    <w:rPr>
      <w:sz w:val="18"/>
    </w:rPr>
  </w:style>
  <w:style w:type="paragraph" w:styleId="35">
    <w:name w:val="Signature"/>
    <w:basedOn w:val="1"/>
    <w:link w:val="236"/>
    <w:qFormat/>
    <w:uiPriority w:val="0"/>
    <w:pPr>
      <w:spacing w:after="600" w:line="312" w:lineRule="atLeast"/>
      <w:jc w:val="center"/>
    </w:pPr>
    <w:rPr>
      <w:rFonts w:eastAsia="仿宋_GB2312"/>
      <w:sz w:val="24"/>
    </w:rPr>
  </w:style>
  <w:style w:type="paragraph" w:styleId="36">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lang w:val="en-US" w:eastAsia="zh-CN"/>
    </w:rPr>
  </w:style>
  <w:style w:type="paragraph" w:styleId="37">
    <w:name w:val="toc 4"/>
    <w:basedOn w:val="1"/>
    <w:next w:val="1"/>
    <w:qFormat/>
    <w:uiPriority w:val="0"/>
    <w:pPr>
      <w:ind w:left="630"/>
      <w:jc w:val="left"/>
    </w:pPr>
    <w:rPr>
      <w:szCs w:val="21"/>
    </w:rPr>
  </w:style>
  <w:style w:type="paragraph" w:styleId="38">
    <w:name w:val="index heading"/>
    <w:basedOn w:val="1"/>
    <w:next w:val="39"/>
    <w:qFormat/>
    <w:uiPriority w:val="0"/>
  </w:style>
  <w:style w:type="paragraph" w:styleId="39">
    <w:name w:val="index 1"/>
    <w:basedOn w:val="1"/>
    <w:next w:val="1"/>
    <w:qFormat/>
    <w:uiPriority w:val="0"/>
  </w:style>
  <w:style w:type="paragraph" w:styleId="40">
    <w:name w:val="Subtitle"/>
    <w:basedOn w:val="1"/>
    <w:next w:val="1"/>
    <w:link w:val="84"/>
    <w:qFormat/>
    <w:uiPriority w:val="11"/>
    <w:pPr>
      <w:spacing w:before="200" w:after="200"/>
    </w:pPr>
    <w:rPr>
      <w:sz w:val="24"/>
      <w:szCs w:val="24"/>
    </w:rPr>
  </w:style>
  <w:style w:type="paragraph" w:styleId="41">
    <w:name w:val="footnote text"/>
    <w:basedOn w:val="1"/>
    <w:link w:val="217"/>
    <w:semiHidden/>
    <w:unhideWhenUsed/>
    <w:qFormat/>
    <w:uiPriority w:val="99"/>
    <w:pPr>
      <w:spacing w:after="40" w:line="240" w:lineRule="auto"/>
    </w:pPr>
    <w:rPr>
      <w:sz w:val="18"/>
    </w:rPr>
  </w:style>
  <w:style w:type="paragraph" w:styleId="42">
    <w:name w:val="toc 6"/>
    <w:basedOn w:val="1"/>
    <w:next w:val="1"/>
    <w:qFormat/>
    <w:uiPriority w:val="0"/>
    <w:pPr>
      <w:ind w:left="1050"/>
      <w:jc w:val="left"/>
    </w:pPr>
    <w:rPr>
      <w:szCs w:val="21"/>
    </w:rPr>
  </w:style>
  <w:style w:type="paragraph" w:styleId="43">
    <w:name w:val="Body Text Indent 3"/>
    <w:basedOn w:val="1"/>
    <w:link w:val="237"/>
    <w:qFormat/>
    <w:uiPriority w:val="0"/>
    <w:pPr>
      <w:ind w:firstLine="555"/>
    </w:pPr>
    <w:rPr>
      <w:b/>
      <w:bCs/>
      <w:sz w:val="28"/>
      <w:u w:val="single"/>
    </w:rPr>
  </w:style>
  <w:style w:type="paragraph" w:styleId="44">
    <w:name w:val="index 7"/>
    <w:basedOn w:val="1"/>
    <w:next w:val="1"/>
    <w:qFormat/>
    <w:uiPriority w:val="0"/>
    <w:pPr>
      <w:ind w:left="1200"/>
    </w:pPr>
  </w:style>
  <w:style w:type="paragraph" w:styleId="45">
    <w:name w:val="index 9"/>
    <w:basedOn w:val="1"/>
    <w:next w:val="1"/>
    <w:qFormat/>
    <w:uiPriority w:val="0"/>
    <w:pPr>
      <w:ind w:left="1600"/>
    </w:pPr>
  </w:style>
  <w:style w:type="paragraph" w:styleId="46">
    <w:name w:val="table of figures"/>
    <w:basedOn w:val="1"/>
    <w:next w:val="1"/>
    <w:qFormat/>
    <w:uiPriority w:val="0"/>
    <w:pPr>
      <w:ind w:left="840" w:hanging="420"/>
    </w:pPr>
  </w:style>
  <w:style w:type="paragraph" w:styleId="47">
    <w:name w:val="toc 2"/>
    <w:basedOn w:val="1"/>
    <w:next w:val="1"/>
    <w:qFormat/>
    <w:uiPriority w:val="39"/>
    <w:pPr>
      <w:tabs>
        <w:tab w:val="right" w:leader="dot" w:pos="9450"/>
      </w:tabs>
      <w:spacing w:line="400" w:lineRule="exact"/>
      <w:ind w:left="250"/>
      <w:jc w:val="left"/>
    </w:pPr>
    <w:rPr>
      <w:bCs/>
      <w:smallCaps/>
      <w:sz w:val="24"/>
      <w:szCs w:val="24"/>
      <w:lang w:val="en-US" w:eastAsia="zh-CN"/>
    </w:rPr>
  </w:style>
  <w:style w:type="paragraph" w:styleId="48">
    <w:name w:val="toc 9"/>
    <w:basedOn w:val="1"/>
    <w:next w:val="1"/>
    <w:qFormat/>
    <w:uiPriority w:val="0"/>
    <w:pPr>
      <w:ind w:left="1680"/>
      <w:jc w:val="left"/>
    </w:pPr>
    <w:rPr>
      <w:szCs w:val="21"/>
    </w:rPr>
  </w:style>
  <w:style w:type="paragraph" w:styleId="49">
    <w:name w:val="index 2"/>
    <w:basedOn w:val="1"/>
    <w:next w:val="1"/>
    <w:qFormat/>
    <w:uiPriority w:val="0"/>
    <w:pPr>
      <w:ind w:left="200"/>
    </w:pPr>
  </w:style>
  <w:style w:type="paragraph" w:styleId="50">
    <w:name w:val="Title"/>
    <w:basedOn w:val="1"/>
    <w:next w:val="1"/>
    <w:link w:val="238"/>
    <w:qFormat/>
    <w:uiPriority w:val="0"/>
    <w:pPr>
      <w:spacing w:before="240" w:after="60"/>
      <w:jc w:val="center"/>
      <w:outlineLvl w:val="0"/>
    </w:pPr>
    <w:rPr>
      <w:rFonts w:ascii="Cambria" w:hAnsi="Cambria"/>
      <w:b/>
      <w:bCs/>
      <w:sz w:val="32"/>
      <w:szCs w:val="32"/>
    </w:rPr>
  </w:style>
  <w:style w:type="paragraph" w:styleId="51">
    <w:name w:val="annotation subject"/>
    <w:basedOn w:val="17"/>
    <w:next w:val="17"/>
    <w:link w:val="239"/>
    <w:qFormat/>
    <w:uiPriority w:val="0"/>
    <w:rPr>
      <w:b/>
      <w:bCs/>
    </w:rPr>
  </w:style>
  <w:style w:type="paragraph" w:styleId="52">
    <w:name w:val="Body Text First Indent 2"/>
    <w:basedOn w:val="20"/>
    <w:link w:val="240"/>
    <w:qFormat/>
    <w:uiPriority w:val="0"/>
    <w:pPr>
      <w:spacing w:after="120" w:line="240" w:lineRule="auto"/>
      <w:ind w:left="420" w:firstLine="420"/>
    </w:pPr>
    <w:rPr>
      <w:sz w:val="21"/>
    </w:rPr>
  </w:style>
  <w:style w:type="table" w:styleId="54">
    <w:name w:val="Table Grid"/>
    <w:basedOn w:val="5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6">
    <w:name w:val="Strong"/>
    <w:qFormat/>
    <w:uiPriority w:val="0"/>
    <w:rPr>
      <w:b/>
      <w:bCs/>
    </w:rPr>
  </w:style>
  <w:style w:type="character" w:styleId="57">
    <w:name w:val="endnote reference"/>
    <w:basedOn w:val="55"/>
    <w:semiHidden/>
    <w:unhideWhenUsed/>
    <w:qFormat/>
    <w:uiPriority w:val="99"/>
    <w:rPr>
      <w:vertAlign w:val="superscript"/>
    </w:rPr>
  </w:style>
  <w:style w:type="character" w:styleId="58">
    <w:name w:val="page number"/>
    <w:qFormat/>
    <w:uiPriority w:val="0"/>
  </w:style>
  <w:style w:type="character" w:styleId="59">
    <w:name w:val="FollowedHyperlink"/>
    <w:qFormat/>
    <w:uiPriority w:val="0"/>
    <w:rPr>
      <w:color w:val="800080"/>
      <w:u w:val="none"/>
    </w:rPr>
  </w:style>
  <w:style w:type="character" w:styleId="60">
    <w:name w:val="Emphasis"/>
    <w:qFormat/>
    <w:uiPriority w:val="0"/>
  </w:style>
  <w:style w:type="character" w:styleId="61">
    <w:name w:val="HTML Definition"/>
    <w:qFormat/>
    <w:uiPriority w:val="0"/>
  </w:style>
  <w:style w:type="character" w:styleId="62">
    <w:name w:val="HTML Typewriter"/>
    <w:qFormat/>
    <w:uiPriority w:val="0"/>
    <w:rPr>
      <w:rFonts w:hint="default" w:ascii="monospace" w:hAnsi="monospace" w:eastAsia="monospace" w:cs="monospace"/>
      <w:sz w:val="20"/>
    </w:rPr>
  </w:style>
  <w:style w:type="character" w:styleId="63">
    <w:name w:val="HTML Acronym"/>
    <w:qFormat/>
    <w:uiPriority w:val="0"/>
  </w:style>
  <w:style w:type="character" w:styleId="64">
    <w:name w:val="HTML Variable"/>
    <w:qFormat/>
    <w:uiPriority w:val="0"/>
  </w:style>
  <w:style w:type="character" w:styleId="65">
    <w:name w:val="Hyperlink"/>
    <w:qFormat/>
    <w:uiPriority w:val="99"/>
    <w:rPr>
      <w:color w:val="0000FF"/>
      <w:u w:val="none"/>
    </w:rPr>
  </w:style>
  <w:style w:type="character" w:styleId="66">
    <w:name w:val="HTML Code"/>
    <w:qFormat/>
    <w:uiPriority w:val="0"/>
    <w:rPr>
      <w:rFonts w:hint="default" w:ascii="monospace" w:hAnsi="monospace" w:eastAsia="monospace" w:cs="monospace"/>
      <w:sz w:val="20"/>
    </w:rPr>
  </w:style>
  <w:style w:type="character" w:styleId="67">
    <w:name w:val="annotation reference"/>
    <w:qFormat/>
    <w:uiPriority w:val="0"/>
    <w:rPr>
      <w:sz w:val="21"/>
      <w:szCs w:val="21"/>
    </w:rPr>
  </w:style>
  <w:style w:type="character" w:styleId="68">
    <w:name w:val="HTML Cite"/>
    <w:qFormat/>
    <w:uiPriority w:val="0"/>
  </w:style>
  <w:style w:type="character" w:styleId="69">
    <w:name w:val="footnote reference"/>
    <w:basedOn w:val="55"/>
    <w:unhideWhenUsed/>
    <w:qFormat/>
    <w:uiPriority w:val="99"/>
    <w:rPr>
      <w:vertAlign w:val="superscript"/>
    </w:rPr>
  </w:style>
  <w:style w:type="character" w:styleId="70">
    <w:name w:val="HTML Keyboard"/>
    <w:qFormat/>
    <w:uiPriority w:val="0"/>
    <w:rPr>
      <w:rFonts w:hint="default" w:ascii="monospace" w:hAnsi="monospace" w:eastAsia="monospace" w:cs="monospace"/>
      <w:sz w:val="20"/>
    </w:rPr>
  </w:style>
  <w:style w:type="character" w:styleId="71">
    <w:name w:val="HTML Sample"/>
    <w:qFormat/>
    <w:uiPriority w:val="0"/>
    <w:rPr>
      <w:rFonts w:ascii="monospace" w:hAnsi="monospace" w:eastAsia="monospace" w:cs="monospace"/>
    </w:rPr>
  </w:style>
  <w:style w:type="paragraph" w:customStyle="1" w:styleId="72">
    <w:name w:val="段"/>
    <w:basedOn w:val="1"/>
    <w:next w:val="1"/>
    <w:qFormat/>
    <w:uiPriority w:val="0"/>
    <w:pPr>
      <w:widowControl/>
      <w:spacing w:line="360" w:lineRule="auto"/>
      <w:ind w:firstLine="200"/>
    </w:pPr>
    <w:rPr>
      <w:sz w:val="24"/>
      <w:szCs w:val="24"/>
    </w:rPr>
  </w:style>
  <w:style w:type="character" w:customStyle="1" w:styleId="73">
    <w:name w:val="Heading 1 Char"/>
    <w:basedOn w:val="55"/>
    <w:qFormat/>
    <w:uiPriority w:val="9"/>
    <w:rPr>
      <w:rFonts w:ascii="Arial" w:hAnsi="Arial" w:eastAsia="Arial" w:cs="Arial"/>
      <w:sz w:val="40"/>
      <w:szCs w:val="40"/>
    </w:rPr>
  </w:style>
  <w:style w:type="character" w:customStyle="1" w:styleId="74">
    <w:name w:val="Heading 2 Char"/>
    <w:basedOn w:val="55"/>
    <w:qFormat/>
    <w:uiPriority w:val="9"/>
    <w:rPr>
      <w:rFonts w:ascii="Arial" w:hAnsi="Arial" w:eastAsia="Arial" w:cs="Arial"/>
      <w:sz w:val="34"/>
    </w:rPr>
  </w:style>
  <w:style w:type="character" w:customStyle="1" w:styleId="75">
    <w:name w:val="Heading 3 Char"/>
    <w:basedOn w:val="55"/>
    <w:qFormat/>
    <w:uiPriority w:val="9"/>
    <w:rPr>
      <w:rFonts w:ascii="Arial" w:hAnsi="Arial" w:eastAsia="Arial" w:cs="Arial"/>
      <w:sz w:val="30"/>
      <w:szCs w:val="30"/>
    </w:rPr>
  </w:style>
  <w:style w:type="character" w:customStyle="1" w:styleId="76">
    <w:name w:val="Heading 4 Char"/>
    <w:basedOn w:val="55"/>
    <w:qFormat/>
    <w:uiPriority w:val="9"/>
    <w:rPr>
      <w:rFonts w:ascii="Arial" w:hAnsi="Arial" w:eastAsia="Arial" w:cs="Arial"/>
      <w:b/>
      <w:bCs/>
      <w:sz w:val="26"/>
      <w:szCs w:val="26"/>
    </w:rPr>
  </w:style>
  <w:style w:type="character" w:customStyle="1" w:styleId="77">
    <w:name w:val="Heading 5 Char"/>
    <w:basedOn w:val="55"/>
    <w:qFormat/>
    <w:uiPriority w:val="9"/>
    <w:rPr>
      <w:rFonts w:ascii="Arial" w:hAnsi="Arial" w:eastAsia="Arial" w:cs="Arial"/>
      <w:b/>
      <w:bCs/>
      <w:sz w:val="24"/>
      <w:szCs w:val="24"/>
    </w:rPr>
  </w:style>
  <w:style w:type="character" w:customStyle="1" w:styleId="78">
    <w:name w:val="Heading 6 Char"/>
    <w:basedOn w:val="55"/>
    <w:link w:val="7"/>
    <w:qFormat/>
    <w:uiPriority w:val="9"/>
    <w:rPr>
      <w:rFonts w:ascii="Arial" w:hAnsi="Arial" w:eastAsia="Arial" w:cs="Arial"/>
      <w:b/>
      <w:bCs/>
      <w:sz w:val="22"/>
      <w:szCs w:val="22"/>
    </w:rPr>
  </w:style>
  <w:style w:type="character" w:customStyle="1" w:styleId="79">
    <w:name w:val="Heading 7 Char"/>
    <w:basedOn w:val="55"/>
    <w:link w:val="8"/>
    <w:qFormat/>
    <w:uiPriority w:val="9"/>
    <w:rPr>
      <w:rFonts w:ascii="Arial" w:hAnsi="Arial" w:eastAsia="Arial" w:cs="Arial"/>
      <w:b/>
      <w:bCs/>
      <w:i/>
      <w:iCs/>
      <w:sz w:val="22"/>
      <w:szCs w:val="22"/>
    </w:rPr>
  </w:style>
  <w:style w:type="character" w:customStyle="1" w:styleId="80">
    <w:name w:val="Heading 8 Char"/>
    <w:basedOn w:val="55"/>
    <w:link w:val="9"/>
    <w:qFormat/>
    <w:uiPriority w:val="9"/>
    <w:rPr>
      <w:rFonts w:ascii="Arial" w:hAnsi="Arial" w:eastAsia="Arial" w:cs="Arial"/>
      <w:i/>
      <w:iCs/>
      <w:sz w:val="22"/>
      <w:szCs w:val="22"/>
    </w:rPr>
  </w:style>
  <w:style w:type="character" w:customStyle="1" w:styleId="81">
    <w:name w:val="Heading 9 Char"/>
    <w:basedOn w:val="55"/>
    <w:link w:val="10"/>
    <w:qFormat/>
    <w:uiPriority w:val="9"/>
    <w:rPr>
      <w:rFonts w:ascii="Arial" w:hAnsi="Arial" w:eastAsia="Arial" w:cs="Arial"/>
      <w:i/>
      <w:iCs/>
      <w:sz w:val="21"/>
      <w:szCs w:val="21"/>
    </w:rPr>
  </w:style>
  <w:style w:type="paragraph" w:styleId="82">
    <w:name w:val="No Spacing"/>
    <w:qFormat/>
    <w:uiPriority w:val="1"/>
    <w:pPr>
      <w:spacing w:before="0" w:after="0" w:line="240" w:lineRule="auto"/>
    </w:pPr>
    <w:rPr>
      <w:rFonts w:hint="default" w:ascii="Times New Roman" w:hAnsi="Times New Roman" w:eastAsia="宋体" w:cs="Times New Roman"/>
    </w:rPr>
  </w:style>
  <w:style w:type="character" w:customStyle="1" w:styleId="83">
    <w:name w:val="Title Char"/>
    <w:basedOn w:val="55"/>
    <w:qFormat/>
    <w:uiPriority w:val="10"/>
    <w:rPr>
      <w:sz w:val="48"/>
      <w:szCs w:val="48"/>
    </w:rPr>
  </w:style>
  <w:style w:type="character" w:customStyle="1" w:styleId="84">
    <w:name w:val="Subtitle Char"/>
    <w:basedOn w:val="55"/>
    <w:link w:val="40"/>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Quote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8">
    <w:name w:val="Intense Quote Char"/>
    <w:link w:val="87"/>
    <w:qFormat/>
    <w:uiPriority w:val="30"/>
    <w:rPr>
      <w:i/>
    </w:rPr>
  </w:style>
  <w:style w:type="character" w:customStyle="1" w:styleId="89">
    <w:name w:val="Header Char"/>
    <w:basedOn w:val="55"/>
    <w:qFormat/>
    <w:uiPriority w:val="99"/>
  </w:style>
  <w:style w:type="character" w:customStyle="1" w:styleId="90">
    <w:name w:val="Footer Char"/>
    <w:basedOn w:val="55"/>
    <w:qFormat/>
    <w:uiPriority w:val="99"/>
  </w:style>
  <w:style w:type="character" w:customStyle="1" w:styleId="91">
    <w:name w:val="Caption Char"/>
    <w:qFormat/>
    <w:uiPriority w:val="99"/>
  </w:style>
  <w:style w:type="table" w:customStyle="1" w:styleId="92">
    <w:name w:val="Table Grid Light"/>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Plain Table 1"/>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basedOn w:val="5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basedOn w:val="5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basedOn w:val="5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basedOn w:val="5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basedOn w:val="5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basedOn w:val="5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5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basedOn w:val="5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basedOn w:val="5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basedOn w:val="5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basedOn w:val="5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basedOn w:val="5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basedOn w:val="5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basedOn w:val="5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basedOn w:val="5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6 Colorful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basedOn w:val="5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basedOn w:val="5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basedOn w:val="5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basedOn w:val="5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basedOn w:val="5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basedOn w:val="5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7 Colorful - Accent 4"/>
    <w:basedOn w:val="5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basedOn w:val="5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basedOn w:val="5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basedOn w:val="5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5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basedOn w:val="5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basedOn w:val="5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basedOn w:val="5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basedOn w:val="5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basedOn w:val="5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basedOn w:val="5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5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basedOn w:val="5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basedOn w:val="5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basedOn w:val="5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basedOn w:val="5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basedOn w:val="5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5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basedOn w:val="5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basedOn w:val="5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basedOn w:val="5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5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basedOn w:val="5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basedOn w:val="5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basedOn w:val="5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basedOn w:val="5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basedOn w:val="5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basedOn w:val="5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5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basedOn w:val="5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basedOn w:val="5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basedOn w:val="5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basedOn w:val="5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basedOn w:val="5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basedOn w:val="5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basedOn w:val="5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basedOn w:val="5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basedOn w:val="5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basedOn w:val="5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basedOn w:val="5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basedOn w:val="5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basedOn w:val="5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basedOn w:val="5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basedOn w:val="5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basedOn w:val="5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basedOn w:val="5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basedOn w:val="5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basedOn w:val="5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basedOn w:val="5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5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basedOn w:val="5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basedOn w:val="5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basedOn w:val="5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basedOn w:val="5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basedOn w:val="5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basedOn w:val="5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5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basedOn w:val="5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basedOn w:val="5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basedOn w:val="5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basedOn w:val="5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basedOn w:val="5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basedOn w:val="5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Footnote Text Char"/>
    <w:link w:val="41"/>
    <w:qFormat/>
    <w:uiPriority w:val="99"/>
    <w:rPr>
      <w:sz w:val="18"/>
    </w:rPr>
  </w:style>
  <w:style w:type="character" w:customStyle="1" w:styleId="218">
    <w:name w:val="Endnote Text Char"/>
    <w:link w:val="31"/>
    <w:qFormat/>
    <w:uiPriority w:val="99"/>
    <w:rPr>
      <w:sz w:val="20"/>
    </w:rPr>
  </w:style>
  <w:style w:type="paragraph" w:customStyle="1" w:styleId="219">
    <w:name w:val="TOC Heading"/>
    <w:unhideWhenUsed/>
    <w:qFormat/>
    <w:uiPriority w:val="39"/>
    <w:rPr>
      <w:rFonts w:hint="default" w:ascii="Times New Roman" w:hAnsi="Times New Roman" w:eastAsia="宋体" w:cs="Times New Roman"/>
    </w:rPr>
  </w:style>
  <w:style w:type="character" w:customStyle="1" w:styleId="220">
    <w:name w:val="标题 1 Char"/>
    <w:link w:val="2"/>
    <w:qFormat/>
    <w:uiPriority w:val="0"/>
    <w:rPr>
      <w:rFonts w:ascii="宋体" w:hAnsi="宋体"/>
      <w:b/>
      <w:sz w:val="36"/>
    </w:rPr>
  </w:style>
  <w:style w:type="character" w:customStyle="1" w:styleId="221">
    <w:name w:val="标题 2 Char"/>
    <w:link w:val="3"/>
    <w:qFormat/>
    <w:uiPriority w:val="0"/>
    <w:rPr>
      <w:rFonts w:ascii="宋体" w:hAnsi="宋体" w:eastAsia="宋体"/>
      <w:b/>
      <w:bCs/>
      <w:sz w:val="28"/>
      <w:szCs w:val="28"/>
    </w:rPr>
  </w:style>
  <w:style w:type="character" w:customStyle="1" w:styleId="222">
    <w:name w:val="标题 3 Char"/>
    <w:link w:val="4"/>
    <w:qFormat/>
    <w:uiPriority w:val="0"/>
    <w:rPr>
      <w:rFonts w:ascii="宋体" w:hAnsi="宋体"/>
      <w:sz w:val="28"/>
    </w:rPr>
  </w:style>
  <w:style w:type="character" w:customStyle="1" w:styleId="223">
    <w:name w:val="标题 4 Char"/>
    <w:link w:val="5"/>
    <w:qFormat/>
    <w:uiPriority w:val="0"/>
    <w:rPr>
      <w:b/>
      <w:bCs/>
      <w:sz w:val="18"/>
    </w:rPr>
  </w:style>
  <w:style w:type="character" w:customStyle="1" w:styleId="224">
    <w:name w:val="标题 5 Char"/>
    <w:link w:val="6"/>
    <w:qFormat/>
    <w:uiPriority w:val="0"/>
    <w:rPr>
      <w:b/>
      <w:bCs/>
      <w:sz w:val="18"/>
    </w:rPr>
  </w:style>
  <w:style w:type="character" w:customStyle="1" w:styleId="225">
    <w:name w:val="正文缩进 Char"/>
    <w:link w:val="13"/>
    <w:qFormat/>
    <w:uiPriority w:val="99"/>
    <w:rPr>
      <w:sz w:val="21"/>
    </w:rPr>
  </w:style>
  <w:style w:type="character" w:customStyle="1" w:styleId="226">
    <w:name w:val="文档结构图 Char"/>
    <w:link w:val="16"/>
    <w:qFormat/>
    <w:uiPriority w:val="0"/>
    <w:rPr>
      <w:sz w:val="21"/>
      <w:shd w:val="clear" w:color="auto" w:fill="000080"/>
    </w:rPr>
  </w:style>
  <w:style w:type="character" w:customStyle="1" w:styleId="227">
    <w:name w:val="批注文字 Char"/>
    <w:link w:val="17"/>
    <w:qFormat/>
    <w:uiPriority w:val="0"/>
    <w:rPr>
      <w:sz w:val="21"/>
    </w:rPr>
  </w:style>
  <w:style w:type="character" w:customStyle="1" w:styleId="228">
    <w:name w:val="正文文本 Char"/>
    <w:link w:val="19"/>
    <w:qFormat/>
    <w:uiPriority w:val="0"/>
    <w:rPr>
      <w:rFonts w:ascii="楷体_GB2312" w:hAnsi="Arial" w:eastAsia="楷体_GB2312"/>
      <w:sz w:val="28"/>
    </w:rPr>
  </w:style>
  <w:style w:type="character" w:customStyle="1" w:styleId="229">
    <w:name w:val="正文文本缩进 Char"/>
    <w:link w:val="20"/>
    <w:qFormat/>
    <w:uiPriority w:val="0"/>
    <w:rPr>
      <w:rFonts w:ascii="宋体"/>
      <w:sz w:val="28"/>
    </w:rPr>
  </w:style>
  <w:style w:type="character" w:customStyle="1" w:styleId="230">
    <w:name w:val="纯文本 Char"/>
    <w:link w:val="26"/>
    <w:qFormat/>
    <w:uiPriority w:val="0"/>
    <w:rPr>
      <w:rFonts w:ascii="宋体" w:hAnsi="Courier New"/>
      <w:sz w:val="21"/>
    </w:rPr>
  </w:style>
  <w:style w:type="character" w:customStyle="1" w:styleId="231">
    <w:name w:val="日期 Char"/>
    <w:link w:val="29"/>
    <w:qFormat/>
    <w:uiPriority w:val="0"/>
    <w:rPr>
      <w:rFonts w:ascii="宋体"/>
      <w:sz w:val="28"/>
    </w:rPr>
  </w:style>
  <w:style w:type="character" w:customStyle="1" w:styleId="232">
    <w:name w:val="正文文本缩进 2 Char"/>
    <w:link w:val="30"/>
    <w:qFormat/>
    <w:uiPriority w:val="0"/>
    <w:rPr>
      <w:sz w:val="24"/>
    </w:rPr>
  </w:style>
  <w:style w:type="character" w:customStyle="1" w:styleId="233">
    <w:name w:val="批注框文本 Char"/>
    <w:link w:val="32"/>
    <w:qFormat/>
    <w:uiPriority w:val="99"/>
    <w:rPr>
      <w:sz w:val="18"/>
      <w:szCs w:val="18"/>
    </w:rPr>
  </w:style>
  <w:style w:type="character" w:customStyle="1" w:styleId="234">
    <w:name w:val="页脚 Char"/>
    <w:link w:val="33"/>
    <w:qFormat/>
    <w:uiPriority w:val="99"/>
    <w:rPr>
      <w:sz w:val="18"/>
    </w:rPr>
  </w:style>
  <w:style w:type="character" w:customStyle="1" w:styleId="235">
    <w:name w:val="页眉 Char"/>
    <w:link w:val="34"/>
    <w:qFormat/>
    <w:uiPriority w:val="99"/>
    <w:rPr>
      <w:sz w:val="18"/>
    </w:rPr>
  </w:style>
  <w:style w:type="character" w:customStyle="1" w:styleId="236">
    <w:name w:val="签名 Char"/>
    <w:link w:val="35"/>
    <w:qFormat/>
    <w:uiPriority w:val="0"/>
    <w:rPr>
      <w:rFonts w:eastAsia="仿宋_GB2312"/>
      <w:sz w:val="24"/>
    </w:rPr>
  </w:style>
  <w:style w:type="character" w:customStyle="1" w:styleId="237">
    <w:name w:val="正文文本缩进 3 Char"/>
    <w:link w:val="43"/>
    <w:qFormat/>
    <w:uiPriority w:val="0"/>
    <w:rPr>
      <w:b/>
      <w:bCs/>
      <w:sz w:val="28"/>
      <w:u w:val="single"/>
    </w:rPr>
  </w:style>
  <w:style w:type="character" w:customStyle="1" w:styleId="238">
    <w:name w:val="标题 Char"/>
    <w:link w:val="50"/>
    <w:qFormat/>
    <w:uiPriority w:val="0"/>
    <w:rPr>
      <w:rFonts w:ascii="Cambria" w:hAnsi="Cambria" w:cs="Times New Roman"/>
      <w:b/>
      <w:bCs/>
      <w:sz w:val="32"/>
      <w:szCs w:val="32"/>
    </w:rPr>
  </w:style>
  <w:style w:type="character" w:customStyle="1" w:styleId="239">
    <w:name w:val="批注主题 Char"/>
    <w:link w:val="51"/>
    <w:qFormat/>
    <w:uiPriority w:val="0"/>
    <w:rPr>
      <w:b/>
      <w:bCs/>
      <w:sz w:val="21"/>
    </w:rPr>
  </w:style>
  <w:style w:type="character" w:customStyle="1" w:styleId="240">
    <w:name w:val="正文首行缩进 2 Char"/>
    <w:link w:val="52"/>
    <w:qFormat/>
    <w:uiPriority w:val="0"/>
    <w:rPr>
      <w:rFonts w:ascii="宋体"/>
      <w:sz w:val="21"/>
    </w:rPr>
  </w:style>
  <w:style w:type="character" w:customStyle="1" w:styleId="241">
    <w:name w:val="正文文本缩进 字符1"/>
    <w:qFormat/>
    <w:uiPriority w:val="0"/>
    <w:rPr>
      <w:rFonts w:ascii="宋体"/>
      <w:sz w:val="28"/>
    </w:rPr>
  </w:style>
  <w:style w:type="paragraph" w:customStyle="1" w:styleId="242">
    <w:name w:val="Char Char1 Char Char Char Char Char Char Char"/>
    <w:basedOn w:val="1"/>
    <w:qFormat/>
    <w:uiPriority w:val="0"/>
    <w:rPr>
      <w:rFonts w:ascii="Tahoma" w:hAnsi="Tahoma"/>
      <w:sz w:val="24"/>
    </w:rPr>
  </w:style>
  <w:style w:type="paragraph" w:customStyle="1" w:styleId="243">
    <w:name w:val="p0"/>
    <w:basedOn w:val="1"/>
    <w:qFormat/>
    <w:uiPriority w:val="0"/>
    <w:pPr>
      <w:widowControl/>
    </w:pPr>
    <w:rPr>
      <w:szCs w:val="21"/>
    </w:rPr>
  </w:style>
  <w:style w:type="paragraph" w:customStyle="1" w:styleId="244">
    <w:name w:val="Plain Text1"/>
    <w:basedOn w:val="1"/>
    <w:qFormat/>
    <w:uiPriority w:val="0"/>
    <w:rPr>
      <w:rFonts w:ascii="宋体" w:hAnsi="Courier New" w:eastAsia="楷体_GB2312"/>
      <w:sz w:val="28"/>
    </w:rPr>
  </w:style>
  <w:style w:type="paragraph" w:customStyle="1" w:styleId="245">
    <w:name w:val="Plain Text"/>
    <w:basedOn w:val="1"/>
    <w:qFormat/>
    <w:uiPriority w:val="0"/>
    <w:rPr>
      <w:rFonts w:ascii="宋体" w:hAnsi="Courier New" w:eastAsia="楷体_GB2312"/>
      <w:sz w:val="28"/>
    </w:rPr>
  </w:style>
  <w:style w:type="paragraph" w:customStyle="1" w:styleId="246">
    <w:name w:val="纯文本2"/>
    <w:basedOn w:val="1"/>
    <w:qFormat/>
    <w:uiPriority w:val="0"/>
    <w:pPr>
      <w:widowControl/>
      <w:jc w:val="left"/>
    </w:pPr>
    <w:rPr>
      <w:rFonts w:ascii="宋体" w:hAnsi="Courier New" w:eastAsia="楷体_GB2312"/>
      <w:sz w:val="26"/>
    </w:rPr>
  </w:style>
  <w:style w:type="paragraph" w:customStyle="1" w:styleId="247">
    <w:name w:val="Char Char Char"/>
    <w:basedOn w:val="1"/>
    <w:qFormat/>
    <w:uiPriority w:val="0"/>
    <w:pPr>
      <w:tabs>
        <w:tab w:val="left" w:pos="375"/>
        <w:tab w:val="left" w:pos="1545"/>
      </w:tabs>
      <w:ind w:left="375" w:hanging="375"/>
    </w:pPr>
  </w:style>
  <w:style w:type="paragraph" w:customStyle="1" w:styleId="248">
    <w:name w:val="List Paragraph1"/>
    <w:basedOn w:val="1"/>
    <w:qFormat/>
    <w:uiPriority w:val="99"/>
    <w:pPr>
      <w:ind w:firstLine="420"/>
    </w:pPr>
  </w:style>
  <w:style w:type="paragraph" w:styleId="249">
    <w:name w:val="List Paragraph"/>
    <w:basedOn w:val="1"/>
    <w:qFormat/>
    <w:uiPriority w:val="99"/>
    <w:pPr>
      <w:ind w:firstLine="420"/>
    </w:pPr>
    <w:rPr>
      <w:rFonts w:ascii="Calibri" w:hAnsi="Calibri"/>
      <w:szCs w:val="22"/>
    </w:rPr>
  </w:style>
  <w:style w:type="paragraph" w:customStyle="1" w:styleId="250">
    <w:name w:val=" Char Char Char"/>
    <w:basedOn w:val="1"/>
    <w:qFormat/>
    <w:uiPriority w:val="0"/>
    <w:pPr>
      <w:numPr>
        <w:ilvl w:val="0"/>
        <w:numId w:val="1"/>
      </w:numPr>
      <w:tabs>
        <w:tab w:val="left" w:pos="1545"/>
      </w:tabs>
    </w:pPr>
  </w:style>
  <w:style w:type="paragraph" w:customStyle="1" w:styleId="251">
    <w:name w:val="Char1 Char Char Char"/>
    <w:basedOn w:val="1"/>
    <w:qFormat/>
    <w:uiPriority w:val="0"/>
    <w:rPr>
      <w:rFonts w:ascii="Tahoma" w:hAnsi="Tahoma"/>
      <w:sz w:val="24"/>
    </w:rPr>
  </w:style>
  <w:style w:type="paragraph" w:customStyle="1" w:styleId="252">
    <w:name w:val="样式1"/>
    <w:basedOn w:val="1"/>
    <w:qFormat/>
    <w:uiPriority w:val="0"/>
    <w:pPr>
      <w:numPr>
        <w:ilvl w:val="0"/>
        <w:numId w:val="2"/>
      </w:numPr>
    </w:pPr>
    <w:rPr>
      <w:rFonts w:ascii="宋体" w:hAnsi="宋体"/>
      <w:szCs w:val="21"/>
    </w:rPr>
  </w:style>
  <w:style w:type="paragraph" w:customStyle="1" w:styleId="253">
    <w:name w:val="Char Char Char Char"/>
    <w:basedOn w:val="16"/>
    <w:qFormat/>
    <w:uiPriority w:val="0"/>
    <w:pPr>
      <w:spacing w:line="360" w:lineRule="auto"/>
    </w:pPr>
    <w:rPr>
      <w:rFonts w:ascii="Tahoma" w:hAnsi="Tahoma"/>
      <w:sz w:val="24"/>
      <w:szCs w:val="24"/>
    </w:rPr>
  </w:style>
  <w:style w:type="paragraph" w:customStyle="1" w:styleId="254">
    <w:name w:val=" Char"/>
    <w:basedOn w:val="1"/>
    <w:qFormat/>
    <w:uiPriority w:val="0"/>
    <w:pPr>
      <w:numPr>
        <w:ilvl w:val="0"/>
        <w:numId w:val="3"/>
      </w:numPr>
    </w:pPr>
    <w:rPr>
      <w:sz w:val="24"/>
      <w:szCs w:val="24"/>
    </w:rPr>
  </w:style>
  <w:style w:type="paragraph" w:customStyle="1" w:styleId="255">
    <w:name w:val=" Char Char1 Char Char Char Char Char Char Char"/>
    <w:basedOn w:val="1"/>
    <w:qFormat/>
    <w:uiPriority w:val="0"/>
    <w:rPr>
      <w:rFonts w:ascii="Tahoma" w:hAnsi="Tahoma"/>
      <w:sz w:val="24"/>
    </w:rPr>
  </w:style>
  <w:style w:type="paragraph" w:customStyle="1" w:styleId="256">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57">
    <w:name w:val="font51"/>
    <w:basedOn w:val="55"/>
    <w:qFormat/>
    <w:uiPriority w:val="0"/>
    <w:rPr>
      <w:rFonts w:hint="eastAsia" w:ascii="宋体" w:hAnsi="宋体" w:eastAsia="宋体" w:cs="宋体"/>
      <w:color w:val="000000"/>
      <w:sz w:val="20"/>
      <w:szCs w:val="20"/>
      <w:u w:val="none"/>
    </w:rPr>
  </w:style>
  <w:style w:type="character" w:customStyle="1" w:styleId="258">
    <w:name w:val="font101"/>
    <w:basedOn w:val="55"/>
    <w:qFormat/>
    <w:uiPriority w:val="0"/>
    <w:rPr>
      <w:rFonts w:hint="eastAsia" w:ascii="宋体" w:hAnsi="宋体" w:eastAsia="宋体" w:cs="宋体"/>
      <w:color w:val="000000"/>
      <w:sz w:val="20"/>
      <w:szCs w:val="20"/>
      <w:u w:val="none"/>
      <w:vertAlign w:val="superscript"/>
    </w:rPr>
  </w:style>
  <w:style w:type="character" w:customStyle="1" w:styleId="259">
    <w:name w:val="font71"/>
    <w:basedOn w:val="55"/>
    <w:qFormat/>
    <w:uiPriority w:val="0"/>
    <w:rPr>
      <w:rFonts w:hint="eastAsia" w:ascii="宋体" w:hAnsi="宋体" w:eastAsia="宋体" w:cs="宋体"/>
      <w:color w:val="000000"/>
      <w:sz w:val="20"/>
      <w:szCs w:val="20"/>
      <w:u w:val="none"/>
    </w:rPr>
  </w:style>
  <w:style w:type="character" w:customStyle="1" w:styleId="260">
    <w:name w:val="font01"/>
    <w:qFormat/>
    <w:uiPriority w:val="0"/>
    <w:rPr>
      <w:rFonts w:hint="eastAsia" w:ascii="宋体" w:hAnsi="宋体" w:eastAsia="宋体" w:cs="宋体"/>
      <w:color w:val="000000"/>
      <w:sz w:val="20"/>
      <w:szCs w:val="20"/>
      <w:u w:val="none"/>
      <w:vertAlign w:val="superscript"/>
    </w:rPr>
  </w:style>
  <w:style w:type="paragraph" w:customStyle="1" w:styleId="261">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2">
    <w:name w:val="正文文本缩进1"/>
    <w:basedOn w:val="1"/>
    <w:next w:val="263"/>
    <w:qFormat/>
    <w:uiPriority w:val="0"/>
    <w:pPr>
      <w:spacing w:line="480" w:lineRule="exact"/>
      <w:ind w:firstLine="435"/>
    </w:pPr>
    <w:rPr>
      <w:szCs w:val="32"/>
    </w:rPr>
  </w:style>
  <w:style w:type="paragraph" w:customStyle="1" w:styleId="263">
    <w:name w:val="寄信人地址1"/>
    <w:basedOn w:val="1"/>
    <w:qFormat/>
    <w:uiPriority w:val="0"/>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48</Pages>
  <Words>16928</Words>
  <Characters>18176</Characters>
  <TotalTime>4</TotalTime>
  <ScaleCrop>false</ScaleCrop>
  <LinksUpToDate>false</LinksUpToDate>
  <CharactersWithSpaces>18414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静亚</cp:lastModifiedBy>
  <dcterms:modified xsi:type="dcterms:W3CDTF">2026-03-13T00:20:08Z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32929F99F8904F948BD5A6FB78A54D34_13</vt:lpwstr>
  </property>
  <property fmtid="{D5CDD505-2E9C-101B-9397-08002B2CF9AE}" pid="4" name="KSOTemplateDocerSaveRecord">
    <vt:lpwstr>eyJoZGlkIjoiYjllM2EyZjRlMjYwMWIxZmMzNTg2ZDk4NTA5ZDM4YzEiLCJ1c2VySWQiOiIxMjAyODkwMzI4In0=</vt:lpwstr>
  </property>
</Properties>
</file>