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line="360" w:lineRule="auto"/>
        <w:rPr>
          <w:rFonts w:hint="eastAsia"/>
          <w:color w:val="000000"/>
          <w:sz w:val="60"/>
          <w:szCs w:val="60"/>
          <w:highlight w:val="none"/>
        </w:rPr>
      </w:pPr>
      <w:r>
        <w:rPr>
          <w:rFonts w:hint="eastAsia"/>
          <w:color w:val="000000"/>
          <w:sz w:val="60"/>
          <w:szCs w:val="60"/>
          <w:highlight w:val="none"/>
        </w:rPr>
      </w:r>
      <w:r/>
    </w:p>
    <w:p>
      <w:pPr>
        <w:pStyle w:val="853"/>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853"/>
        <w:jc w:val="center"/>
        <w:rPr>
          <w:b/>
          <w:bCs/>
          <w:color w:val="000000"/>
          <w:sz w:val="60"/>
          <w:szCs w:val="60"/>
          <w:highlight w:val="none"/>
        </w:rPr>
      </w:pPr>
      <w:r>
        <w:rPr>
          <w:b/>
          <w:bCs/>
          <w:color w:val="000000"/>
          <w:sz w:val="60"/>
          <w:szCs w:val="60"/>
          <w:highlight w:val="none"/>
        </w:rPr>
      </w:r>
      <w:r/>
    </w:p>
    <w:p>
      <w:pPr>
        <w:pStyle w:val="853"/>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853"/>
        <w:jc w:val="center"/>
        <w:rPr>
          <w:b/>
          <w:bCs/>
          <w:color w:val="000000"/>
          <w:sz w:val="60"/>
          <w:szCs w:val="60"/>
          <w:highlight w:val="none"/>
        </w:rPr>
      </w:pPr>
      <w:r>
        <w:rPr>
          <w:b/>
          <w:bCs/>
          <w:color w:val="000000"/>
          <w:sz w:val="60"/>
          <w:szCs w:val="60"/>
          <w:highlight w:val="none"/>
        </w:rPr>
      </w:r>
      <w:r/>
    </w:p>
    <w:p>
      <w:pPr>
        <w:pStyle w:val="853"/>
        <w:jc w:val="center"/>
        <w:rPr>
          <w:b/>
          <w:bCs/>
          <w:color w:val="000000"/>
          <w:sz w:val="60"/>
          <w:szCs w:val="60"/>
          <w:highlight w:val="none"/>
        </w:rPr>
      </w:pPr>
      <w:r>
        <w:rPr>
          <w:b/>
          <w:bCs/>
          <w:color w:val="000000"/>
          <w:sz w:val="60"/>
          <w:szCs w:val="60"/>
          <w:highlight w:val="none"/>
        </w:rPr>
      </w:r>
      <w:r/>
    </w:p>
    <w:p>
      <w:pPr>
        <w:pStyle w:val="853"/>
        <w:jc w:val="center"/>
        <w:rPr>
          <w:b/>
          <w:bCs/>
          <w:color w:val="000000"/>
          <w:sz w:val="60"/>
          <w:szCs w:val="60"/>
          <w:highlight w:val="none"/>
        </w:rPr>
      </w:pPr>
      <w:r>
        <w:rPr>
          <w:b/>
          <w:bCs/>
          <w:color w:val="000000"/>
          <w:sz w:val="60"/>
          <w:szCs w:val="60"/>
          <w:highlight w:val="none"/>
        </w:rPr>
      </w:r>
      <w:r/>
    </w:p>
    <w:p>
      <w:pPr>
        <w:pStyle w:val="933"/>
        <w:rPr>
          <w:color w:val="000000"/>
          <w:highlight w:val="none"/>
        </w:rPr>
      </w:pPr>
      <w:r>
        <w:rPr>
          <w:color w:val="000000"/>
          <w:highlight w:val="none"/>
        </w:rPr>
      </w:r>
      <w:r/>
    </w:p>
    <w:p>
      <w:pPr>
        <w:pStyle w:val="853"/>
        <w:jc w:val="center"/>
        <w:spacing w:line="360" w:lineRule="auto"/>
        <w:rPr>
          <w:color w:val="000000"/>
          <w:sz w:val="60"/>
          <w:szCs w:val="60"/>
          <w:highlight w:val="none"/>
        </w:rPr>
      </w:pPr>
      <w:r>
        <w:rPr>
          <w:color w:val="000000"/>
          <w:sz w:val="60"/>
          <w:szCs w:val="60"/>
          <w:highlight w:val="none"/>
        </w:rPr>
      </w:r>
      <w:r/>
    </w:p>
    <w:p>
      <w:pPr>
        <w:pStyle w:val="853"/>
        <w:ind w:left="2640" w:hanging="18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江苏理工学院武进绿建区协同创新园运动场、体育馆体育器</w:t>
      </w:r>
      <w:r>
        <w:rPr>
          <w:rFonts w:hint="eastAsia" w:ascii="Times New Roman" w:hAnsi="Times New Roman" w:eastAsia="宋体" w:cs="Times New Roman"/>
          <w:bCs/>
          <w:color w:val="000000"/>
          <w:sz w:val="36"/>
          <w:szCs w:val="36"/>
          <w:highlight w:val="none"/>
          <w:lang w:eastAsia="zh-CN"/>
        </w:rPr>
        <w:t xml:space="preserve">材采购</w:t>
      </w:r>
      <w:r>
        <w:rPr>
          <w:rFonts w:hint="eastAsia" w:ascii="Times New Roman" w:hAnsi="Times New Roman" w:eastAsia="宋体" w:cs="Times New Roman"/>
          <w:bCs/>
          <w:color w:val="000000"/>
          <w:sz w:val="36"/>
          <w:szCs w:val="36"/>
          <w:highlight w:val="none"/>
          <w:lang w:eastAsia="zh-CN"/>
        </w:rPr>
      </w:r>
      <w:r/>
    </w:p>
    <w:p>
      <w:pPr>
        <w:pStyle w:val="853"/>
        <w:ind w:left="2640" w:hanging="18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rFonts w:hint="eastAsia" w:ascii="Times New Roman" w:hAnsi="Times New Roman" w:eastAsia="宋体" w:cs="Times New Roman"/>
          <w:bCs/>
          <w:color w:val="000000"/>
          <w:sz w:val="36"/>
          <w:szCs w:val="36"/>
          <w:highlight w:val="none"/>
          <w:lang w:eastAsia="zh-CN"/>
        </w:rPr>
        <w:t xml:space="preserve">项目编号：JSZC-320412-HYYZ-G2026-0003</w:t>
      </w:r>
      <w:r>
        <w:rPr>
          <w:rFonts w:hint="eastAsia" w:ascii="Times New Roman" w:hAnsi="Times New Roman" w:eastAsia="宋体" w:cs="Times New Roman"/>
          <w:bCs/>
          <w:color w:val="000000"/>
          <w:sz w:val="36"/>
          <w:szCs w:val="36"/>
          <w:highlight w:val="none"/>
          <w:lang w:eastAsia="zh-CN"/>
        </w:rPr>
      </w:r>
      <w:r/>
    </w:p>
    <w:p>
      <w:pPr>
        <w:pStyle w:val="853"/>
        <w:ind w:left="2640" w:hanging="18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常州市武进绿色建筑产业集聚示范区管理委员会 </w:t>
      </w:r>
      <w:r>
        <w:rPr>
          <w:rFonts w:hint="eastAsia" w:eastAsia="宋体"/>
          <w:bCs/>
          <w:color w:val="000000"/>
          <w:sz w:val="36"/>
          <w:szCs w:val="36"/>
          <w:highlight w:val="none"/>
          <w:lang w:eastAsia="zh-CN"/>
        </w:rPr>
      </w:r>
      <w:r/>
    </w:p>
    <w:p>
      <w:pPr>
        <w:pStyle w:val="853"/>
        <w:ind w:left="2640" w:hanging="1800"/>
        <w:jc w:val="left"/>
        <w:spacing w:line="360" w:lineRule="auto"/>
        <w:tabs>
          <w:tab w:val="left" w:pos="3240" w:leader="none"/>
          <w:tab w:val="left" w:pos="3420" w:leader="none"/>
        </w:tabs>
        <w:rPr>
          <w:rFonts w:hint="eastAsia"/>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常州环宇工程项目管理有限公司</w:t>
      </w:r>
      <w:r>
        <w:rPr>
          <w:rFonts w:hint="eastAsia"/>
          <w:bCs/>
          <w:color w:val="000000"/>
          <w:sz w:val="36"/>
          <w:szCs w:val="36"/>
          <w:highlight w:val="none"/>
        </w:rPr>
      </w:r>
      <w:r/>
    </w:p>
    <w:p>
      <w:pPr>
        <w:pStyle w:val="920"/>
        <w:ind w:firstLine="360"/>
        <w:tabs>
          <w:tab w:val="left" w:pos="567" w:leader="none"/>
        </w:tabs>
        <w:rPr>
          <w:rFonts w:hint="eastAsia"/>
          <w:bCs/>
          <w:color w:val="000000"/>
          <w:sz w:val="36"/>
          <w:szCs w:val="36"/>
          <w:highlight w:val="none"/>
        </w:rPr>
      </w:pPr>
      <w:r>
        <w:rPr>
          <w:rFonts w:hint="eastAsia"/>
          <w:bCs/>
          <w:color w:val="000000"/>
          <w:sz w:val="36"/>
          <w:szCs w:val="36"/>
          <w:highlight w:val="none"/>
        </w:rPr>
      </w:r>
      <w:r/>
    </w:p>
    <w:p>
      <w:pPr>
        <w:pStyle w:val="853"/>
        <w:ind w:left="2640" w:hanging="1800"/>
        <w:jc w:val="center"/>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2026年</w:t>
      </w:r>
      <w:r>
        <w:rPr>
          <w:rFonts w:hint="eastAsia"/>
          <w:bCs/>
          <w:color w:val="000000"/>
          <w:sz w:val="36"/>
          <w:szCs w:val="36"/>
          <w:highlight w:val="none"/>
          <w:lang w:val="en-US" w:eastAsia="zh-CN"/>
        </w:rPr>
        <w:t xml:space="preserve">3</w:t>
      </w:r>
      <w:r>
        <w:rPr>
          <w:rFonts w:hint="eastAsia"/>
          <w:bCs/>
          <w:color w:val="000000"/>
          <w:sz w:val="36"/>
          <w:szCs w:val="36"/>
          <w:highlight w:val="none"/>
        </w:rPr>
        <w:t xml:space="preserve">月</w:t>
      </w:r>
      <w:r>
        <w:rPr>
          <w:bCs/>
          <w:color w:val="000000"/>
          <w:sz w:val="36"/>
          <w:szCs w:val="36"/>
          <w:highlight w:val="none"/>
        </w:rPr>
      </w:r>
      <w:r/>
    </w:p>
    <w:p>
      <w:pPr>
        <w:pStyle w:val="853"/>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Pr>
          <w:rFonts w:hint="eastAsia"/>
          <w:b/>
          <w:color w:val="000000"/>
          <w:sz w:val="36"/>
          <w:szCs w:val="36"/>
          <w:highlight w:val="none"/>
        </w:rPr>
      </w:r>
      <w:r/>
    </w:p>
    <w:p>
      <w:pPr>
        <w:pStyle w:val="905"/>
        <w:spacing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905"/>
        <w:numPr>
          <w:ilvl w:val="0"/>
          <w:numId w:val="8"/>
        </w:numPr>
        <w:spacing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853"/>
        <w:rPr>
          <w:rFonts w:hint="eastAsia"/>
          <w:color w:val="000000"/>
          <w:highlight w:val="none"/>
        </w:rPr>
      </w:pPr>
      <w:r>
        <w:rPr>
          <w:rFonts w:hint="eastAsia"/>
          <w:color w:val="000000"/>
          <w:highlight w:val="none"/>
        </w:rPr>
      </w:r>
      <w:r/>
    </w:p>
    <w:p>
      <w:pPr>
        <w:pStyle w:val="853"/>
        <w:numPr>
          <w:ilvl w:val="0"/>
          <w:numId w:val="8"/>
        </w:numPr>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933"/>
        <w:rPr>
          <w:color w:val="000000"/>
          <w:highlight w:val="none"/>
        </w:rPr>
      </w:pPr>
      <w:r>
        <w:rPr>
          <w:color w:val="000000"/>
          <w:highlight w:val="none"/>
        </w:rPr>
      </w:r>
      <w:r/>
    </w:p>
    <w:p>
      <w:pPr>
        <w:pStyle w:val="9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9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9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9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9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53"/>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933"/>
        <w:rPr>
          <w:color w:val="000000"/>
          <w:highlight w:val="none"/>
        </w:rPr>
      </w:pPr>
      <w:r>
        <w:rPr>
          <w:color w:val="000000"/>
          <w:highlight w:val="none"/>
        </w:rPr>
      </w:r>
      <w:r/>
    </w:p>
    <w:p>
      <w:pPr>
        <w:pStyle w:val="9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933"/>
        <w:spacing w:line="360" w:lineRule="auto"/>
        <w:rPr>
          <w:color w:val="000000"/>
          <w:highlight w:val="none"/>
        </w:rPr>
      </w:pPr>
      <w:r>
        <w:rPr>
          <w:color w:val="000000"/>
          <w:highlight w:val="none"/>
        </w:rPr>
      </w:r>
      <w:r/>
    </w:p>
    <w:p>
      <w:pPr>
        <w:pStyle w:val="853"/>
        <w:jc w:val="center"/>
        <w:spacing w:line="360" w:lineRule="auto"/>
        <w:rPr>
          <w:b/>
          <w:color w:val="000000"/>
          <w:sz w:val="36"/>
          <w:szCs w:val="36"/>
          <w:highlight w:val="none"/>
        </w:rPr>
        <w:outlineLvl w:val="0"/>
      </w:pPr>
      <w:r>
        <w:rPr>
          <w:color w:val="000000"/>
          <w:sz w:val="24"/>
          <w:highlight w:val="none"/>
        </w:rPr>
        <w:br w:type="page" w:clear="all"/>
      </w:r>
      <w:bookmarkStart w:id="1" w:name="_Toc99301419"/>
      <w:r>
        <w:rPr>
          <w:b/>
          <w:color w:val="000000"/>
          <w:sz w:val="36"/>
          <w:szCs w:val="36"/>
          <w:highlight w:val="none"/>
        </w:rPr>
        <w:t xml:space="preserve">第一章   投标邀请</w:t>
      </w:r>
      <w:bookmarkEnd w:id="1"/>
      <w:r>
        <w:rPr>
          <w:b/>
          <w:color w:val="000000"/>
          <w:sz w:val="36"/>
          <w:szCs w:val="36"/>
          <w:highlight w:val="none"/>
        </w:rPr>
      </w:r>
      <w:r/>
    </w:p>
    <w:p>
      <w:pPr>
        <w:pStyle w:val="853"/>
        <w:ind w:firstLine="480"/>
        <w:spacing w:line="360" w:lineRule="auto"/>
        <w:rPr>
          <w:color w:val="000000"/>
          <w:sz w:val="24"/>
          <w:highlight w:val="none"/>
        </w:rPr>
      </w:pPr>
      <w:r/>
      <w:bookmarkStart w:id="2" w:name="_Toc35393621"/>
      <w:r/>
      <w:bookmarkStart w:id="3" w:name="_Toc35393790"/>
      <w:r/>
      <w:bookmarkStart w:id="4" w:name="_Toc28359079"/>
      <w:r/>
      <w:bookmarkStart w:id="5" w:name="_Toc28359002"/>
      <w:r/>
      <w:bookmarkStart w:id="6" w:name="_Hlk24379207"/>
      <w:r/>
      <w:bookmarkStart w:id="7" w:name="_Hlk151728086"/>
      <w:r>
        <w:rPr>
          <w:rFonts w:hint="eastAsia"/>
          <w:color w:val="000000"/>
          <w:sz w:val="24"/>
          <w:highlight w:val="none"/>
        </w:rPr>
        <w:t xml:space="preserve">受</w:t>
      </w:r>
      <w:r>
        <w:rPr>
          <w:rFonts w:hint="eastAsia"/>
          <w:color w:val="000000"/>
          <w:sz w:val="24"/>
          <w:highlight w:val="none"/>
          <w:lang w:eastAsia="zh-CN"/>
        </w:rPr>
        <w:t xml:space="preserve">常州市武进绿色建筑产业集聚示范区管理委员会</w:t>
      </w:r>
      <w:r>
        <w:rPr>
          <w:rFonts w:hint="eastAsia"/>
          <w:color w:val="000000"/>
          <w:sz w:val="24"/>
          <w:highlight w:val="none"/>
        </w:rPr>
        <w:t xml:space="preserve">的委托，常州环宇工程项目管理有限公司就</w:t>
      </w:r>
      <w:r>
        <w:rPr>
          <w:rFonts w:hint="eastAsia"/>
          <w:color w:val="000000"/>
          <w:sz w:val="24"/>
          <w:highlight w:val="none"/>
          <w:lang w:eastAsia="zh-CN"/>
        </w:rPr>
        <w:t xml:space="preserve">江苏理工学院武进绿建区协同创新园运动场、体育馆体育器材采购</w:t>
      </w:r>
      <w:r>
        <w:rPr>
          <w:rFonts w:hint="eastAsia"/>
          <w:color w:val="000000"/>
          <w:sz w:val="24"/>
          <w:highlight w:val="none"/>
        </w:rPr>
        <w:t xml:space="preserve">进行公开招标采购，各潜在投标人可在“苏采云”平台自行免费下载招标文件，并于</w:t>
      </w:r>
      <w:r>
        <w:rPr>
          <w:rFonts w:hint="eastAsia"/>
          <w:b/>
          <w:bCs/>
          <w:color w:val="000000"/>
          <w:sz w:val="24"/>
          <w:highlight w:val="none"/>
          <w:u w:val="single"/>
        </w:rPr>
        <w:t xml:space="preserve">2026年</w:t>
      </w:r>
      <w:r>
        <w:rPr>
          <w:rFonts w:hint="eastAsia"/>
          <w:b/>
          <w:bCs/>
          <w:color w:val="000000"/>
          <w:sz w:val="24"/>
          <w:highlight w:val="none"/>
          <w:u w:val="single"/>
          <w:lang w:val="en-US" w:eastAsia="zh-CN"/>
        </w:rPr>
        <w:t xml:space="preserve">4</w:t>
      </w:r>
      <w:r>
        <w:rPr>
          <w:rFonts w:hint="eastAsia"/>
          <w:b/>
          <w:bCs/>
          <w:color w:val="000000"/>
          <w:sz w:val="24"/>
          <w:highlight w:val="none"/>
          <w:u w:val="single"/>
        </w:rPr>
        <w:t xml:space="preserve">月</w:t>
      </w:r>
      <w:r>
        <w:rPr>
          <w:rFonts w:hint="eastAsia"/>
          <w:b/>
          <w:bCs/>
          <w:color w:val="000000"/>
          <w:sz w:val="24"/>
          <w:highlight w:val="none"/>
          <w:u w:val="single"/>
          <w:lang w:val="en-US" w:eastAsia="zh-CN"/>
        </w:rPr>
        <w:t xml:space="preserve">8</w:t>
      </w:r>
      <w:r>
        <w:rPr>
          <w:rFonts w:hint="eastAsia"/>
          <w:b/>
          <w:bCs/>
          <w:color w:val="000000"/>
          <w:sz w:val="24"/>
          <w:highlight w:val="none"/>
          <w:u w:val="single"/>
        </w:rPr>
        <w:t xml:space="preserve">日</w:t>
      </w:r>
      <w:r>
        <w:rPr>
          <w:b/>
          <w:bCs/>
          <w:color w:val="000000"/>
          <w:sz w:val="24"/>
          <w:highlight w:val="none"/>
          <w:u w:val="single"/>
        </w:rPr>
        <w:t xml:space="preserve">9</w:t>
      </w:r>
      <w:r>
        <w:rPr>
          <w:rFonts w:hint="eastAsia"/>
          <w:b/>
          <w:bCs/>
          <w:color w:val="000000"/>
          <w:sz w:val="24"/>
          <w:highlight w:val="none"/>
          <w:u w:val="single"/>
        </w:rPr>
        <w:t xml:space="preserve">:3</w:t>
      </w:r>
      <w:r>
        <w:rPr>
          <w:b/>
          <w:bCs/>
          <w:color w:val="000000"/>
          <w:sz w:val="24"/>
          <w:highlight w:val="none"/>
          <w:u w:val="single"/>
        </w:rPr>
        <w:t xml:space="preserve">0</w:t>
      </w:r>
      <w:r>
        <w:rPr>
          <w:rFonts w:hint="eastAsia"/>
          <w:b/>
          <w:bCs/>
          <w:color w:val="000000"/>
          <w:sz w:val="24"/>
          <w:highlight w:val="none"/>
          <w:u w:val="single"/>
        </w:rPr>
        <w:t xml:space="preserve">（北京时间）</w:t>
      </w:r>
      <w:r>
        <w:rPr>
          <w:rFonts w:hint="eastAsia"/>
          <w:color w:val="000000"/>
          <w:sz w:val="24"/>
          <w:highlight w:val="none"/>
        </w:rPr>
        <w:t xml:space="preserve">前递交投标</w:t>
      </w:r>
      <w:r>
        <w:rPr>
          <w:color w:val="000000"/>
          <w:sz w:val="24"/>
          <w:highlight w:val="none"/>
        </w:rPr>
        <w:t xml:space="preserve">文件</w:t>
      </w:r>
      <w:r>
        <w:rPr>
          <w:rFonts w:hint="eastAsia"/>
          <w:color w:val="000000"/>
          <w:sz w:val="24"/>
          <w:highlight w:val="none"/>
        </w:rPr>
        <w:t xml:space="preserve">。</w:t>
      </w:r>
      <w:r>
        <w:rPr>
          <w:color w:val="000000"/>
          <w:sz w:val="24"/>
          <w:highlight w:val="none"/>
        </w:rPr>
      </w:r>
      <w:r/>
    </w:p>
    <w:p>
      <w:pPr>
        <w:pStyle w:val="855"/>
        <w:ind w:firstLine="482"/>
        <w:jc w:val="left"/>
        <w:spacing w:before="0" w:line="360" w:lineRule="auto"/>
        <w:tabs>
          <w:tab w:val="right" w:pos="8937" w:leader="dot"/>
        </w:tabs>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853"/>
        <w:ind w:firstLine="480"/>
        <w:spacing w:line="360" w:lineRule="auto"/>
        <w:rPr>
          <w:rFonts w:hint="eastAsia" w:ascii="Times New Roman" w:hAnsi="Times New Roman" w:eastAsia="宋体" w:cs="Times New Roman"/>
          <w:color w:val="000000"/>
          <w:sz w:val="24"/>
          <w:highlight w:val="none"/>
          <w:lang w:eastAsia="zh-CN"/>
        </w:rPr>
      </w:pPr>
      <w:r>
        <w:rPr>
          <w:rFonts w:hint="eastAsia"/>
          <w:color w:val="000000"/>
          <w:sz w:val="24"/>
          <w:highlight w:val="none"/>
        </w:rPr>
        <w:t xml:space="preserve">1.项目编</w:t>
      </w:r>
      <w:r>
        <w:rPr>
          <w:rFonts w:hint="eastAsia" w:ascii="Times New Roman" w:hAnsi="Times New Roman" w:eastAsia="宋体" w:cs="Times New Roman"/>
          <w:color w:val="000000"/>
          <w:sz w:val="24"/>
          <w:highlight w:val="none"/>
          <w:lang w:eastAsia="zh-CN"/>
        </w:rPr>
        <w:t xml:space="preserve">号：JSZC-320412-HYYZ-G2026-0003</w:t>
      </w:r>
      <w:r>
        <w:rPr>
          <w:rFonts w:hint="eastAsia" w:ascii="Times New Roman" w:hAnsi="Times New Roman" w:eastAsia="宋体" w:cs="Times New Roman"/>
          <w:color w:val="000000"/>
          <w:sz w:val="24"/>
          <w:highlight w:val="none"/>
          <w:lang w:eastAsia="zh-CN"/>
        </w:rPr>
      </w:r>
      <w:r/>
    </w:p>
    <w:p>
      <w:pPr>
        <w:pStyle w:val="853"/>
        <w:ind w:firstLine="480"/>
        <w:spacing w:line="360" w:lineRule="auto"/>
        <w:rPr>
          <w:rFonts w:hint="eastAsia" w:eastAsia="宋体"/>
          <w:color w:val="000000"/>
          <w:sz w:val="24"/>
          <w:highlight w:val="none"/>
          <w:lang w:eastAsia="zh-CN"/>
        </w:rPr>
      </w:pPr>
      <w:r>
        <w:rPr>
          <w:rFonts w:hint="eastAsia" w:ascii="Times New Roman" w:hAnsi="Times New Roman" w:eastAsia="宋体" w:cs="Times New Roman"/>
          <w:color w:val="000000"/>
          <w:sz w:val="24"/>
          <w:highlight w:val="none"/>
          <w:lang w:eastAsia="zh-CN"/>
        </w:rPr>
        <w:t xml:space="preserve">2.项目名称：</w:t>
      </w:r>
      <w:bookmarkEnd w:id="6"/>
      <w:r>
        <w:rPr>
          <w:rFonts w:hint="eastAsia" w:ascii="Times New Roman" w:hAnsi="Times New Roman" w:eastAsia="宋体" w:cs="Times New Roman"/>
          <w:color w:val="000000"/>
          <w:sz w:val="24"/>
          <w:highlight w:val="none"/>
          <w:lang w:eastAsia="zh-CN"/>
        </w:rPr>
        <w:t xml:space="preserve">江苏理</w:t>
      </w:r>
      <w:r>
        <w:rPr>
          <w:rFonts w:hint="eastAsia"/>
          <w:color w:val="000000"/>
          <w:sz w:val="24"/>
          <w:highlight w:val="none"/>
          <w:lang w:eastAsia="zh-CN"/>
        </w:rPr>
        <w:t xml:space="preserve">工学院武进绿建区协同创新园运动场、体育馆体育器材采购</w:t>
      </w:r>
      <w:r>
        <w:rPr>
          <w:rFonts w:hint="eastAsia" w:eastAsia="宋体"/>
          <w:color w:val="000000"/>
          <w:sz w:val="24"/>
          <w:highlight w:val="none"/>
          <w:lang w:eastAsia="zh-CN"/>
        </w:rPr>
      </w:r>
      <w:r/>
    </w:p>
    <w:p>
      <w:pPr>
        <w:pStyle w:val="853"/>
        <w:ind w:firstLine="480"/>
        <w:spacing w:line="360" w:lineRule="auto"/>
        <w:rPr>
          <w:rFonts w:hint="eastAsia"/>
          <w:color w:val="000000"/>
          <w:sz w:val="24"/>
          <w:highlight w:val="none"/>
        </w:rPr>
      </w:pPr>
      <w:r>
        <w:rPr>
          <w:rFonts w:hint="eastAsia"/>
          <w:color w:val="000000"/>
          <w:sz w:val="24"/>
          <w:highlight w:val="none"/>
        </w:rPr>
        <w:t xml:space="preserve">3.项目预算金额：</w:t>
      </w:r>
      <w:r>
        <w:rPr>
          <w:rFonts w:hint="eastAsia"/>
          <w:color w:val="000000"/>
          <w:sz w:val="24"/>
          <w:highlight w:val="none"/>
          <w:lang w:val="en-US" w:eastAsia="zh-CN"/>
        </w:rPr>
        <w:t xml:space="preserve">260</w:t>
      </w:r>
      <w:r>
        <w:rPr>
          <w:rFonts w:hint="eastAsia"/>
          <w:color w:val="000000"/>
          <w:sz w:val="24"/>
          <w:highlight w:val="none"/>
        </w:rPr>
        <w:t xml:space="preserve">万元。</w:t>
      </w:r>
      <w:r>
        <w:rPr>
          <w:rFonts w:hint="eastAsia"/>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4.项目最高限价：</w:t>
      </w:r>
      <w:r>
        <w:rPr>
          <w:rFonts w:hint="eastAsia"/>
          <w:color w:val="000000"/>
          <w:sz w:val="24"/>
          <w:highlight w:val="none"/>
          <w:lang w:val="en-US" w:eastAsia="zh-CN"/>
        </w:rPr>
        <w:t xml:space="preserve">144</w:t>
      </w:r>
      <w:r>
        <w:rPr>
          <w:rFonts w:hint="eastAsia"/>
          <w:color w:val="000000"/>
          <w:sz w:val="24"/>
          <w:highlight w:val="none"/>
        </w:rPr>
        <w:t xml:space="preserve">万元。</w:t>
      </w:r>
      <w:r>
        <w:rPr>
          <w:rFonts w:hint="eastAsia"/>
          <w:color w:val="000000"/>
          <w:sz w:val="24"/>
          <w:highlight w:val="none"/>
        </w:rPr>
      </w:r>
      <w:r/>
    </w:p>
    <w:p>
      <w:pPr>
        <w:pStyle w:val="85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5.采购需求：本项目为</w:t>
      </w:r>
      <w:r>
        <w:rPr>
          <w:rFonts w:hint="eastAsia"/>
          <w:color w:val="000000"/>
          <w:sz w:val="24"/>
          <w:highlight w:val="none"/>
          <w:lang w:eastAsia="zh-CN"/>
        </w:rPr>
        <w:t xml:space="preserve">江苏理工学院武进绿建区协同创新园运动场、体育馆体育器材采购</w:t>
      </w:r>
      <w:r>
        <w:rPr>
          <w:rFonts w:hint="eastAsia" w:ascii="Times New Roman" w:hAnsi="Times New Roman" w:eastAsia="宋体" w:cs="Times New Roman"/>
          <w:color w:val="000000"/>
          <w:sz w:val="24"/>
          <w:highlight w:val="none"/>
        </w:rPr>
        <w:t xml:space="preserve">项目，包括相应产品供货前的准备（包括现场踏勘、技术核对等）、产品设计、制造、采购、运输、装卸、安装、调试、技术指导培训、检验、质保期及维保服务等全部内容。</w:t>
      </w:r>
      <w:r>
        <w:rPr>
          <w:rFonts w:hint="eastAsia" w:ascii="Times New Roman" w:hAnsi="Times New Roman" w:eastAsia="宋体" w:cs="Times New Roman"/>
          <w:color w:val="000000"/>
          <w:sz w:val="24"/>
          <w:highlight w:val="none"/>
        </w:rPr>
      </w:r>
      <w:r/>
    </w:p>
    <w:p>
      <w:pPr>
        <w:pStyle w:val="85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6.合同履行期限：</w:t>
      </w:r>
      <w:bookmarkStart w:id="8" w:name="_Hlk110248781"/>
      <w:r>
        <w:rPr>
          <w:rFonts w:hint="eastAsia" w:ascii="Times New Roman" w:hAnsi="Times New Roman" w:eastAsia="宋体" w:cs="Times New Roman"/>
          <w:color w:val="000000"/>
          <w:sz w:val="24"/>
          <w:highlight w:val="none"/>
        </w:rPr>
        <w:t xml:space="preserve">签订合同后，30日历天完成采购安装及调试验收等工作。</w:t>
      </w:r>
      <w:bookmarkEnd w:id="8"/>
      <w:r>
        <w:rPr>
          <w:rFonts w:hint="eastAsia" w:ascii="Times New Roman" w:hAnsi="Times New Roman" w:eastAsia="宋体" w:cs="Times New Roman"/>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7.本项目是否接受联合体投标：否。</w:t>
      </w:r>
      <w:r>
        <w:rPr>
          <w:rFonts w:hint="eastAsia"/>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rPr>
          <w:rFonts w:hint="eastAsia"/>
          <w:color w:val="000000"/>
          <w:sz w:val="24"/>
          <w:highlight w:val="none"/>
        </w:rPr>
      </w:r>
      <w:r/>
    </w:p>
    <w:p>
      <w:pPr>
        <w:pStyle w:val="855"/>
        <w:ind w:firstLine="482"/>
        <w:jc w:val="left"/>
        <w:spacing w:before="0" w:line="360" w:lineRule="auto"/>
        <w:tabs>
          <w:tab w:val="right" w:pos="8937" w:leader="dot"/>
        </w:tabs>
        <w:rPr>
          <w:rFonts w:ascii="Times New Roman" w:hAnsi="Times New Roman" w:eastAsia="宋体"/>
          <w:color w:val="000000"/>
          <w:sz w:val="24"/>
          <w:szCs w:val="24"/>
          <w:highlight w:val="none"/>
        </w:rPr>
      </w:pPr>
      <w:r/>
      <w:bookmarkStart w:id="9" w:name="_Toc28359003"/>
      <w:r/>
      <w:bookmarkStart w:id="10" w:name="_Toc35393791"/>
      <w:r/>
      <w:bookmarkStart w:id="11" w:name="_Toc28359080"/>
      <w:r/>
      <w:bookmarkStart w:id="12" w:name="_Toc35393622"/>
      <w:r>
        <w:rPr>
          <w:rFonts w:ascii="Times New Roman" w:hAnsi="Times New Roman" w:eastAsia="宋体"/>
          <w:color w:val="000000"/>
          <w:sz w:val="24"/>
          <w:szCs w:val="24"/>
          <w:highlight w:val="none"/>
        </w:rPr>
        <w:t xml:space="preserve">二、申请人的资格要求</w:t>
      </w:r>
      <w:bookmarkEnd w:id="9"/>
      <w:r/>
      <w:bookmarkEnd w:id="10"/>
      <w:r/>
      <w:bookmarkEnd w:id="11"/>
      <w:r/>
      <w:bookmarkEnd w:id="12"/>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853"/>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1.1未被“信用中国”网站或“中国政府采购网”列入失信被执行人、重大税收违法案件当事人名单、政府采购严重失信行为记录名单；</w:t>
      </w:r>
      <w:r>
        <w:rPr>
          <w:rFonts w:hint="eastAsia"/>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 w:val="24"/>
          <w:highlight w:val="none"/>
        </w:rPr>
      </w:r>
      <w:r/>
    </w:p>
    <w:p>
      <w:pPr>
        <w:pStyle w:val="853"/>
        <w:ind w:firstLine="480"/>
        <w:spacing w:line="360" w:lineRule="auto"/>
        <w:rPr>
          <w:color w:val="000000"/>
          <w:sz w:val="24"/>
          <w:highlight w:val="none"/>
        </w:rPr>
      </w:pPr>
      <w:r/>
      <w:bookmarkStart w:id="13" w:name="_Toc28359081"/>
      <w:r/>
      <w:bookmarkStart w:id="14" w:name="_Toc28359004"/>
      <w:r>
        <w:rPr>
          <w:color w:val="000000"/>
          <w:sz w:val="24"/>
          <w:highlight w:val="none"/>
        </w:rPr>
        <w:t xml:space="preserve">2.落实政府采购政策需满足的资格要求：</w:t>
      </w:r>
      <w:r>
        <w:rPr>
          <w:color w:val="000000"/>
          <w:sz w:val="24"/>
          <w:highlight w:val="none"/>
        </w:rPr>
      </w:r>
      <w:r/>
    </w:p>
    <w:p>
      <w:pPr>
        <w:pStyle w:val="853"/>
        <w:ind w:firstLine="480"/>
        <w:spacing w:line="360" w:lineRule="auto"/>
        <w:rPr>
          <w:rFonts w:hint="eastAsia"/>
          <w:color w:val="000000"/>
          <w:sz w:val="24"/>
          <w:highlight w:val="none"/>
        </w:rPr>
      </w:pPr>
      <w:r>
        <w:rPr>
          <w:color w:val="000000"/>
          <w:sz w:val="24"/>
          <w:highlight w:val="none"/>
        </w:rPr>
        <w:t xml:space="preserve">2.1 中小企业政策</w:t>
      </w:r>
      <w:r>
        <w:rPr>
          <w:rFonts w:hint="eastAsia"/>
          <w:color w:val="000000"/>
          <w:sz w:val="24"/>
          <w:highlight w:val="none"/>
        </w:rPr>
        <w:t xml:space="preserve">：</w:t>
      </w:r>
      <w:r>
        <w:rPr>
          <w:rFonts w:hint="eastAsia"/>
          <w:color w:val="000000"/>
          <w:sz w:val="24"/>
          <w:highlight w:val="none"/>
        </w:rPr>
      </w:r>
      <w:r/>
    </w:p>
    <w:p>
      <w:pPr>
        <w:pStyle w:val="853"/>
        <w:ind w:firstLine="480"/>
        <w:spacing w:line="360" w:lineRule="auto"/>
        <w:rPr>
          <w:color w:val="000000"/>
          <w:sz w:val="24"/>
          <w:highlight w:val="none"/>
        </w:rPr>
      </w:pPr>
      <w:r>
        <w:rPr>
          <w:rFonts w:hint="eastAsia"/>
          <w:color w:val="000000"/>
          <w:sz w:val="24"/>
          <w:highlight w:val="none"/>
        </w:rPr>
        <w:t xml:space="preserve">■本项目不专门面向中小企业预留采购份额。</w:t>
      </w:r>
      <w:r>
        <w:rPr>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□本项目专门面向 □中小 □小微企业  采购。即：提供的货物全部由符合政策要求的中小/小微企业制造、服务全部由符合政策要求的中小/小微企业承接。</w:t>
      </w:r>
      <w:r>
        <w:rPr>
          <w:rFonts w:hint="eastAsia"/>
          <w:color w:val="000000"/>
          <w:sz w:val="24"/>
          <w:highlight w:val="none"/>
        </w:rPr>
      </w:r>
      <w:r/>
    </w:p>
    <w:p>
      <w:pPr>
        <w:pStyle w:val="853"/>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853"/>
        <w:ind w:firstLine="480"/>
        <w:spacing w:line="360" w:lineRule="auto"/>
        <w:rPr>
          <w:rFonts w:hint="eastAsia"/>
          <w:color w:val="000000"/>
          <w:sz w:val="24"/>
          <w:highlight w:val="none"/>
        </w:rPr>
      </w:pPr>
      <w:r>
        <w:rPr>
          <w:color w:val="000000"/>
          <w:sz w:val="24"/>
          <w:highlight w:val="none"/>
        </w:rPr>
        <w:t xml:space="preserve">3.1本项目是否接受分支机构参与投标：</w:t>
      </w:r>
      <w:r>
        <w:rPr>
          <w:rFonts w:hint="eastAsia"/>
          <w:color w:val="000000"/>
          <w:sz w:val="24"/>
          <w:highlight w:val="none"/>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rFonts w:hint="eastAsia"/>
          <w:i/>
          <w:color w:val="000000"/>
          <w:sz w:val="24"/>
          <w:highlight w:val="none"/>
        </w:rPr>
        <w:t xml:space="preserve">（仅当项目涉及银行、保险、石油石化、电力、电信等行业有特殊情况的，可以接受分支机构参与）</w:t>
      </w:r>
      <w:r>
        <w:rPr>
          <w:rFonts w:hint="eastAsia"/>
          <w:color w:val="000000"/>
          <w:sz w:val="24"/>
          <w:highlight w:val="none"/>
        </w:rPr>
      </w:r>
      <w:r/>
    </w:p>
    <w:p>
      <w:pPr>
        <w:pStyle w:val="853"/>
        <w:ind w:firstLine="480"/>
        <w:spacing w:line="360" w:lineRule="auto"/>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853"/>
        <w:ind w:firstLine="72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color w:val="000000"/>
          <w:sz w:val="24"/>
          <w:highlight w:val="none"/>
        </w:rPr>
        <w:t xml:space="preserve">□</w:t>
      </w:r>
      <w:r>
        <w:rPr>
          <w:color w:val="000000"/>
          <w:sz w:val="24"/>
          <w:highlight w:val="none"/>
        </w:rPr>
        <w:t xml:space="preserve">否</w:t>
      </w:r>
      <w:r>
        <w:rPr>
          <w:rFonts w:hint="eastAsia"/>
          <w:color w:val="000000"/>
          <w:sz w:val="24"/>
          <w:highlight w:val="none"/>
        </w:rPr>
        <w:t xml:space="preserve"> </w:t>
      </w:r>
      <w:r>
        <w:rPr>
          <w:rFonts w:hint="eastAsia"/>
          <w:color w:val="000000"/>
          <w:sz w:val="24"/>
          <w:highlight w:val="none"/>
        </w:rPr>
      </w:r>
      <w:r/>
    </w:p>
    <w:p>
      <w:pPr>
        <w:pStyle w:val="853"/>
        <w:ind w:firstLine="72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853"/>
        <w:ind w:firstLine="540"/>
        <w:spacing w:line="360" w:lineRule="auto"/>
        <w:rPr>
          <w:rFonts w:hint="eastAsia" w:eastAsia="宋体"/>
          <w:color w:val="000000"/>
          <w:sz w:val="24"/>
          <w:highlight w:val="none"/>
          <w:lang w:val="en-US" w:eastAsia="zh-CN" w:bidi="ar"/>
        </w:rPr>
      </w:pPr>
      <w:r>
        <w:rPr>
          <w:color w:val="000000"/>
          <w:sz w:val="24"/>
          <w:highlight w:val="none"/>
        </w:rPr>
        <w:t xml:space="preserve">3.3其他特定资格要求：</w:t>
      </w:r>
      <w:r>
        <w:rPr>
          <w:rFonts w:hint="eastAsia"/>
          <w:color w:val="000000"/>
          <w:sz w:val="24"/>
          <w:highlight w:val="none"/>
          <w:u w:val="none"/>
          <w:lang w:val="en-US" w:eastAsia="zh-CN"/>
        </w:rPr>
        <w:t xml:space="preserve">无</w:t>
      </w:r>
      <w:r>
        <w:rPr>
          <w:rFonts w:hint="eastAsia" w:eastAsia="宋体"/>
          <w:color w:val="000000"/>
          <w:sz w:val="24"/>
          <w:highlight w:val="none"/>
          <w:lang w:val="en-US" w:eastAsia="zh-CN" w:bidi="ar"/>
        </w:rPr>
      </w:r>
      <w:r/>
    </w:p>
    <w:p>
      <w:pPr>
        <w:pStyle w:val="855"/>
        <w:ind w:firstLine="482"/>
        <w:jc w:val="left"/>
        <w:spacing w:before="0" w:line="360" w:lineRule="auto"/>
        <w:widowControl/>
        <w:tabs>
          <w:tab w:val="right" w:pos="8937" w:leader="dot"/>
        </w:tabs>
        <w:rPr>
          <w:rFonts w:ascii="Times New Roman" w:hAnsi="Times New Roman" w:eastAsia="宋体"/>
          <w:color w:val="000000"/>
          <w:sz w:val="24"/>
          <w:szCs w:val="24"/>
          <w:highlight w:val="none"/>
        </w:rPr>
      </w:pPr>
      <w:r/>
      <w:bookmarkEnd w:id="13"/>
      <w:r/>
      <w:bookmarkEnd w:id="14"/>
      <w:r/>
      <w:bookmarkStart w:id="15" w:name="_Toc35393623"/>
      <w:r/>
      <w:bookmarkStart w:id="16" w:name="_Toc35393792"/>
      <w:r>
        <w:rPr>
          <w:rFonts w:ascii="Times New Roman" w:hAnsi="Times New Roman" w:eastAsia="宋体"/>
          <w:color w:val="000000"/>
          <w:sz w:val="24"/>
          <w:szCs w:val="24"/>
          <w:highlight w:val="none"/>
        </w:rPr>
        <w:t xml:space="preserve">三、获取招标文件</w:t>
      </w:r>
      <w:bookmarkEnd w:id="15"/>
      <w:r/>
      <w:bookmarkEnd w:id="16"/>
      <w:r>
        <w:rPr>
          <w:rFonts w:ascii="Times New Roman" w:hAnsi="Times New Roman" w:eastAsia="宋体"/>
          <w:color w:val="000000"/>
          <w:sz w:val="24"/>
          <w:szCs w:val="24"/>
          <w:highlight w:val="none"/>
        </w:rPr>
      </w:r>
      <w:r/>
    </w:p>
    <w:p>
      <w:pPr>
        <w:pStyle w:val="853"/>
        <w:ind w:firstLine="540"/>
        <w:spacing w:line="360" w:lineRule="auto"/>
        <w:rPr>
          <w:rFonts w:hint="eastAsia"/>
          <w:color w:val="000000"/>
          <w:sz w:val="24"/>
          <w:highlight w:val="none"/>
          <w:lang w:bidi="ar"/>
        </w:rPr>
      </w:pPr>
      <w:r/>
      <w:bookmarkStart w:id="17" w:name="_Toc28359007"/>
      <w:r/>
      <w:bookmarkStart w:id="18" w:name="_Toc35393794"/>
      <w:r/>
      <w:bookmarkStart w:id="19" w:name="_Toc28359084"/>
      <w:r/>
      <w:bookmarkStart w:id="20" w:name="_Toc35393625"/>
      <w:r>
        <w:rPr>
          <w:rFonts w:hint="eastAsia"/>
          <w:color w:val="000000"/>
          <w:sz w:val="24"/>
          <w:highlight w:val="none"/>
          <w:lang w:bidi="ar"/>
        </w:rPr>
        <w:t xml:space="preserve">1.时间：自招标文件公告发布之日起5个工作日。</w:t>
      </w:r>
      <w:r>
        <w:rPr>
          <w:rFonts w:hint="eastAsia"/>
          <w:color w:val="000000"/>
          <w:sz w:val="24"/>
          <w:highlight w:val="none"/>
          <w:lang w:bidi="ar"/>
        </w:rPr>
      </w:r>
      <w:r/>
    </w:p>
    <w:p>
      <w:pPr>
        <w:pStyle w:val="853"/>
        <w:ind w:firstLine="540"/>
        <w:spacing w:line="360" w:lineRule="auto"/>
        <w:rPr>
          <w:rFonts w:hint="eastAsia"/>
          <w:color w:val="000000"/>
          <w:sz w:val="24"/>
          <w:highlight w:val="none"/>
          <w:lang w:bidi="ar"/>
        </w:rPr>
      </w:pPr>
      <w:r>
        <w:rPr>
          <w:rFonts w:hint="eastAsia"/>
          <w:color w:val="000000"/>
          <w:sz w:val="24"/>
          <w:highlight w:val="none"/>
          <w:lang w:bidi="ar"/>
        </w:rPr>
        <w:t xml:space="preserve">2.地点：</w:t>
      </w:r>
      <w:bookmarkStart w:id="21" w:name="_Toc38985266"/>
      <w:r>
        <w:rPr>
          <w:rFonts w:hint="eastAsia"/>
          <w:color w:val="000000"/>
          <w:sz w:val="24"/>
          <w:highlight w:val="none"/>
          <w:lang w:bidi="ar"/>
        </w:rPr>
        <w:t xml:space="preserve">“苏采云”政府采购一体化平台 。</w:t>
      </w:r>
      <w:bookmarkEnd w:id="21"/>
      <w:r>
        <w:rPr>
          <w:rFonts w:hint="eastAsia"/>
          <w:color w:val="000000"/>
          <w:sz w:val="24"/>
          <w:highlight w:val="none"/>
          <w:lang w:bidi="ar"/>
        </w:rPr>
      </w:r>
      <w:r/>
    </w:p>
    <w:p>
      <w:pPr>
        <w:pStyle w:val="853"/>
        <w:ind w:firstLine="540"/>
        <w:spacing w:line="360" w:lineRule="auto"/>
        <w:rPr>
          <w:rFonts w:hint="eastAsia"/>
          <w:color w:val="000000"/>
          <w:sz w:val="24"/>
          <w:highlight w:val="none"/>
          <w:lang w:bidi="ar"/>
        </w:rPr>
      </w:pPr>
      <w:r>
        <w:rPr>
          <w:rFonts w:hint="eastAsia"/>
          <w:color w:val="000000"/>
          <w:sz w:val="24"/>
          <w:highlight w:val="none"/>
          <w:lang w:bidi="ar"/>
        </w:rPr>
        <w:t xml:space="preserve">3.方式：在“苏采云”平台自行免费下载采购文件。注：供应商必须登录“苏采云”系统下载电子采购文件方可通过系统进行投标（响应）文件的编制和提交。</w:t>
      </w:r>
      <w:r>
        <w:rPr>
          <w:rFonts w:hint="eastAsia"/>
          <w:color w:val="000000"/>
          <w:sz w:val="24"/>
          <w:highlight w:val="none"/>
          <w:lang w:bidi="ar"/>
        </w:rPr>
      </w:r>
      <w:r/>
    </w:p>
    <w:p>
      <w:pPr>
        <w:pStyle w:val="853"/>
        <w:ind w:firstLine="540"/>
        <w:spacing w:line="360" w:lineRule="auto"/>
        <w:rPr>
          <w:rFonts w:hint="eastAsia"/>
          <w:color w:val="000000"/>
          <w:sz w:val="24"/>
          <w:highlight w:val="none"/>
          <w:lang w:bidi="ar"/>
        </w:rPr>
      </w:pPr>
      <w:r>
        <w:rPr>
          <w:rFonts w:hint="eastAsia"/>
          <w:color w:val="000000"/>
          <w:sz w:val="24"/>
          <w:highlight w:val="none"/>
          <w:lang w:bidi="ar"/>
        </w:rPr>
        <w:t xml:space="preserve">4. 售价：0.00元。</w:t>
      </w:r>
      <w:r>
        <w:rPr>
          <w:rFonts w:hint="eastAsia"/>
          <w:color w:val="000000"/>
          <w:sz w:val="24"/>
          <w:highlight w:val="none"/>
          <w:lang w:bidi="ar"/>
        </w:rPr>
      </w:r>
      <w:r/>
    </w:p>
    <w:p>
      <w:pPr>
        <w:pStyle w:val="855"/>
        <w:ind w:firstLine="482"/>
        <w:jc w:val="left"/>
        <w:spacing w:before="0" w:line="360" w:lineRule="auto"/>
        <w:tabs>
          <w:tab w:val="right" w:pos="8937" w:leader="dot"/>
        </w:tabs>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四、提交投标文件截止时间、开标时间和地点</w:t>
      </w:r>
      <w:r>
        <w:rPr>
          <w:rFonts w:hint="eastAsia" w:ascii="Times New Roman" w:hAnsi="Times New Roman" w:eastAsia="宋体"/>
          <w:color w:val="000000"/>
          <w:sz w:val="24"/>
          <w:szCs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1、投标截止时间、开标时间：2026年</w:t>
      </w:r>
      <w:r>
        <w:rPr>
          <w:rFonts w:hint="eastAsia"/>
          <w:color w:val="000000"/>
          <w:sz w:val="24"/>
          <w:highlight w:val="none"/>
          <w:lang w:val="en-US" w:eastAsia="zh-CN"/>
        </w:rPr>
        <w:t xml:space="preserve">4</w:t>
      </w:r>
      <w:r>
        <w:rPr>
          <w:rFonts w:hint="eastAsia"/>
          <w:color w:val="000000"/>
          <w:sz w:val="24"/>
          <w:highlight w:val="none"/>
        </w:rPr>
        <w:t xml:space="preserve">月</w:t>
      </w:r>
      <w:r>
        <w:rPr>
          <w:rFonts w:hint="eastAsia"/>
          <w:color w:val="000000"/>
          <w:sz w:val="24"/>
          <w:highlight w:val="none"/>
          <w:lang w:val="en-US" w:eastAsia="zh-CN"/>
        </w:rPr>
        <w:t xml:space="preserve">8</w:t>
      </w:r>
      <w:r>
        <w:rPr>
          <w:rFonts w:hint="eastAsia"/>
          <w:color w:val="000000"/>
          <w:sz w:val="24"/>
          <w:highlight w:val="none"/>
        </w:rPr>
        <w:t xml:space="preserve">日9点30分（北京时间）。</w:t>
      </w:r>
      <w:r>
        <w:rPr>
          <w:rFonts w:hint="eastAsia"/>
          <w:color w:val="000000"/>
          <w:sz w:val="24"/>
          <w:highlight w:val="none"/>
        </w:rPr>
      </w:r>
      <w:r/>
    </w:p>
    <w:p>
      <w:pPr>
        <w:pStyle w:val="853"/>
        <w:ind w:firstLine="480"/>
        <w:spacing w:line="360" w:lineRule="auto"/>
        <w:rPr>
          <w:color w:val="000000"/>
          <w:sz w:val="24"/>
          <w:highlight w:val="none"/>
          <w:lang w:val="zh-TW" w:bidi="ar"/>
        </w:rPr>
      </w:pPr>
      <w:r/>
      <w:bookmarkStart w:id="22" w:name="_Hlk149911415"/>
      <w:r>
        <w:rPr>
          <w:color w:val="000000"/>
          <w:sz w:val="24"/>
          <w:highlight w:val="none"/>
          <w:lang w:bidi="ar"/>
        </w:rPr>
        <w:t xml:space="preserve">2</w:t>
      </w:r>
      <w:r>
        <w:rPr>
          <w:rFonts w:hint="eastAsia"/>
          <w:color w:val="000000"/>
          <w:sz w:val="24"/>
          <w:highlight w:val="none"/>
          <w:lang w:bidi="ar"/>
        </w:rPr>
        <w:t xml:space="preserve">、</w:t>
      </w:r>
      <w:r>
        <w:rPr>
          <w:color w:val="000000"/>
          <w:sz w:val="24"/>
          <w:highlight w:val="none"/>
          <w:lang w:bidi="ar"/>
        </w:rPr>
        <w:t xml:space="preserve">地点：</w:t>
      </w:r>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ascii="宋体" w:hAnsi="宋体"/>
          <w:color w:val="000000"/>
          <w:sz w:val="24"/>
          <w:highlight w:val="none"/>
        </w:rPr>
        <w:t xml:space="preserve">。</w:t>
      </w:r>
      <w:r>
        <w:rPr>
          <w:color w:val="000000"/>
          <w:sz w:val="24"/>
          <w:highlight w:val="none"/>
          <w:lang w:val="zh-TW" w:bidi="ar"/>
        </w:rPr>
      </w:r>
      <w:r/>
    </w:p>
    <w:p>
      <w:pPr>
        <w:pStyle w:val="855"/>
        <w:ind w:firstLine="482"/>
        <w:jc w:val="left"/>
        <w:spacing w:before="0" w:line="360" w:lineRule="auto"/>
        <w:tabs>
          <w:tab w:val="right" w:pos="8937" w:leader="dot"/>
        </w:tabs>
        <w:rPr>
          <w:rFonts w:ascii="Times New Roman" w:hAnsi="Times New Roman" w:eastAsia="宋体"/>
          <w:color w:val="000000"/>
          <w:sz w:val="24"/>
          <w:szCs w:val="24"/>
          <w:highlight w:val="none"/>
        </w:rPr>
      </w:pPr>
      <w:r/>
      <w:bookmarkEnd w:id="22"/>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17"/>
      <w:r/>
      <w:bookmarkEnd w:id="18"/>
      <w:r/>
      <w:bookmarkEnd w:id="19"/>
      <w:r/>
      <w:bookmarkEnd w:id="20"/>
      <w:r>
        <w:rPr>
          <w:rFonts w:ascii="Times New Roman" w:hAnsi="Times New Roman" w:eastAsia="宋体"/>
          <w:color w:val="000000"/>
          <w:sz w:val="24"/>
          <w:szCs w:val="24"/>
          <w:highlight w:val="none"/>
        </w:rPr>
      </w:r>
      <w:r/>
    </w:p>
    <w:p>
      <w:pPr>
        <w:pStyle w:val="853"/>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855"/>
        <w:ind w:firstLine="482"/>
        <w:jc w:val="left"/>
        <w:spacing w:before="0" w:line="360" w:lineRule="auto"/>
        <w:tabs>
          <w:tab w:val="right" w:pos="8937" w:leader="dot"/>
        </w:tabs>
        <w:rPr>
          <w:rFonts w:ascii="Times New Roman" w:hAnsi="Times New Roman" w:eastAsia="宋体"/>
          <w:color w:val="000000"/>
          <w:sz w:val="24"/>
          <w:szCs w:val="24"/>
          <w:highlight w:val="none"/>
        </w:rPr>
      </w:pPr>
      <w:r/>
      <w:bookmarkStart w:id="23" w:name="_Toc35393626"/>
      <w:r/>
      <w:bookmarkStart w:id="24" w:name="_Toc35393795"/>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、其他补充事宜</w:t>
      </w:r>
      <w:bookmarkEnd w:id="23"/>
      <w:r/>
      <w:bookmarkEnd w:id="24"/>
      <w:r>
        <w:rPr>
          <w:rFonts w:ascii="Times New Roman" w:hAnsi="Times New Roman" w:eastAsia="宋体"/>
          <w:color w:val="000000"/>
          <w:sz w:val="24"/>
          <w:szCs w:val="24"/>
          <w:highlight w:val="none"/>
        </w:rPr>
      </w:r>
      <w:r/>
    </w:p>
    <w:p>
      <w:pPr>
        <w:pStyle w:val="853"/>
        <w:ind w:firstLine="480"/>
        <w:spacing w:line="360" w:lineRule="auto"/>
        <w:rPr>
          <w:color w:val="000000"/>
          <w:sz w:val="24"/>
          <w:highlight w:val="none"/>
        </w:rPr>
      </w:pPr>
      <w:r/>
      <w:bookmarkStart w:id="25" w:name="OLE_LINK22"/>
      <w:r/>
      <w:bookmarkStart w:id="26" w:name="_Toc28359085"/>
      <w:r/>
      <w:bookmarkStart w:id="27" w:name="_Toc35393796"/>
      <w:r/>
      <w:bookmarkStart w:id="28" w:name="_Toc28359008"/>
      <w:r/>
      <w:bookmarkStart w:id="29" w:name="_Toc35393627"/>
      <w:r>
        <w:rPr>
          <w:rFonts w:hint="eastAsia"/>
          <w:color w:val="000000"/>
          <w:sz w:val="24"/>
          <w:highlight w:val="none"/>
        </w:rPr>
        <w:t xml:space="preserve">1、投标保证金：无需缴纳。</w:t>
      </w:r>
      <w:r>
        <w:rPr>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2</w:t>
      </w:r>
      <w:bookmarkStart w:id="30" w:name="_Hlk150161828"/>
      <w:r>
        <w:rPr>
          <w:rFonts w:hint="eastAsia"/>
          <w:color w:val="000000"/>
          <w:sz w:val="24"/>
          <w:highlight w:val="none"/>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0"/>
      <w:r>
        <w:rPr>
          <w:rFonts w:hint="eastAsia"/>
          <w:color w:val="000000"/>
          <w:sz w:val="24"/>
          <w:highlight w:val="none"/>
        </w:rPr>
      </w:r>
      <w:r/>
    </w:p>
    <w:p>
      <w:pPr>
        <w:pStyle w:val="853"/>
        <w:ind w:firstLine="480"/>
        <w:spacing w:line="360" w:lineRule="auto"/>
        <w:rPr>
          <w:rFonts w:hint="eastAsia"/>
          <w:color w:val="000000"/>
          <w:sz w:val="24"/>
          <w:highlight w:val="none"/>
        </w:rPr>
      </w:pPr>
      <w:r>
        <w:rPr>
          <w:rFonts w:hint="eastAsia"/>
          <w:color w:val="000000"/>
          <w:sz w:val="24"/>
          <w:highlight w:val="none"/>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rPr>
      </w:r>
      <w:r/>
    </w:p>
    <w:p>
      <w:pPr>
        <w:pStyle w:val="853"/>
        <w:ind w:firstLine="480"/>
        <w:spacing w:line="360" w:lineRule="auto"/>
        <w:rPr>
          <w:color w:val="000000"/>
          <w:sz w:val="24"/>
          <w:highlight w:val="none"/>
        </w:rPr>
      </w:pPr>
      <w:r>
        <w:rPr>
          <w:rFonts w:hint="eastAsia"/>
          <w:color w:val="000000"/>
          <w:sz w:val="24"/>
          <w:highlight w:val="none"/>
        </w:rPr>
        <w:t xml:space="preserve">4、采购公告内容与采购文件不一致的，以采购文件为准。</w:t>
      </w:r>
      <w:r>
        <w:rPr>
          <w:color w:val="000000"/>
          <w:sz w:val="24"/>
          <w:highlight w:val="none"/>
        </w:rPr>
      </w:r>
      <w:r/>
    </w:p>
    <w:p>
      <w:pPr>
        <w:pStyle w:val="933"/>
        <w:ind w:firstLine="482"/>
        <w:spacing w:line="360" w:lineRule="auto"/>
        <w:rPr>
          <w:rFonts w:hint="eastAsia" w:ascii="Times New Roman" w:hAnsi="Times New Roman" w:cs="Times New Roman"/>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rPr>
        <w:t xml:space="preserve">。</w:t>
      </w:r>
      <w:r>
        <w:rPr>
          <w:rFonts w:hint="eastAsia" w:ascii="Times New Roman" w:hAnsi="Times New Roman" w:cs="Times New Roman"/>
          <w:color w:val="000000"/>
          <w:highlight w:val="none"/>
        </w:rPr>
      </w:r>
      <w:r/>
    </w:p>
    <w:p>
      <w:pPr>
        <w:pStyle w:val="853"/>
        <w:ind w:firstLine="480"/>
        <w:spacing w:line="360" w:lineRule="auto"/>
        <w:rPr>
          <w:b/>
          <w:bCs/>
          <w:color w:val="000000"/>
          <w:sz w:val="24"/>
          <w:highlight w:val="none"/>
        </w:rPr>
      </w:pPr>
      <w:r/>
      <w:bookmarkEnd w:id="25"/>
      <w:r>
        <w:rPr>
          <w:rFonts w:hint="eastAsia"/>
          <w:b/>
          <w:bCs/>
          <w:color w:val="000000"/>
          <w:sz w:val="24"/>
          <w:highlight w:val="none"/>
        </w:rPr>
        <w:t xml:space="preserve">七</w:t>
      </w:r>
      <w:r>
        <w:rPr>
          <w:b/>
          <w:bCs/>
          <w:color w:val="000000"/>
          <w:sz w:val="24"/>
          <w:highlight w:val="none"/>
        </w:rPr>
        <w:t xml:space="preserve">、对本项目提出询问，请按以下方式联系。</w:t>
      </w:r>
      <w:r>
        <w:rPr>
          <w:b/>
          <w:bCs/>
          <w:color w:val="000000"/>
          <w:sz w:val="24"/>
          <w:highlight w:val="none"/>
        </w:rPr>
      </w:r>
      <w:r/>
    </w:p>
    <w:p>
      <w:pPr>
        <w:pStyle w:val="853"/>
        <w:ind w:firstLine="482"/>
        <w:jc w:val="left"/>
        <w:spacing w:line="360" w:lineRule="auto"/>
        <w:widowControl/>
        <w:rPr>
          <w:b/>
          <w:color w:val="000000"/>
          <w:sz w:val="24"/>
          <w:highlight w:val="none"/>
        </w:rPr>
      </w:pPr>
      <w:r/>
      <w:bookmarkStart w:id="31" w:name="_Hlk149911588"/>
      <w:r>
        <w:rPr>
          <w:b/>
          <w:color w:val="000000"/>
          <w:sz w:val="24"/>
          <w:highlight w:val="none"/>
        </w:rPr>
        <w:t xml:space="preserve">1</w:t>
      </w:r>
      <w:r>
        <w:rPr>
          <w:rFonts w:hint="eastAsia"/>
          <w:b/>
          <w:color w:val="000000"/>
          <w:sz w:val="24"/>
          <w:highlight w:val="none"/>
        </w:rPr>
        <w:t xml:space="preserve">、采购人信息</w:t>
      </w:r>
      <w:r>
        <w:rPr>
          <w:b/>
          <w:color w:val="000000"/>
          <w:sz w:val="24"/>
          <w:highlight w:val="none"/>
        </w:rPr>
      </w:r>
      <w:r/>
    </w:p>
    <w:p>
      <w:pPr>
        <w:pStyle w:val="933"/>
        <w:ind w:firstLine="480"/>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名    称：</w:t>
      </w:r>
      <w:r>
        <w:rPr>
          <w:rFonts w:hint="eastAsia" w:ascii="宋体" w:hAnsi="宋体"/>
          <w:color w:val="000000"/>
          <w:highlight w:val="none"/>
          <w:lang w:eastAsia="zh-CN"/>
        </w:rPr>
        <w:t xml:space="preserve">常州市武进绿色建筑产业集聚示范区管理委员会 </w:t>
      </w:r>
      <w:r>
        <w:rPr>
          <w:rFonts w:hint="eastAsia" w:ascii="宋体" w:hAnsi="宋体" w:eastAsia="宋体"/>
          <w:color w:val="000000"/>
          <w:highlight w:val="none"/>
          <w:lang w:eastAsia="zh-CN"/>
        </w:rPr>
      </w:r>
      <w:r/>
    </w:p>
    <w:p>
      <w:pPr>
        <w:pStyle w:val="933"/>
        <w:ind w:firstLine="480"/>
        <w:spacing w:line="360" w:lineRule="auto"/>
        <w:rPr>
          <w:rFonts w:ascii="宋体" w:hAnsi="宋体"/>
          <w:color w:val="000000"/>
          <w:highlight w:val="none"/>
        </w:rPr>
      </w:pPr>
      <w:r>
        <w:rPr>
          <w:rFonts w:hint="eastAsia" w:ascii="宋体" w:hAnsi="宋体"/>
          <w:color w:val="000000"/>
          <w:highlight w:val="none"/>
        </w:rPr>
        <w:t xml:space="preserve">地址： </w:t>
      </w:r>
      <w:r>
        <w:rPr>
          <w:rFonts w:hint="eastAsia"/>
          <w:color w:val="000000"/>
          <w:highlight w:val="none"/>
        </w:rPr>
        <w:t xml:space="preserve">常州市武进区牛塘镇延政西大道8号维绿大厦</w:t>
      </w:r>
      <w:r>
        <w:rPr>
          <w:rFonts w:ascii="宋体" w:hAnsi="宋体"/>
          <w:color w:val="000000"/>
          <w:highlight w:val="none"/>
        </w:rPr>
      </w:r>
      <w:r/>
    </w:p>
    <w:p>
      <w:pPr>
        <w:pStyle w:val="933"/>
        <w:ind w:firstLine="480"/>
        <w:spacing w:line="360" w:lineRule="auto"/>
        <w:rPr>
          <w:rFonts w:hint="eastAsia" w:eastAsia="宋体"/>
          <w:color w:val="000000"/>
          <w:highlight w:val="none"/>
        </w:rPr>
      </w:pPr>
      <w:r>
        <w:rPr>
          <w:rFonts w:hint="eastAsia" w:eastAsia="宋体"/>
          <w:color w:val="000000"/>
          <w:highlight w:val="none"/>
        </w:rPr>
        <w:t xml:space="preserve">联系方式：</w:t>
      </w:r>
      <w:bookmarkStart w:id="32" w:name="OLE_LINK42"/>
      <w:r>
        <w:rPr>
          <w:rFonts w:hint="eastAsia" w:ascii="Times New Roman" w:hAnsi="Times New Roman" w:eastAsia="宋体" w:cs="Times New Roman"/>
          <w:bCs/>
          <w:color w:val="000000"/>
          <w:highlight w:val="none"/>
        </w:rPr>
        <w:t xml:space="preserve">0519-88655009</w:t>
      </w:r>
      <w:bookmarkEnd w:id="32"/>
      <w:r>
        <w:rPr>
          <w:rFonts w:hint="eastAsia" w:eastAsia="宋体"/>
          <w:color w:val="000000"/>
          <w:highlight w:val="none"/>
        </w:rPr>
      </w:r>
      <w:r/>
    </w:p>
    <w:p>
      <w:pPr>
        <w:pStyle w:val="853"/>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、代理机构信息</w:t>
      </w:r>
      <w:r>
        <w:rPr>
          <w:b/>
          <w:color w:val="000000"/>
          <w:sz w:val="24"/>
          <w:highlight w:val="none"/>
        </w:rPr>
      </w:r>
      <w:r/>
    </w:p>
    <w:p>
      <w:pPr>
        <w:pStyle w:val="933"/>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名    称：常州环宇工程项目管理有限公司</w:t>
      </w:r>
      <w:r>
        <w:rPr>
          <w:rFonts w:ascii="Times New Roman" w:hAnsi="Times New Roman" w:cs="Times New Roman"/>
          <w:bCs/>
          <w:color w:val="000000"/>
          <w:highlight w:val="none"/>
        </w:rPr>
      </w:r>
      <w:r/>
    </w:p>
    <w:p>
      <w:pPr>
        <w:pStyle w:val="933"/>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地　址：常州市武进区延政中大道19号武房大厦4楼</w:t>
      </w:r>
      <w:r>
        <w:rPr>
          <w:rFonts w:ascii="Times New Roman" w:hAnsi="Times New Roman" w:cs="Times New Roman"/>
          <w:bCs/>
          <w:color w:val="000000"/>
          <w:highlight w:val="none"/>
        </w:rPr>
      </w:r>
      <w:r/>
    </w:p>
    <w:p>
      <w:pPr>
        <w:pStyle w:val="933"/>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联系方式：0519-86310937</w:t>
      </w:r>
      <w:r>
        <w:rPr>
          <w:rFonts w:ascii="Times New Roman" w:hAnsi="Times New Roman" w:cs="Times New Roman"/>
          <w:bCs/>
          <w:color w:val="000000"/>
          <w:highlight w:val="none"/>
        </w:rPr>
      </w:r>
      <w:r/>
    </w:p>
    <w:p>
      <w:pPr>
        <w:pStyle w:val="933"/>
        <w:ind w:firstLine="480"/>
        <w:spacing w:line="360" w:lineRule="auto"/>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3.项目联系方式</w:t>
      </w:r>
      <w:r>
        <w:rPr>
          <w:rFonts w:ascii="Times New Roman" w:hAnsi="Times New Roman" w:cs="Times New Roman"/>
          <w:color w:val="000000"/>
          <w:highlight w:val="none"/>
        </w:rPr>
      </w:r>
      <w:r/>
    </w:p>
    <w:p>
      <w:pPr>
        <w:pStyle w:val="933"/>
        <w:ind w:firstLine="480"/>
        <w:spacing w:line="360" w:lineRule="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采购单位联系人：</w:t>
      </w:r>
      <w:r>
        <w:rPr>
          <w:rFonts w:hint="eastAsia" w:ascii="Times New Roman" w:hAnsi="Times New Roman" w:cs="Times New Roman"/>
          <w:color w:val="000000"/>
          <w:highlight w:val="none"/>
          <w:lang w:val="en-US" w:eastAsia="zh-CN"/>
        </w:rPr>
        <w:t xml:space="preserve">周</w:t>
      </w:r>
      <w:r>
        <w:rPr>
          <w:rFonts w:hint="eastAsia" w:ascii="Times New Roman" w:hAnsi="Times New Roman" w:cs="Times New Roman"/>
          <w:color w:val="000000"/>
          <w:highlight w:val="none"/>
        </w:rPr>
        <w:t xml:space="preserve">先生</w:t>
      </w:r>
      <w:r>
        <w:rPr>
          <w:rFonts w:hint="eastAsia" w:ascii="Times New Roman" w:hAnsi="Times New Roman" w:cs="Times New Roman"/>
          <w:color w:val="000000"/>
          <w:highlight w:val="none"/>
        </w:rPr>
      </w:r>
      <w:r/>
    </w:p>
    <w:p>
      <w:pPr>
        <w:pStyle w:val="933"/>
        <w:ind w:firstLine="480"/>
        <w:spacing w:line="360" w:lineRule="auto"/>
        <w:rPr>
          <w:b/>
          <w:color w:val="000000"/>
          <w:sz w:val="32"/>
          <w:szCs w:val="32"/>
          <w:highlight w:val="none"/>
        </w:rPr>
      </w:pPr>
      <w:r>
        <w:rPr>
          <w:rFonts w:hint="eastAsia" w:ascii="Times New Roman" w:hAnsi="Times New Roman" w:cs="Times New Roman"/>
          <w:color w:val="000000"/>
          <w:highlight w:val="none"/>
        </w:rPr>
        <w:t xml:space="preserve">代理机构联系人：</w:t>
      </w:r>
      <w:bookmarkEnd w:id="7"/>
      <w:r/>
      <w:bookmarkEnd w:id="26"/>
      <w:r/>
      <w:bookmarkEnd w:id="27"/>
      <w:r/>
      <w:bookmarkEnd w:id="28"/>
      <w:r/>
      <w:bookmarkEnd w:id="29"/>
      <w:r/>
      <w:bookmarkEnd w:id="31"/>
      <w:r/>
      <w:bookmarkStart w:id="33" w:name="_Toc264969275"/>
      <w:r/>
      <w:bookmarkStart w:id="34" w:name="_Toc305158854"/>
      <w:r/>
      <w:bookmarkStart w:id="35" w:name="_Toc512937850"/>
      <w:r/>
      <w:bookmarkStart w:id="36" w:name="_Toc353873938"/>
      <w:r/>
      <w:bookmarkStart w:id="37" w:name="_Toc265228423"/>
      <w:r/>
      <w:bookmarkStart w:id="38" w:name="_Toc127151777"/>
      <w:r/>
      <w:bookmarkStart w:id="39" w:name="_Toc127161488"/>
      <w:r/>
      <w:bookmarkStart w:id="40" w:name="_Toc99301420"/>
      <w:r/>
      <w:bookmarkStart w:id="41" w:name="_Toc226965856"/>
      <w:r/>
      <w:bookmarkStart w:id="42" w:name="_Toc150774783"/>
      <w:r/>
      <w:bookmarkStart w:id="43" w:name="_Toc195842950"/>
      <w:r/>
      <w:bookmarkStart w:id="44" w:name="_Toc305158928"/>
      <w:r/>
      <w:bookmarkStart w:id="45" w:name="_Toc353825548"/>
      <w:r>
        <w:rPr>
          <w:rFonts w:hint="eastAsia" w:ascii="Times New Roman" w:hAnsi="Times New Roman" w:cs="Times New Roman"/>
          <w:color w:val="000000"/>
          <w:highlight w:val="none"/>
        </w:rPr>
        <w:t xml:space="preserve">庄工</w:t>
      </w:r>
      <w:r>
        <w:rPr>
          <w:b/>
          <w:color w:val="000000"/>
          <w:sz w:val="36"/>
          <w:szCs w:val="36"/>
          <w:highlight w:val="none"/>
        </w:rPr>
        <w:br w:type="page" w:clear="all"/>
      </w:r>
      <w:r>
        <w:rPr>
          <w:b/>
          <w:color w:val="000000"/>
          <w:sz w:val="36"/>
          <w:szCs w:val="36"/>
          <w:highlight w:val="none"/>
        </w:rPr>
        <w:t xml:space="preserve">第二章投标人须知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855"/>
        <w:spacing w:before="0" w:line="360" w:lineRule="auto"/>
        <w:tabs>
          <w:tab w:val="center" w:pos="4592" w:leader="none"/>
          <w:tab w:val="left" w:pos="7860" w:leader="none"/>
          <w:tab w:val="right" w:pos="8937" w:leader="dot"/>
        </w:tabs>
        <w:rPr>
          <w:rFonts w:ascii="Times New Roman" w:hAnsi="Times New Roman" w:eastAsia="宋体"/>
          <w:color w:val="000000"/>
          <w:sz w:val="32"/>
          <w:szCs w:val="32"/>
          <w:highlight w:val="none"/>
        </w:rPr>
      </w:pPr>
      <w:r/>
      <w:bookmarkStart w:id="46" w:name="_Toc226965709"/>
      <w:r/>
      <w:bookmarkStart w:id="47" w:name="_Toc164229360"/>
      <w:r/>
      <w:bookmarkStart w:id="48" w:name="_Toc164351613"/>
      <w:r/>
      <w:bookmarkStart w:id="49" w:name="_Toc520356144"/>
      <w:r/>
      <w:bookmarkStart w:id="50" w:name="_Toc127151720"/>
      <w:r/>
      <w:bookmarkStart w:id="51" w:name="_Toc164608633"/>
      <w:r/>
      <w:bookmarkStart w:id="52" w:name="_Toc127151519"/>
      <w:r/>
      <w:bookmarkStart w:id="53" w:name="_Toc151193689"/>
      <w:r/>
      <w:bookmarkStart w:id="54" w:name="_Toc149720812"/>
      <w:r/>
      <w:bookmarkStart w:id="55" w:name="_Toc195842884"/>
      <w:r/>
      <w:bookmarkStart w:id="56" w:name="_Toc150480757"/>
      <w:r/>
      <w:bookmarkStart w:id="57" w:name="_Toc150509270"/>
      <w:r/>
      <w:bookmarkStart w:id="58" w:name="_Toc127161433"/>
      <w:r/>
      <w:bookmarkStart w:id="59" w:name="_Toc226965792"/>
      <w:r/>
      <w:bookmarkStart w:id="60" w:name="_Toc151193761"/>
      <w:r/>
      <w:bookmarkStart w:id="61" w:name="_Toc151190146"/>
      <w:r/>
      <w:bookmarkStart w:id="62" w:name="_Toc226337215"/>
      <w:r/>
      <w:bookmarkStart w:id="63" w:name="_Toc151193833"/>
      <w:r/>
      <w:bookmarkStart w:id="64" w:name="_Toc164608788"/>
      <w:r/>
      <w:bookmarkStart w:id="65" w:name="_Toc226309763"/>
      <w:r/>
      <w:bookmarkStart w:id="66" w:name="_Toc142311021"/>
      <w:r/>
      <w:bookmarkStart w:id="67" w:name="_Toc164229214"/>
      <w:r/>
      <w:bookmarkStart w:id="68" w:name="_Toc150774724"/>
      <w:r/>
      <w:bookmarkStart w:id="69" w:name="_Toc151193907"/>
      <w:r/>
      <w:bookmarkStart w:id="70" w:name="_Toc151193617"/>
      <w:r/>
      <w:bookmarkStart w:id="71" w:name="_Toc150774619"/>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3"/>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853"/>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853"/>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681"/>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853"/>
              <w:jc w:val="left"/>
              <w:spacing w:line="360" w:lineRule="exact"/>
              <w:rPr>
                <w:rFonts w:hint="eastAsia" w:eastAsia="宋体"/>
                <w:color w:val="000000"/>
                <w:sz w:val="24"/>
                <w:highlight w:val="none"/>
                <w:u w:val="single"/>
                <w:lang w:eastAsia="zh-CN"/>
              </w:rPr>
            </w:pPr>
            <w:r>
              <w:rPr>
                <w:color w:val="000000"/>
                <w:sz w:val="24"/>
                <w:highlight w:val="none"/>
              </w:rPr>
              <w:t xml:space="preserve">项目属性</w:t>
            </w:r>
            <w:r>
              <w:rPr>
                <w:rFonts w:hint="eastAsia"/>
                <w:color w:val="000000"/>
                <w:sz w:val="24"/>
                <w:highlight w:val="none"/>
              </w:rPr>
              <w:t xml:space="preserve">：</w:t>
            </w:r>
            <w:r>
              <w:rPr>
                <w:rFonts w:hint="eastAsia"/>
                <w:color w:val="000000"/>
                <w:sz w:val="24"/>
                <w:highlight w:val="none"/>
                <w:lang w:val="en-US" w:eastAsia="zh-CN"/>
              </w:rPr>
              <w:t xml:space="preserve">货物</w:t>
            </w:r>
            <w:r>
              <w:rPr>
                <w:rFonts w:hint="eastAsia" w:eastAsia="宋体"/>
                <w:color w:val="000000"/>
                <w:sz w:val="24"/>
                <w:highlight w:val="none"/>
                <w:u w:val="single"/>
                <w:lang w:eastAsia="zh-CN"/>
              </w:rPr>
            </w:r>
            <w:r/>
          </w:p>
        </w:tc>
      </w:tr>
      <w:tr>
        <w:trPr>
          <w:trHeight w:val="806"/>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853"/>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720"/>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853"/>
              <w:jc w:val="left"/>
              <w:spacing w:line="360" w:lineRule="exact"/>
              <w:rPr>
                <w:color w:val="000000"/>
                <w:sz w:val="24"/>
                <w:highlight w:val="none"/>
              </w:rPr>
            </w:pPr>
            <w:r>
              <w:rPr>
                <w:color w:val="000000"/>
                <w:sz w:val="24"/>
                <w:highlight w:val="none"/>
              </w:rPr>
              <w:t xml:space="preserve">关于核心产品本项目：不适用。</w:t>
            </w:r>
            <w:r>
              <w:rPr>
                <w:color w:val="000000"/>
                <w:sz w:val="24"/>
                <w:highlight w:val="none"/>
              </w:rPr>
            </w:r>
            <w:r/>
          </w:p>
        </w:tc>
      </w:tr>
      <w:tr>
        <w:trPr>
          <w:trHeight w:val="556"/>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853"/>
              <w:jc w:val="left"/>
              <w:spacing w:line="360" w:lineRule="exact"/>
              <w:rPr>
                <w:rFonts w:hint="eastAsia"/>
                <w:color w:val="000000"/>
                <w:sz w:val="24"/>
                <w:highlight w:val="none"/>
              </w:rPr>
            </w:pPr>
            <w:r>
              <w:rPr>
                <w:color w:val="000000"/>
                <w:sz w:val="24"/>
                <w:highlight w:val="none"/>
              </w:rPr>
              <w:t xml:space="preserve">不组织</w:t>
            </w:r>
            <w:r>
              <w:rPr>
                <w:rFonts w:hint="eastAsia"/>
                <w:color w:val="000000"/>
                <w:sz w:val="24"/>
                <w:highlight w:val="none"/>
              </w:rPr>
            </w:r>
            <w:r/>
          </w:p>
        </w:tc>
      </w:tr>
      <w:tr>
        <w:trPr>
          <w:trHeight w:val="748"/>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853"/>
              <w:jc w:val="left"/>
              <w:spacing w:line="360" w:lineRule="exact"/>
              <w:rPr>
                <w:rFonts w:hint="eastAsia"/>
                <w:color w:val="000000"/>
                <w:sz w:val="24"/>
                <w:highlight w:val="none"/>
              </w:rPr>
            </w:pPr>
            <w:r>
              <w:rPr>
                <w:color w:val="000000"/>
                <w:sz w:val="24"/>
                <w:highlight w:val="none"/>
              </w:rPr>
              <w:t xml:space="preserve">不召开</w:t>
            </w:r>
            <w:r>
              <w:rPr>
                <w:rFonts w:hint="eastAsia"/>
                <w:color w:val="000000"/>
                <w:sz w:val="24"/>
                <w:highlight w:val="none"/>
              </w:rPr>
            </w:r>
            <w:r/>
          </w:p>
        </w:tc>
      </w:tr>
      <w:tr>
        <w:trPr>
          <w:trHeight w:val="676"/>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853"/>
              <w:jc w:val="left"/>
              <w:spacing w:line="360" w:lineRule="exact"/>
              <w:rPr>
                <w:rFonts w:hint="eastAsia"/>
                <w:color w:val="000000"/>
                <w:sz w:val="24"/>
                <w:highlight w:val="none"/>
              </w:rPr>
            </w:pPr>
            <w:r>
              <w:rPr>
                <w:color w:val="000000"/>
                <w:sz w:val="24"/>
                <w:highlight w:val="none"/>
              </w:rPr>
              <w:t xml:space="preserve">投标样品递交：不需要</w:t>
            </w:r>
            <w:r>
              <w:rPr>
                <w:rFonts w:hint="eastAsia"/>
                <w:color w:val="000000"/>
                <w:sz w:val="24"/>
                <w:highlight w:val="none"/>
              </w:rPr>
            </w:r>
            <w:r/>
          </w:p>
        </w:tc>
      </w:tr>
      <w:tr>
        <w:trPr>
          <w:trHeight w:val="985"/>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853"/>
              <w:jc w:val="left"/>
              <w:spacing w:line="360" w:lineRule="exact"/>
              <w:rPr>
                <w:rFonts w:hint="eastAsia"/>
                <w:color w:val="000000"/>
                <w:sz w:val="24"/>
                <w:highlight w:val="none"/>
              </w:rPr>
            </w:pPr>
            <w:r>
              <w:rPr>
                <w:rFonts w:hint="eastAsia"/>
                <w:color w:val="000000"/>
                <w:sz w:val="24"/>
                <w:highlight w:val="none"/>
              </w:rPr>
              <w:t xml:space="preserve">本项目不专门面向中小企业采购，对于符合规定的小、微企业报价给予20%的扣除，用扣除后的价格参与评审。</w:t>
            </w:r>
            <w:r>
              <w:rPr>
                <w:rFonts w:hint="eastAsia"/>
                <w:color w:val="000000"/>
                <w:sz w:val="24"/>
                <w:highlight w:val="none"/>
              </w:rPr>
            </w:r>
            <w:r/>
          </w:p>
        </w:tc>
      </w:tr>
      <w:tr>
        <w:trPr>
          <w:trHeight w:val="2146"/>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853"/>
              <w:jc w:val="left"/>
              <w:spacing w:line="360" w:lineRule="exact"/>
              <w:rPr>
                <w:color w:val="000000"/>
                <w:sz w:val="24"/>
                <w:highlight w:val="none"/>
              </w:rPr>
            </w:pPr>
            <w:r>
              <w:rPr>
                <w:rFonts w:hint="eastAsia"/>
                <w:color w:val="000000"/>
                <w:sz w:val="24"/>
                <w:highlight w:val="none"/>
              </w:rPr>
              <w:t xml:space="preserve">本项目属于</w:t>
            </w:r>
            <w:r>
              <w:rPr>
                <w:rFonts w:hint="eastAsia"/>
                <w:b/>
                <w:color w:val="000000"/>
                <w:sz w:val="24"/>
                <w:highlight w:val="none"/>
                <w:u w:val="single"/>
              </w:rPr>
              <w:t xml:space="preserve"> </w:t>
            </w:r>
            <w:r>
              <w:rPr>
                <w:rFonts w:hint="eastAsia"/>
                <w:b/>
                <w:color w:val="000000"/>
                <w:sz w:val="24"/>
                <w:highlight w:val="none"/>
                <w:u w:val="single"/>
                <w:lang w:val="en-US" w:eastAsia="zh-CN"/>
              </w:rPr>
              <w:t xml:space="preserve">货物</w:t>
            </w:r>
            <w:r>
              <w:rPr>
                <w:rFonts w:hint="eastAsia"/>
                <w:b/>
                <w:color w:val="000000"/>
                <w:sz w:val="24"/>
                <w:highlight w:val="none"/>
                <w:u w:val="single"/>
              </w:rPr>
              <w:t xml:space="preserve">类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b/>
                <w:color w:val="000000"/>
                <w:sz w:val="24"/>
                <w:highlight w:val="none"/>
                <w:u w:val="single"/>
                <w:lang w:val="en-US" w:eastAsia="zh-CN"/>
              </w:rPr>
              <w:t xml:space="preserve">工</w:t>
            </w:r>
            <w:r>
              <w:rPr>
                <w:rFonts w:hint="eastAsia"/>
                <w:b/>
                <w:color w:val="000000"/>
                <w:sz w:val="24"/>
                <w:highlight w:val="none"/>
                <w:u w:val="single"/>
              </w:rPr>
              <w:t xml:space="preserve">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1571"/>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color w:val="000000"/>
                <w:highlight w:val="none"/>
              </w:rPr>
              <w:br w:type="page" w:clear="all"/>
            </w: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rFonts w:ascii="宋体" w:hAnsi="宋体"/>
                <w:color w:val="000000"/>
                <w:sz w:val="24"/>
                <w:highlight w:val="none"/>
              </w:rPr>
            </w:pPr>
            <w:r>
              <w:rPr>
                <w:rFonts w:hint="eastAsia"/>
                <w:color w:val="000000"/>
                <w:sz w:val="24"/>
                <w:highlight w:val="none"/>
              </w:rPr>
              <w:t xml:space="preserve">本国产品政策支持</w:t>
            </w:r>
            <w:r>
              <w:rPr>
                <w:rFonts w:ascii="宋体" w:hAnsi="宋体"/>
                <w:color w:val="000000"/>
                <w:sz w:val="24"/>
                <w:highlight w:val="none"/>
              </w:rPr>
            </w:r>
            <w:r/>
          </w:p>
        </w:tc>
        <w:tc>
          <w:tcPr>
            <w:tcW w:w="7540" w:type="dxa"/>
            <w:vAlign w:val="center"/>
            <w:textDirection w:val="lrTb"/>
            <w:noWrap w:val="false"/>
          </w:tcPr>
          <w:p>
            <w:pPr>
              <w:pStyle w:val="853"/>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853"/>
              <w:jc w:val="left"/>
              <w:spacing w:line="360" w:lineRule="exact"/>
              <w:rPr>
                <w:rFonts w:ascii="Wingdings 2" w:hAnsi="Wingdings 2" w:cs="Wingdings 2"/>
                <w:color w:val="000000"/>
                <w:sz w:val="24"/>
                <w:highlight w:val="none"/>
              </w:rPr>
            </w:pPr>
            <w:r>
              <w:rPr>
                <w:rFonts w:hint="eastAsia"/>
                <w:color w:val="000000"/>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Wingdings 2" w:hAnsi="Wingdings 2" w:cs="Wingdings 2"/>
                <w:color w:val="000000"/>
                <w:sz w:val="24"/>
                <w:highlight w:val="none"/>
              </w:rPr>
            </w:r>
            <w:r/>
          </w:p>
        </w:tc>
      </w:tr>
      <w:tr>
        <w:trPr>
          <w:trHeight w:val="1008"/>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853"/>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955"/>
        </w:trPr>
        <w:tc>
          <w:tcPr>
            <w:tcW w:w="988" w:type="dxa"/>
            <w:vAlign w:val="center"/>
            <w:textDirection w:val="lrTb"/>
            <w:noWrap w:val="false"/>
          </w:tcPr>
          <w:p>
            <w:pPr>
              <w:pStyle w:val="89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853"/>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2390"/>
        </w:trPr>
        <w:tc>
          <w:tcPr>
            <w:tcW w:w="988" w:type="dxa"/>
            <w:vAlign w:val="center"/>
            <w:textDirection w:val="lrTb"/>
            <w:noWrap w:val="false"/>
          </w:tcPr>
          <w:p>
            <w:pPr>
              <w:pStyle w:val="892"/>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12</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853"/>
              <w:jc w:val="center"/>
              <w:spacing w:line="360" w:lineRule="exact"/>
              <w:rPr>
                <w:color w:val="000000"/>
                <w:sz w:val="24"/>
                <w:highlight w:val="none"/>
              </w:rPr>
            </w:pPr>
            <w:r>
              <w:rPr>
                <w:rFonts w:hint="eastAsia"/>
                <w:color w:val="000000"/>
                <w:highlight w:val="none"/>
                <w:lang w:val="zh-CN"/>
              </w:rPr>
              <w:t xml:space="preserve">履约保证金</w:t>
            </w:r>
            <w:r>
              <w:rPr>
                <w:color w:val="000000"/>
                <w:sz w:val="24"/>
                <w:highlight w:val="none"/>
              </w:rPr>
            </w:r>
            <w:r/>
          </w:p>
        </w:tc>
        <w:tc>
          <w:tcPr>
            <w:tcW w:w="7540" w:type="dxa"/>
            <w:vAlign w:val="center"/>
            <w:textDirection w:val="lrTb"/>
            <w:noWrap w:val="false"/>
          </w:tcPr>
          <w:p>
            <w:pPr>
              <w:pStyle w:val="853"/>
              <w:jc w:val="left"/>
              <w:spacing w:line="36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履约保证金：合同金额的5%。按照苏财购[2023]150号文，鼓励采用电子保函形式。中标人也可以自主选择以支票、汇票、本票、保函等非现金形式缴纳或提交。</w:t>
            </w:r>
            <w:r>
              <w:rPr>
                <w:rFonts w:hint="eastAsia" w:ascii="Times New Roman" w:hAnsi="Times New Roman" w:eastAsia="宋体" w:cs="Times New Roman"/>
                <w:color w:val="000000"/>
                <w:sz w:val="24"/>
                <w:highlight w:val="none"/>
                <w:lang w:val="zh-CN"/>
              </w:rPr>
            </w:r>
            <w:r/>
          </w:p>
          <w:p>
            <w:pPr>
              <w:pStyle w:val="853"/>
              <w:jc w:val="left"/>
              <w:spacing w:line="36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履约保证金的提交时间：中标人应当在合同签订前向采购人足额提交履约保证金。</w:t>
            </w:r>
            <w:r>
              <w:rPr>
                <w:rFonts w:hint="eastAsia" w:ascii="Times New Roman" w:hAnsi="Times New Roman" w:eastAsia="宋体" w:cs="Times New Roman"/>
                <w:color w:val="000000"/>
                <w:sz w:val="24"/>
                <w:highlight w:val="none"/>
                <w:lang w:val="zh-CN"/>
              </w:rPr>
            </w:r>
            <w:r/>
          </w:p>
          <w:p>
            <w:pPr>
              <w:pStyle w:val="853"/>
              <w:jc w:val="left"/>
              <w:spacing w:line="36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履约保证金退还方式：支票、汇票、本票或履约保函（保险）形式。</w:t>
            </w:r>
            <w:r>
              <w:rPr>
                <w:rFonts w:hint="eastAsia" w:ascii="Times New Roman" w:hAnsi="Times New Roman" w:eastAsia="宋体" w:cs="Times New Roman"/>
                <w:color w:val="000000"/>
                <w:sz w:val="24"/>
                <w:highlight w:val="none"/>
                <w:lang w:val="zh-CN"/>
              </w:rPr>
            </w:r>
            <w:r/>
          </w:p>
          <w:p>
            <w:pPr>
              <w:pStyle w:val="853"/>
              <w:jc w:val="left"/>
              <w:spacing w:line="36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履约保证金退还时间：采购人应在货物验收合格后退还履约保证金（无息）。</w:t>
            </w:r>
            <w:r>
              <w:rPr>
                <w:rFonts w:hint="eastAsia" w:ascii="Times New Roman" w:hAnsi="Times New Roman" w:eastAsia="宋体" w:cs="Times New Roman"/>
                <w:color w:val="000000"/>
                <w:sz w:val="24"/>
                <w:highlight w:val="none"/>
                <w:lang w:val="zh-CN"/>
              </w:rPr>
            </w:r>
            <w:r/>
          </w:p>
          <w:p>
            <w:pPr>
              <w:pStyle w:val="853"/>
              <w:jc w:val="left"/>
              <w:spacing w:line="36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履约保证金退还条件：中标人按合同要求履约完成后，经采购人审核后无息退还。</w:t>
            </w:r>
            <w:r>
              <w:rPr>
                <w:rFonts w:hint="eastAsia" w:ascii="Times New Roman" w:hAnsi="Times New Roman" w:eastAsia="宋体" w:cs="Times New Roman"/>
                <w:color w:val="000000"/>
                <w:sz w:val="24"/>
                <w:highlight w:val="none"/>
                <w:lang w:val="zh-CN"/>
              </w:rPr>
            </w:r>
            <w:r/>
          </w:p>
          <w:p>
            <w:pPr>
              <w:pStyle w:val="853"/>
              <w:jc w:val="left"/>
              <w:spacing w:line="360" w:lineRule="exact"/>
              <w:rPr>
                <w:rFonts w:hint="eastAsia"/>
                <w:color w:val="000000"/>
                <w:sz w:val="24"/>
                <w:highlight w:val="none"/>
              </w:rPr>
            </w:pPr>
            <w:r>
              <w:rPr>
                <w:rFonts w:hint="eastAsia" w:ascii="Times New Roman" w:hAnsi="Times New Roman" w:eastAsia="宋体" w:cs="Times New Roman"/>
                <w:color w:val="000000"/>
                <w:sz w:val="24"/>
                <w:highlight w:val="none"/>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rPr>
                <w:rFonts w:hint="eastAsia"/>
                <w:color w:val="000000"/>
                <w:sz w:val="24"/>
                <w:highlight w:val="none"/>
              </w:rPr>
            </w:r>
            <w:r/>
          </w:p>
        </w:tc>
      </w:tr>
      <w:tr>
        <w:trPr>
          <w:trHeight w:val="2390"/>
        </w:trPr>
        <w:tc>
          <w:tcPr>
            <w:tcW w:w="988" w:type="dxa"/>
            <w:vAlign w:val="center"/>
            <w:textDirection w:val="lrTb"/>
            <w:noWrap w:val="false"/>
          </w:tcPr>
          <w:p>
            <w:pPr>
              <w:pStyle w:val="892"/>
              <w:jc w:val="center"/>
              <w:spacing w:line="3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853"/>
              <w:jc w:val="left"/>
              <w:spacing w:line="360" w:lineRule="exact"/>
              <w:rPr>
                <w:color w:val="000000"/>
                <w:sz w:val="24"/>
                <w:highlight w:val="none"/>
              </w:rPr>
            </w:pPr>
            <w:r>
              <w:rPr>
                <w:rFonts w:hint="eastAsia"/>
                <w:color w:val="000000"/>
                <w:sz w:val="24"/>
                <w:highlight w:val="none"/>
              </w:rPr>
              <w:t xml:space="preserve">已登记参加本项目的供应商对招标文件如有疑问，可于2026年3</w:t>
            </w:r>
            <w:r>
              <w:rPr>
                <w:color w:val="000000"/>
                <w:sz w:val="24"/>
                <w:highlight w:val="none"/>
              </w:rPr>
              <w:t xml:space="preserve">月</w:t>
            </w:r>
            <w:r>
              <w:rPr>
                <w:rFonts w:hint="eastAsia"/>
                <w:color w:val="000000"/>
                <w:sz w:val="24"/>
                <w:highlight w:val="none"/>
                <w:lang w:val="en-US" w:eastAsia="zh-CN"/>
              </w:rPr>
              <w:t xml:space="preserve">19</w:t>
            </w:r>
            <w:r>
              <w:rPr>
                <w:color w:val="000000"/>
                <w:sz w:val="24"/>
                <w:highlight w:val="none"/>
              </w:rPr>
              <w:t xml:space="preserve">日17</w:t>
            </w:r>
            <w:r>
              <w:rPr>
                <w:rFonts w:hint="eastAsia"/>
                <w:color w:val="000000"/>
                <w:sz w:val="24"/>
                <w:highlight w:val="none"/>
              </w:rPr>
              <w:t xml:space="preserve">:</w:t>
            </w:r>
            <w:r>
              <w:rPr>
                <w:color w:val="000000"/>
                <w:sz w:val="24"/>
                <w:highlight w:val="none"/>
              </w:rPr>
              <w:t xml:space="preserve">00</w:t>
            </w:r>
            <w:r>
              <w:rPr>
                <w:rFonts w:hint="eastAsia"/>
                <w:color w:val="000000"/>
                <w:sz w:val="24"/>
                <w:highlight w:val="none"/>
              </w:rPr>
              <w:t xml:space="preserve">前将相关疑问（格式详见招标文件中“关于招标文件的询问内容”）发送至邮箱（857322163@qq.com）进行咨询，如口头可解释的问题亦可电话咨询采购人。未提出疑问将被视为完全认同招标文件，逾期将不接受其对于采购文件的相关异议。如有变更，更正公告将会在常州市政府采购网公布。</w:t>
            </w:r>
            <w:r>
              <w:rPr>
                <w:color w:val="000000"/>
                <w:sz w:val="24"/>
                <w:highlight w:val="none"/>
              </w:rPr>
            </w:r>
            <w:r/>
          </w:p>
        </w:tc>
      </w:tr>
      <w:tr>
        <w:trPr>
          <w:trHeight w:val="90"/>
        </w:trPr>
        <w:tc>
          <w:tcPr>
            <w:tcW w:w="988" w:type="dxa"/>
            <w:vAlign w:val="center"/>
            <w:textDirection w:val="lrTb"/>
            <w:noWrap w:val="false"/>
          </w:tcPr>
          <w:p>
            <w:pPr>
              <w:pStyle w:val="892"/>
              <w:jc w:val="center"/>
              <w:spacing w:line="3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853"/>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3"/>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853"/>
              <w:jc w:val="left"/>
              <w:spacing w:line="360" w:lineRule="exact"/>
              <w:rPr>
                <w:rFonts w:hint="eastAsia"/>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）代理机构：常州环宇工程项目管理有限公司</w:t>
            </w:r>
            <w:r>
              <w:rPr>
                <w:rFonts w:hint="eastAsia"/>
                <w:color w:val="000000"/>
                <w:sz w:val="24"/>
                <w:highlight w:val="none"/>
              </w:rPr>
            </w:r>
            <w:r/>
          </w:p>
          <w:p>
            <w:pPr>
              <w:pStyle w:val="853"/>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0519-86310937</w:t>
            </w:r>
            <w:r>
              <w:rPr>
                <w:color w:val="000000"/>
                <w:sz w:val="24"/>
                <w:highlight w:val="none"/>
              </w:rPr>
              <w:t xml:space="preserve">；</w:t>
            </w:r>
            <w:r>
              <w:rPr>
                <w:color w:val="000000"/>
                <w:sz w:val="24"/>
                <w:highlight w:val="none"/>
              </w:rPr>
            </w:r>
            <w:r/>
          </w:p>
          <w:p>
            <w:pPr>
              <w:pStyle w:val="853"/>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常州市武进区延政中大道19号武房大厦4楼</w:t>
            </w:r>
            <w:r>
              <w:rPr>
                <w:color w:val="000000"/>
                <w:sz w:val="24"/>
                <w:highlight w:val="none"/>
              </w:rPr>
              <w:t xml:space="preserve">。</w:t>
            </w:r>
            <w:r>
              <w:rPr>
                <w:color w:val="000000"/>
                <w:sz w:val="24"/>
                <w:highlight w:val="none"/>
              </w:rPr>
            </w:r>
            <w:r/>
          </w:p>
        </w:tc>
      </w:tr>
      <w:tr>
        <w:trPr>
          <w:trHeight w:val="1764"/>
        </w:trPr>
        <w:tc>
          <w:tcPr>
            <w:tcW w:w="988" w:type="dxa"/>
            <w:vAlign w:val="center"/>
            <w:textDirection w:val="lrTb"/>
            <w:noWrap w:val="false"/>
          </w:tcPr>
          <w:p>
            <w:pPr>
              <w:pStyle w:val="892"/>
              <w:jc w:val="center"/>
              <w:spacing w:line="3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853"/>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853"/>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两份（需打印清晰，标注目录及页码），作为项目归档使用。（递交方式可采用邮寄或现场送达，常州环宇工程项目管理有限公司和采购人各一份，联系方式见《第一章 采购邀请》）</w:t>
            </w:r>
            <w:r>
              <w:rPr>
                <w:color w:val="000000"/>
                <w:sz w:val="24"/>
                <w:highlight w:val="none"/>
              </w:rPr>
            </w:r>
            <w:r/>
          </w:p>
        </w:tc>
      </w:tr>
      <w:tr>
        <w:trPr>
          <w:trHeight w:val="3105"/>
        </w:trPr>
        <w:tc>
          <w:tcPr>
            <w:tcW w:w="988" w:type="dxa"/>
            <w:vAlign w:val="center"/>
            <w:textDirection w:val="lrTb"/>
            <w:noWrap w:val="false"/>
          </w:tcPr>
          <w:p>
            <w:pPr>
              <w:pStyle w:val="892"/>
              <w:jc w:val="center"/>
              <w:spacing w:line="3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6</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853"/>
              <w:jc w:val="center"/>
              <w:spacing w:line="360" w:lineRule="exact"/>
              <w:rPr>
                <w:color w:val="000000"/>
                <w:sz w:val="24"/>
                <w:highlight w:val="none"/>
              </w:rPr>
            </w:pPr>
            <w:r>
              <w:rPr>
                <w:rFonts w:hint="eastAsia"/>
                <w:color w:val="000000"/>
                <w:sz w:val="24"/>
                <w:highlight w:val="none"/>
              </w:rPr>
              <w:t xml:space="preserve">成交服务费</w:t>
            </w:r>
            <w:r>
              <w:rPr>
                <w:color w:val="000000"/>
                <w:sz w:val="24"/>
                <w:highlight w:val="none"/>
              </w:rPr>
            </w:r>
            <w:r/>
          </w:p>
        </w:tc>
        <w:tc>
          <w:tcPr>
            <w:tcW w:w="7540" w:type="dxa"/>
            <w:vAlign w:val="center"/>
            <w:textDirection w:val="lrTb"/>
            <w:noWrap w:val="false"/>
          </w:tcPr>
          <w:p>
            <w:pPr>
              <w:pStyle w:val="853"/>
              <w:jc w:val="left"/>
              <w:spacing w:line="3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（1）本项目成交服务费由中标人支付。</w:t>
            </w:r>
            <w:r>
              <w:rPr>
                <w:rFonts w:hint="eastAsia" w:ascii="Times New Roman" w:hAnsi="Times New Roman" w:eastAsia="宋体" w:cs="Times New Roman"/>
                <w:color w:val="000000"/>
                <w:sz w:val="24"/>
                <w:highlight w:val="none"/>
              </w:rPr>
            </w:r>
            <w:r/>
          </w:p>
          <w:p>
            <w:pPr>
              <w:pStyle w:val="853"/>
              <w:jc w:val="left"/>
              <w:spacing w:line="3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（2）收费标准：</w:t>
            </w:r>
            <w:bookmarkStart w:id="72" w:name="OLE_LINK1"/>
            <w:r>
              <w:rPr>
                <w:rFonts w:hint="eastAsia" w:ascii="Times New Roman" w:hAnsi="Times New Roman" w:eastAsia="宋体" w:cs="Times New Roman"/>
                <w:color w:val="000000"/>
                <w:sz w:val="24"/>
                <w:highlight w:val="none"/>
              </w:rPr>
              <w:t xml:space="preserve">以中标金额为基数，收费比例按差额定率累进法计算：100万元以下1.5%，100万元（含）―500万元1.1%。按上述标准*50%计取。</w:t>
            </w:r>
            <w:bookmarkEnd w:id="72"/>
            <w:r>
              <w:rPr>
                <w:rFonts w:hint="eastAsia" w:ascii="Times New Roman" w:hAnsi="Times New Roman" w:eastAsia="宋体" w:cs="Times New Roman"/>
                <w:color w:val="000000"/>
                <w:sz w:val="24"/>
                <w:highlight w:val="none"/>
              </w:rPr>
              <w:t xml:space="preserve">（单项收费低于叁仟元按叁仟元计）。</w:t>
            </w:r>
            <w:r>
              <w:rPr>
                <w:rFonts w:hint="eastAsia" w:ascii="Times New Roman" w:hAnsi="Times New Roman" w:eastAsia="宋体" w:cs="Times New Roman"/>
                <w:color w:val="000000"/>
                <w:sz w:val="24"/>
                <w:highlight w:val="none"/>
              </w:rPr>
            </w:r>
            <w:r/>
          </w:p>
          <w:p>
            <w:pPr>
              <w:pStyle w:val="853"/>
              <w:jc w:val="left"/>
              <w:spacing w:line="360" w:lineRule="exact"/>
              <w:rPr>
                <w:color w:val="000000"/>
                <w:sz w:val="24"/>
                <w:highlight w:val="none"/>
              </w:rPr>
            </w:pPr>
            <w:r>
              <w:rPr>
                <w:rFonts w:hint="eastAsia"/>
                <w:color w:val="000000"/>
                <w:sz w:val="24"/>
                <w:highlight w:val="none"/>
              </w:rPr>
              <w:t xml:space="preserve">（3）账户信息：</w:t>
            </w:r>
            <w:r>
              <w:rPr>
                <w:color w:val="000000"/>
                <w:sz w:val="24"/>
                <w:highlight w:val="none"/>
              </w:rPr>
            </w:r>
            <w:r/>
          </w:p>
          <w:p>
            <w:pPr>
              <w:pStyle w:val="853"/>
              <w:jc w:val="left"/>
              <w:spacing w:line="360" w:lineRule="exact"/>
              <w:rPr>
                <w:color w:val="000000"/>
                <w:sz w:val="24"/>
                <w:highlight w:val="none"/>
              </w:rPr>
            </w:pPr>
            <w:r>
              <w:rPr>
                <w:rFonts w:hint="eastAsia"/>
                <w:color w:val="000000"/>
                <w:sz w:val="24"/>
                <w:highlight w:val="none"/>
              </w:rPr>
              <w:t xml:space="preserve">收款单位：常州环宇工程项目管理有限公司</w:t>
            </w:r>
            <w:r>
              <w:rPr>
                <w:color w:val="000000"/>
                <w:sz w:val="24"/>
                <w:highlight w:val="none"/>
              </w:rPr>
            </w:r>
            <w:r/>
          </w:p>
          <w:p>
            <w:pPr>
              <w:pStyle w:val="853"/>
              <w:jc w:val="left"/>
              <w:spacing w:line="360" w:lineRule="exact"/>
              <w:rPr>
                <w:color w:val="000000"/>
                <w:sz w:val="24"/>
                <w:highlight w:val="none"/>
              </w:rPr>
            </w:pPr>
            <w:r>
              <w:rPr>
                <w:rFonts w:hint="eastAsia"/>
                <w:color w:val="000000"/>
                <w:sz w:val="24"/>
                <w:highlight w:val="none"/>
              </w:rPr>
              <w:t xml:space="preserve">银行账号：10600601040004052</w:t>
            </w:r>
            <w:r>
              <w:rPr>
                <w:color w:val="000000"/>
                <w:sz w:val="24"/>
                <w:highlight w:val="none"/>
              </w:rPr>
            </w:r>
            <w:r/>
          </w:p>
          <w:p>
            <w:pPr>
              <w:pStyle w:val="853"/>
              <w:jc w:val="left"/>
              <w:spacing w:line="360" w:lineRule="exact"/>
              <w:rPr>
                <w:color w:val="000000"/>
                <w:sz w:val="24"/>
                <w:highlight w:val="none"/>
              </w:rPr>
            </w:pPr>
            <w:r>
              <w:rPr>
                <w:rFonts w:hint="eastAsia"/>
                <w:color w:val="000000"/>
                <w:sz w:val="24"/>
                <w:highlight w:val="none"/>
              </w:rPr>
              <w:t xml:space="preserve">开户银行：农行常州武进支行</w:t>
            </w:r>
            <w:r>
              <w:rPr>
                <w:color w:val="000000"/>
                <w:sz w:val="24"/>
                <w:highlight w:val="none"/>
              </w:rPr>
            </w:r>
            <w:r/>
          </w:p>
          <w:p>
            <w:pPr>
              <w:pStyle w:val="853"/>
              <w:jc w:val="left"/>
              <w:spacing w:line="360" w:lineRule="exact"/>
              <w:rPr>
                <w:rFonts w:hint="eastAsia"/>
                <w:color w:val="000000"/>
                <w:sz w:val="24"/>
                <w:highlight w:val="none"/>
              </w:rPr>
            </w:pPr>
            <w:r>
              <w:rPr>
                <w:rFonts w:hint="eastAsia"/>
                <w:b/>
                <w:bCs/>
                <w:color w:val="000000"/>
                <w:sz w:val="24"/>
                <w:highlight w:val="none"/>
              </w:rPr>
              <w:t xml:space="preserve">注：上述个人信息由于工作需要经机构或本人同意对外公布。</w:t>
            </w:r>
            <w:r>
              <w:rPr>
                <w:rFonts w:hint="eastAsia"/>
                <w:color w:val="000000"/>
                <w:sz w:val="24"/>
                <w:highlight w:val="none"/>
              </w:rPr>
            </w:r>
            <w:r/>
          </w:p>
        </w:tc>
      </w:tr>
    </w:tbl>
    <w:p>
      <w:pPr>
        <w:pStyle w:val="853"/>
        <w:jc w:val="both"/>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417" w:bottom="1417" w:left="1417" w:header="850" w:footer="992" w:gutter="0"/>
          <w:pgNumType w:start="1"/>
          <w:cols w:num="1" w:sep="0" w:space="1701" w:equalWidth="1"/>
          <w:docGrid w:linePitch="360"/>
        </w:sectPr>
      </w:pPr>
      <w:r>
        <w:rPr>
          <w:color w:val="000000"/>
          <w:sz w:val="24"/>
          <w:highlight w:val="none"/>
        </w:rPr>
        <w:br w:type="page" w:clear="all"/>
      </w:r>
      <w:r/>
    </w:p>
    <w:p>
      <w:pPr>
        <w:pStyle w:val="855"/>
        <w:spacing w:before="0" w:line="360" w:lineRule="auto"/>
        <w:tabs>
          <w:tab w:val="center" w:pos="4592" w:leader="none"/>
          <w:tab w:val="left" w:pos="7860" w:leader="none"/>
          <w:tab w:val="right" w:pos="8937" w:leader="dot"/>
        </w:tabs>
        <w:rPr>
          <w:rFonts w:ascii="Times New Roman" w:hAnsi="Times New Roman" w:eastAsia="宋体"/>
          <w:color w:val="000000"/>
          <w:sz w:val="32"/>
          <w:szCs w:val="32"/>
          <w:highlight w:val="none"/>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Start w:id="73" w:name="_Toc150774618"/>
      <w:r/>
      <w:bookmarkStart w:id="74" w:name="_Toc151193688"/>
      <w:r/>
      <w:bookmarkStart w:id="75" w:name="_Toc151190145"/>
      <w:r/>
      <w:bookmarkStart w:id="76" w:name="_Toc150774723"/>
      <w:r/>
      <w:bookmarkStart w:id="77" w:name="_Toc150509269"/>
      <w:r/>
      <w:bookmarkStart w:id="78" w:name="_Toc265228356"/>
      <w:r/>
      <w:bookmarkStart w:id="79" w:name="_Toc305158786"/>
      <w:r/>
      <w:bookmarkStart w:id="80" w:name="_Toc127151518"/>
      <w:r/>
      <w:bookmarkStart w:id="81" w:name="_Toc520356143"/>
      <w:r/>
      <w:bookmarkStart w:id="82" w:name="_Toc151193616"/>
      <w:r/>
      <w:bookmarkStart w:id="83" w:name="_Toc195842883"/>
      <w:r/>
      <w:bookmarkStart w:id="84" w:name="_Toc150480756"/>
      <w:r/>
      <w:bookmarkStart w:id="85" w:name="_Toc151193760"/>
      <w:r/>
      <w:bookmarkStart w:id="86" w:name="_Toc264969208"/>
      <w:r/>
      <w:bookmarkStart w:id="87" w:name="_Toc142311020"/>
      <w:r/>
      <w:bookmarkStart w:id="88" w:name="_Toc226965708"/>
      <w:r/>
      <w:bookmarkStart w:id="89" w:name="_Toc226965791"/>
      <w:r/>
      <w:bookmarkStart w:id="90" w:name="_Toc226309762"/>
      <w:r/>
      <w:bookmarkStart w:id="91" w:name="_Toc151193906"/>
      <w:r/>
      <w:bookmarkStart w:id="92" w:name="_Toc226337214"/>
      <w:r/>
      <w:bookmarkStart w:id="93" w:name="_Toc151193832"/>
      <w:r/>
      <w:bookmarkStart w:id="94" w:name="_Toc305158860"/>
      <w:r/>
      <w:bookmarkStart w:id="95" w:name="_Toc305158897"/>
      <w:r/>
      <w:bookmarkStart w:id="96" w:name="_Toc99301424"/>
      <w:r/>
      <w:bookmarkStart w:id="97" w:name="_Toc150774760"/>
      <w:r/>
      <w:bookmarkStart w:id="98" w:name="_Toc264969245"/>
      <w:r/>
      <w:bookmarkStart w:id="99" w:name="_Toc195842920"/>
      <w:r/>
      <w:bookmarkStart w:id="100" w:name="_Toc353873665"/>
      <w:r/>
      <w:bookmarkStart w:id="101" w:name="_Toc305158823"/>
      <w:r/>
      <w:bookmarkStart w:id="102" w:name="_Toc353825545"/>
      <w:r/>
      <w:bookmarkStart w:id="103" w:name="_Toc127151555"/>
      <w:r/>
      <w:bookmarkStart w:id="104" w:name="_Toc265228393"/>
      <w:r/>
      <w:bookmarkStart w:id="105" w:name="_Toc226965828"/>
      <w:r/>
      <w:bookmarkStart w:id="106" w:name="_Toc353873935"/>
      <w:r/>
      <w:bookmarkStart w:id="107" w:name="_Toc150480793"/>
      <w:r/>
      <w:bookmarkStart w:id="108" w:name="_Toc226337251"/>
      <w:r/>
      <w:bookmarkStart w:id="109" w:name="_Toc142311057"/>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855"/>
        <w:ind w:firstLine="321"/>
        <w:jc w:val="both"/>
        <w:spacing w:before="0" w:line="500" w:lineRule="exact"/>
        <w:tabs>
          <w:tab w:val="center" w:pos="4592" w:leader="none"/>
          <w:tab w:val="left" w:pos="7860" w:leader="none"/>
          <w:tab w:val="right" w:pos="8937" w:leader="dot"/>
        </w:tabs>
        <w:rPr>
          <w:rFonts w:ascii="Times New Roman" w:hAnsi="Times New Roman" w:eastAsia="宋体"/>
          <w:color w:val="000000"/>
          <w:sz w:val="28"/>
          <w:highlight w:val="none"/>
        </w:rPr>
      </w:pPr>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Start w:id="110" w:name="_Toc142311056"/>
      <w:r/>
      <w:bookmarkStart w:id="111" w:name="_Toc265228392"/>
      <w:r/>
      <w:bookmarkStart w:id="112" w:name="_Toc99301421"/>
      <w:r/>
      <w:bookmarkStart w:id="113" w:name="_Toc226337250"/>
      <w:r/>
      <w:bookmarkStart w:id="114" w:name="_Toc264969244"/>
      <w:r/>
      <w:bookmarkStart w:id="115" w:name="_Toc305158822"/>
      <w:r/>
      <w:bookmarkStart w:id="116" w:name="_Toc150480792"/>
      <w:r/>
      <w:bookmarkStart w:id="117" w:name="_Toc353873934"/>
      <w:r/>
      <w:bookmarkStart w:id="118" w:name="_Toc127151554"/>
      <w:r/>
      <w:bookmarkStart w:id="119" w:name="_Toc150774759"/>
      <w:r/>
      <w:bookmarkStart w:id="120" w:name="_Toc305158896"/>
      <w:r/>
      <w:bookmarkStart w:id="121" w:name="_Toc353873664"/>
      <w:r/>
      <w:bookmarkStart w:id="122" w:name="_Toc226965827"/>
      <w:r/>
      <w:bookmarkStart w:id="123" w:name="_Toc35382554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24" w:name="_Toc20823276"/>
      <w:r/>
      <w:bookmarkStart w:id="125" w:name="_Toc513029204"/>
      <w:r/>
      <w:bookmarkStart w:id="126" w:name="_Toc16938520"/>
      <w:r/>
      <w:bookmarkStart w:id="127" w:name="_Toc458694821"/>
      <w:r>
        <w:rPr>
          <w:rFonts w:hint="eastAsia" w:ascii="Arial" w:hAnsi="Arial" w:eastAsia="黑体" w:cs="Arial"/>
          <w:color w:val="000000"/>
          <w:sz w:val="28"/>
          <w:szCs w:val="28"/>
          <w:highlight w:val="none"/>
        </w:rPr>
        <w:t xml:space="preserve">1</w:t>
      </w:r>
      <w:bookmarkEnd w:id="127"/>
      <w:r>
        <w:rPr>
          <w:rFonts w:hint="eastAsia" w:ascii="Arial" w:hAnsi="Arial" w:eastAsia="黑体" w:cs="Arial"/>
          <w:color w:val="000000"/>
          <w:sz w:val="28"/>
          <w:szCs w:val="28"/>
          <w:highlight w:val="none"/>
        </w:rPr>
        <w:t xml:space="preserve">、采购方式</w:t>
      </w:r>
      <w:bookmarkEnd w:id="124"/>
      <w:r/>
      <w:bookmarkEnd w:id="125"/>
      <w:r/>
      <w:bookmarkEnd w:id="126"/>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28" w:name="_Toc16938521"/>
      <w:r/>
      <w:bookmarkStart w:id="129" w:name="_Toc20823277"/>
      <w:r/>
      <w:bookmarkStart w:id="130" w:name="_Toc513029205"/>
      <w:r>
        <w:rPr>
          <w:rFonts w:hint="eastAsia" w:ascii="Arial" w:hAnsi="Arial" w:eastAsia="黑体" w:cs="Arial"/>
          <w:color w:val="000000"/>
          <w:sz w:val="28"/>
          <w:szCs w:val="28"/>
          <w:highlight w:val="none"/>
        </w:rPr>
        <w:t xml:space="preserve">2、合格的投标人</w:t>
      </w:r>
      <w:bookmarkEnd w:id="128"/>
      <w:r/>
      <w:bookmarkEnd w:id="129"/>
      <w:r/>
      <w:bookmarkEnd w:id="130"/>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31" w:name="_Toc513029206"/>
      <w:r/>
      <w:bookmarkStart w:id="132" w:name="_Toc16938522"/>
      <w:r/>
      <w:bookmarkStart w:id="133" w:name="_Toc20823278"/>
      <w:r>
        <w:rPr>
          <w:rFonts w:hint="eastAsia" w:ascii="Arial" w:hAnsi="Arial" w:eastAsia="黑体" w:cs="Arial"/>
          <w:color w:val="000000"/>
          <w:sz w:val="28"/>
          <w:szCs w:val="28"/>
          <w:highlight w:val="none"/>
        </w:rPr>
        <w:t xml:space="preserve">3、适用法律</w:t>
      </w:r>
      <w:bookmarkEnd w:id="131"/>
      <w:r/>
      <w:bookmarkEnd w:id="132"/>
      <w:r/>
      <w:bookmarkEnd w:id="133"/>
      <w:r>
        <w:rPr>
          <w:rFonts w:hint="eastAsia" w:ascii="Arial" w:hAnsi="Arial" w:eastAsia="黑体" w:cs="Arial"/>
          <w:color w:val="000000"/>
          <w:sz w:val="28"/>
          <w:szCs w:val="28"/>
          <w:highlight w:val="none"/>
        </w:rPr>
      </w:r>
      <w:r/>
    </w:p>
    <w:p>
      <w:pPr>
        <w:pStyle w:val="853"/>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34" w:name="_Toc462564067"/>
      <w:r/>
      <w:bookmarkStart w:id="135" w:name="_Toc20823279"/>
      <w:r/>
      <w:bookmarkStart w:id="136" w:name="_Toc16938523"/>
      <w:r/>
      <w:bookmarkStart w:id="137" w:name="_Toc513029207"/>
      <w:r>
        <w:rPr>
          <w:rFonts w:hint="eastAsia" w:ascii="Arial" w:hAnsi="Arial" w:eastAsia="黑体" w:cs="Arial"/>
          <w:color w:val="000000"/>
          <w:sz w:val="28"/>
          <w:szCs w:val="28"/>
          <w:highlight w:val="none"/>
        </w:rPr>
        <w:t xml:space="preserve">4、投标费用</w:t>
      </w:r>
      <w:bookmarkEnd w:id="134"/>
      <w:r/>
      <w:bookmarkEnd w:id="135"/>
      <w:r/>
      <w:bookmarkEnd w:id="136"/>
      <w:r/>
      <w:bookmarkEnd w:id="137"/>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投标人应自行承担所有与参加投标有关的费用，无论投标过程中的做法和结果如何，常州环宇工程项目管理有限公司（以下简称采购代理机构）在任何情况下均无义务和责任承担这些费用。</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4.2本次招标采购代理机构和采购人不收取标书工本费与中标服务费。</w:t>
      </w:r>
      <w:r>
        <w:rPr>
          <w:rFonts w:hint="eastAsia" w:ascii="宋体" w:hAnsi="宋体"/>
          <w:color w:val="000000"/>
          <w:sz w:val="24"/>
          <w:szCs w:val="21"/>
          <w:highlight w:val="none"/>
        </w:rPr>
      </w:r>
      <w:r/>
    </w:p>
    <w:p>
      <w:pPr>
        <w:pStyle w:val="853"/>
        <w:ind w:firstLine="602"/>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853"/>
        <w:ind w:firstLine="321"/>
        <w:keepLines/>
        <w:keepNext/>
        <w:spacing w:line="500" w:lineRule="exact"/>
        <w:rPr>
          <w:rFonts w:hint="eastAsia"/>
          <w:b/>
          <w:bCs/>
          <w:color w:val="000000"/>
          <w:sz w:val="32"/>
          <w:szCs w:val="32"/>
          <w:highlight w:val="none"/>
        </w:rPr>
        <w:outlineLvl w:val="2"/>
      </w:pPr>
      <w:r/>
      <w:bookmarkStart w:id="138" w:name="_Toc16938525"/>
      <w:r/>
      <w:bookmarkStart w:id="139" w:name="_Toc20823281"/>
      <w:r/>
      <w:bookmarkStart w:id="140" w:name="_Toc513029209"/>
      <w:r/>
      <w:bookmarkStart w:id="141" w:name="_Toc120614215"/>
      <w:r>
        <w:rPr>
          <w:rFonts w:hint="eastAsia"/>
          <w:b/>
          <w:bCs/>
          <w:color w:val="000000"/>
          <w:sz w:val="32"/>
          <w:szCs w:val="32"/>
          <w:highlight w:val="none"/>
        </w:rPr>
        <w:t xml:space="preserve">二、招标文件</w:t>
      </w:r>
      <w:bookmarkEnd w:id="138"/>
      <w:r/>
      <w:bookmarkEnd w:id="139"/>
      <w:r/>
      <w:bookmarkEnd w:id="140"/>
      <w:r/>
      <w:bookmarkEnd w:id="141"/>
      <w:r>
        <w:rPr>
          <w:rFonts w:hint="eastAsia"/>
          <w:b/>
          <w:bCs/>
          <w:color w:val="000000"/>
          <w:sz w:val="32"/>
          <w:szCs w:val="32"/>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42" w:name="_Toc16938526"/>
      <w:r/>
      <w:bookmarkStart w:id="143" w:name="_Toc513029210"/>
      <w:r/>
      <w:bookmarkStart w:id="144" w:name="_Toc20823282"/>
      <w:r>
        <w:rPr>
          <w:rFonts w:hint="eastAsia" w:ascii="Arial" w:hAnsi="Arial" w:eastAsia="黑体" w:cs="Arial"/>
          <w:color w:val="000000"/>
          <w:sz w:val="28"/>
          <w:szCs w:val="28"/>
          <w:highlight w:val="none"/>
        </w:rPr>
        <w:t xml:space="preserve">6、招标文件构成</w:t>
      </w:r>
      <w:bookmarkEnd w:id="142"/>
      <w:r/>
      <w:bookmarkEnd w:id="143"/>
      <w:r/>
      <w:bookmarkEnd w:id="144"/>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85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853"/>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85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85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853"/>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853"/>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85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85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请仔细检查招标文件是否齐全，如有缺漏请立即与采购代理机构联系解决。</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853"/>
        <w:ind w:firstLine="560"/>
        <w:keepLines/>
        <w:keepNext/>
        <w:spacing w:line="500" w:lineRule="exact"/>
        <w:rPr>
          <w:rFonts w:hint="eastAsia" w:ascii="Arial" w:hAnsi="Arial" w:eastAsia="黑体" w:cs="Arial"/>
          <w:color w:val="000000"/>
          <w:sz w:val="28"/>
          <w:szCs w:val="28"/>
          <w:highlight w:val="none"/>
        </w:rPr>
        <w:outlineLvl w:val="3"/>
      </w:pPr>
      <w:r/>
      <w:bookmarkStart w:id="145" w:name="_Toc462564070"/>
      <w:r/>
      <w:bookmarkStart w:id="146" w:name="_Toc16938527"/>
      <w:r/>
      <w:bookmarkStart w:id="147" w:name="_Toc513029211"/>
      <w:r/>
      <w:bookmarkStart w:id="148" w:name="_Toc20823283"/>
      <w:r>
        <w:rPr>
          <w:rFonts w:hint="eastAsia" w:ascii="Arial" w:hAnsi="Arial" w:eastAsia="黑体" w:cs="Arial"/>
          <w:color w:val="000000"/>
          <w:sz w:val="28"/>
          <w:szCs w:val="28"/>
          <w:highlight w:val="none"/>
        </w:rPr>
        <w:t xml:space="preserve">7、招标文件的澄清</w:t>
      </w:r>
      <w:bookmarkEnd w:id="145"/>
      <w:r/>
      <w:bookmarkEnd w:id="146"/>
      <w:r/>
      <w:bookmarkEnd w:id="147"/>
      <w:r/>
      <w:bookmarkEnd w:id="148"/>
      <w:r>
        <w:rPr>
          <w:rFonts w:hint="eastAsia" w:ascii="Arial" w:hAnsi="Arial" w:eastAsia="黑体" w:cs="Arial"/>
          <w:color w:val="000000"/>
          <w:sz w:val="28"/>
          <w:szCs w:val="28"/>
          <w:highlight w:val="none"/>
        </w:rPr>
      </w:r>
      <w:r/>
    </w:p>
    <w:p>
      <w:pPr>
        <w:pStyle w:val="853"/>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49" w:name="_Toc513029212"/>
      <w:r/>
      <w:bookmarkStart w:id="150" w:name="_Toc16938528"/>
      <w:r/>
      <w:bookmarkStart w:id="151" w:name="_Toc20823284"/>
      <w:r/>
      <w:bookmarkStart w:id="152" w:name="_Toc462564071"/>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853"/>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49"/>
      <w:r/>
      <w:bookmarkEnd w:id="150"/>
      <w:r/>
      <w:bookmarkEnd w:id="151"/>
      <w:r/>
      <w:bookmarkEnd w:id="152"/>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，采购代理机构可以对招标文件进行修改。</w:t>
      </w:r>
      <w:r>
        <w:rPr>
          <w:rFonts w:hint="eastAsia" w:ascii="宋体" w:hAnsi="宋体"/>
          <w:color w:val="000000"/>
          <w:sz w:val="24"/>
          <w:szCs w:val="21"/>
          <w:highlight w:val="none"/>
        </w:rPr>
      </w:r>
      <w:r/>
    </w:p>
    <w:p>
      <w:pPr>
        <w:pStyle w:val="853"/>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3" w:name="_Hlk151728132"/>
      <w:r>
        <w:rPr>
          <w:rFonts w:hint="eastAsia" w:ascii="宋体" w:hAnsi="宋体"/>
          <w:color w:val="000000"/>
          <w:sz w:val="24"/>
          <w:szCs w:val="21"/>
          <w:highlight w:val="none"/>
        </w:rPr>
        <w:t xml:space="preserve">“江苏省政府采购网”、“常州市政府采购网”</w:t>
      </w:r>
      <w:bookmarkEnd w:id="153"/>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853"/>
        <w:ind w:firstLine="482"/>
        <w:keepLines/>
        <w:keepNext/>
        <w:spacing w:line="500" w:lineRule="exact"/>
        <w:rPr>
          <w:rFonts w:hint="eastAsia"/>
          <w:b/>
          <w:bCs/>
          <w:color w:val="000000"/>
          <w:sz w:val="32"/>
          <w:szCs w:val="32"/>
          <w:highlight w:val="none"/>
        </w:rPr>
        <w:outlineLvl w:val="2"/>
      </w:pPr>
      <w:r/>
      <w:bookmarkStart w:id="154" w:name="_Toc16938529"/>
      <w:r/>
      <w:bookmarkStart w:id="155" w:name="_Toc20823285"/>
      <w:r/>
      <w:bookmarkStart w:id="156" w:name="_Toc513029213"/>
      <w:r/>
      <w:bookmarkStart w:id="157" w:name="_Toc120614216"/>
      <w:r/>
      <w:bookmarkStart w:id="158" w:name="_Toc462564072"/>
      <w:r>
        <w:rPr>
          <w:rFonts w:hint="eastAsia"/>
          <w:b/>
          <w:bCs/>
          <w:color w:val="000000"/>
          <w:sz w:val="32"/>
          <w:szCs w:val="32"/>
          <w:highlight w:val="none"/>
        </w:rPr>
        <w:t xml:space="preserve">三、投标文件的编制</w:t>
      </w:r>
      <w:bookmarkEnd w:id="154"/>
      <w:r/>
      <w:bookmarkEnd w:id="155"/>
      <w:r/>
      <w:bookmarkEnd w:id="156"/>
      <w:r/>
      <w:bookmarkEnd w:id="157"/>
      <w:r/>
      <w:bookmarkEnd w:id="158"/>
      <w:r>
        <w:rPr>
          <w:rFonts w:hint="eastAsia"/>
          <w:b/>
          <w:bCs/>
          <w:color w:val="000000"/>
          <w:sz w:val="32"/>
          <w:szCs w:val="32"/>
          <w:highlight w:val="none"/>
        </w:rPr>
      </w:r>
      <w:r/>
    </w:p>
    <w:p>
      <w:pPr>
        <w:pStyle w:val="853"/>
        <w:ind w:firstLine="560"/>
        <w:keepLines/>
        <w:keepNext/>
        <w:spacing w:line="500" w:lineRule="exact"/>
        <w:rPr>
          <w:rFonts w:hint="eastAsia" w:ascii="Arial" w:hAnsi="Arial" w:eastAsia="黑体" w:cs="Arial"/>
          <w:b/>
          <w:color w:val="000000"/>
          <w:sz w:val="28"/>
          <w:szCs w:val="28"/>
          <w:highlight w:val="none"/>
        </w:rPr>
        <w:outlineLvl w:val="3"/>
      </w:pPr>
      <w:r/>
      <w:bookmarkStart w:id="159" w:name="_Toc513029214"/>
      <w:r/>
      <w:bookmarkStart w:id="160" w:name="_Toc16938530"/>
      <w:r/>
      <w:bookmarkStart w:id="161" w:name="_Toc20823286"/>
      <w:r/>
      <w:bookmarkStart w:id="162" w:name="_Toc462564073"/>
      <w:r>
        <w:rPr>
          <w:rFonts w:hint="eastAsia" w:ascii="Arial" w:hAnsi="Arial" w:eastAsia="黑体" w:cs="Arial"/>
          <w:color w:val="000000"/>
          <w:sz w:val="28"/>
          <w:szCs w:val="28"/>
          <w:highlight w:val="none"/>
        </w:rPr>
        <w:t xml:space="preserve">9、投标文件的语言及度量衡单位</w:t>
      </w:r>
      <w:bookmarkEnd w:id="159"/>
      <w:r/>
      <w:bookmarkEnd w:id="160"/>
      <w:r/>
      <w:bookmarkEnd w:id="161"/>
      <w:r/>
      <w:bookmarkEnd w:id="162"/>
      <w:r>
        <w:rPr>
          <w:rFonts w:hint="eastAsia" w:ascii="Arial" w:hAnsi="Arial" w:eastAsia="黑体" w:cs="Arial"/>
          <w:b/>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63" w:name="_Toc462564074"/>
      <w:r/>
      <w:bookmarkStart w:id="164" w:name="_Toc20823287"/>
      <w:r/>
      <w:bookmarkStart w:id="165" w:name="_Toc513029215"/>
      <w:r/>
      <w:bookmarkStart w:id="166" w:name="_Toc16938531"/>
      <w:r>
        <w:rPr>
          <w:rFonts w:hint="eastAsia" w:ascii="Arial" w:hAnsi="Arial" w:eastAsia="黑体" w:cs="Arial"/>
          <w:color w:val="000000"/>
          <w:sz w:val="28"/>
          <w:szCs w:val="28"/>
          <w:highlight w:val="none"/>
        </w:rPr>
        <w:t xml:space="preserve">10、投标文件构成</w:t>
      </w:r>
      <w:bookmarkEnd w:id="163"/>
      <w:r/>
      <w:bookmarkEnd w:id="164"/>
      <w:r/>
      <w:bookmarkEnd w:id="165"/>
      <w:r/>
      <w:bookmarkEnd w:id="166"/>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67" w:name="_Hlt26670360"/>
      <w:r/>
      <w:bookmarkEnd w:id="167"/>
      <w:r/>
      <w:bookmarkStart w:id="168" w:name="_Toc14577354"/>
      <w:r/>
      <w:bookmarkStart w:id="169" w:name="_Toc14577357"/>
      <w:r/>
      <w:bookmarkStart w:id="170" w:name="_Toc513029219"/>
      <w:r/>
      <w:bookmarkStart w:id="171" w:name="_Toc513029216"/>
      <w:r/>
      <w:bookmarkStart w:id="172" w:name="_Toc14577355"/>
      <w:r/>
      <w:bookmarkStart w:id="173" w:name="_Toc49090508"/>
      <w:r/>
      <w:bookmarkStart w:id="174" w:name="_Hlt26668975"/>
      <w:r/>
      <w:bookmarkEnd w:id="174"/>
      <w:r/>
      <w:bookmarkStart w:id="175" w:name="_Toc49090507"/>
      <w:r/>
      <w:bookmarkStart w:id="176" w:name="_Toc49090509"/>
      <w:r/>
      <w:bookmarkStart w:id="177" w:name="_Hlt26954838"/>
      <w:r/>
      <w:bookmarkEnd w:id="177"/>
      <w:r>
        <w:rPr>
          <w:rFonts w:hint="eastAsia" w:ascii="Arial" w:hAnsi="Arial" w:eastAsia="黑体" w:cs="Arial"/>
          <w:color w:val="000000"/>
          <w:sz w:val="28"/>
          <w:szCs w:val="28"/>
          <w:highlight w:val="none"/>
        </w:rPr>
        <w:t xml:space="preserve">11、证明投标人及投标标的符合招标文件规定的文件</w:t>
      </w:r>
      <w:bookmarkEnd w:id="169"/>
      <w:r/>
      <w:bookmarkEnd w:id="170"/>
      <w:r/>
      <w:bookmarkEnd w:id="176"/>
      <w:r>
        <w:rPr>
          <w:rFonts w:hint="eastAsia" w:ascii="Arial" w:hAnsi="Arial" w:eastAsia="黑体" w:cs="Arial"/>
          <w:color w:val="000000"/>
          <w:sz w:val="28"/>
          <w:szCs w:val="28"/>
          <w:highlight w:val="none"/>
        </w:rPr>
      </w:r>
      <w:r/>
    </w:p>
    <w:p>
      <w:pPr>
        <w:pStyle w:val="853"/>
        <w:spacing w:line="500" w:lineRule="exact"/>
        <w:rPr>
          <w:rFonts w:hint="eastAsia" w:ascii="宋体" w:hAnsi="宋体"/>
          <w:color w:val="000000"/>
          <w:sz w:val="24"/>
          <w:highlight w:val="none"/>
        </w:rPr>
      </w:pPr>
      <w:r/>
      <w:bookmarkEnd w:id="168"/>
      <w:r/>
      <w:bookmarkEnd w:id="171"/>
      <w:r/>
      <w:bookmarkEnd w:id="175"/>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End w:id="172"/>
      <w:r/>
      <w:bookmarkEnd w:id="173"/>
      <w:r>
        <w:rPr>
          <w:rFonts w:hint="eastAsia" w:ascii="Arial" w:hAnsi="Arial" w:eastAsia="黑体" w:cs="Arial"/>
          <w:color w:val="000000"/>
          <w:sz w:val="28"/>
          <w:szCs w:val="28"/>
          <w:highlight w:val="none"/>
        </w:rPr>
        <w:t xml:space="preserve">12、投标报价明细表</w:t>
      </w:r>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78" w:name="_Hlt26954846"/>
      <w:r/>
      <w:bookmarkEnd w:id="178"/>
      <w:r/>
      <w:bookmarkStart w:id="179" w:name="_Hlt26954731"/>
      <w:r/>
      <w:bookmarkEnd w:id="179"/>
      <w:r/>
      <w:bookmarkStart w:id="180" w:name="_Hlt26670486"/>
      <w:r/>
      <w:bookmarkEnd w:id="180"/>
      <w:r/>
      <w:bookmarkStart w:id="181" w:name="_Hlt26954848"/>
      <w:r/>
      <w:bookmarkEnd w:id="181"/>
      <w:r/>
      <w:bookmarkStart w:id="182" w:name="_Hlt26670482"/>
      <w:r/>
      <w:bookmarkEnd w:id="182"/>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853"/>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hint="eastAsia" w:ascii="宋体" w:hAnsi="Arial" w:cs="宋体"/>
          <w:color w:val="000000"/>
          <w:sz w:val="24"/>
          <w:szCs w:val="21"/>
          <w:highlight w:val="none"/>
          <w:lang w:val="zh-CN"/>
        </w:rPr>
      </w:r>
      <w:r/>
    </w:p>
    <w:p>
      <w:pPr>
        <w:pStyle w:val="853"/>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183" w:name="_Toc49090510"/>
      <w:r/>
      <w:bookmarkStart w:id="184" w:name="_Toc14577359"/>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End w:id="183"/>
      <w:r/>
      <w:bookmarkEnd w:id="184"/>
      <w:r/>
      <w:bookmarkStart w:id="185" w:name="_Toc14577360"/>
      <w:r/>
      <w:bookmarkStart w:id="186" w:name="_Toc49090511"/>
      <w:r>
        <w:rPr>
          <w:rFonts w:hint="eastAsia" w:ascii="Arial" w:hAnsi="Arial" w:eastAsia="黑体" w:cs="Arial"/>
          <w:color w:val="000000"/>
          <w:sz w:val="28"/>
          <w:szCs w:val="28"/>
          <w:highlight w:val="none"/>
        </w:rPr>
        <w:t xml:space="preserve">16、投标有效期</w:t>
      </w:r>
      <w:bookmarkEnd w:id="185"/>
      <w:r/>
      <w:bookmarkEnd w:id="186"/>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16.1投标有效期为采购代理机构规定的开标之日后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53"/>
        <w:ind w:firstLine="643"/>
        <w:keepLines/>
        <w:keepNext/>
        <w:spacing w:line="500" w:lineRule="exact"/>
        <w:rPr>
          <w:rFonts w:hint="eastAsia"/>
          <w:b/>
          <w:bCs/>
          <w:color w:val="000000"/>
          <w:sz w:val="32"/>
          <w:szCs w:val="32"/>
          <w:highlight w:val="none"/>
        </w:rPr>
        <w:outlineLvl w:val="2"/>
      </w:pPr>
      <w:r/>
      <w:bookmarkStart w:id="187" w:name="_Toc120614217"/>
      <w:r/>
      <w:bookmarkStart w:id="188" w:name="_Hlt26954739"/>
      <w:r/>
      <w:bookmarkEnd w:id="188"/>
      <w:r/>
      <w:bookmarkStart w:id="189" w:name="_Toc513029224"/>
      <w:r/>
      <w:bookmarkStart w:id="190" w:name="_Toc16938540"/>
      <w:r/>
      <w:bookmarkStart w:id="191" w:name="_Toc20823296"/>
      <w:r/>
      <w:bookmarkStart w:id="192" w:name="_Hlt26954852"/>
      <w:r/>
      <w:bookmarkEnd w:id="192"/>
      <w:r>
        <w:rPr>
          <w:rFonts w:hint="eastAsia"/>
          <w:b/>
          <w:bCs/>
          <w:color w:val="000000"/>
          <w:sz w:val="32"/>
          <w:szCs w:val="32"/>
          <w:highlight w:val="none"/>
        </w:rPr>
        <w:t xml:space="preserve">四、投标文件的递交</w:t>
      </w:r>
      <w:bookmarkEnd w:id="187"/>
      <w:r/>
      <w:bookmarkEnd w:id="189"/>
      <w:r/>
      <w:bookmarkEnd w:id="190"/>
      <w:r/>
      <w:bookmarkEnd w:id="191"/>
      <w:r>
        <w:rPr>
          <w:rFonts w:hint="eastAsia"/>
          <w:b/>
          <w:bCs/>
          <w:color w:val="000000"/>
          <w:sz w:val="32"/>
          <w:szCs w:val="32"/>
          <w:highlight w:val="none"/>
        </w:rPr>
      </w:r>
      <w:r/>
    </w:p>
    <w:p>
      <w:pPr>
        <w:pStyle w:val="853"/>
        <w:ind w:firstLine="420"/>
        <w:keepLines/>
        <w:keepNext/>
        <w:spacing w:line="500" w:lineRule="exact"/>
        <w:rPr>
          <w:rFonts w:hint="eastAsia" w:ascii="黑体" w:hAnsi="Arial" w:eastAsia="黑体" w:cs="Arial"/>
          <w:color w:val="000000"/>
          <w:sz w:val="28"/>
          <w:szCs w:val="28"/>
          <w:highlight w:val="none"/>
        </w:rPr>
        <w:outlineLvl w:val="3"/>
      </w:pPr>
      <w:r/>
      <w:bookmarkStart w:id="193" w:name="_Toc513029225"/>
      <w:r/>
      <w:bookmarkStart w:id="194" w:name="_Toc16938541"/>
      <w:r/>
      <w:bookmarkStart w:id="195" w:name="_Toc462564084"/>
      <w:r/>
      <w:bookmarkStart w:id="196"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3"/>
      <w:r/>
      <w:bookmarkEnd w:id="194"/>
      <w:r/>
      <w:bookmarkEnd w:id="195"/>
      <w:r/>
      <w:bookmarkEnd w:id="196"/>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85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197" w:name="_Toc20823298"/>
      <w:r/>
      <w:bookmarkStart w:id="198" w:name="_Toc16938542"/>
      <w:r/>
      <w:bookmarkStart w:id="199" w:name="_Toc513029226"/>
      <w:r>
        <w:rPr>
          <w:rFonts w:ascii="宋体" w:hAnsi="宋体"/>
          <w:bCs/>
          <w:color w:val="000000"/>
          <w:sz w:val="24"/>
          <w:szCs w:val="21"/>
          <w:highlight w:val="none"/>
        </w:rPr>
      </w:r>
      <w:r/>
    </w:p>
    <w:p>
      <w:pPr>
        <w:pStyle w:val="853"/>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197"/>
      <w:r/>
      <w:bookmarkEnd w:id="198"/>
      <w:r/>
      <w:bookmarkEnd w:id="199"/>
      <w:r>
        <w:rPr>
          <w:rFonts w:hint="eastAsia" w:ascii="宋体" w:hAnsi="宋体" w:eastAsia="黑体" w:cs="Arial"/>
          <w:bCs/>
          <w:color w:val="000000"/>
          <w:sz w:val="24"/>
          <w:szCs w:val="28"/>
          <w:highlight w:val="none"/>
        </w:rPr>
      </w:r>
      <w:r/>
    </w:p>
    <w:p>
      <w:pPr>
        <w:pStyle w:val="853"/>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200" w:name="_Toc513029227"/>
      <w:r/>
      <w:bookmarkStart w:id="201" w:name="_Toc16938543"/>
      <w:r/>
      <w:bookmarkStart w:id="202" w:name="_Toc20823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0"/>
      <w:r/>
      <w:bookmarkEnd w:id="201"/>
      <w:r/>
      <w:bookmarkEnd w:id="202"/>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采购代理机构拒绝接收在其规定的投标截止时间后上传的任何投标文件。</w:t>
      </w:r>
      <w:r>
        <w:rPr>
          <w:rFonts w:hint="eastAsia" w:ascii="宋体" w:hAnsi="宋体"/>
          <w:bCs/>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203" w:name="_Toc513029228"/>
      <w:r/>
      <w:bookmarkStart w:id="204" w:name="_Toc20823300"/>
      <w:r/>
      <w:bookmarkStart w:id="205"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3"/>
      <w:r/>
      <w:bookmarkEnd w:id="204"/>
      <w:r/>
      <w:bookmarkEnd w:id="205"/>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853"/>
        <w:ind w:firstLine="482"/>
        <w:keepLines/>
        <w:keepNext/>
        <w:spacing w:line="500" w:lineRule="exact"/>
        <w:rPr>
          <w:rFonts w:hint="eastAsia"/>
          <w:b/>
          <w:bCs/>
          <w:color w:val="000000"/>
          <w:sz w:val="32"/>
          <w:szCs w:val="32"/>
          <w:highlight w:val="none"/>
        </w:rPr>
        <w:outlineLvl w:val="2"/>
      </w:pPr>
      <w:r/>
      <w:bookmarkStart w:id="206" w:name="_Toc16938545"/>
      <w:r/>
      <w:bookmarkStart w:id="207" w:name="_Toc120614218"/>
      <w:r/>
      <w:bookmarkStart w:id="208" w:name="_Toc513029229"/>
      <w:r/>
      <w:bookmarkStart w:id="209" w:name="_Toc20823301"/>
      <w:r>
        <w:rPr>
          <w:rFonts w:hint="eastAsia"/>
          <w:b/>
          <w:bCs/>
          <w:color w:val="000000"/>
          <w:sz w:val="32"/>
          <w:szCs w:val="32"/>
          <w:highlight w:val="none"/>
        </w:rPr>
        <w:t xml:space="preserve">五、开标与评标</w:t>
      </w:r>
      <w:bookmarkEnd w:id="206"/>
      <w:r/>
      <w:bookmarkEnd w:id="207"/>
      <w:r/>
      <w:bookmarkEnd w:id="208"/>
      <w:r/>
      <w:bookmarkEnd w:id="209"/>
      <w:r>
        <w:rPr>
          <w:rFonts w:hint="eastAsia"/>
          <w:b/>
          <w:bCs/>
          <w:color w:val="000000"/>
          <w:sz w:val="32"/>
          <w:szCs w:val="32"/>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210" w:name="_Toc20823302"/>
      <w:r/>
      <w:bookmarkStart w:id="211" w:name="_Toc16938546"/>
      <w:r/>
      <w:bookmarkStart w:id="212" w:name="_Toc513029230"/>
      <w:r>
        <w:rPr>
          <w:rFonts w:hint="eastAsia" w:ascii="Arial" w:hAnsi="Arial" w:eastAsia="黑体" w:cs="Arial"/>
          <w:color w:val="000000"/>
          <w:sz w:val="28"/>
          <w:szCs w:val="28"/>
          <w:highlight w:val="none"/>
        </w:rPr>
        <w:t xml:space="preserve">22、开标</w:t>
      </w:r>
      <w:bookmarkEnd w:id="210"/>
      <w:r/>
      <w:bookmarkEnd w:id="211"/>
      <w:r/>
      <w:bookmarkEnd w:id="212"/>
      <w:r>
        <w:rPr>
          <w:rFonts w:hint="eastAsia" w:ascii="Arial" w:hAnsi="Arial" w:eastAsia="黑体" w:cs="Arial"/>
          <w:color w:val="000000"/>
          <w:sz w:val="28"/>
          <w:szCs w:val="28"/>
          <w:highlight w:val="none"/>
        </w:rPr>
      </w:r>
      <w:r/>
    </w:p>
    <w:p>
      <w:pPr>
        <w:pStyle w:val="853"/>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采购代理机构将在招标公告中规定的时间和地点组织公开开标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szCs w:val="21"/>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开标仪式由采购代理机构组织。苏采云系统将自动对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213" w:name="_Toc20823303"/>
      <w:r/>
      <w:bookmarkStart w:id="214" w:name="_Toc513029231"/>
      <w:r/>
      <w:bookmarkStart w:id="215"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853"/>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开标后，采购代理机构将立即组织评标委员会（以下简称评委会）进行评标。</w:t>
      </w:r>
      <w:r>
        <w:rPr>
          <w:rFonts w:hint="eastAsia" w:ascii="宋体" w:hAnsi="宋体"/>
          <w:b/>
          <w:color w:val="000000"/>
          <w:sz w:val="24"/>
          <w:highlight w:val="none"/>
        </w:rPr>
      </w:r>
      <w:r/>
    </w:p>
    <w:p>
      <w:pPr>
        <w:pStyle w:val="853"/>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853"/>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rPr>
          <w:rFonts w:hint="eastAsia" w:ascii="宋体" w:hAnsi="宋体"/>
          <w:color w:val="000000"/>
          <w:sz w:val="24"/>
          <w:highlight w:val="none"/>
        </w:rPr>
      </w:r>
      <w:r/>
    </w:p>
    <w:p>
      <w:pPr>
        <w:pStyle w:val="853"/>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853"/>
        <w:ind w:firstLine="480"/>
        <w:spacing w:line="500" w:lineRule="exact"/>
        <w:rPr>
          <w:rFonts w:hint="eastAsia" w:ascii="宋体" w:hAnsi="宋体"/>
          <w:bCs/>
          <w:color w:val="000000"/>
          <w:sz w:val="24"/>
          <w:szCs w:val="21"/>
          <w:highlight w:val="none"/>
        </w:rPr>
      </w:pPr>
      <w:r/>
      <w:bookmarkEnd w:id="213"/>
      <w:r/>
      <w:bookmarkEnd w:id="214"/>
      <w:r/>
      <w:bookmarkEnd w:id="215"/>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凡是与审查、澄清、评价和比较投标的有关资料以及授标建议等，采购人、评委、采购代理机构均不得向投标人或与评标无关的其他人员透露。</w:t>
      </w:r>
      <w:r>
        <w:rPr>
          <w:rFonts w:hint="eastAsia" w:ascii="宋体" w:hAnsi="宋体"/>
          <w:bCs/>
          <w:color w:val="000000"/>
          <w:sz w:val="24"/>
          <w:szCs w:val="21"/>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采购代理机构和评标委员会不向未中标的投标人解释未中标原因，也不公布评标过程中的相关细节。</w:t>
      </w:r>
      <w:r>
        <w:rPr>
          <w:rFonts w:hint="eastAsia"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bookmarkStart w:id="216" w:name="_Toc20823304"/>
      <w:r/>
      <w:bookmarkStart w:id="217" w:name="_Toc513029232"/>
      <w:r/>
      <w:bookmarkStart w:id="218"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16"/>
      <w:r/>
      <w:bookmarkEnd w:id="217"/>
      <w:r/>
      <w:bookmarkEnd w:id="218"/>
      <w:r>
        <w:rPr>
          <w:rFonts w:hint="eastAsia" w:ascii="Arial" w:hAnsi="Arial" w:eastAsia="黑体" w:cs="Arial"/>
          <w:color w:val="000000"/>
          <w:sz w:val="28"/>
          <w:szCs w:val="28"/>
          <w:highlight w:val="none"/>
        </w:rPr>
      </w:r>
      <w:r/>
    </w:p>
    <w:p>
      <w:pPr>
        <w:pStyle w:val="853"/>
        <w:ind w:firstLine="480"/>
        <w:spacing w:line="500" w:lineRule="exact"/>
        <w:rPr>
          <w:rFonts w:ascii="宋体" w:hAnsi="宋体"/>
          <w:color w:val="000000"/>
          <w:sz w:val="24"/>
          <w:highlight w:val="none"/>
        </w:rPr>
      </w:pPr>
      <w:r/>
      <w:bookmarkStart w:id="219" w:name="_Toc20823305"/>
      <w:r/>
      <w:bookmarkStart w:id="220" w:name="_Toc16938549"/>
      <w:r/>
      <w:bookmarkStart w:id="221" w:name="_Toc513029233"/>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19"/>
      <w:r/>
      <w:bookmarkEnd w:id="220"/>
      <w:r/>
      <w:bookmarkEnd w:id="221"/>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853"/>
        <w:ind w:firstLine="480"/>
        <w:spacing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未通过资格审查或符合性审查的投标人，采购代理机构将在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rFonts w:hint="eastAsia" w:ascii="宋体" w:hAnsi="宋体"/>
          <w:bCs/>
          <w:color w:val="000000"/>
          <w:sz w:val="24"/>
          <w:szCs w:val="21"/>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85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85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85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853"/>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853"/>
        <w:ind w:firstLine="480"/>
        <w:spacing w:line="500" w:lineRule="exact"/>
        <w:rPr>
          <w:rFonts w:ascii="宋体" w:hAnsi="宋体"/>
          <w:color w:val="000000"/>
          <w:sz w:val="24"/>
          <w:szCs w:val="21"/>
          <w:highlight w:val="none"/>
        </w:rPr>
      </w:pPr>
      <w:r/>
      <w:bookmarkStart w:id="222" w:name="_Toc20823306"/>
      <w:r/>
      <w:bookmarkStart w:id="223" w:name="_Toc513029234"/>
      <w:r/>
      <w:bookmarkStart w:id="224"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853"/>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853"/>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853"/>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并安排专人与采购代理机构及评标委员会联系。</w:t>
      </w:r>
      <w:r>
        <w:rPr>
          <w:rFonts w:hint="eastAsia" w:ascii="宋体" w:hAnsi="宋体"/>
          <w:color w:val="000000"/>
          <w:sz w:val="24"/>
          <w:szCs w:val="21"/>
          <w:highlight w:val="none"/>
        </w:rPr>
      </w:r>
      <w:r/>
    </w:p>
    <w:p>
      <w:pPr>
        <w:pStyle w:val="85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2"/>
      <w:r/>
      <w:bookmarkEnd w:id="223"/>
      <w:r/>
      <w:bookmarkEnd w:id="224"/>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853"/>
        <w:ind w:firstLine="480"/>
        <w:spacing w:line="500" w:lineRule="exact"/>
        <w:rPr>
          <w:rFonts w:hint="eastAsia" w:ascii="宋体" w:hAnsi="宋体"/>
          <w:bCs/>
          <w:color w:val="000000"/>
          <w:sz w:val="24"/>
          <w:szCs w:val="21"/>
          <w:highlight w:val="none"/>
        </w:rPr>
      </w:pPr>
      <w:r/>
      <w:bookmarkStart w:id="225" w:name="_Toc513029235"/>
      <w:r/>
      <w:bookmarkStart w:id="226" w:name="_Toc16938551"/>
      <w:r/>
      <w:bookmarkStart w:id="227" w:name="_Toc2082330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853"/>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85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85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853"/>
        <w:ind w:firstLine="482"/>
        <w:keepLines/>
        <w:keepNext/>
        <w:spacing w:line="500" w:lineRule="exact"/>
        <w:rPr>
          <w:rFonts w:hint="eastAsia"/>
          <w:b/>
          <w:bCs/>
          <w:color w:val="000000"/>
          <w:sz w:val="32"/>
          <w:szCs w:val="32"/>
          <w:highlight w:val="none"/>
        </w:rPr>
        <w:outlineLvl w:val="2"/>
      </w:pPr>
      <w:r/>
      <w:bookmarkStart w:id="228" w:name="_Toc120614219"/>
      <w:r>
        <w:rPr>
          <w:rFonts w:hint="eastAsia"/>
          <w:b/>
          <w:bCs/>
          <w:color w:val="000000"/>
          <w:sz w:val="32"/>
          <w:szCs w:val="32"/>
          <w:highlight w:val="none"/>
        </w:rPr>
        <w:t xml:space="preserve">六、</w:t>
      </w:r>
      <w:bookmarkEnd w:id="225"/>
      <w:r/>
      <w:bookmarkEnd w:id="226"/>
      <w:r/>
      <w:bookmarkEnd w:id="227"/>
      <w:r>
        <w:rPr>
          <w:rFonts w:hint="eastAsia"/>
          <w:b/>
          <w:bCs/>
          <w:color w:val="000000"/>
          <w:sz w:val="32"/>
          <w:szCs w:val="32"/>
          <w:highlight w:val="none"/>
        </w:rPr>
        <w:t xml:space="preserve">定标</w:t>
      </w:r>
      <w:bookmarkEnd w:id="228"/>
      <w:r>
        <w:rPr>
          <w:rFonts w:hint="eastAsia"/>
          <w:b/>
          <w:bCs/>
          <w:color w:val="000000"/>
          <w:sz w:val="32"/>
          <w:szCs w:val="32"/>
          <w:highlight w:val="none"/>
        </w:rPr>
      </w:r>
      <w:r/>
    </w:p>
    <w:p>
      <w:pPr>
        <w:pStyle w:val="853"/>
        <w:ind w:firstLine="600"/>
        <w:keepLines/>
        <w:keepNext/>
        <w:spacing w:line="500" w:lineRule="exact"/>
        <w:rPr>
          <w:rFonts w:hint="eastAsia" w:ascii="黑体" w:hAnsi="宋体" w:eastAsia="黑体"/>
          <w:bCs/>
          <w:color w:val="000000"/>
          <w:sz w:val="30"/>
          <w:szCs w:val="30"/>
          <w:highlight w:val="none"/>
        </w:rPr>
        <w:outlineLvl w:val="3"/>
      </w:pPr>
      <w:r/>
      <w:bookmarkStart w:id="229" w:name="_Toc16938554"/>
      <w:r/>
      <w:bookmarkStart w:id="230" w:name="_Toc20823310"/>
      <w:r/>
      <w:bookmarkStart w:id="231"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1"/>
      <w:r>
        <w:rPr>
          <w:rFonts w:hint="eastAsia" w:ascii="黑体" w:hAnsi="宋体" w:eastAsia="黑体"/>
          <w:bCs/>
          <w:color w:val="000000"/>
          <w:sz w:val="30"/>
          <w:szCs w:val="30"/>
          <w:highlight w:val="none"/>
        </w:rPr>
        <w:t xml:space="preserve">确定</w:t>
      </w:r>
      <w:bookmarkEnd w:id="229"/>
      <w:r/>
      <w:bookmarkEnd w:id="230"/>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85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采购代理机构将在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.4.2向采购人、采购代理机构行贿或者提供其他不正当利益的。</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853"/>
        <w:ind w:firstLine="480"/>
        <w:spacing w:line="500" w:lineRule="exact"/>
        <w:rPr>
          <w:rFonts w:ascii="宋体" w:hAnsi="宋体"/>
          <w:color w:val="000000"/>
          <w:sz w:val="24"/>
          <w:highlight w:val="none"/>
        </w:rPr>
      </w:pPr>
      <w:r/>
      <w:bookmarkStart w:id="232"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85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ascii="宋体" w:hAnsi="宋体"/>
          <w:color w:val="000000"/>
          <w:sz w:val="24"/>
          <w:highlight w:val="none"/>
        </w:rPr>
      </w:r>
      <w:r/>
    </w:p>
    <w:p>
      <w:pPr>
        <w:pStyle w:val="853"/>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2"/>
      <w:r>
        <w:rPr>
          <w:rFonts w:hint="eastAsia" w:ascii="黑体" w:hAnsi="宋体" w:eastAsia="黑体"/>
          <w:bCs/>
          <w:color w:val="000000"/>
          <w:sz w:val="30"/>
          <w:szCs w:val="30"/>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olor w:val="000000"/>
          <w:sz w:val="24"/>
          <w:highlight w:val="none"/>
        </w:rPr>
      </w:r>
      <w:r/>
    </w:p>
    <w:p>
      <w:pPr>
        <w:pStyle w:val="853"/>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853"/>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853"/>
        <w:ind w:firstLine="480"/>
        <w:spacing w:line="500" w:lineRule="exact"/>
        <w:rPr>
          <w:rFonts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rPr>
        <w:t xml:space="preserve">采购代理机构</w:t>
      </w:r>
      <w:r>
        <w:rPr>
          <w:rFonts w:ascii="宋体" w:hAnsi="宋体"/>
          <w:color w:val="000000"/>
          <w:sz w:val="24"/>
          <w:highlight w:val="none"/>
        </w:rPr>
        <w:t xml:space="preserve">提出，由</w:t>
      </w:r>
      <w:r>
        <w:rPr>
          <w:rFonts w:hint="eastAsia" w:ascii="宋体" w:hAnsi="宋体"/>
          <w:color w:val="000000"/>
          <w:sz w:val="24"/>
          <w:highlight w:val="none"/>
        </w:rPr>
        <w:t xml:space="preserve">采购代理机构负责</w:t>
      </w:r>
      <w:r>
        <w:rPr>
          <w:rFonts w:ascii="宋体" w:hAnsi="宋体"/>
          <w:color w:val="000000"/>
          <w:sz w:val="24"/>
          <w:highlight w:val="none"/>
        </w:rPr>
        <w:t xml:space="preserve">答复。</w:t>
      </w:r>
      <w:r>
        <w:rPr>
          <w:rFonts w:ascii="宋体" w:hAnsi="宋体"/>
          <w:b/>
          <w:color w:val="000000"/>
          <w:sz w:val="24"/>
          <w:highlight w:val="none"/>
        </w:rPr>
      </w:r>
      <w:r/>
    </w:p>
    <w:p>
      <w:pPr>
        <w:pStyle w:val="853"/>
        <w:ind w:firstLine="482"/>
        <w:spacing w:line="480" w:lineRule="exact"/>
        <w:rPr>
          <w:rFonts w:hint="eastAsia" w:ascii="宋体" w:hAnsi="宋体"/>
          <w:color w:val="000000"/>
          <w:sz w:val="24"/>
          <w:highlight w:val="none"/>
        </w:rPr>
      </w:pPr>
      <w:r/>
      <w:bookmarkStart w:id="233" w:name="_Hlk149903315"/>
      <w:r>
        <w:rPr>
          <w:rFonts w:ascii="Symbol" w:hAnsi="Symbol" w:cs="Symbol"/>
          <w:color w:val="000000"/>
          <w:sz w:val="24"/>
          <w:highlight w:val="none"/>
        </w:rPr>
        <w:t xml:space="preserve">根据《政府采购质疑和投诉办法》财政部第号令第十一条规定，提出质疑的供应商应当是参与所质疑项目采购活动的供应商。</w:t>
      </w:r>
      <w:r>
        <w:rPr>
          <w:rFonts w:ascii="Symbol" w:hAnsi="Symbol" w:cs="Symbol"/>
          <w:b/>
          <w:bCs/>
          <w:color w:val="000000"/>
          <w:sz w:val="24"/>
          <w:highlight w:val="none"/>
        </w:rPr>
        <w:t xml:space="preserve">因此凡是对招标文件提出质疑的供应商，必须是依法获取招标文件的供应商，请将合法获取招标文件的证明材料即《投标供应商确认函》与质疑函一起递交，否则不予受理。</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color w:val="000000"/>
          <w:sz w:val="24"/>
          <w:highlight w:val="none"/>
        </w:rPr>
      </w:r>
      <w:r/>
    </w:p>
    <w:p>
      <w:pPr>
        <w:pStyle w:val="853"/>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采购代理机构质疑接收部门为：常州环宇工程项目管理有限公司招标代理部</w:t>
      </w:r>
      <w:r>
        <w:rPr>
          <w:rFonts w:hint="eastAsia" w:ascii="宋体" w:hAnsi="宋体"/>
          <w:color w:val="000000"/>
          <w:sz w:val="24"/>
          <w:highlight w:val="none"/>
        </w:rPr>
      </w:r>
      <w:r/>
    </w:p>
    <w:p>
      <w:pPr>
        <w:pStyle w:val="853"/>
        <w:ind w:firstLine="480"/>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常州市武进区延政中大道19号武房大厦4楼</w:t>
      </w:r>
      <w:r>
        <w:rPr>
          <w:color w:val="000000"/>
          <w:sz w:val="24"/>
          <w:highlight w:val="none"/>
        </w:rPr>
        <w:t xml:space="preserve">；</w:t>
      </w:r>
      <w:r>
        <w:rPr>
          <w:color w:val="000000"/>
          <w:sz w:val="24"/>
          <w:highlight w:val="none"/>
        </w:rPr>
      </w:r>
      <w:r/>
    </w:p>
    <w:p>
      <w:pPr>
        <w:pStyle w:val="853"/>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0519-86310937</w:t>
      </w:r>
      <w:r>
        <w:rPr>
          <w:color w:val="000000"/>
          <w:sz w:val="24"/>
          <w:highlight w:val="none"/>
        </w:rPr>
        <w:t xml:space="preserve">；</w:t>
      </w:r>
      <w:r>
        <w:rPr>
          <w:color w:val="000000"/>
          <w:sz w:val="24"/>
          <w:highlight w:val="none"/>
        </w:rPr>
      </w:r>
      <w:r/>
    </w:p>
    <w:p>
      <w:pPr>
        <w:pStyle w:val="853"/>
        <w:ind w:firstLine="480"/>
        <w:spacing w:line="500" w:lineRule="exact"/>
        <w:rPr>
          <w:rFonts w:hint="eastAsia" w:ascii="宋体" w:hAnsi="宋体"/>
          <w:color w:val="000000"/>
          <w:sz w:val="24"/>
          <w:highlight w:val="none"/>
        </w:rPr>
      </w:pPr>
      <w:r/>
      <w:bookmarkEnd w:id="233"/>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85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853"/>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853"/>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853"/>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853"/>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853"/>
        <w:ind w:firstLine="643"/>
        <w:keepLines/>
        <w:keepNext/>
        <w:spacing w:line="500" w:lineRule="exact"/>
        <w:rPr>
          <w:rFonts w:hint="eastAsia"/>
          <w:b/>
          <w:bCs/>
          <w:color w:val="000000"/>
          <w:sz w:val="32"/>
          <w:szCs w:val="32"/>
          <w:highlight w:val="none"/>
        </w:rPr>
        <w:outlineLvl w:val="2"/>
      </w:pPr>
      <w:r/>
      <w:bookmarkStart w:id="234" w:name="_Toc16938552"/>
      <w:r/>
      <w:bookmarkStart w:id="235" w:name="_Toc120614220"/>
      <w:r/>
      <w:bookmarkStart w:id="236" w:name="_Toc20823308"/>
      <w:r/>
      <w:bookmarkStart w:id="237" w:name="_Toc513029236"/>
      <w:r>
        <w:rPr>
          <w:rFonts w:hint="eastAsia"/>
          <w:b/>
          <w:bCs/>
          <w:color w:val="000000"/>
          <w:sz w:val="32"/>
          <w:szCs w:val="32"/>
          <w:highlight w:val="none"/>
        </w:rPr>
        <w:t xml:space="preserve">七、授予合同</w:t>
      </w:r>
      <w:bookmarkEnd w:id="235"/>
      <w:r>
        <w:rPr>
          <w:rFonts w:hint="eastAsia"/>
          <w:b/>
          <w:bCs/>
          <w:color w:val="000000"/>
          <w:sz w:val="32"/>
          <w:szCs w:val="32"/>
          <w:highlight w:val="none"/>
        </w:rPr>
      </w:r>
      <w:r/>
    </w:p>
    <w:p>
      <w:pPr>
        <w:pStyle w:val="853"/>
        <w:ind w:firstLine="600"/>
        <w:keepLines/>
        <w:keepNext/>
        <w:spacing w:line="500" w:lineRule="exact"/>
        <w:rPr>
          <w:rFonts w:hint="eastAsia" w:ascii="黑体" w:hAnsi="宋体" w:eastAsia="黑体"/>
          <w:bCs/>
          <w:color w:val="000000"/>
          <w:sz w:val="30"/>
          <w:szCs w:val="30"/>
          <w:highlight w:val="none"/>
        </w:rPr>
        <w:outlineLvl w:val="3"/>
      </w:pPr>
      <w:r/>
      <w:bookmarkEnd w:id="234"/>
      <w:r/>
      <w:bookmarkEnd w:id="236"/>
      <w:r/>
      <w:bookmarkEnd w:id="237"/>
      <w:r/>
      <w:bookmarkStart w:id="238" w:name="_Toc20823309"/>
      <w:r/>
      <w:bookmarkStart w:id="239" w:name="_Toc16938553"/>
      <w:r/>
      <w:bookmarkStart w:id="240"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853"/>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853"/>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853"/>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853"/>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85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highlight w:val="none"/>
        </w:rPr>
      </w:r>
      <w:r/>
    </w:p>
    <w:p>
      <w:pPr>
        <w:pStyle w:val="933"/>
        <w:ind w:firstLine="600"/>
        <w:spacing w:line="500" w:lineRule="exact"/>
        <w:rPr>
          <w:rFonts w:ascii="黑体" w:hAnsi="宋体" w:eastAsia="黑体" w:cs="Times New Roman"/>
          <w:bCs/>
          <w:color w:val="000000"/>
          <w:sz w:val="30"/>
          <w:szCs w:val="30"/>
          <w:highlight w:val="none"/>
        </w:rPr>
      </w:pPr>
      <w:r/>
      <w:bookmarkEnd w:id="238"/>
      <w:r/>
      <w:bookmarkEnd w:id="239"/>
      <w:r/>
      <w:bookmarkEnd w:id="240"/>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85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85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853"/>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53"/>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53"/>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853"/>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853"/>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85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85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853"/>
        <w:ind w:firstLine="480"/>
        <w:jc w:val="left"/>
        <w:spacing w:line="500" w:lineRule="exact"/>
        <w:tabs>
          <w:tab w:val="left" w:pos="1980" w:leader="none"/>
        </w:tabs>
        <w:rPr>
          <w:color w:val="000000"/>
          <w:sz w:val="24"/>
          <w:highlight w:val="none"/>
        </w:rPr>
      </w:pPr>
      <w:r>
        <w:rPr>
          <w:color w:val="000000"/>
          <w:sz w:val="24"/>
          <w:highlight w:val="none"/>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53"/>
        <w:ind w:firstLine="480"/>
        <w:jc w:val="left"/>
        <w:spacing w:line="500" w:lineRule="exact"/>
        <w:tabs>
          <w:tab w:val="left" w:pos="1980" w:leader="none"/>
        </w:tabs>
        <w:rPr>
          <w:color w:val="000000"/>
          <w:sz w:val="24"/>
          <w:highlight w:val="none"/>
        </w:rPr>
      </w:pPr>
      <w:r>
        <w:rPr>
          <w:color w:val="000000"/>
          <w:sz w:val="24"/>
          <w:highlight w:val="none"/>
        </w:rPr>
        <w:t xml:space="preserve">33.5.</w:t>
      </w:r>
      <w:r>
        <w:rPr>
          <w:rFonts w:hint="eastAsia"/>
          <w:color w:val="000000"/>
          <w:sz w:val="24"/>
          <w:highlight w:val="none"/>
        </w:rPr>
        <w:t xml:space="preserve">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85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853"/>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853"/>
        <w:ind w:firstLine="482"/>
        <w:jc w:val="left"/>
        <w:spacing w:line="500" w:lineRule="exact"/>
        <w:tabs>
          <w:tab w:val="left" w:pos="1980" w:leader="none"/>
          <w:tab w:val="left" w:pos="2014" w:leader="none"/>
        </w:tabs>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33.8</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绿色采购政策</w:t>
      </w:r>
      <w:r>
        <w:rPr>
          <w:rFonts w:hint="eastAsia" w:ascii="宋体" w:hAnsi="宋体"/>
          <w:b/>
          <w:bCs/>
          <w:color w:val="000000"/>
          <w:sz w:val="24"/>
          <w:highlight w:val="none"/>
          <w:lang w:val="zh-CN"/>
        </w:rPr>
      </w:r>
      <w:r/>
    </w:p>
    <w:p>
      <w:pPr>
        <w:pStyle w:val="853"/>
        <w:ind w:firstLine="482"/>
        <w:jc w:val="left"/>
        <w:spacing w:line="500" w:lineRule="exact"/>
        <w:tabs>
          <w:tab w:val="left" w:pos="1980" w:leader="none"/>
          <w:tab w:val="left" w:pos="2014" w:leader="none"/>
        </w:tabs>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33.8.1</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绿色数据中心政策 </w:t>
      </w:r>
      <w:r>
        <w:rPr>
          <w:rFonts w:hint="eastAsia" w:ascii="宋体" w:hAnsi="宋体"/>
          <w:b/>
          <w:bCs/>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依据《绿色数据中心政府采购需求标准（试行）》（财办库〔2023〕7 号）文件精神，采购</w:t>
      </w:r>
      <w:r>
        <w:rPr>
          <w:rFonts w:hint="eastAsia"/>
          <w:color w:val="000000"/>
          <w:sz w:val="24"/>
          <w:highlight w:val="none"/>
          <w:lang w:val="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highlight w:val="none"/>
          <w:lang w:val="zh-CN"/>
        </w:rPr>
      </w:r>
      <w:r/>
    </w:p>
    <w:p>
      <w:pPr>
        <w:pStyle w:val="853"/>
        <w:ind w:firstLine="482"/>
        <w:jc w:val="left"/>
        <w:spacing w:line="500" w:lineRule="exact"/>
        <w:tabs>
          <w:tab w:val="left" w:pos="1980" w:leader="none"/>
          <w:tab w:val="left" w:pos="2014" w:leader="none"/>
        </w:tabs>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33.8.2 推广应用绿色建材</w:t>
      </w:r>
      <w:r>
        <w:rPr>
          <w:rFonts w:hint="eastAsia" w:ascii="宋体" w:hAnsi="宋体"/>
          <w:b/>
          <w:bCs/>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lang w:val="zh-CN"/>
        </w:rPr>
      </w:r>
      <w:r/>
    </w:p>
    <w:p>
      <w:pPr>
        <w:pStyle w:val="853"/>
        <w:ind w:firstLine="482"/>
        <w:jc w:val="left"/>
        <w:spacing w:line="500" w:lineRule="exact"/>
        <w:tabs>
          <w:tab w:val="left" w:pos="1980" w:leader="none"/>
          <w:tab w:val="left" w:pos="2014" w:leader="none"/>
        </w:tabs>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33.8.3 优先使用低挥发性有机化合物产品</w:t>
      </w:r>
      <w:r>
        <w:rPr>
          <w:rFonts w:hint="eastAsia" w:ascii="宋体" w:hAnsi="宋体"/>
          <w:b/>
          <w:bCs/>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sz w:val="24"/>
          <w:highlight w:val="none"/>
          <w:lang w:val="zh-CN"/>
        </w:rPr>
      </w:r>
      <w:r/>
    </w:p>
    <w:p>
      <w:pPr>
        <w:pStyle w:val="853"/>
        <w:ind w:firstLine="482"/>
        <w:jc w:val="left"/>
        <w:spacing w:line="500" w:lineRule="exact"/>
        <w:tabs>
          <w:tab w:val="left" w:pos="1980" w:leader="none"/>
          <w:tab w:val="left" w:pos="2014" w:leader="none"/>
        </w:tabs>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33.9</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中小企业、监狱企业及残疾人福利性单位</w:t>
      </w:r>
      <w:r>
        <w:rPr>
          <w:rFonts w:hint="eastAsia" w:ascii="宋体" w:hAnsi="宋体"/>
          <w:b/>
          <w:bCs/>
          <w:color w:val="000000"/>
          <w:sz w:val="24"/>
          <w:highlight w:val="none"/>
          <w:lang w:val="zh-CN"/>
        </w:rPr>
      </w:r>
      <w:r/>
    </w:p>
    <w:p>
      <w:pPr>
        <w:pStyle w:val="853"/>
        <w:ind w:firstLine="482"/>
        <w:jc w:val="left"/>
        <w:spacing w:line="500" w:lineRule="exact"/>
        <w:tabs>
          <w:tab w:val="left" w:pos="1980" w:leader="none"/>
          <w:tab w:val="left" w:pos="2014" w:leader="none"/>
        </w:tabs>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33.9.1</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中小企业定义：</w:t>
      </w:r>
      <w:r>
        <w:rPr>
          <w:rFonts w:hint="eastAsia" w:ascii="宋体" w:hAnsi="宋体"/>
          <w:b/>
          <w:bCs/>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中小企业是</w:t>
      </w:r>
      <w:r>
        <w:rPr>
          <w:rFonts w:hint="eastAsia"/>
          <w:color w:val="000000"/>
          <w:sz w:val="24"/>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供应商提供的货物、工程或者服务符合下列情形的，享受中小企业扶持政策：</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（1）在货物采购项目中，货物由中小企业制造，即货物由中小企业生产且使用该中小企业商号或者注册商标；</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（2）在工程采购项目中，工程由中小企业承建，即工程施工单位为中小企业；</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（3）在服务采购项目中，服务由中小企业承接，即提供服务的人员为中小企业依照《中华人民共和国劳动合同法》订立劳动合同的从业人员。</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在货物采购项目中，供应商提供的货物既有中小企业制造货物，也有大型企业制造货物的，不享受中小企业扶持政策。</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color w:val="000000"/>
          <w:sz w:val="24"/>
          <w:highlight w:val="none"/>
          <w:lang w:val="zh-CN"/>
        </w:rPr>
      </w:r>
      <w:r/>
    </w:p>
    <w:p>
      <w:pPr>
        <w:pStyle w:val="853"/>
        <w:ind w:firstLine="482"/>
        <w:jc w:val="left"/>
        <w:spacing w:line="500" w:lineRule="exact"/>
        <w:tabs>
          <w:tab w:val="left" w:pos="1980" w:leader="none"/>
          <w:tab w:val="left" w:pos="2014" w:leader="none"/>
        </w:tabs>
        <w:rPr>
          <w:rFonts w:hint="eastAsia"/>
          <w:color w:val="000000"/>
          <w:sz w:val="24"/>
          <w:highlight w:val="none"/>
          <w:lang w:val="zh-CN"/>
        </w:rPr>
      </w:pPr>
      <w:r>
        <w:rPr>
          <w:rFonts w:hint="eastAsia" w:ascii="宋体" w:hAnsi="宋体"/>
          <w:b/>
          <w:bCs/>
          <w:color w:val="000000"/>
          <w:sz w:val="24"/>
          <w:highlight w:val="none"/>
          <w:lang w:val="zh-CN"/>
        </w:rPr>
        <w:t xml:space="preserve">33.9.2</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监狱企业定义：</w:t>
      </w:r>
      <w:r>
        <w:rPr>
          <w:rFonts w:hint="eastAsia"/>
          <w:color w:val="000000"/>
          <w:sz w:val="24"/>
          <w:highlight w:val="none"/>
          <w:lang w:val="zh-CN"/>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color w:val="000000"/>
          <w:sz w:val="24"/>
          <w:highlight w:val="none"/>
          <w:lang w:val="zh-CN"/>
        </w:rPr>
      </w:r>
      <w:r/>
    </w:p>
    <w:p>
      <w:pPr>
        <w:pStyle w:val="853"/>
        <w:ind w:firstLine="482"/>
        <w:jc w:val="left"/>
        <w:spacing w:line="500" w:lineRule="exact"/>
        <w:tabs>
          <w:tab w:val="left" w:pos="1980" w:leader="none"/>
          <w:tab w:val="left" w:pos="2014" w:leader="none"/>
        </w:tabs>
        <w:rPr>
          <w:rFonts w:hint="eastAsia"/>
          <w:color w:val="000000"/>
          <w:sz w:val="24"/>
          <w:highlight w:val="none"/>
          <w:lang w:val="zh-CN"/>
        </w:rPr>
      </w:pPr>
      <w:r>
        <w:rPr>
          <w:rFonts w:hint="eastAsia" w:ascii="宋体" w:hAnsi="宋体"/>
          <w:b/>
          <w:bCs/>
          <w:color w:val="000000"/>
          <w:sz w:val="24"/>
          <w:highlight w:val="none"/>
          <w:lang w:val="zh-CN"/>
        </w:rPr>
        <w:t xml:space="preserve">33.9.3</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残疾人福利单位定义：</w:t>
      </w:r>
      <w:r>
        <w:rPr>
          <w:rFonts w:hint="eastAsia"/>
          <w:color w:val="000000"/>
          <w:sz w:val="24"/>
          <w:highlight w:val="none"/>
          <w:lang w:val="zh-CN"/>
        </w:rPr>
        <w:t xml:space="preserve">享受政府采购支持政策的残疾人福利性单位应当同时满足以下条件：</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（1）安置的残疾人占本单位在职职工人数的比例不低于25%（含25%），并且安置的残疾人人数不少于10 人（含10 人）；</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（2）依法与安置的每位残疾人签订了一年以上（含一年）的劳动合同或服务协议；</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（3）为安置的每位残疾人按月足额缴纳了基本养老保险、基本医疗保险、失业保险、工伤保险和生育保险等社会保险费；</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（4）通过银行等金融机构向安置的每位残疾人，按月支付了不低于单位所在区县适用的经省级人民政府批准的月最低工资标准的工资；</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33.9.4</w:t>
      </w:r>
      <w:r>
        <w:rPr>
          <w:rFonts w:hint="eastAsia"/>
          <w:color w:val="000000"/>
          <w:sz w:val="24"/>
          <w:highlight w:val="none"/>
        </w:rPr>
        <w:t xml:space="preserve"> </w:t>
      </w:r>
      <w:r>
        <w:rPr>
          <w:rFonts w:hint="eastAsia"/>
          <w:color w:val="000000"/>
          <w:sz w:val="24"/>
          <w:highlight w:val="none"/>
          <w:lang w:val="zh-CN"/>
        </w:rPr>
        <w:t xml:space="preserve">本项目是否专门面向中小企业预留采购份额见第一章《投标邀请》。</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33.9.5</w:t>
      </w:r>
      <w:r>
        <w:rPr>
          <w:rFonts w:hint="eastAsia"/>
          <w:color w:val="000000"/>
          <w:sz w:val="24"/>
          <w:highlight w:val="none"/>
        </w:rPr>
        <w:t xml:space="preserve"> </w:t>
      </w:r>
      <w:r>
        <w:rPr>
          <w:rFonts w:hint="eastAsia"/>
          <w:color w:val="000000"/>
          <w:sz w:val="24"/>
          <w:highlight w:val="none"/>
          <w:lang w:val="zh-CN"/>
        </w:rPr>
        <w:t xml:space="preserve">采购标的对应的中小企业划分标准所属行业见《投标人须知资料表》。</w:t>
      </w:r>
      <w:r>
        <w:rPr>
          <w:rFonts w:hint="eastAsia"/>
          <w:color w:val="000000"/>
          <w:sz w:val="24"/>
          <w:highlight w:val="none"/>
          <w:lang w:val="zh-CN"/>
        </w:rPr>
      </w:r>
      <w:r/>
    </w:p>
    <w:p>
      <w:pPr>
        <w:pStyle w:val="853"/>
        <w:ind w:firstLine="480"/>
        <w:jc w:val="left"/>
        <w:spacing w:line="500" w:lineRule="exact"/>
        <w:tabs>
          <w:tab w:val="left" w:pos="1980" w:leader="none"/>
          <w:tab w:val="left" w:pos="2014" w:leader="none"/>
        </w:tabs>
        <w:rPr>
          <w:rFonts w:hint="eastAsia"/>
          <w:color w:val="000000"/>
          <w:sz w:val="24"/>
          <w:highlight w:val="none"/>
          <w:lang w:val="zh-CN"/>
        </w:rPr>
      </w:pPr>
      <w:r>
        <w:rPr>
          <w:rFonts w:hint="eastAsia"/>
          <w:color w:val="000000"/>
          <w:sz w:val="24"/>
          <w:highlight w:val="none"/>
          <w:lang w:val="zh-CN"/>
        </w:rPr>
        <w:t xml:space="preserve">33.9.6</w:t>
      </w:r>
      <w:r>
        <w:rPr>
          <w:rFonts w:hint="eastAsia"/>
          <w:color w:val="000000"/>
          <w:sz w:val="24"/>
          <w:highlight w:val="none"/>
        </w:rPr>
        <w:t xml:space="preserve"> </w:t>
      </w:r>
      <w:r>
        <w:rPr>
          <w:rFonts w:hint="eastAsia"/>
          <w:color w:val="000000"/>
          <w:sz w:val="24"/>
          <w:highlight w:val="none"/>
          <w:lang w:val="zh-CN"/>
        </w:rPr>
        <w:t xml:space="preserve">小微企业价格评审优惠的政策调整：见第四章《评标程序、评标方法和评标标准》。</w:t>
      </w:r>
      <w:r>
        <w:rPr>
          <w:rFonts w:hint="eastAsia"/>
          <w:color w:val="000000"/>
          <w:sz w:val="24"/>
          <w:highlight w:val="none"/>
          <w:lang w:val="zh-CN"/>
        </w:rPr>
      </w:r>
      <w:r/>
    </w:p>
    <w:p>
      <w:pPr>
        <w:pStyle w:val="853"/>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33.10政府采购中实施本国产品标准及相关政策</w:t>
      </w:r>
      <w:r>
        <w:rPr>
          <w:rFonts w:hint="eastAsia" w:ascii="宋体" w:hAnsi="宋体"/>
          <w:b/>
          <w:bCs/>
          <w:color w:val="000000"/>
          <w:sz w:val="24"/>
          <w:highlight w:val="none"/>
        </w:rPr>
      </w:r>
      <w:r/>
    </w:p>
    <w:p>
      <w:pPr>
        <w:pStyle w:val="853"/>
        <w:ind w:firstLine="480"/>
        <w:jc w:val="left"/>
        <w:spacing w:line="500" w:lineRule="exact"/>
        <w:tabs>
          <w:tab w:val="left" w:pos="1980" w:leader="none"/>
          <w:tab w:val="left" w:pos="2014" w:leader="none"/>
        </w:tabs>
        <w:rPr>
          <w:color w:val="000000"/>
          <w:sz w:val="24"/>
          <w:highlight w:val="none"/>
        </w:rPr>
      </w:pPr>
      <w:r>
        <w:rPr>
          <w:rFonts w:hint="eastAsia"/>
          <w:color w:val="000000"/>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color w:val="000000"/>
          <w:sz w:val="24"/>
          <w:highlight w:val="none"/>
        </w:rPr>
      </w:r>
      <w:r/>
    </w:p>
    <w:p>
      <w:pPr>
        <w:pStyle w:val="853"/>
        <w:ind w:firstLine="420"/>
        <w:rPr>
          <w:rFonts w:hint="eastAsia"/>
          <w:color w:val="000000"/>
          <w:szCs w:val="21"/>
          <w:highlight w:val="none"/>
        </w:rPr>
      </w:pPr>
      <w:r>
        <w:rPr>
          <w:rFonts w:hint="eastAsia"/>
          <w:color w:val="000000"/>
          <w:szCs w:val="21"/>
          <w:highlight w:val="none"/>
        </w:rPr>
      </w:r>
      <w:r/>
    </w:p>
    <w:p>
      <w:pPr>
        <w:pStyle w:val="933"/>
        <w:rPr>
          <w:color w:val="000000"/>
          <w:highlight w:val="none"/>
        </w:rPr>
      </w:pPr>
      <w:r>
        <w:rPr>
          <w:color w:val="000000"/>
          <w:highlight w:val="none"/>
        </w:rPr>
      </w:r>
      <w:r/>
    </w:p>
    <w:p>
      <w:pPr>
        <w:pStyle w:val="853"/>
        <w:jc w:val="center"/>
        <w:spacing w:line="360" w:lineRule="auto"/>
        <w:rPr>
          <w:rFonts w:hint="eastAsia"/>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第三章  </w:t>
      </w:r>
      <w:bookmarkEnd w:id="110"/>
      <w:r/>
      <w:bookmarkEnd w:id="111"/>
      <w:r/>
      <w:bookmarkEnd w:id="113"/>
      <w:r/>
      <w:bookmarkEnd w:id="114"/>
      <w:r/>
      <w:bookmarkEnd w:id="115"/>
      <w:r/>
      <w:bookmarkEnd w:id="116"/>
      <w:r/>
      <w:bookmarkEnd w:id="117"/>
      <w:r/>
      <w:bookmarkEnd w:id="118"/>
      <w:r/>
      <w:bookmarkEnd w:id="119"/>
      <w:r/>
      <w:bookmarkEnd w:id="120"/>
      <w:r/>
      <w:bookmarkEnd w:id="121"/>
      <w:r/>
      <w:bookmarkEnd w:id="122"/>
      <w:r/>
      <w:bookmarkEnd w:id="123"/>
      <w:r>
        <w:rPr>
          <w:b/>
          <w:color w:val="000000"/>
          <w:sz w:val="36"/>
          <w:szCs w:val="36"/>
          <w:highlight w:val="none"/>
        </w:rPr>
        <w:t xml:space="preserve">资格审查</w:t>
      </w:r>
      <w:bookmarkEnd w:id="112"/>
      <w:r/>
      <w:bookmarkStart w:id="241" w:name="_Toc487900382"/>
      <w:r>
        <w:rPr>
          <w:rFonts w:hint="eastAsia"/>
          <w:b/>
          <w:color w:val="000000"/>
          <w:sz w:val="36"/>
          <w:szCs w:val="36"/>
          <w:highlight w:val="none"/>
        </w:rPr>
      </w:r>
      <w:r/>
    </w:p>
    <w:p>
      <w:pPr>
        <w:pStyle w:val="853"/>
        <w:ind w:firstLine="2891"/>
        <w:spacing w:line="360" w:lineRule="auto"/>
        <w:tabs>
          <w:tab w:val="left" w:pos="360" w:leader="none"/>
          <w:tab w:val="left" w:pos="900" w:leader="none"/>
        </w:tabs>
        <w:rPr>
          <w:b/>
          <w:color w:val="000000"/>
          <w:sz w:val="32"/>
          <w:szCs w:val="32"/>
          <w:highlight w:val="none"/>
        </w:rPr>
        <w:outlineLvl w:val="1"/>
      </w:pPr>
      <w:r/>
      <w:bookmarkStart w:id="242"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2"/>
      <w:r>
        <w:rPr>
          <w:b/>
          <w:color w:val="000000"/>
          <w:sz w:val="32"/>
          <w:szCs w:val="32"/>
          <w:highlight w:val="none"/>
        </w:rPr>
      </w:r>
      <w:r/>
    </w:p>
    <w:p>
      <w:pPr>
        <w:pStyle w:val="85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85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5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85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853"/>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2"/>
        <w:gridCol w:w="4824"/>
        <w:gridCol w:w="1638"/>
      </w:tblGrid>
      <w:tr>
        <w:trPr>
          <w:cantSplit/>
          <w:trHeight w:val="468"/>
          <w:tblHeader/>
        </w:trPr>
        <w:tc>
          <w:tcPr>
            <w:tcW w:w="454" w:type="dxa"/>
            <w:vAlign w:val="center"/>
            <w:textDirection w:val="lrTb"/>
            <w:noWrap w:val="false"/>
          </w:tcPr>
          <w:p>
            <w:pPr>
              <w:pStyle w:val="853"/>
              <w:jc w:val="center"/>
              <w:tabs>
                <w:tab w:val="left" w:pos="1080" w:leader="none"/>
              </w:tabs>
              <w:rPr>
                <w:b/>
                <w:color w:val="000000"/>
                <w:sz w:val="24"/>
                <w:highlight w:val="none"/>
              </w:rPr>
            </w:pPr>
            <w:r/>
            <w:bookmarkStart w:id="243" w:name="_Hlt487972895"/>
            <w:r/>
            <w:bookmarkEnd w:id="243"/>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853"/>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7" w:type="dxa"/>
            <w:vAlign w:val="center"/>
            <w:textDirection w:val="lrTb"/>
            <w:noWrap w:val="false"/>
          </w:tcPr>
          <w:p>
            <w:pPr>
              <w:pStyle w:val="853"/>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2" w:type="dxa"/>
            <w:vAlign w:val="center"/>
            <w:textDirection w:val="lrTb"/>
            <w:noWrap w:val="false"/>
          </w:tcPr>
          <w:p>
            <w:pPr>
              <w:pStyle w:val="853"/>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853"/>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853"/>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7" w:type="dxa"/>
            <w:vAlign w:val="center"/>
            <w:textDirection w:val="lrTb"/>
            <w:noWrap w:val="false"/>
          </w:tcPr>
          <w:p>
            <w:pPr>
              <w:pStyle w:val="853"/>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2" w:type="dxa"/>
            <w:vAlign w:val="center"/>
            <w:textDirection w:val="lrTb"/>
            <w:noWrap w:val="false"/>
          </w:tcPr>
          <w:p>
            <w:pPr>
              <w:pStyle w:val="853"/>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4" w:type="dxa"/>
            <w:vAlign w:val="center"/>
            <w:textDirection w:val="lrTb"/>
            <w:noWrap w:val="false"/>
          </w:tcPr>
          <w:p>
            <w:pPr>
              <w:pStyle w:val="853"/>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067" w:type="dxa"/>
            <w:vAlign w:val="center"/>
            <w:textDirection w:val="lrTb"/>
            <w:noWrap w:val="false"/>
          </w:tcPr>
          <w:p>
            <w:pPr>
              <w:pStyle w:val="853"/>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2597" w:type="dxa"/>
            <w:vAlign w:val="center"/>
            <w:textDirection w:val="lrTb"/>
            <w:noWrap w:val="false"/>
          </w:tcPr>
          <w:p>
            <w:pPr>
              <w:pStyle w:val="853"/>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882"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4" w:type="dxa"/>
            <w:vAlign w:val="center"/>
            <w:textDirection w:val="lrTb"/>
            <w:noWrap w:val="false"/>
          </w:tcPr>
          <w:p>
            <w:pPr>
              <w:pStyle w:val="853"/>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067" w:type="dxa"/>
            <w:vAlign w:val="center"/>
            <w:textDirection w:val="lrTb"/>
            <w:noWrap w:val="false"/>
          </w:tcPr>
          <w:p>
            <w:pPr>
              <w:pStyle w:val="853"/>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2597" w:type="dxa"/>
            <w:vAlign w:val="center"/>
            <w:textDirection w:val="lrTb"/>
            <w:noWrap w:val="false"/>
          </w:tcPr>
          <w:p>
            <w:pPr>
              <w:pStyle w:val="853"/>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882"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4" w:type="dxa"/>
            <w:vAlign w:val="center"/>
            <w:textDirection w:val="lrTb"/>
            <w:noWrap w:val="false"/>
          </w:tcPr>
          <w:p>
            <w:pPr>
              <w:pStyle w:val="853"/>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7"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7" w:type="dxa"/>
            <w:vAlign w:val="center"/>
            <w:textDirection w:val="lrTb"/>
            <w:noWrap w:val="false"/>
          </w:tcPr>
          <w:p>
            <w:pPr>
              <w:pStyle w:val="853"/>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53"/>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53"/>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853"/>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882"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454" w:type="dxa"/>
            <w:vAlign w:val="center"/>
            <w:textDirection w:val="lrTb"/>
            <w:noWrap w:val="false"/>
          </w:tcPr>
          <w:p>
            <w:pPr>
              <w:pStyle w:val="853"/>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7" w:type="dxa"/>
            <w:vAlign w:val="center"/>
            <w:textDirection w:val="lrTb"/>
            <w:noWrap w:val="false"/>
          </w:tcPr>
          <w:p>
            <w:pPr>
              <w:pStyle w:val="853"/>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7" w:type="dxa"/>
            <w:vAlign w:val="center"/>
            <w:textDirection w:val="lrTb"/>
            <w:noWrap w:val="false"/>
          </w:tcPr>
          <w:p>
            <w:pPr>
              <w:pStyle w:val="853"/>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2"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4" w:type="dxa"/>
            <w:vAlign w:val="center"/>
            <w:textDirection w:val="lrTb"/>
            <w:noWrap w:val="false"/>
          </w:tcPr>
          <w:p>
            <w:pPr>
              <w:pStyle w:val="853"/>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7"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7" w:type="dxa"/>
            <w:vAlign w:val="center"/>
            <w:textDirection w:val="lrTb"/>
            <w:noWrap w:val="false"/>
          </w:tcPr>
          <w:p>
            <w:pPr>
              <w:pStyle w:val="853"/>
              <w:tabs>
                <w:tab w:val="left" w:pos="1080" w:leader="none"/>
              </w:tabs>
              <w:rPr>
                <w:rFonts w:hint="eastAsia"/>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rFonts w:hint="eastAsia"/>
                <w:color w:val="000000"/>
                <w:sz w:val="24"/>
                <w:highlight w:val="none"/>
              </w:rPr>
            </w:r>
            <w:r/>
          </w:p>
        </w:tc>
        <w:tc>
          <w:tcPr>
            <w:tcW w:w="882" w:type="dxa"/>
            <w:vAlign w:val="center"/>
            <w:textDirection w:val="lrTb"/>
            <w:noWrap w:val="false"/>
          </w:tcPr>
          <w:p>
            <w:pPr>
              <w:pStyle w:val="853"/>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454" w:type="dxa"/>
            <w:vAlign w:val="center"/>
            <w:textDirection w:val="lrTb"/>
            <w:noWrap w:val="false"/>
          </w:tcPr>
          <w:p>
            <w:pPr>
              <w:pStyle w:val="853"/>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067"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7" w:type="dxa"/>
            <w:vAlign w:val="center"/>
            <w:textDirection w:val="lrTb"/>
            <w:noWrap w:val="false"/>
          </w:tcPr>
          <w:p>
            <w:pPr>
              <w:pStyle w:val="853"/>
              <w:tabs>
                <w:tab w:val="left" w:pos="1080" w:leader="none"/>
              </w:tabs>
              <w:rPr>
                <w:rFonts w:hint="eastAsia"/>
                <w:color w:val="000000"/>
                <w:sz w:val="24"/>
                <w:highlight w:val="none"/>
              </w:rPr>
            </w:pPr>
            <w:r>
              <w:rPr>
                <w:rFonts w:hint="eastAsia"/>
                <w:color w:val="000000"/>
                <w:sz w:val="24"/>
                <w:highlight w:val="none"/>
              </w:rPr>
              <w:t xml:space="preserve">详见《第一章   投标邀请》</w:t>
            </w:r>
            <w:r>
              <w:rPr>
                <w:rFonts w:hint="eastAsia"/>
                <w:color w:val="000000"/>
                <w:sz w:val="24"/>
                <w:highlight w:val="none"/>
              </w:rPr>
            </w:r>
            <w:r/>
          </w:p>
        </w:tc>
        <w:tc>
          <w:tcPr>
            <w:tcW w:w="882" w:type="dxa"/>
            <w:vAlign w:val="center"/>
            <w:textDirection w:val="lrTb"/>
            <w:noWrap w:val="false"/>
          </w:tcPr>
          <w:p>
            <w:pPr>
              <w:pStyle w:val="853"/>
              <w:tabs>
                <w:tab w:val="left" w:pos="1080" w:leader="none"/>
              </w:tabs>
              <w:rPr>
                <w:rFonts w:hint="eastAsia"/>
                <w:color w:val="000000"/>
                <w:sz w:val="24"/>
                <w:highlight w:val="none"/>
              </w:rPr>
            </w:pPr>
            <w:r>
              <w:rPr>
                <w:rFonts w:hint="eastAsia"/>
                <w:color w:val="000000"/>
                <w:sz w:val="24"/>
                <w:highlight w:val="none"/>
              </w:rPr>
            </w:r>
            <w:r/>
          </w:p>
        </w:tc>
      </w:tr>
      <w:tr>
        <w:trPr>
          <w:cantSplit/>
          <w:trHeight w:val="4548"/>
        </w:trPr>
        <w:tc>
          <w:tcPr>
            <w:tcW w:w="454" w:type="dxa"/>
            <w:vAlign w:val="center"/>
            <w:textDirection w:val="lrTb"/>
            <w:noWrap w:val="false"/>
          </w:tcPr>
          <w:p>
            <w:pPr>
              <w:pStyle w:val="853"/>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7" w:type="dxa"/>
            <w:vAlign w:val="center"/>
            <w:textDirection w:val="lrTb"/>
            <w:noWrap w:val="false"/>
          </w:tcPr>
          <w:p>
            <w:pPr>
              <w:pStyle w:val="853"/>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2597"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853"/>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853"/>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853"/>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853"/>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853"/>
              <w:tabs>
                <w:tab w:val="left" w:pos="1080" w:leader="none"/>
              </w:tabs>
              <w:rPr>
                <w:color w:val="000000"/>
                <w:sz w:val="24"/>
                <w:highlight w:val="none"/>
              </w:rPr>
            </w:pPr>
            <w:r>
              <w:rPr>
                <w:color w:val="000000"/>
                <w:sz w:val="24"/>
                <w:highlight w:val="none"/>
              </w:rPr>
              <w:t xml:space="preserve">6、若联合体中任一成员单位中途退出，则该联合体的投标无效。</w:t>
            </w:r>
            <w:r>
              <w:rPr>
                <w:color w:val="000000"/>
                <w:sz w:val="24"/>
                <w:highlight w:val="none"/>
              </w:rPr>
            </w:r>
            <w:r/>
          </w:p>
          <w:p>
            <w:pPr>
              <w:pStyle w:val="853"/>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882" w:type="dxa"/>
            <w:vAlign w:val="center"/>
            <w:textDirection w:val="lrTb"/>
            <w:noWrap w:val="false"/>
          </w:tcPr>
          <w:p>
            <w:pPr>
              <w:pStyle w:val="853"/>
              <w:tabs>
                <w:tab w:val="left" w:pos="1080" w:leader="none"/>
              </w:tabs>
              <w:rPr>
                <w:color w:val="000000"/>
                <w:sz w:val="24"/>
                <w:highlight w:val="none"/>
              </w:rPr>
            </w:pPr>
            <w:r>
              <w:rPr>
                <w:color w:val="000000"/>
                <w:sz w:val="24"/>
                <w:highlight w:val="none"/>
              </w:rPr>
              <w:t xml:space="preserve">格式见《投标文件格式》 </w:t>
            </w:r>
            <w:r>
              <w:rPr>
                <w:color w:val="000000"/>
                <w:sz w:val="24"/>
                <w:highlight w:val="none"/>
              </w:rPr>
            </w:r>
            <w:r/>
          </w:p>
        </w:tc>
      </w:tr>
    </w:tbl>
    <w:p>
      <w:pPr>
        <w:pStyle w:val="920"/>
        <w:ind w:firstLine="0"/>
        <w:tabs>
          <w:tab w:val="left" w:pos="567" w:leader="none"/>
        </w:tabs>
        <w:rPr>
          <w:rFonts w:hint="eastAsia"/>
          <w:color w:val="000000"/>
          <w:highlight w:val="none"/>
        </w:rPr>
      </w:pPr>
      <w:r/>
      <w:bookmarkEnd w:id="241"/>
      <w:r/>
      <w:bookmarkStart w:id="244" w:name="_Toc127161490"/>
      <w:r/>
      <w:bookmarkStart w:id="245" w:name="_Toc127151779"/>
      <w:r/>
      <w:bookmarkStart w:id="246" w:name="_Toc353825550"/>
      <w:r/>
      <w:bookmarkStart w:id="247" w:name="_Toc353873940"/>
      <w:r/>
      <w:bookmarkStart w:id="248" w:name="_Toc226965858"/>
      <w:r>
        <w:rPr>
          <w:rFonts w:hint="eastAsia"/>
          <w:color w:val="000000"/>
          <w:highlight w:val="none"/>
        </w:rPr>
      </w:r>
      <w:r/>
    </w:p>
    <w:p>
      <w:pPr>
        <w:pStyle w:val="920"/>
        <w:ind w:firstLine="240"/>
        <w:tabs>
          <w:tab w:val="left" w:pos="567" w:leader="none"/>
        </w:tabs>
        <w:rPr>
          <w:rFonts w:hint="eastAsia"/>
          <w:color w:val="000000"/>
          <w:highlight w:val="none"/>
        </w:rPr>
      </w:pPr>
      <w:r>
        <w:rPr>
          <w:rFonts w:hint="eastAsia"/>
          <w:color w:val="000000"/>
          <w:highlight w:val="none"/>
        </w:rPr>
      </w:r>
      <w:r/>
    </w:p>
    <w:p>
      <w:pPr>
        <w:pStyle w:val="853"/>
        <w:jc w:val="center"/>
        <w:spacing w:line="360" w:lineRule="auto"/>
        <w:rPr>
          <w:b/>
          <w:color w:val="000000"/>
          <w:sz w:val="36"/>
          <w:szCs w:val="36"/>
          <w:highlight w:val="none"/>
        </w:rPr>
        <w:outlineLvl w:val="0"/>
      </w:pPr>
      <w:r/>
      <w:bookmarkStart w:id="249" w:name="_Toc99301423"/>
      <w:r>
        <w:rPr>
          <w:b/>
          <w:color w:val="000000"/>
          <w:sz w:val="36"/>
          <w:szCs w:val="36"/>
          <w:highlight w:val="none"/>
        </w:rPr>
        <w:br w:type="page" w:clear="all"/>
      </w:r>
      <w:r>
        <w:rPr>
          <w:b/>
          <w:color w:val="000000"/>
          <w:sz w:val="36"/>
          <w:szCs w:val="36"/>
          <w:highlight w:val="none"/>
        </w:rPr>
        <w:t xml:space="preserve">第四章   </w:t>
      </w:r>
      <w:bookmarkEnd w:id="244"/>
      <w:r/>
      <w:bookmarkEnd w:id="245"/>
      <w:r/>
      <w:bookmarkEnd w:id="246"/>
      <w:r/>
      <w:bookmarkEnd w:id="247"/>
      <w:r/>
      <w:bookmarkEnd w:id="248"/>
      <w:r/>
      <w:bookmarkStart w:id="250" w:name="_Hlt164229061"/>
      <w:r/>
      <w:bookmarkEnd w:id="250"/>
      <w:r>
        <w:rPr>
          <w:b/>
          <w:color w:val="000000"/>
          <w:sz w:val="36"/>
          <w:szCs w:val="36"/>
          <w:highlight w:val="none"/>
        </w:rPr>
        <w:t xml:space="preserve">评标程序、评标方法和评标标准</w:t>
      </w:r>
      <w:bookmarkEnd w:id="249"/>
      <w:r>
        <w:rPr>
          <w:b/>
          <w:color w:val="000000"/>
          <w:sz w:val="36"/>
          <w:szCs w:val="36"/>
          <w:highlight w:val="none"/>
        </w:rPr>
      </w:r>
      <w:r/>
    </w:p>
    <w:p>
      <w:pPr>
        <w:pStyle w:val="853"/>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853"/>
        <w:ind w:firstLine="480"/>
        <w:spacing w:line="360" w:lineRule="auto"/>
        <w:tabs>
          <w:tab w:val="left" w:pos="360" w:leader="none"/>
        </w:tabs>
        <w:rPr>
          <w:color w:val="000000"/>
          <w:sz w:val="24"/>
          <w:highlight w:val="none"/>
        </w:rPr>
        <w:outlineLvl w:val="1"/>
      </w:pPr>
      <w:r/>
      <w:bookmarkStart w:id="251" w:name="_Toc353825551"/>
      <w:r/>
      <w:bookmarkStart w:id="252"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3" w:name="_Toc520356167"/>
      <w:r>
        <w:rPr>
          <w:color w:val="000000"/>
          <w:sz w:val="24"/>
          <w:highlight w:val="none"/>
        </w:rPr>
      </w:r>
      <w:r/>
    </w:p>
    <w:p>
      <w:pPr>
        <w:pStyle w:val="853"/>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3"/>
      <w:r>
        <w:rPr>
          <w:rFonts w:hint="eastAsia"/>
          <w:color w:val="000000"/>
          <w:sz w:val="24"/>
          <w:highlight w:val="none"/>
        </w:rPr>
        <w:t xml:space="preserve">的，投标无效。</w:t>
      </w:r>
      <w:r>
        <w:rPr>
          <w:color w:val="000000"/>
          <w:sz w:val="24"/>
          <w:highlight w:val="none"/>
        </w:rPr>
      </w:r>
      <w:r/>
    </w:p>
    <w:p>
      <w:pPr>
        <w:pStyle w:val="933"/>
        <w:rPr>
          <w:color w:val="000000"/>
          <w:highlight w:val="none"/>
        </w:rPr>
      </w:pPr>
      <w:r>
        <w:rPr>
          <w:color w:val="000000"/>
          <w:highlight w:val="none"/>
        </w:rPr>
      </w:r>
      <w:r/>
    </w:p>
    <w:p>
      <w:pPr>
        <w:pStyle w:val="853"/>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933"/>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757"/>
        <w:gridCol w:w="4464"/>
        <w:gridCol w:w="2169"/>
      </w:tblGrid>
      <w:tr>
        <w:trPr>
          <w:trHeight w:val="300"/>
        </w:trPr>
        <w:tc>
          <w:tcPr>
            <w:tcW w:w="480" w:type="dxa"/>
            <w:vAlign w:val="center"/>
            <w:textDirection w:val="lrTb"/>
            <w:noWrap w:val="false"/>
          </w:tcPr>
          <w:p>
            <w:pPr>
              <w:pStyle w:val="85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85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4" w:type="dxa"/>
            <w:vAlign w:val="center"/>
            <w:textDirection w:val="lrTb"/>
            <w:noWrap w:val="false"/>
          </w:tcPr>
          <w:p>
            <w:pPr>
              <w:pStyle w:val="85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8" w:type="dxa"/>
            <w:vAlign w:val="center"/>
            <w:textDirection w:val="lrTb"/>
            <w:noWrap w:val="false"/>
          </w:tcPr>
          <w:p>
            <w:pPr>
              <w:pStyle w:val="853"/>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853"/>
              <w:jc w:val="left"/>
              <w:widowControl/>
              <w:rPr>
                <w:rFonts w:hint="eastAsia"/>
                <w:color w:val="000000"/>
                <w:sz w:val="24"/>
                <w:highlight w:val="none"/>
              </w:rPr>
            </w:pPr>
            <w:r>
              <w:rPr>
                <w:color w:val="000000"/>
                <w:sz w:val="24"/>
                <w:highlight w:val="none"/>
              </w:rPr>
              <w:t xml:space="preserve">格式见《投标文件格式》</w:t>
            </w:r>
            <w:r>
              <w:rPr>
                <w:rFonts w:hint="eastAsia"/>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2404" w:type="dxa"/>
            <w:vAlign w:val="center"/>
            <w:textDirection w:val="lrTb"/>
            <w:noWrap w:val="false"/>
          </w:tcPr>
          <w:p>
            <w:pPr>
              <w:pStyle w:val="853"/>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8" w:type="dxa"/>
            <w:vAlign w:val="center"/>
            <w:textDirection w:val="lrTb"/>
            <w:noWrap w:val="false"/>
          </w:tcPr>
          <w:p>
            <w:pPr>
              <w:pStyle w:val="853"/>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168" w:type="dxa"/>
            <w:vAlign w:val="center"/>
            <w:textDirection w:val="lrTb"/>
            <w:noWrap w:val="false"/>
          </w:tcPr>
          <w:p>
            <w:pPr>
              <w:pStyle w:val="85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8" w:type="dxa"/>
            <w:vAlign w:val="center"/>
            <w:textDirection w:val="lrTb"/>
            <w:noWrap w:val="false"/>
          </w:tcPr>
          <w:p>
            <w:pPr>
              <w:pStyle w:val="85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12</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4" w:type="dxa"/>
            <w:vAlign w:val="center"/>
            <w:textDirection w:val="lrTb"/>
            <w:noWrap w:val="false"/>
          </w:tcPr>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实施政府采购异常低价审查的有关要求：具体按照财库〔2026〕2号《关于推动解决政府采购异常低价问题的通知》要求：</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（一）政府采购评审中出现下列情形之一的，评审委员会应当启动异常低价投标（响应）审查程序：</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3.投标（响应）报价低于采购项目最高限价45%的，即投标（响应）报价&lt;采购项目最高限价×45%；</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采购人可以结合具体项目实际情况，提高上述第1项至第3项中启动异常低价投标（响应）审查的数值标准，但是最高不得超过65%。</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53"/>
              <w:jc w:val="left"/>
              <w:widowControl/>
              <w:rPr>
                <w:rFonts w:hint="eastAsia" w:ascii="宋体" w:hAnsi="宋体"/>
                <w:color w:val="000000"/>
                <w:sz w:val="24"/>
                <w:highlight w:val="none"/>
              </w:rPr>
            </w:pPr>
            <w:r>
              <w:rPr>
                <w:rFonts w:hint="eastAsia" w:ascii="宋体" w:hAnsi="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olor w:val="000000"/>
                <w:sz w:val="24"/>
                <w:highlight w:val="none"/>
              </w:rPr>
            </w:r>
            <w:r/>
          </w:p>
          <w:p>
            <w:pPr>
              <w:pStyle w:val="853"/>
              <w:jc w:val="left"/>
              <w:widowControl/>
              <w:rPr>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13</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53"/>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168" w:type="dxa"/>
            <w:vAlign w:val="center"/>
            <w:textDirection w:val="lrTb"/>
            <w:noWrap w:val="false"/>
          </w:tcPr>
          <w:p>
            <w:pPr>
              <w:pStyle w:val="853"/>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14</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53"/>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853"/>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853"/>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c>
          <w:tcPr>
            <w:tcW w:w="1168" w:type="dxa"/>
            <w:vAlign w:val="center"/>
            <w:textDirection w:val="lrTb"/>
            <w:noWrap w:val="false"/>
          </w:tcPr>
          <w:p>
            <w:pPr>
              <w:pStyle w:val="85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15</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color w:val="000000"/>
                <w:sz w:val="24"/>
                <w:highlight w:val="none"/>
              </w:rPr>
              <w:t xml:space="preserve">16</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85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853"/>
              <w:jc w:val="center"/>
              <w:widowControl/>
              <w:rPr>
                <w:color w:val="000000"/>
                <w:sz w:val="24"/>
                <w:highlight w:val="none"/>
              </w:rPr>
            </w:pPr>
            <w:r>
              <w:rPr>
                <w:rFonts w:hint="eastAsia"/>
                <w:color w:val="000000"/>
                <w:sz w:val="24"/>
                <w:highlight w:val="none"/>
              </w:rPr>
              <w:t xml:space="preserve">17</w:t>
            </w:r>
            <w:r>
              <w:rPr>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853"/>
              <w:jc w:val="center"/>
              <w:widowControl/>
              <w:rPr>
                <w:rFonts w:hint="eastAsia"/>
                <w:color w:val="000000"/>
                <w:sz w:val="24"/>
                <w:highlight w:val="none"/>
              </w:rPr>
            </w:pPr>
            <w:r>
              <w:rPr>
                <w:rFonts w:hint="eastAsia"/>
                <w:color w:val="000000"/>
                <w:sz w:val="24"/>
                <w:highlight w:val="none"/>
              </w:rPr>
              <w:t xml:space="preserve">18</w:t>
            </w:r>
            <w:r>
              <w:rPr>
                <w:rFonts w:hint="eastAsia"/>
                <w:color w:val="000000"/>
                <w:sz w:val="24"/>
                <w:highlight w:val="none"/>
              </w:rPr>
            </w:r>
            <w:r/>
          </w:p>
        </w:tc>
        <w:tc>
          <w:tcPr>
            <w:tcW w:w="946" w:type="dxa"/>
            <w:vAlign w:val="center"/>
            <w:textDirection w:val="lrTb"/>
            <w:noWrap w:val="false"/>
          </w:tcPr>
          <w:p>
            <w:pPr>
              <w:pStyle w:val="85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4" w:type="dxa"/>
            <w:vAlign w:val="center"/>
            <w:textDirection w:val="lrTb"/>
            <w:noWrap w:val="false"/>
          </w:tcPr>
          <w:p>
            <w:pPr>
              <w:pStyle w:val="853"/>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168" w:type="dxa"/>
            <w:vAlign w:val="center"/>
            <w:textDirection w:val="lrTb"/>
            <w:noWrap w:val="false"/>
          </w:tcPr>
          <w:p>
            <w:pPr>
              <w:pStyle w:val="853"/>
              <w:jc w:val="left"/>
              <w:widowControl/>
              <w:rPr>
                <w:color w:val="000000"/>
                <w:sz w:val="24"/>
                <w:highlight w:val="none"/>
              </w:rPr>
            </w:pPr>
            <w:r>
              <w:rPr>
                <w:color w:val="000000"/>
                <w:sz w:val="24"/>
                <w:highlight w:val="none"/>
              </w:rPr>
            </w:r>
            <w:r/>
          </w:p>
        </w:tc>
      </w:tr>
    </w:tbl>
    <w:p>
      <w:pPr>
        <w:pStyle w:val="853"/>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53"/>
        <w:ind w:firstLine="480"/>
        <w:spacing w:line="360" w:lineRule="auto"/>
        <w:tabs>
          <w:tab w:val="left" w:pos="1080" w:leader="none"/>
          <w:tab w:val="left" w:pos="1589" w:leader="none"/>
        </w:tabs>
        <w:rPr>
          <w:rFonts w:hint="eastAsia"/>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rFonts w:hint="eastAsia"/>
          <w:color w:val="000000"/>
          <w:sz w:val="24"/>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（五）</w:t>
      </w:r>
      <w:r>
        <w:rPr>
          <w:color w:val="000000"/>
          <w:sz w:val="24"/>
          <w:highlight w:val="none"/>
        </w:rPr>
        <w:t xml:space="preserve">落实政府采购政策的价格调整：</w:t>
      </w:r>
      <w:bookmarkStart w:id="254"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853"/>
        <w:ind w:firstLine="602"/>
        <w:spacing w:line="360" w:lineRule="auto"/>
        <w:tabs>
          <w:tab w:val="left" w:pos="360" w:leader="none"/>
        </w:tabs>
        <w:rPr>
          <w:b/>
          <w:color w:val="000000"/>
          <w:sz w:val="30"/>
          <w:szCs w:val="30"/>
          <w:highlight w:val="none"/>
        </w:rPr>
        <w:outlineLvl w:val="1"/>
      </w:pPr>
      <w:r/>
      <w:bookmarkEnd w:id="254"/>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853"/>
        <w:ind w:firstLine="480"/>
        <w:jc w:val="left"/>
        <w:spacing w:line="360" w:lineRule="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853"/>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5" w:name="_Toc226337242"/>
      <w:r/>
      <w:bookmarkStart w:id="256" w:name="_Toc150774646"/>
      <w:r/>
      <w:bookmarkStart w:id="257" w:name="_Toc150480784"/>
      <w:r/>
      <w:bookmarkStart w:id="258" w:name="_Toc151190173"/>
      <w:r/>
      <w:bookmarkStart w:id="259" w:name="_Toc151193644"/>
      <w:r/>
      <w:bookmarkStart w:id="260" w:name="_Toc226309790"/>
      <w:r/>
      <w:bookmarkStart w:id="261" w:name="_Toc520356170"/>
      <w:r/>
      <w:bookmarkStart w:id="262" w:name="_Toc127151546"/>
      <w:r/>
      <w:bookmarkStart w:id="263" w:name="_Toc150509297"/>
      <w:r/>
      <w:bookmarkStart w:id="264" w:name="_Toc151193716"/>
      <w:r/>
      <w:bookmarkStart w:id="265" w:name="_Toc127161460"/>
      <w:r/>
      <w:bookmarkStart w:id="266" w:name="_Toc226965819"/>
      <w:r/>
      <w:bookmarkStart w:id="267" w:name="_Toc151193788"/>
      <w:r/>
      <w:bookmarkStart w:id="268" w:name="_Toc305158888"/>
      <w:r/>
      <w:bookmarkStart w:id="269" w:name="_Toc226965736"/>
      <w:r/>
      <w:bookmarkStart w:id="270" w:name="_Toc164229241"/>
      <w:r/>
      <w:bookmarkStart w:id="271" w:name="_Toc151193860"/>
      <w:r/>
      <w:bookmarkStart w:id="272" w:name="_Toc195842911"/>
      <w:r/>
      <w:bookmarkStart w:id="273" w:name="_Toc264969236"/>
      <w:r/>
      <w:bookmarkStart w:id="274" w:name="_Toc151193934"/>
      <w:r/>
      <w:bookmarkStart w:id="275" w:name="_Ref467307010"/>
      <w:r/>
      <w:bookmarkStart w:id="276" w:name="_Toc164351640"/>
      <w:r/>
      <w:bookmarkStart w:id="277" w:name="_Toc265228384"/>
      <w:r/>
      <w:bookmarkStart w:id="278" w:name="_Toc305158814"/>
      <w:r/>
      <w:bookmarkStart w:id="279" w:name="_Toc127151747"/>
      <w:r/>
      <w:bookmarkStart w:id="280" w:name="_Toc142311048"/>
      <w:r/>
      <w:bookmarkStart w:id="281" w:name="_Toc149720839"/>
      <w:r/>
      <w:bookmarkStart w:id="282" w:name="_Toc164608660"/>
      <w:r/>
      <w:bookmarkStart w:id="283" w:name="_Toc164229387"/>
      <w:r/>
      <w:bookmarkStart w:id="284" w:name="_Toc164608815"/>
      <w:r/>
      <w:bookmarkStart w:id="285" w:name="_Toc150774751"/>
      <w:r>
        <w:rPr>
          <w:b/>
          <w:color w:val="000000"/>
          <w:sz w:val="30"/>
          <w:szCs w:val="30"/>
          <w:highlight w:val="none"/>
        </w:rPr>
        <w:t xml:space="preserve">中标候选人名单</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b/>
          <w:color w:val="000000"/>
          <w:sz w:val="30"/>
          <w:szCs w:val="30"/>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53"/>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85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53"/>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853"/>
        <w:ind w:firstLine="482"/>
        <w:spacing w:line="360" w:lineRule="auto"/>
        <w:tabs>
          <w:tab w:val="left" w:pos="360" w:leader="none"/>
        </w:tabs>
        <w:rPr>
          <w:rFonts w:hint="eastAsia"/>
          <w:b/>
          <w:color w:val="000000"/>
          <w:sz w:val="24"/>
          <w:szCs w:val="24"/>
          <w:highlight w:val="none"/>
        </w:rPr>
        <w:outlineLvl w:val="1"/>
      </w:pPr>
      <w:r/>
      <w:bookmarkStart w:id="286" w:name="_Toc197636629"/>
      <w:r/>
      <w:bookmarkStart w:id="287" w:name="_Toc197636578"/>
      <w:r/>
      <w:bookmarkStart w:id="288" w:name="OLE_LINK12"/>
      <w:r>
        <w:rPr>
          <w:rFonts w:hint="eastAsia"/>
          <w:b/>
          <w:color w:val="000000"/>
          <w:sz w:val="24"/>
          <w:szCs w:val="24"/>
          <w:highlight w:val="none"/>
        </w:rPr>
        <w:t xml:space="preserve">一、本次评审采用最低评标价法：</w:t>
      </w:r>
      <w:bookmarkStart w:id="289" w:name="_Hlk149904248"/>
      <w:r>
        <w:rPr>
          <w:rFonts w:hint="eastAsia"/>
          <w:b/>
          <w:color w:val="000000"/>
          <w:sz w:val="24"/>
          <w:szCs w:val="24"/>
          <w:highlight w:val="none"/>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286"/>
      <w:r/>
      <w:bookmarkEnd w:id="287"/>
      <w:r>
        <w:rPr>
          <w:rFonts w:hint="eastAsia"/>
          <w:b/>
          <w:color w:val="000000"/>
          <w:sz w:val="24"/>
          <w:szCs w:val="24"/>
          <w:highlight w:val="none"/>
        </w:rPr>
      </w:r>
      <w:r/>
    </w:p>
    <w:p>
      <w:pPr>
        <w:pStyle w:val="853"/>
        <w:ind w:firstLine="482"/>
        <w:spacing w:line="360" w:lineRule="auto"/>
        <w:tabs>
          <w:tab w:val="left" w:pos="360" w:leader="none"/>
        </w:tabs>
        <w:rPr>
          <w:rFonts w:hint="eastAsia"/>
          <w:b/>
          <w:color w:val="000000"/>
          <w:sz w:val="24"/>
          <w:szCs w:val="24"/>
          <w:highlight w:val="none"/>
        </w:rPr>
        <w:outlineLvl w:val="1"/>
      </w:pPr>
      <w:r/>
      <w:bookmarkEnd w:id="288"/>
      <w:r/>
      <w:bookmarkStart w:id="290" w:name="_Toc197636579"/>
      <w:r/>
      <w:bookmarkStart w:id="291" w:name="_Toc197636630"/>
      <w:r>
        <w:rPr>
          <w:rFonts w:hint="eastAsia"/>
          <w:b/>
          <w:color w:val="000000"/>
          <w:sz w:val="24"/>
          <w:szCs w:val="24"/>
          <w:highlight w:val="none"/>
          <w:lang w:eastAsia="zh-CN"/>
        </w:rPr>
        <w:t xml:space="preserve">二</w:t>
      </w:r>
      <w:r>
        <w:rPr>
          <w:rFonts w:hint="eastAsia"/>
          <w:b/>
          <w:color w:val="000000"/>
          <w:sz w:val="24"/>
          <w:szCs w:val="24"/>
          <w:highlight w:val="none"/>
        </w:rPr>
        <w:t xml:space="preserve">、政府采购政策功能落实</w:t>
      </w:r>
      <w:bookmarkEnd w:id="289"/>
      <w:r/>
      <w:bookmarkEnd w:id="290"/>
      <w:r/>
      <w:bookmarkEnd w:id="291"/>
      <w:r>
        <w:rPr>
          <w:rFonts w:hint="eastAsia"/>
          <w:b/>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1、小微型企业价格扣除</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（1）供应商需按照采购文件的要求提供相应的《中小企业声明函》。</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（2）企业标准请参照《关于印发中小企业划型标准规定的通知》（工信部联企业[2011]300号）文件规定自行填写。</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2、残疾人福利单位价格扣除</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（1）残疾人福利性单位视同小型、微型企业。</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（2）残疾人福利单位需按照采购文件的要求提供《残疾人福利性单位声明函》。</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（3）残疾人福利单位标准请参照《关于促进残疾人就业政府采购政策的通知》（财库〔2017〕141号）。</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3、监狱和戒毒企业价格扣除</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（1）监狱和戒毒企业（简称监狱企业）视同小型、微型企业。</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（3）监狱企业标准请参照《关于政府采购支持监狱企业发展有关问题的通知》（财库[2014]68号）。</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4、残疾人福利单位、监狱企业属于小型、微型企业的，不重复享受政策。</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6、联合体各方均为小型、微型企业（残疾人福利单位、监狱企业）的，联合体享受20%价格扣除，用扣除后的价格参与评审。</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7、政府采购中实施本国产品标准及相关政策：</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olor w:val="000000"/>
          <w:sz w:val="24"/>
          <w:szCs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7.3、供应商需按照招标文件的要求提供《关于符合本国产品标准的声明函》（以下简称《声明函》），如不提供将不享受本国产品价格评审优惠。</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szCs w:val="24"/>
          <w:highlight w:val="none"/>
        </w:rPr>
      </w:r>
      <w:r/>
    </w:p>
    <w:p>
      <w:pPr>
        <w:pStyle w:val="853"/>
        <w:ind w:firstLine="480"/>
        <w:spacing w:line="360" w:lineRule="auto"/>
        <w:rPr>
          <w:rFonts w:hint="eastAsia"/>
          <w:color w:val="000000"/>
          <w:sz w:val="24"/>
          <w:szCs w:val="24"/>
          <w:highlight w:val="none"/>
        </w:rPr>
      </w:pPr>
      <w:r>
        <w:rPr>
          <w:rFonts w:hint="eastAsia"/>
          <w:color w:val="000000"/>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color w:val="000000"/>
          <w:sz w:val="24"/>
          <w:szCs w:val="24"/>
          <w:highlight w:val="none"/>
        </w:rPr>
      </w:r>
      <w:r/>
    </w:p>
    <w:p>
      <w:pPr>
        <w:pStyle w:val="933"/>
        <w:jc w:val="center"/>
        <w:spacing w:after="156"/>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第四节 </w:t>
      </w:r>
      <w:bookmarkStart w:id="292" w:name="_Hlk202794792"/>
      <w:r>
        <w:rPr>
          <w:rFonts w:hint="eastAsia" w:ascii="宋体" w:hAnsi="宋体" w:cs="Times New Roman"/>
          <w:b/>
          <w:bCs/>
          <w:color w:val="000000"/>
          <w:sz w:val="32"/>
          <w:szCs w:val="32"/>
          <w:highlight w:val="none"/>
        </w:rPr>
        <w:t xml:space="preserve">评标标准</w:t>
      </w:r>
      <w:r>
        <w:rPr>
          <w:rFonts w:hint="eastAsia" w:ascii="宋体" w:hAnsi="宋体" w:cs="Times New Roman"/>
          <w:b/>
          <w:bCs/>
          <w:color w:val="000000"/>
          <w:sz w:val="32"/>
          <w:szCs w:val="32"/>
          <w:highlight w:val="none"/>
        </w:rPr>
      </w:r>
      <w:r/>
    </w:p>
    <w:p>
      <w:pPr>
        <w:pStyle w:val="853"/>
        <w:ind w:firstLine="480"/>
        <w:spacing w:line="360" w:lineRule="auto"/>
        <w:rPr>
          <w:rFonts w:hint="eastAsia"/>
          <w:color w:val="000000"/>
          <w:sz w:val="24"/>
          <w:szCs w:val="24"/>
          <w:highlight w:val="none"/>
        </w:rPr>
      </w:pPr>
      <w:r/>
      <w:bookmarkStart w:id="293" w:name="_Hlk158152480"/>
      <w:r>
        <w:rPr>
          <w:rFonts w:hint="eastAsia"/>
          <w:color w:val="000000"/>
          <w:sz w:val="24"/>
          <w:szCs w:val="24"/>
          <w:highlight w:val="none"/>
        </w:rPr>
        <w:t xml:space="preserve">本次评审采用最低评标价法：</w:t>
      </w:r>
      <w:bookmarkEnd w:id="293"/>
      <w:r>
        <w:rPr>
          <w:rFonts w:hint="eastAsia"/>
          <w:color w:val="000000"/>
          <w:sz w:val="24"/>
          <w:szCs w:val="24"/>
          <w:highlight w:val="none"/>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292"/>
      <w:r>
        <w:rPr>
          <w:rFonts w:hint="eastAsia"/>
          <w:color w:val="000000"/>
          <w:sz w:val="24"/>
          <w:szCs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jc w:val="center"/>
        <w:spacing w:before="120" w:line="360" w:lineRule="auto"/>
        <w:tabs>
          <w:tab w:val="left" w:pos="360" w:leader="none"/>
        </w:tabs>
        <w:rPr>
          <w:color w:val="000000"/>
          <w:sz w:val="24"/>
          <w:highlight w:val="none"/>
        </w:rPr>
        <w:outlineLvl w:val="1"/>
      </w:pPr>
      <w:r/>
      <w:bookmarkEnd w:id="251"/>
      <w:r/>
      <w:bookmarkEnd w:id="252"/>
      <w:r>
        <w:rPr>
          <w:b/>
          <w:color w:val="000000"/>
          <w:sz w:val="36"/>
          <w:szCs w:val="36"/>
          <w:highlight w:val="none"/>
        </w:rPr>
        <w:br w:type="page" w:clear="all"/>
      </w:r>
      <w:r>
        <w:rPr>
          <w:b/>
          <w:color w:val="000000"/>
          <w:sz w:val="36"/>
          <w:szCs w:val="36"/>
          <w:highlight w:val="none"/>
        </w:rPr>
        <w:t xml:space="preserve">第五章   采购需求</w:t>
      </w:r>
      <w:bookmarkEnd w:id="96"/>
      <w:r>
        <w:rPr>
          <w:color w:val="000000"/>
          <w:sz w:val="24"/>
          <w:highlight w:val="none"/>
        </w:rPr>
      </w:r>
      <w:r/>
    </w:p>
    <w:p>
      <w:pPr>
        <w:pStyle w:val="853"/>
        <w:jc w:val="left"/>
        <w:spacing w:line="360" w:lineRule="auto"/>
        <w:rPr>
          <w:rFonts w:hint="eastAsia" w:ascii="宋体" w:hAnsi="宋体"/>
          <w:b/>
          <w:color w:val="000000"/>
          <w:sz w:val="24"/>
          <w:szCs w:val="28"/>
          <w:highlight w:val="none"/>
        </w:rPr>
      </w:pPr>
      <w:r/>
      <w:bookmarkStart w:id="294" w:name="_Toc99301425"/>
      <w:r>
        <w:rPr>
          <w:rFonts w:hint="eastAsia" w:ascii="宋体" w:hAnsi="宋体"/>
          <w:b/>
          <w:color w:val="000000"/>
          <w:sz w:val="24"/>
          <w:szCs w:val="28"/>
          <w:highlight w:val="none"/>
        </w:rPr>
        <w:t xml:space="preserve">一、项目概况</w:t>
      </w:r>
      <w:r>
        <w:rPr>
          <w:rFonts w:hint="eastAsia" w:ascii="宋体" w:hAnsi="宋体"/>
          <w:b/>
          <w:color w:val="000000"/>
          <w:sz w:val="24"/>
          <w:szCs w:val="28"/>
          <w:highlight w:val="none"/>
        </w:rPr>
      </w:r>
      <w:r/>
    </w:p>
    <w:p>
      <w:pPr>
        <w:pStyle w:val="853"/>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江苏理工学院武进绿建区协同创新园运动场、体育馆体育器材采购</w:t>
      </w:r>
      <w:r>
        <w:rPr>
          <w:rFonts w:hint="eastAsia" w:ascii="宋体" w:hAnsi="宋体" w:eastAsia="宋体" w:cs="宋体"/>
          <w:color w:val="000000"/>
          <w:sz w:val="24"/>
          <w:highlight w:val="none"/>
          <w:lang w:eastAsia="zh-CN"/>
        </w:rPr>
      </w:r>
      <w:r/>
    </w:p>
    <w:p>
      <w:pPr>
        <w:pStyle w:val="853"/>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、招标范围及主要工作内容：本项目为</w:t>
      </w:r>
      <w:r>
        <w:rPr>
          <w:rFonts w:hint="eastAsia" w:ascii="宋体" w:hAnsi="宋体" w:cs="宋体"/>
          <w:color w:val="000000"/>
          <w:sz w:val="24"/>
          <w:highlight w:val="none"/>
          <w:lang w:eastAsia="zh-CN"/>
        </w:rPr>
        <w:t xml:space="preserve">江苏理工学院武进绿建区协同创新园运动场、体育馆体育器材采购</w:t>
      </w:r>
      <w:r>
        <w:rPr>
          <w:rFonts w:hint="eastAsia" w:ascii="宋体" w:hAnsi="宋体" w:cs="宋体"/>
          <w:color w:val="000000"/>
          <w:sz w:val="24"/>
          <w:highlight w:val="none"/>
        </w:rPr>
        <w:t xml:space="preserve">项目，包括相应产品供货前的准备（包括现场踏勘、技术核对等）、产品设计、制造、采购、运输、装卸、安装、调试、技术指导培训、检验、质保期及维保服务等全部内容；</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合同履行期限：</w:t>
      </w:r>
      <w:r>
        <w:rPr>
          <w:rFonts w:ascii="宋体" w:hAnsi="宋体" w:cs="宋体"/>
          <w:color w:val="000000"/>
          <w:sz w:val="24"/>
          <w:highlight w:val="none"/>
        </w:rPr>
        <w:t xml:space="preserve">签订合同后，</w:t>
      </w:r>
      <w:r>
        <w:rPr>
          <w:rFonts w:hint="eastAsia" w:ascii="宋体" w:hAnsi="宋体" w:cs="宋体"/>
          <w:color w:val="000000"/>
          <w:sz w:val="24"/>
          <w:highlight w:val="none"/>
        </w:rPr>
        <w:t xml:space="preserve">3</w:t>
      </w:r>
      <w:r>
        <w:rPr>
          <w:rFonts w:ascii="宋体" w:hAnsi="宋体" w:cs="宋体"/>
          <w:color w:val="000000"/>
          <w:sz w:val="24"/>
          <w:highlight w:val="none"/>
        </w:rPr>
        <w:t xml:space="preserve">0</w:t>
      </w:r>
      <w:r>
        <w:rPr>
          <w:rFonts w:hint="eastAsia" w:ascii="宋体" w:hAnsi="宋体" w:cs="宋体"/>
          <w:color w:val="000000"/>
          <w:sz w:val="24"/>
          <w:highlight w:val="none"/>
        </w:rPr>
        <w:t xml:space="preserve">日历天完成采购安装及调试验收等工作。</w:t>
      </w:r>
      <w:r>
        <w:rPr>
          <w:rFonts w:hint="eastAsia" w:ascii="宋体" w:hAnsi="宋体" w:cs="宋体"/>
          <w:color w:val="000000"/>
          <w:sz w:val="24"/>
          <w:highlight w:val="none"/>
        </w:rPr>
      </w:r>
      <w:r/>
    </w:p>
    <w:p>
      <w:pPr>
        <w:pStyle w:val="853"/>
        <w:jc w:val="left"/>
        <w:spacing w:line="360" w:lineRule="auto"/>
        <w:rPr>
          <w:rFonts w:hint="eastAsia" w:ascii="宋体" w:hAnsi="宋体"/>
          <w:b/>
          <w:color w:val="000000"/>
          <w:sz w:val="24"/>
          <w:szCs w:val="28"/>
          <w:highlight w:val="none"/>
        </w:rPr>
        <w:sectPr>
          <w:footerReference w:type="default" r:id="rId15"/>
          <w:footerReference w:type="even" r:id="rId16"/>
          <w:footerReference w:type="first" r:id="rId17"/>
          <w:footnotePr/>
          <w:endnotePr/>
          <w:type w:val="nextPage"/>
          <w:pgSz w:w="11905" w:h="16838" w:orient="portrait"/>
          <w:pgMar w:top="1417" w:right="1417" w:bottom="1417" w:left="1417" w:header="850" w:footer="992" w:gutter="0"/>
          <w:cols w:num="1" w:sep="0" w:space="1701" w:equalWidth="1"/>
          <w:docGrid w:linePitch="360"/>
        </w:sectPr>
      </w:pPr>
      <w:r>
        <w:rPr>
          <w:rFonts w:hint="eastAsia" w:ascii="宋体" w:hAnsi="宋体"/>
          <w:b/>
          <w:color w:val="000000"/>
          <w:sz w:val="24"/>
          <w:szCs w:val="28"/>
          <w:highlight w:val="none"/>
        </w:rPr>
        <w:t xml:space="preserve">二、采购清单及技术参数：</w:t>
      </w:r>
      <w:r>
        <w:rPr>
          <w:rFonts w:hint="eastAsia" w:ascii="宋体" w:hAnsi="宋体"/>
          <w:b/>
          <w:color w:val="000000"/>
          <w:sz w:val="24"/>
          <w:szCs w:val="28"/>
          <w:highlight w:val="none"/>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4"/>
        <w:gridCol w:w="434"/>
        <w:gridCol w:w="1976"/>
        <w:gridCol w:w="876"/>
        <w:gridCol w:w="655"/>
        <w:gridCol w:w="655"/>
        <w:gridCol w:w="658"/>
        <w:gridCol w:w="1712"/>
        <w:gridCol w:w="6554"/>
      </w:tblGrid>
      <w:tr>
        <w:trPr>
          <w:trHeight w:val="800"/>
        </w:trPr>
        <w:tc>
          <w:tcPr>
            <w:gridSpan w:val="9"/>
            <w:tcW w:w="14174" w:type="dxa"/>
            <w:vAlign w:val="center"/>
            <w:textDirection w:val="lrTb"/>
            <w:noWrap/>
          </w:tcPr>
          <w:p>
            <w:pPr>
              <w:pStyle w:val="853"/>
              <w:jc w:val="left"/>
              <w:keepLines w:val="0"/>
              <w:keepNext w:val="0"/>
              <w:widowControl/>
              <w:rPr>
                <w:rFonts w:hint="eastAsia" w:ascii="宋体" w:hAnsi="宋体" w:eastAsia="宋体" w:cs="宋体"/>
                <w:i w:val="0"/>
                <w:iCs w:val="0"/>
                <w:color w:val="000000"/>
                <w:sz w:val="36"/>
                <w:szCs w:val="36"/>
                <w:highlight w:val="none"/>
                <w:u w:val="none"/>
              </w:rPr>
              <w:suppressLineNumbers w:val="0"/>
            </w:pPr>
            <w:r>
              <w:rPr>
                <w:rFonts w:hint="eastAsia" w:ascii="宋体" w:hAnsi="宋体" w:eastAsia="宋体" w:cs="宋体"/>
                <w:i w:val="0"/>
                <w:iCs w:val="0"/>
                <w:color w:val="000000"/>
                <w:sz w:val="36"/>
                <w:szCs w:val="36"/>
                <w:highlight w:val="none"/>
                <w:u w:val="none"/>
                <w:lang w:val="en-US" w:eastAsia="zh-CN" w:bidi="ar"/>
              </w:rPr>
              <w:t xml:space="preserve">一、大学</w:t>
            </w:r>
            <w:r>
              <w:rPr>
                <w:rFonts w:hint="eastAsia" w:ascii="宋体" w:hAnsi="宋体" w:eastAsia="宋体" w:cs="宋体"/>
                <w:i w:val="0"/>
                <w:iCs w:val="0"/>
                <w:color w:val="000000"/>
                <w:sz w:val="36"/>
                <w:szCs w:val="36"/>
                <w:highlight w:val="none"/>
                <w:u w:val="none"/>
              </w:rPr>
            </w:r>
            <w:r/>
          </w:p>
        </w:tc>
      </w:tr>
      <w:tr>
        <w:trPr>
          <w:trHeight w:val="8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tcW w:w="15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东区</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西区</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总数</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c>
          <w:tcPr>
            <w:tcW w:w="231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规格型号</w:t>
            </w:r>
            <w:r>
              <w:rPr>
                <w:rFonts w:hint="eastAsia" w:ascii="宋体" w:hAnsi="宋体" w:eastAsia="宋体" w:cs="宋体"/>
                <w:i w:val="0"/>
                <w:iCs w:val="0"/>
                <w:color w:val="000000"/>
                <w:sz w:val="22"/>
                <w:szCs w:val="22"/>
                <w:highlight w:val="none"/>
                <w:u w:val="none"/>
              </w:rPr>
            </w:r>
            <w:r/>
          </w:p>
        </w:tc>
      </w:tr>
      <w:tr>
        <w:trPr>
          <w:trHeight w:val="604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53" w:type="dxa"/>
            <w:vAlign w:val="center"/>
            <w:vMerge w:val="restart"/>
            <w:textDirection w:val="lrTb"/>
            <w:noWrap w:val="false"/>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大学         运动场</w:t>
            </w: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篮球（全场篮架）</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一副2个，数量共计38个</w:t>
            </w:r>
            <w:r>
              <w:rPr>
                <w:rFonts w:hint="eastAsia" w:ascii="宋体" w:hAnsi="宋体" w:eastAsia="宋体" w:cs="宋体"/>
                <w:i w:val="0"/>
                <w:iCs w:val="0"/>
                <w:color w:val="000000"/>
                <w:sz w:val="22"/>
                <w:szCs w:val="22"/>
                <w:highlight w:val="none"/>
                <w:u w:val="none"/>
              </w:rPr>
            </w:r>
            <w:r/>
          </w:p>
        </w:tc>
        <w:tc>
          <w:tcPr>
            <w:tcW w:w="2311" w:type="dxa"/>
            <w:vAlign w:val="center"/>
            <w:vMerge w:val="restart"/>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1.产品规格：篮球架伸臂长≥2.25m，篮圈上沿离地面≤3.05m。</w:t>
            </w:r>
            <w:r>
              <w:rPr>
                <w:rFonts w:hint="eastAsia" w:ascii="宋体" w:hAnsi="宋体" w:eastAsia="宋体" w:cs="宋体"/>
                <w:i w:val="0"/>
                <w:iCs w:val="0"/>
                <w:color w:val="ff0000"/>
                <w:sz w:val="22"/>
                <w:szCs w:val="22"/>
                <w:highlight w:val="none"/>
                <w:u w:val="none"/>
                <w:lang w:val="en-US" w:eastAsia="zh-CN" w:bidi="ar"/>
              </w:rPr>
              <w:br w:type="textWrapping" w:clear="all"/>
            </w:r>
            <w:r>
              <w:rPr>
                <w:rFonts w:hint="eastAsia" w:ascii="宋体" w:hAnsi="宋体" w:eastAsia="宋体" w:cs="宋体"/>
                <w:i w:val="0"/>
                <w:iCs w:val="0"/>
                <w:color w:val="ff0000"/>
                <w:sz w:val="22"/>
                <w:szCs w:val="22"/>
                <w:highlight w:val="none"/>
                <w:u w:val="none"/>
                <w:lang w:val="en-US" w:eastAsia="zh-CN" w:bidi="ar"/>
              </w:rPr>
              <w:t xml:space="preserve">2.产品用材：球架立柱采用口径≥180×180×3.75mm，大圆角方管制作，圆角R40mm；篮架伸臂采用≥厚度3mm铁板在折边机上折边，伸臂上拉杆固定孔均采用冲压成型后焊接内置焊接螺母，篮架立柱法兰、伸臂头部组件和伸臂底板，且立柱底部配备防护装饰罩，采用冷扎钢板，篮架上拉杆采用≥Ø48×2（mm）圆管，后拉杆采用≥50×40×3mm优质方管，篮球架通过调节上拉杆可调节篮板的平面度和垂直度，通过调节下拉杆，可调节篮圈与地面的平行度。</w:t>
            </w:r>
            <w:r>
              <w:rPr>
                <w:rFonts w:hint="eastAsia" w:ascii="宋体" w:hAnsi="宋体" w:eastAsia="宋体" w:cs="宋体"/>
                <w:i w:val="0"/>
                <w:iCs w:val="0"/>
                <w:color w:val="ff0000"/>
                <w:sz w:val="22"/>
                <w:szCs w:val="22"/>
                <w:highlight w:val="none"/>
                <w:u w:val="none"/>
                <w:lang w:val="en-US" w:eastAsia="zh-CN" w:bidi="ar"/>
              </w:rPr>
              <w:br w:type="textWrapping" w:clear="all"/>
            </w:r>
            <w:r>
              <w:rPr>
                <w:rFonts w:hint="eastAsia" w:ascii="宋体" w:hAnsi="宋体" w:eastAsia="宋体" w:cs="宋体"/>
                <w:i w:val="0"/>
                <w:iCs w:val="0"/>
                <w:color w:val="ff0000"/>
                <w:sz w:val="22"/>
                <w:szCs w:val="22"/>
                <w:highlight w:val="none"/>
                <w:u w:val="none"/>
                <w:lang w:val="en-US" w:eastAsia="zh-CN" w:bidi="ar"/>
              </w:rPr>
              <w:t xml:space="preserve">3.篮板：规格≥1800×1050㎜，篮板配用玻璃篮板，具有安全性好、透明度高、耐候性好、抗老化、耐腐蚀、不易模糊等特点，并在篮板下沿及侧面覆盖有保护条，能保护运动员运动时不受伤害。</w:t>
            </w:r>
            <w:r>
              <w:rPr>
                <w:rFonts w:hint="eastAsia" w:ascii="宋体" w:hAnsi="宋体" w:eastAsia="宋体" w:cs="宋体"/>
                <w:i w:val="0"/>
                <w:iCs w:val="0"/>
                <w:color w:val="ff0000"/>
                <w:sz w:val="22"/>
                <w:szCs w:val="22"/>
                <w:highlight w:val="none"/>
                <w:u w:val="none"/>
                <w:lang w:val="en-US" w:eastAsia="zh-CN" w:bidi="ar"/>
              </w:rPr>
              <w:br w:type="textWrapping" w:clear="all"/>
            </w:r>
            <w:r>
              <w:rPr>
                <w:rFonts w:hint="eastAsia" w:ascii="宋体" w:hAnsi="宋体" w:eastAsia="宋体" w:cs="宋体"/>
                <w:i w:val="0"/>
                <w:iCs w:val="0"/>
                <w:color w:val="ff0000"/>
                <w:sz w:val="22"/>
                <w:szCs w:val="22"/>
                <w:highlight w:val="none"/>
                <w:u w:val="none"/>
                <w:lang w:val="en-US" w:eastAsia="zh-CN" w:bidi="ar"/>
              </w:rPr>
              <w:t xml:space="preserve">4.篮圈：篮圈采用Ø17实心圆钢制作，圈下焊有冲压成型的圆弧形网钩，十二段均匀分布留适当间隙，配篮网。篮圈抗弯性能好，水平固定在篮板上，与篮架连接的钢板和篮圈盖板均采用钢板。</w:t>
            </w:r>
            <w:r>
              <w:rPr>
                <w:rFonts w:hint="eastAsia" w:ascii="宋体" w:hAnsi="宋体" w:eastAsia="宋体" w:cs="宋体"/>
                <w:i w:val="0"/>
                <w:iCs w:val="0"/>
                <w:color w:val="ff0000"/>
                <w:sz w:val="22"/>
                <w:szCs w:val="22"/>
                <w:highlight w:val="none"/>
                <w:u w:val="none"/>
                <w:lang w:val="en-US" w:eastAsia="zh-CN" w:bidi="ar"/>
              </w:rPr>
              <w:br w:type="textWrapping" w:clear="all"/>
            </w:r>
            <w:r>
              <w:rPr>
                <w:rFonts w:hint="eastAsia" w:ascii="宋体" w:hAnsi="宋体" w:eastAsia="宋体" w:cs="宋体"/>
                <w:i w:val="0"/>
                <w:iCs w:val="0"/>
                <w:color w:val="ff0000"/>
                <w:sz w:val="22"/>
                <w:szCs w:val="22"/>
                <w:highlight w:val="none"/>
                <w:u w:val="none"/>
                <w:lang w:val="en-US" w:eastAsia="zh-CN" w:bidi="ar"/>
              </w:rPr>
              <w:t xml:space="preserve">5.紧固件：篮架所有紧固件均经热镀锌处理，能保不生锈。</w:t>
            </w:r>
            <w:r>
              <w:rPr>
                <w:rFonts w:hint="eastAsia" w:ascii="宋体" w:hAnsi="宋体" w:eastAsia="宋体" w:cs="宋体"/>
                <w:i w:val="0"/>
                <w:iCs w:val="0"/>
                <w:color w:val="ff0000"/>
                <w:sz w:val="22"/>
                <w:szCs w:val="22"/>
                <w:highlight w:val="none"/>
                <w:u w:val="none"/>
                <w:lang w:val="en-US" w:eastAsia="zh-CN" w:bidi="ar"/>
              </w:rPr>
              <w:br w:type="textWrapping" w:clear="all"/>
            </w:r>
            <w:r>
              <w:rPr>
                <w:rFonts w:hint="eastAsia" w:ascii="宋体" w:hAnsi="宋体" w:eastAsia="宋体" w:cs="宋体"/>
                <w:i w:val="0"/>
                <w:iCs w:val="0"/>
                <w:color w:val="ff0000"/>
                <w:sz w:val="22"/>
                <w:szCs w:val="22"/>
                <w:highlight w:val="none"/>
                <w:u w:val="none"/>
                <w:lang w:val="en-US" w:eastAsia="zh-CN" w:bidi="ar"/>
              </w:rPr>
              <w:t xml:space="preserve">6.表面处理：产品涂层厚度70—80um，铅笔硬度达3H+。产品具有耐酸碱、耐湿热、抗老化、外观美观等优点，能适合潮湿和酸雨环境。</w:t>
            </w:r>
            <w:r>
              <w:rPr>
                <w:rFonts w:hint="eastAsia" w:ascii="宋体" w:hAnsi="宋体" w:eastAsia="宋体" w:cs="宋体"/>
                <w:i w:val="0"/>
                <w:iCs w:val="0"/>
                <w:color w:val="ff0000"/>
                <w:sz w:val="22"/>
                <w:szCs w:val="22"/>
                <w:highlight w:val="none"/>
                <w:u w:val="none"/>
                <w:lang w:val="en-US" w:eastAsia="zh-CN" w:bidi="ar"/>
              </w:rPr>
              <w:br w:type="textWrapping" w:clear="all"/>
            </w:r>
            <w:r>
              <w:rPr>
                <w:rFonts w:hint="eastAsia" w:ascii="宋体" w:hAnsi="宋体" w:eastAsia="宋体" w:cs="宋体"/>
                <w:i w:val="0"/>
                <w:iCs w:val="0"/>
                <w:color w:val="ff0000"/>
                <w:sz w:val="22"/>
                <w:szCs w:val="22"/>
                <w:highlight w:val="none"/>
                <w:u w:val="none"/>
                <w:lang w:val="en-US" w:eastAsia="zh-CN" w:bidi="ar"/>
              </w:rPr>
              <w:t xml:space="preserve">7.篮球架具有抗拉强度、断裂位置、布氏硬度和中性盐雾试验</w:t>
            </w:r>
            <w:r>
              <w:rPr>
                <w:rFonts w:hint="eastAsia" w:ascii="宋体" w:hAnsi="宋体" w:eastAsia="宋体" w:cs="宋体"/>
                <w:i w:val="0"/>
                <w:iCs w:val="0"/>
                <w:color w:val="ff0000"/>
                <w:sz w:val="22"/>
                <w:szCs w:val="22"/>
                <w:highlight w:val="none"/>
                <w:u w:val="none"/>
                <w:lang w:val="en-US" w:eastAsia="zh-CN" w:bidi="ar"/>
              </w:rPr>
              <w:br w:type="textWrapping" w:clear="all"/>
            </w:r>
            <w:r>
              <w:rPr>
                <w:rFonts w:hint="eastAsia" w:ascii="宋体" w:hAnsi="宋体" w:eastAsia="宋体" w:cs="宋体"/>
                <w:i w:val="0"/>
                <w:iCs w:val="0"/>
                <w:color w:val="ff0000"/>
                <w:sz w:val="22"/>
                <w:szCs w:val="22"/>
                <w:highlight w:val="none"/>
                <w:u w:val="none"/>
                <w:lang w:val="en-US" w:eastAsia="zh-CN" w:bidi="ar"/>
              </w:rPr>
              <w:t xml:space="preserve">8.依据GB/T3098.1-2010《紧固件机械性能螺栓、螺钉和螺柱》和GB/T231.1-2018《金属材料 布氏硬度试验 第1部分：试验方法》对该产品使用的螺栓进行检测，螺栓抗拉强度Rm≥800MPa，布氏硬度在245～316HBW之间。</w:t>
            </w:r>
            <w:r>
              <w:rPr>
                <w:rFonts w:hint="eastAsia" w:ascii="宋体" w:hAnsi="宋体" w:eastAsia="宋体" w:cs="宋体"/>
                <w:i w:val="0"/>
                <w:iCs w:val="0"/>
                <w:color w:val="000000"/>
                <w:sz w:val="22"/>
                <w:szCs w:val="22"/>
                <w:highlight w:val="none"/>
                <w:u w:val="none"/>
              </w:rPr>
            </w:r>
            <w:r/>
          </w:p>
        </w:tc>
      </w:tr>
      <w:tr>
        <w:trPr>
          <w:trHeight w:val="8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97" w:type="dxa"/>
            <w:vAlign w:val="center"/>
            <w:vMerge w:val="restart"/>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篮球（半场篮架）</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单头架</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个数</w:t>
            </w:r>
            <w:r>
              <w:rPr>
                <w:rFonts w:hint="eastAsia" w:ascii="宋体" w:hAnsi="宋体" w:eastAsia="宋体" w:cs="宋体"/>
                <w:i w:val="0"/>
                <w:iCs w:val="0"/>
                <w:color w:val="000000"/>
                <w:sz w:val="22"/>
                <w:szCs w:val="22"/>
                <w:highlight w:val="none"/>
                <w:u w:val="none"/>
                <w:lang w:eastAsia="zh-CN"/>
              </w:rPr>
            </w:r>
            <w:r/>
          </w:p>
        </w:tc>
        <w:tc>
          <w:tcPr>
            <w:tcW w:w="2311" w:type="dxa"/>
            <w:vAlign w:val="center"/>
            <w:vMerge w:val="continue"/>
            <w:textDirection w:val="lrTb"/>
            <w:noWrap w:val="false"/>
          </w:tcPr>
          <w:p>
            <w:pPr>
              <w:pStyle w:val="853"/>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97" w:type="dxa"/>
            <w:vAlign w:val="center"/>
            <w:vMerge w:val="continue"/>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双头架</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个数</w:t>
            </w:r>
            <w:r>
              <w:rPr>
                <w:rFonts w:hint="eastAsia" w:ascii="宋体" w:hAnsi="宋体" w:eastAsia="宋体" w:cs="宋体"/>
                <w:i w:val="0"/>
                <w:iCs w:val="0"/>
                <w:color w:val="000000"/>
                <w:sz w:val="22"/>
                <w:szCs w:val="22"/>
                <w:highlight w:val="none"/>
                <w:u w:val="none"/>
                <w:lang w:eastAsia="zh-CN"/>
              </w:rPr>
            </w:r>
            <w:r/>
          </w:p>
        </w:tc>
        <w:tc>
          <w:tcPr>
            <w:tcW w:w="2311" w:type="dxa"/>
            <w:vAlign w:val="center"/>
            <w:vMerge w:val="continue"/>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96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足球门（大）</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个数</w:t>
            </w: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11人制：1.球门内净基本尺寸≥长×高×深=7300×2400×2650㎜。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2.足球门由立杆、横梁、两侧撑杆、两侧横杆和后侧横杆组成。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3.球门立杆和横梁均采用不小于φ120mm的铝合金型材制成，上设网勾，置网方便，球网系线柱两侧撑杆采用口径≥φ48×2.75mm的钢管制成，两侧横杆和后侧横杆采用口径≥100×40×3mm方管制作。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4.横梁和立杆上没有可能危害到运动员安全的连接物件露在外面。球门组装完成后，立杆与地面垂直，横梁与立杆的夹角为90°，连接件周边处理圆滑，无棱角。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5.球门两侧撑杆采用钢丝绳连接紧固，既可增强球门整体稳定性，又可起到撑网的作用。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6.为保证球门的整体稳定性，在球门后侧横杆位置配置了球门固定压板，保证球门的位置不因运动员的冲撞而移动位置。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7.球门整体可装拆，便于运输和安装。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8.产品涂层厚度≥70-80um，铅笔硬度达3H+。产品具有耐酸碱、耐湿热、抗老化、外观美观等优点，能适合潮湿和酸雨环境。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在足球门横梁中部施加1200N的水平拉力，保持5min，无任何方向的倾斜、翻倒或较明显的永久变形现象；在安装好的足球门柱横梁中部垂直向下施加2700N的静载荷，保持1min，横梁不出现断裂和明显永久变形等现象。</w:t>
            </w:r>
            <w:r>
              <w:rPr>
                <w:rFonts w:hint="eastAsia" w:ascii="宋体" w:hAnsi="宋体" w:eastAsia="宋体" w:cs="宋体"/>
                <w:i w:val="0"/>
                <w:iCs w:val="0"/>
                <w:color w:val="000000"/>
                <w:sz w:val="22"/>
                <w:szCs w:val="22"/>
                <w:highlight w:val="none"/>
                <w:u w:val="none"/>
              </w:rPr>
            </w:r>
            <w:r/>
          </w:p>
        </w:tc>
      </w:tr>
      <w:tr>
        <w:trPr>
          <w:trHeight w:val="464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足球门（小）</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个数</w:t>
            </w: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7人制：1.球门内净基本尺寸≥长×高=5000×2000㎜，安装方式为可移动。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2.足球门由立杆、横梁、两侧撑杆、两侧横杆和后侧横杆组成。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3.球门立杆和横梁均采用≥φ120mm的铝合金型材制成，上设网勾，置网方便，球网系线柱两侧撑杆采用口径≥φ48×2.75mm的钢管制成，两侧横杆和后侧横杆均采用口径≥100×40×3mm方管制作。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4.横梁和立杆上没有可能危害到运动员安全的连接物件露在外面。球门组装完成后，立杆与地面垂直，横梁与立杆的夹角为90°，连接件周边处理圆滑，无棱角。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5.球门两侧撑杆采用钢丝绳连接紧固，既可增强球门整体稳定性，又可起到撑网的作用。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6.为保证球门的整体稳定性，在球门后侧横杆位置配置了球门固定压板，保证球门的位置不因运动员的冲撞而移动位置。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7.球门整体可装拆，便于运输和安装。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8.产品涂层厚度70-80um，铅笔硬度达3H+。产品具有耐酸碱、耐湿热、抗老化、外观美观等优点，能适合潮湿和酸雨环境。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在足球门横梁中部约100mm宽度的承载面上，向足球门易倾翻方向施加1000N的水平拉力，保持5min，无任何方向的倾斜、翻倒或较明显的永久变形现象；在足球门横梁中部约100mm宽度的承载面上垂直向下施加2700N的静载荷，保持1min，横梁不出现断裂和明显永久变形等现象。</w:t>
            </w:r>
            <w:r>
              <w:rPr>
                <w:rFonts w:hint="eastAsia" w:ascii="宋体" w:hAnsi="宋体" w:eastAsia="宋体" w:cs="宋体"/>
                <w:i w:val="0"/>
                <w:iCs w:val="0"/>
                <w:color w:val="000000"/>
                <w:sz w:val="22"/>
                <w:szCs w:val="22"/>
                <w:highlight w:val="none"/>
                <w:u w:val="none"/>
              </w:rPr>
            </w:r>
            <w:r/>
          </w:p>
        </w:tc>
      </w:tr>
      <w:tr>
        <w:trPr>
          <w:trHeight w:val="8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铅球投掷圈</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val="false"/>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直径2.135m，钢板厚度10mm，C30混凝土浇筑，表面防滑纹处理，含标准抵趾板，地埋式安装</w:t>
            </w:r>
            <w:r>
              <w:rPr>
                <w:rFonts w:hint="eastAsia" w:ascii="宋体" w:hAnsi="宋体" w:eastAsia="宋体" w:cs="宋体"/>
                <w:i w:val="0"/>
                <w:iCs w:val="0"/>
                <w:color w:val="000000"/>
                <w:sz w:val="22"/>
                <w:szCs w:val="22"/>
                <w:highlight w:val="none"/>
                <w:u w:val="none"/>
              </w:rPr>
            </w:r>
            <w:r/>
          </w:p>
        </w:tc>
      </w:tr>
      <w:tr>
        <w:trPr>
          <w:trHeight w:val="8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跳远起跳板</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val="false"/>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长1.22m×宽0.2m×厚0.1m，优质硬木材质，表面防滑处理，含金属固定装置</w:t>
            </w:r>
            <w:r>
              <w:rPr>
                <w:rFonts w:hint="eastAsia" w:ascii="宋体" w:hAnsi="宋体" w:eastAsia="宋体" w:cs="宋体"/>
                <w:i w:val="0"/>
                <w:iCs w:val="0"/>
                <w:color w:val="000000"/>
                <w:sz w:val="22"/>
                <w:szCs w:val="22"/>
                <w:highlight w:val="none"/>
                <w:u w:val="none"/>
              </w:rPr>
            </w:r>
            <w:r/>
          </w:p>
        </w:tc>
      </w:tr>
      <w:tr>
        <w:trPr>
          <w:trHeight w:val="12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单杆</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1.外形尺寸：≥1620x120x2300mm（不含护栏）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2.主立柱：≥φ110mm×3mm；主横梁：≥φ30mm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3.材质：镀锌管、钢管</w:t>
            </w:r>
            <w:r>
              <w:rPr>
                <w:rFonts w:hint="eastAsia" w:ascii="宋体" w:hAnsi="宋体" w:eastAsia="宋体" w:cs="宋体"/>
                <w:i w:val="0"/>
                <w:iCs w:val="0"/>
                <w:color w:val="000000"/>
                <w:sz w:val="22"/>
                <w:szCs w:val="22"/>
                <w:highlight w:val="none"/>
                <w:u w:val="none"/>
              </w:rPr>
            </w:r>
            <w:r/>
          </w:p>
        </w:tc>
      </w:tr>
      <w:tr>
        <w:trPr>
          <w:trHeight w:val="162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双杆</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1.外形尺寸≥2460×750×1480mm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2.主立柱≥φ110mm×3mm；主横梁≥φ48mm×3mm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3.两杠内侧距离≥502mm，杠长≥2500mm.相应的纵向立柱中心距≥1500mm，杠面高度≥1300mm；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4.器材安全警示须采用图示方式提示使用者可能存在风险；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5.安装方式：直埋式.水泥浇筑，埋入深度为：≥500mm；基础坑≥400mm×400mm×600mm，主要材料：钢管。</w:t>
            </w:r>
            <w:r>
              <w:rPr>
                <w:rFonts w:hint="eastAsia" w:ascii="宋体" w:hAnsi="宋体" w:eastAsia="宋体" w:cs="宋体"/>
                <w:i w:val="0"/>
                <w:iCs w:val="0"/>
                <w:color w:val="000000"/>
                <w:sz w:val="22"/>
                <w:szCs w:val="22"/>
                <w:highlight w:val="none"/>
                <w:u w:val="none"/>
              </w:rPr>
            </w:r>
            <w:r/>
          </w:p>
        </w:tc>
      </w:tr>
      <w:tr>
        <w:trPr>
          <w:trHeight w:val="8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横向肋木训练器</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长3m×高2.5m，横杆11根，直径30mm，优质钢材，单杆承重：≥150kg，整体静态承重≥500kg，可多人同时使用，表面喷塑防锈，地埋式固定安装</w:t>
            </w:r>
            <w:r>
              <w:rPr>
                <w:rFonts w:hint="eastAsia" w:ascii="宋体" w:hAnsi="宋体" w:eastAsia="宋体" w:cs="宋体"/>
                <w:i w:val="0"/>
                <w:iCs w:val="0"/>
                <w:color w:val="000000"/>
                <w:sz w:val="22"/>
                <w:szCs w:val="22"/>
                <w:highlight w:val="none"/>
                <w:u w:val="none"/>
              </w:rPr>
            </w:r>
            <w:r/>
          </w:p>
        </w:tc>
      </w:tr>
      <w:tr>
        <w:trPr>
          <w:trHeight w:val="80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53"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纵向肋木训练器</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宽1.2m×高2.5m，横杆11根，直径30mm，优质钢材，单杆承重：≥150kg，整体静态承重≥500kg，可多人同时使用，表面喷塑防锈，地埋式固定安装</w:t>
            </w:r>
            <w:r>
              <w:rPr>
                <w:rFonts w:hint="eastAsia" w:ascii="宋体" w:hAnsi="宋体" w:eastAsia="宋体" w:cs="宋体"/>
                <w:i w:val="0"/>
                <w:iCs w:val="0"/>
                <w:color w:val="000000"/>
                <w:sz w:val="22"/>
                <w:szCs w:val="22"/>
                <w:highlight w:val="none"/>
                <w:u w:val="none"/>
              </w:rPr>
            </w:r>
            <w:r/>
          </w:p>
        </w:tc>
      </w:tr>
      <w:tr>
        <w:trPr>
          <w:trHeight w:val="7260"/>
        </w:trPr>
        <w:tc>
          <w:tcPr>
            <w:tcW w:w="23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53"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大学        体育馆</w:t>
            </w:r>
            <w:r>
              <w:rPr>
                <w:rFonts w:hint="eastAsia" w:ascii="宋体" w:hAnsi="宋体" w:eastAsia="宋体" w:cs="宋体"/>
                <w:i w:val="0"/>
                <w:iCs w:val="0"/>
                <w:color w:val="000000"/>
                <w:sz w:val="22"/>
                <w:szCs w:val="22"/>
                <w:highlight w:val="none"/>
                <w:u w:val="none"/>
              </w:rPr>
            </w:r>
            <w:r/>
          </w:p>
        </w:tc>
        <w:tc>
          <w:tcPr>
            <w:gridSpan w:val="2"/>
            <w:tcW w:w="2852"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Style w:val="1125"/>
                <w:rFonts w:hint="eastAsia" w:ascii="宋体" w:hAnsi="宋体" w:eastAsia="宋体" w:cs="宋体"/>
                <w:color w:val="000000"/>
                <w:highlight w:val="none"/>
                <w:lang w:val="en-US" w:eastAsia="zh-CN" w:bidi="ar"/>
              </w:rPr>
              <w:t xml:space="preserve">篮球（全场篮架）：</w:t>
            </w:r>
            <w:r>
              <w:rPr>
                <w:rFonts w:hint="eastAsia" w:ascii="宋体" w:hAnsi="宋体" w:eastAsia="宋体" w:cs="宋体"/>
                <w:b/>
                <w:bCs/>
                <w:i w:val="0"/>
                <w:iCs w:val="0"/>
                <w:color w:val="000000"/>
                <w:sz w:val="22"/>
                <w:szCs w:val="22"/>
                <w:highlight w:val="none"/>
                <w:u w:val="none"/>
                <w:lang w:val="en-US" w:eastAsia="zh-CN" w:bidi="ar"/>
              </w:rPr>
              <w:t xml:space="preserve">智能电动液压</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篮球架</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3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32"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rFonts w:hint="eastAsia" w:ascii="宋体" w:hAnsi="宋体" w:eastAsia="宋体" w:cs="宋体"/>
                <w:b/>
                <w:bCs/>
                <w:i w:val="0"/>
                <w:iCs w:val="0"/>
                <w:color w:val="000000"/>
                <w:sz w:val="22"/>
                <w:szCs w:val="22"/>
                <w:highlight w:val="none"/>
                <w:u w:val="none"/>
              </w:rPr>
            </w:r>
            <w:r/>
          </w:p>
        </w:tc>
        <w:tc>
          <w:tcPr>
            <w:tcW w:w="603"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一副2个，数量共计4个</w:t>
            </w:r>
            <w:r>
              <w:rPr>
                <w:rFonts w:hint="eastAsia" w:ascii="宋体" w:hAnsi="宋体" w:eastAsia="宋体" w:cs="宋体"/>
                <w:i w:val="0"/>
                <w:iCs w:val="0"/>
                <w:color w:val="000000"/>
                <w:sz w:val="22"/>
                <w:szCs w:val="22"/>
                <w:highlight w:val="none"/>
                <w:u w:val="none"/>
              </w:rPr>
            </w:r>
            <w:r/>
          </w:p>
        </w:tc>
        <w:tc>
          <w:tcPr>
            <w:tcW w:w="23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1、产品规格：篮架伸臂≥3.35m，篮圈上沿离地面高≤3.05m，球架底座尺寸≥长×宽×前高×后高=2.5×1.3×0.74×0.385m。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2、产品用材：篮球架底座采用≥6 mm的铁板在专用折边机上折边拼焊而成，底座前立柱、后立柱支撑架和油缸支撑架采用≧6 mm铁板折边制作，篮架立柱采用口径≥150×70×3mm、120×70×3mm和70×70×3mm方管拼焊而成，篮架伸臂采用口径≥140×140×4mm、140×70×3mm和70×50mm方管拼焊而成，焊缝表面均匀光滑，篮架立柱转动部位和伸臂头部连接件均采用优质精密铸钢件制作，性能安全可靠，篮架上拉杆采用优质圆管，避免了电焊及焊渣易引起生锈的隐患，下拉杆采用精拉管拼焊而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产品结构原理：电动液压篮球架采用微电脑控制系统，设有篮架升降系统、走轮伸缩机构、电器、液压系统。篮架主体升降采用四连杆机构，使用时电机接通220V、50HZ单相电源即可启动，带动油泵，经微电脑控制系统进行“功能”转换，油缸随即产生伸缩运动，从而使球架立柱升降和底座走轮起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篮板：篮板为五支点篮板，配用高强度安全玻璃篮板（尺寸≥13mm厚双层夹胶玻璃），规格≥1800×1050mm，具有透明度高、耐侯性好、抗老化、耐腐蚀、不易模糊等特点，并在篮板下沿侧面覆盖有保护圈，保护圈前后表面高度、厚度均≥20mm，底面厚度≥50mm，符合FIBA规则，能有效保护运动员扣篮时不受伤害。篮板弹性500N/min，中心挠度≤6mm，取消外力1min后篮板恢复原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5、篮圈：篮圈采用≥φ19mm实心圆钢制作，篮圈抗弯性能好。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防护措施：篮架前立柱、底座、伸臂配备有专用护套，能有效保护运动员免受撞击，篮架底座下部设有防震垫，后部装有特制专用配重，单只配重500kg，能保证在篮圈根部施加3200N的载荷时，篮球架不倾翻。前立柱与伸臂间装有专用保险机构，能有效保证使用时的安全性及美观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7、爬坡功能：底座除了本身的走轮机构外，为了方便爬较陡的斜坡，在底座的后侧又另设计有一专用爬坡轮，使用时，安装方便。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8、产品涂层厚度70—80um，铅笔硬度达3H+。产品具有耐酸碱、耐湿热、抗老化、外观美观等优点，能适合潮湿和酸雨环境。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蓝圈用实心钢材制成；篮圈圈条直径为16-20mm，篮圈内径为450-459mm；篮圈下沿有12个均分的系篮网装置，无锐边、毛刺；系篮网装置间隙≤8mm；篮圈内沿至篮板板面的最近间距151±2mm；篮圈固定在支撑架篮板的构架上，固定篮圈的钢板和玻璃篮板之间没有直接的接触；篮圈颜色为橙色。篮圈固定在支撑架篮板的构架上，固定篮圈的钢板和玻璃篮板之间不得直接接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10、液压系统无漏油、渗油现象，篮球架架体升降灵活、运行平稳。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11、防护措施。篮板包扎物的下沿厚度为48～55mm</w:t>
            </w:r>
            <w:r>
              <w:rPr>
                <w:rFonts w:hint="eastAsia" w:ascii="宋体" w:hAnsi="宋体" w:eastAsia="宋体" w:cs="宋体"/>
                <w:i w:val="0"/>
                <w:iCs w:val="0"/>
                <w:color w:val="000000"/>
                <w:sz w:val="22"/>
                <w:szCs w:val="22"/>
                <w:highlight w:val="none"/>
                <w:u w:val="none"/>
                <w:lang w:val="en-US" w:eastAsia="zh-CN" w:bidi="ar"/>
              </w:rPr>
              <w:t xml:space="preserve">，侧表面高度（从篮板底起）为350～450mm，侧表面厚度为20～27mm,前、后表面高度（从底板起）为20～25mm，前、后表面厚度为20～27mm；支撑架篮板背后面向球场的篮板支撑架经衬填后包扎，包扎物的高度≥2150mm，包扎物厚度≥100mm；篮板背后包扎任何支撑部分在其下表面包扎，直到篮板后面，包扎物的长度包扎物≥1200mm，厚度≥25mm；所有包扎物具有一定的缓冲性能，能防止肢体陷入，当外力突然施加在包扎物上时包扎物的凹陷不超过其原先厚度的50%，包杂物的颜色应为蓝色或其他与架体反差大的颜色。</w:t>
            </w:r>
            <w:r>
              <w:rPr>
                <w:rFonts w:hint="eastAsia" w:ascii="宋体" w:hAnsi="宋体" w:eastAsia="宋体" w:cs="宋体"/>
                <w:i w:val="0"/>
                <w:iCs w:val="0"/>
                <w:color w:val="000000"/>
                <w:sz w:val="22"/>
                <w:szCs w:val="22"/>
                <w:highlight w:val="none"/>
                <w:u w:val="none"/>
              </w:rPr>
            </w:r>
            <w:r/>
          </w:p>
        </w:tc>
      </w:tr>
    </w:tbl>
    <w:p>
      <w:pPr>
        <w:pStyle w:val="853"/>
        <w:rPr>
          <w:rFonts w:hint="eastAsia"/>
          <w:b/>
          <w:bCs/>
          <w:color w:val="000000"/>
          <w:sz w:val="24"/>
          <w:highlight w:val="none"/>
        </w:rPr>
        <w:sectPr>
          <w:footnotePr/>
          <w:endnotePr/>
          <w:type w:val="nextPage"/>
          <w:pgSz w:w="16838" w:h="11906" w:orient="landscape"/>
          <w:pgMar w:top="1797" w:right="1440" w:bottom="1797" w:left="1440" w:header="851" w:footer="992" w:gutter="0"/>
          <w:cols w:num="1" w:sep="0" w:space="1701" w:equalWidth="1"/>
          <w:docGrid w:linePitch="360"/>
        </w:sectPr>
      </w:pPr>
      <w:r>
        <w:rPr>
          <w:rFonts w:hint="eastAsia"/>
          <w:b/>
          <w:bCs/>
          <w:color w:val="000000"/>
          <w:sz w:val="24"/>
          <w:highlight w:val="none"/>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4"/>
        <w:gridCol w:w="654"/>
        <w:gridCol w:w="2585"/>
        <w:gridCol w:w="879"/>
        <w:gridCol w:w="2022"/>
        <w:gridCol w:w="7426"/>
      </w:tblGrid>
      <w:tr>
        <w:trPr>
          <w:trHeight w:val="800"/>
        </w:trPr>
        <w:tc>
          <w:tcPr>
            <w:gridSpan w:val="6"/>
            <w:tcW w:w="14220" w:type="dxa"/>
            <w:vAlign w:val="center"/>
            <w:textDirection w:val="lrTb"/>
            <w:noWrap/>
          </w:tcPr>
          <w:p>
            <w:pPr>
              <w:pStyle w:val="853"/>
              <w:jc w:val="left"/>
              <w:keepLines w:val="0"/>
              <w:keepNext w:val="0"/>
              <w:widowControl/>
              <w:rPr>
                <w:rFonts w:hint="eastAsia" w:ascii="宋体" w:hAnsi="宋体" w:eastAsia="宋体" w:cs="宋体"/>
                <w:i w:val="0"/>
                <w:iCs w:val="0"/>
                <w:color w:val="000000"/>
                <w:sz w:val="36"/>
                <w:szCs w:val="36"/>
                <w:highlight w:val="none"/>
                <w:u w:val="none"/>
              </w:rPr>
              <w:suppressLineNumbers w:val="0"/>
            </w:pPr>
            <w:r>
              <w:rPr>
                <w:rFonts w:hint="eastAsia" w:ascii="宋体" w:hAnsi="宋体" w:eastAsia="宋体" w:cs="宋体"/>
                <w:i w:val="0"/>
                <w:iCs w:val="0"/>
                <w:color w:val="000000"/>
                <w:sz w:val="36"/>
                <w:szCs w:val="36"/>
                <w:highlight w:val="none"/>
                <w:u w:val="none"/>
                <w:lang w:val="en-US" w:eastAsia="zh-CN" w:bidi="ar"/>
              </w:rPr>
              <w:t xml:space="preserve">二、中小学</w:t>
            </w:r>
            <w:r>
              <w:rPr>
                <w:rFonts w:hint="eastAsia" w:ascii="宋体" w:hAnsi="宋体" w:eastAsia="宋体" w:cs="宋体"/>
                <w:i w:val="0"/>
                <w:iCs w:val="0"/>
                <w:color w:val="000000"/>
                <w:sz w:val="36"/>
                <w:szCs w:val="36"/>
                <w:highlight w:val="none"/>
                <w:u w:val="none"/>
              </w:rPr>
            </w:r>
            <w:r/>
          </w:p>
        </w:tc>
      </w:tr>
      <w:tr>
        <w:trPr>
          <w:trHeight w:val="800"/>
        </w:trPr>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位置</w:t>
            </w:r>
            <w:r>
              <w:rPr>
                <w:rFonts w:hint="eastAsia" w:ascii="宋体" w:hAnsi="宋体" w:eastAsia="宋体" w:cs="宋体"/>
                <w:i w:val="0"/>
                <w:iCs w:val="0"/>
                <w:color w:val="000000"/>
                <w:sz w:val="22"/>
                <w:szCs w:val="22"/>
                <w:highlight w:val="none"/>
                <w:u w:val="none"/>
              </w:rPr>
            </w:r>
            <w:r/>
          </w:p>
        </w:tc>
        <w:tc>
          <w:tcPr>
            <w:tcW w:w="908"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总数</w:t>
            </w:r>
            <w:r>
              <w:rPr>
                <w:rFonts w:hint="eastAsia" w:ascii="宋体" w:hAnsi="宋体" w:eastAsia="宋体" w:cs="宋体"/>
                <w:b/>
                <w:bCs/>
                <w:i w:val="0"/>
                <w:iCs w:val="0"/>
                <w:color w:val="000000"/>
                <w:sz w:val="22"/>
                <w:szCs w:val="22"/>
                <w:highlight w:val="none"/>
                <w:u w:val="none"/>
              </w:rPr>
            </w:r>
            <w:r/>
          </w:p>
        </w:tc>
        <w:tc>
          <w:tcPr>
            <w:tcW w:w="71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c>
          <w:tcPr>
            <w:tcW w:w="2611"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规格型号</w:t>
            </w:r>
            <w:r>
              <w:rPr>
                <w:rFonts w:hint="eastAsia" w:ascii="宋体" w:hAnsi="宋体" w:eastAsia="宋体" w:cs="宋体"/>
                <w:i w:val="0"/>
                <w:iCs w:val="0"/>
                <w:color w:val="000000"/>
                <w:sz w:val="22"/>
                <w:szCs w:val="22"/>
                <w:highlight w:val="none"/>
                <w:u w:val="none"/>
              </w:rPr>
            </w:r>
            <w:r/>
          </w:p>
        </w:tc>
      </w:tr>
      <w:tr>
        <w:trPr>
          <w:trHeight w:val="800"/>
        </w:trPr>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29" w:type="dxa"/>
            <w:vAlign w:val="center"/>
            <w:vMerge w:val="restart"/>
            <w:textDirection w:val="lrTb"/>
            <w:noWrap w:val="false"/>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中小学      东运动场</w:t>
            </w:r>
            <w:r>
              <w:rPr>
                <w:rFonts w:hint="eastAsia" w:ascii="宋体" w:hAnsi="宋体" w:eastAsia="宋体" w:cs="宋体"/>
                <w:i w:val="0"/>
                <w:iCs w:val="0"/>
                <w:color w:val="000000"/>
                <w:sz w:val="22"/>
                <w:szCs w:val="22"/>
                <w:highlight w:val="none"/>
                <w:u w:val="none"/>
              </w:rPr>
            </w:r>
            <w:r/>
          </w:p>
        </w:tc>
        <w:tc>
          <w:tcPr>
            <w:tcW w:w="908"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围栏</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600</w:t>
            </w:r>
            <w:r>
              <w:rPr>
                <w:rFonts w:hint="eastAsia" w:ascii="宋体" w:hAnsi="宋体" w:eastAsia="宋体" w:cs="宋体"/>
                <w:b/>
                <w:bCs/>
                <w:i w:val="0"/>
                <w:iCs w:val="0"/>
                <w:color w:val="000000"/>
                <w:sz w:val="22"/>
                <w:szCs w:val="22"/>
                <w:highlight w:val="none"/>
                <w:u w:val="none"/>
              </w:rPr>
            </w:r>
            <w:r/>
          </w:p>
        </w:tc>
        <w:tc>
          <w:tcPr>
            <w:tcW w:w="710"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米数</w:t>
            </w:r>
            <w:r>
              <w:rPr>
                <w:rFonts w:hint="eastAsia" w:ascii="宋体" w:hAnsi="宋体" w:eastAsia="宋体" w:cs="宋体"/>
                <w:i w:val="0"/>
                <w:iCs w:val="0"/>
                <w:color w:val="000000"/>
                <w:sz w:val="22"/>
                <w:szCs w:val="22"/>
                <w:highlight w:val="none"/>
                <w:u w:val="none"/>
                <w:lang w:eastAsia="zh-CN"/>
              </w:rPr>
            </w:r>
            <w:r/>
          </w:p>
        </w:tc>
        <w:tc>
          <w:tcPr>
            <w:tcW w:w="26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高度2.0m，网孔50×50mm，钢丝直径3.8mm，热浸塑处理防锈，含水泥立柱和固定配件</w:t>
            </w:r>
            <w:r>
              <w:rPr>
                <w:rFonts w:hint="eastAsia" w:ascii="宋体" w:hAnsi="宋体" w:eastAsia="宋体" w:cs="宋体"/>
                <w:i w:val="0"/>
                <w:iCs w:val="0"/>
                <w:color w:val="000000"/>
                <w:sz w:val="22"/>
                <w:szCs w:val="22"/>
                <w:highlight w:val="none"/>
                <w:u w:val="none"/>
              </w:rPr>
            </w:r>
            <w:r/>
          </w:p>
        </w:tc>
      </w:tr>
      <w:tr>
        <w:trPr>
          <w:trHeight w:val="800"/>
        </w:trPr>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29"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8"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篮球架（全场篮架）</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rPr>
            </w:r>
            <w:r/>
          </w:p>
        </w:tc>
        <w:tc>
          <w:tcPr>
            <w:tcW w:w="71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一副2个，</w:t>
            </w:r>
            <w:r>
              <w:rPr>
                <w:rFonts w:hint="eastAsia" w:ascii="宋体" w:hAnsi="宋体" w:eastAsia="宋体" w:cs="宋体"/>
                <w:i w:val="0"/>
                <w:iCs w:val="0"/>
                <w:color w:val="ff0000"/>
                <w:sz w:val="22"/>
                <w:szCs w:val="22"/>
                <w:highlight w:val="none"/>
                <w:u w:val="none"/>
                <w:lang w:val="en-US" w:eastAsia="zh-CN" w:bidi="ar"/>
              </w:rPr>
              <w:t xml:space="preserve">数量共计2个</w:t>
            </w:r>
            <w:r>
              <w:rPr>
                <w:rFonts w:hint="eastAsia" w:ascii="宋体" w:hAnsi="宋体" w:eastAsia="宋体" w:cs="宋体"/>
                <w:i w:val="0"/>
                <w:iCs w:val="0"/>
                <w:color w:val="000000"/>
                <w:sz w:val="22"/>
                <w:szCs w:val="22"/>
                <w:highlight w:val="none"/>
                <w:u w:val="none"/>
              </w:rPr>
            </w:r>
            <w:r/>
          </w:p>
        </w:tc>
        <w:tc>
          <w:tcPr>
            <w:tcW w:w="26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规格型号参照大学运动场</w:t>
            </w:r>
            <w:r>
              <w:rPr>
                <w:rFonts w:hint="eastAsia" w:ascii="宋体" w:hAnsi="宋体" w:eastAsia="宋体" w:cs="宋体"/>
                <w:i w:val="0"/>
                <w:iCs w:val="0"/>
                <w:color w:val="000000"/>
                <w:sz w:val="22"/>
                <w:szCs w:val="22"/>
                <w:highlight w:val="none"/>
                <w:u w:val="none"/>
              </w:rPr>
            </w:r>
            <w:r/>
          </w:p>
        </w:tc>
      </w:tr>
      <w:tr>
        <w:trPr>
          <w:trHeight w:val="800"/>
        </w:trPr>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29"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8"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篮球架（双头）</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rFonts w:hint="eastAsia" w:ascii="宋体" w:hAnsi="宋体" w:eastAsia="宋体" w:cs="宋体"/>
                <w:b/>
                <w:bCs/>
                <w:i w:val="0"/>
                <w:iCs w:val="0"/>
                <w:color w:val="000000"/>
                <w:sz w:val="22"/>
                <w:szCs w:val="22"/>
                <w:highlight w:val="none"/>
                <w:u w:val="none"/>
              </w:rPr>
            </w:r>
            <w:r/>
          </w:p>
        </w:tc>
        <w:tc>
          <w:tcPr>
            <w:tcW w:w="710" w:type="dxa"/>
            <w:vAlign w:val="center"/>
            <w:textDirection w:val="lrTb"/>
            <w:noWrap/>
          </w:tcPr>
          <w:p>
            <w:pPr>
              <w:pStyle w:val="853"/>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个数</w:t>
            </w:r>
            <w:r>
              <w:rPr>
                <w:rFonts w:hint="eastAsia" w:ascii="宋体" w:hAnsi="宋体" w:eastAsia="宋体" w:cs="宋体"/>
                <w:i w:val="0"/>
                <w:iCs w:val="0"/>
                <w:color w:val="000000"/>
                <w:sz w:val="22"/>
                <w:szCs w:val="22"/>
                <w:highlight w:val="none"/>
                <w:u w:val="none"/>
                <w:lang w:eastAsia="zh-CN"/>
              </w:rPr>
            </w:r>
            <w:r/>
          </w:p>
        </w:tc>
        <w:tc>
          <w:tcPr>
            <w:tcW w:w="26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规格型号参照大学运动场</w:t>
            </w:r>
            <w:r>
              <w:rPr>
                <w:rFonts w:hint="eastAsia" w:ascii="宋体" w:hAnsi="宋体" w:eastAsia="宋体" w:cs="宋体"/>
                <w:i w:val="0"/>
                <w:iCs w:val="0"/>
                <w:color w:val="000000"/>
                <w:sz w:val="22"/>
                <w:szCs w:val="22"/>
                <w:highlight w:val="none"/>
                <w:u w:val="none"/>
              </w:rPr>
            </w:r>
            <w:r/>
          </w:p>
        </w:tc>
      </w:tr>
      <w:tr>
        <w:trPr>
          <w:trHeight w:val="800"/>
        </w:trPr>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29"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8"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足球门（大）</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2</w:t>
            </w:r>
            <w:r>
              <w:rPr>
                <w:rFonts w:hint="eastAsia" w:ascii="宋体" w:hAnsi="宋体" w:eastAsia="宋体" w:cs="宋体"/>
                <w:b/>
                <w:bCs/>
                <w:i w:val="0"/>
                <w:iCs w:val="0"/>
                <w:color w:val="ff0000"/>
                <w:sz w:val="22"/>
                <w:szCs w:val="22"/>
                <w:highlight w:val="none"/>
                <w:u w:val="none"/>
              </w:rPr>
            </w:r>
            <w:r/>
          </w:p>
        </w:tc>
        <w:tc>
          <w:tcPr>
            <w:tcW w:w="71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eastAsia="zh-CN"/>
              </w:rPr>
              <w:t xml:space="preserve">个数</w:t>
            </w:r>
            <w:r>
              <w:rPr>
                <w:rFonts w:hint="eastAsia" w:ascii="宋体" w:hAnsi="宋体" w:eastAsia="宋体" w:cs="宋体"/>
                <w:i w:val="0"/>
                <w:iCs w:val="0"/>
                <w:color w:val="000000"/>
                <w:sz w:val="22"/>
                <w:szCs w:val="22"/>
                <w:highlight w:val="none"/>
                <w:u w:val="none"/>
              </w:rPr>
            </w:r>
            <w:r/>
          </w:p>
        </w:tc>
        <w:tc>
          <w:tcPr>
            <w:tcW w:w="26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规格型号参照大学运动场</w:t>
            </w:r>
            <w:r>
              <w:rPr>
                <w:rFonts w:hint="eastAsia" w:ascii="宋体" w:hAnsi="宋体" w:eastAsia="宋体" w:cs="宋体"/>
                <w:i w:val="0"/>
                <w:iCs w:val="0"/>
                <w:color w:val="000000"/>
                <w:sz w:val="22"/>
                <w:szCs w:val="22"/>
                <w:highlight w:val="none"/>
                <w:u w:val="none"/>
              </w:rPr>
            </w:r>
            <w:r/>
          </w:p>
        </w:tc>
      </w:tr>
      <w:tr>
        <w:trPr>
          <w:trHeight w:val="800"/>
        </w:trPr>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29" w:type="dxa"/>
            <w:vAlign w:val="center"/>
            <w:vMerge w:val="continue"/>
            <w:textDirection w:val="lrTb"/>
            <w:noWrap w:val="false"/>
          </w:tcPr>
          <w:p>
            <w:pPr>
              <w:pStyle w:val="85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8"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足球门（小）</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4</w:t>
            </w:r>
            <w:r>
              <w:rPr>
                <w:rFonts w:hint="eastAsia" w:ascii="宋体" w:hAnsi="宋体" w:eastAsia="宋体" w:cs="宋体"/>
                <w:b/>
                <w:bCs/>
                <w:i w:val="0"/>
                <w:iCs w:val="0"/>
                <w:color w:val="ff0000"/>
                <w:sz w:val="22"/>
                <w:szCs w:val="22"/>
                <w:highlight w:val="none"/>
                <w:u w:val="none"/>
              </w:rPr>
            </w:r>
            <w:r/>
          </w:p>
        </w:tc>
        <w:tc>
          <w:tcPr>
            <w:tcW w:w="71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eastAsia="zh-CN"/>
              </w:rPr>
              <w:t xml:space="preserve">个数</w:t>
            </w:r>
            <w:r>
              <w:rPr>
                <w:rFonts w:hint="eastAsia" w:ascii="宋体" w:hAnsi="宋体" w:eastAsia="宋体" w:cs="宋体"/>
                <w:i w:val="0"/>
                <w:iCs w:val="0"/>
                <w:color w:val="000000"/>
                <w:sz w:val="22"/>
                <w:szCs w:val="22"/>
                <w:highlight w:val="none"/>
                <w:u w:val="none"/>
              </w:rPr>
            </w:r>
            <w:r/>
          </w:p>
        </w:tc>
        <w:tc>
          <w:tcPr>
            <w:tcW w:w="26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规格型号参照大学运动场</w:t>
            </w:r>
            <w:r>
              <w:rPr>
                <w:rFonts w:hint="eastAsia" w:ascii="宋体" w:hAnsi="宋体" w:eastAsia="宋体" w:cs="宋体"/>
                <w:i w:val="0"/>
                <w:iCs w:val="0"/>
                <w:color w:val="000000"/>
                <w:sz w:val="22"/>
                <w:szCs w:val="22"/>
                <w:highlight w:val="none"/>
                <w:u w:val="none"/>
              </w:rPr>
            </w:r>
            <w:r/>
          </w:p>
        </w:tc>
      </w:tr>
      <w:tr>
        <w:trPr>
          <w:trHeight w:val="7480"/>
        </w:trPr>
        <w:tc>
          <w:tcPr>
            <w:tcW w:w="229"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29"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 育 馆</w:t>
            </w:r>
            <w:r>
              <w:rPr>
                <w:rFonts w:hint="eastAsia" w:ascii="宋体" w:hAnsi="宋体" w:eastAsia="宋体" w:cs="宋体"/>
                <w:i w:val="0"/>
                <w:iCs w:val="0"/>
                <w:color w:val="000000"/>
                <w:sz w:val="22"/>
                <w:szCs w:val="22"/>
                <w:highlight w:val="none"/>
                <w:u w:val="none"/>
              </w:rPr>
            </w:r>
            <w:r/>
          </w:p>
        </w:tc>
        <w:tc>
          <w:tcPr>
            <w:tcW w:w="908" w:type="dxa"/>
            <w:vAlign w:val="center"/>
            <w:textDirection w:val="lrTb"/>
            <w:noWrap w:val="false"/>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篮球（全场篮架）：</w:t>
            </w:r>
            <w:r>
              <w:rPr>
                <w:rFonts w:hint="eastAsia" w:ascii="宋体" w:hAnsi="宋体" w:eastAsia="宋体" w:cs="宋体"/>
                <w:b/>
                <w:bCs/>
                <w:i w:val="0"/>
                <w:iCs w:val="0"/>
                <w:color w:val="000000"/>
                <w:sz w:val="22"/>
                <w:szCs w:val="22"/>
                <w:highlight w:val="none"/>
                <w:u w:val="none"/>
                <w:lang w:val="en-US" w:eastAsia="zh-CN" w:bidi="ar"/>
              </w:rPr>
              <w:t xml:space="preserve">电动液压</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篮球架</w:t>
            </w:r>
            <w:r>
              <w:rPr>
                <w:rFonts w:hint="eastAsia" w:ascii="宋体" w:hAnsi="宋体" w:eastAsia="宋体" w:cs="宋体"/>
                <w:i w:val="0"/>
                <w:iCs w:val="0"/>
                <w:color w:val="000000"/>
                <w:sz w:val="22"/>
                <w:szCs w:val="22"/>
                <w:highlight w:val="none"/>
                <w:u w:val="none"/>
              </w:rPr>
            </w:r>
            <w:r/>
          </w:p>
        </w:tc>
        <w:tc>
          <w:tcPr>
            <w:tcW w:w="309" w:type="dxa"/>
            <w:vAlign w:val="center"/>
            <w:textDirection w:val="lrTb"/>
            <w:noWrap/>
          </w:tcPr>
          <w:p>
            <w:pPr>
              <w:pStyle w:val="85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rFonts w:hint="eastAsia" w:ascii="宋体" w:hAnsi="宋体" w:eastAsia="宋体" w:cs="宋体"/>
                <w:b/>
                <w:bCs/>
                <w:i w:val="0"/>
                <w:iCs w:val="0"/>
                <w:color w:val="000000"/>
                <w:sz w:val="22"/>
                <w:szCs w:val="22"/>
                <w:highlight w:val="none"/>
                <w:u w:val="none"/>
              </w:rPr>
            </w:r>
            <w:r/>
          </w:p>
        </w:tc>
        <w:tc>
          <w:tcPr>
            <w:tcW w:w="710" w:type="dxa"/>
            <w:vAlign w:val="center"/>
            <w:textDirection w:val="lrTb"/>
            <w:noWrap/>
          </w:tcPr>
          <w:p>
            <w:pPr>
              <w:pStyle w:val="85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一副2个，数量共计4个</w:t>
            </w:r>
            <w:r>
              <w:rPr>
                <w:rFonts w:hint="eastAsia" w:ascii="宋体" w:hAnsi="宋体" w:eastAsia="宋体" w:cs="宋体"/>
                <w:i w:val="0"/>
                <w:iCs w:val="0"/>
                <w:color w:val="000000"/>
                <w:sz w:val="22"/>
                <w:szCs w:val="22"/>
                <w:highlight w:val="none"/>
                <w:u w:val="none"/>
              </w:rPr>
            </w:r>
            <w:r/>
          </w:p>
        </w:tc>
        <w:tc>
          <w:tcPr>
            <w:tcW w:w="2611" w:type="dxa"/>
            <w:vAlign w:val="center"/>
            <w:textDirection w:val="lrTb"/>
            <w:noWrap w:val="false"/>
          </w:tcPr>
          <w:p>
            <w:pPr>
              <w:pStyle w:val="85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1、产品规格：篮架伸臂≥3.35m，篮圈上沿离地面高≤3.05m，球架底座尺寸≥长×宽×前高×后高=2.5×1.3×0.74×0.385m。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2、产品用材：篮球架底座采用≥6 mm的铁板在专用折边机上折边拼焊而成，底座前立柱、后立柱支撑架和油缸支撑架采用≧6 mm铁板折边制作，篮架立柱采用口径≥150×70×3mm、120×70×3mm和70×70×3mm方管拼焊而成，篮架伸臂采用口径≥140×140×4mm、140×70×3mm和70×50mm方管拼焊而成，焊缝表面均匀光滑，篮架立柱转动部位和伸臂头部连接件均采用优质精密铸钢件制作，性能安全可靠，篮架上拉杆采用优质圆管，避免了电焊及焊渣易引起生锈的隐患，下拉杆采用精拉管拼焊而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产品结构原理：电动液压篮球架采用微电脑控制系统，设有篮架升降系统、走轮伸缩机构、电器、液压系统。篮架主体升降采用四连杆机构，使用时电机接通220V、50HZ单相电源即可启动，带动油泵，经微电脑控制系统进行“功能”转换，油缸随即产生伸缩运动，从而使球架立柱升降和底座走轮起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篮板：篮板为五支点篮板，配用高强度安全玻璃篮板（尺寸≥13mm厚双层夹胶玻璃），规格≥1800×1050mm，具有透明度高、耐侯性好、抗老化、耐腐蚀、不易模糊等特点，并在篮板下沿侧面覆盖有保护圈，保护圈前后表面高度、厚度均≥20mm，底面厚度≥50mm，符合FIBA规则，能有效保护运动员扣篮时不受伤害。篮板弹性500N/min，中心挠度≤6mm，取消外力1min后篮板恢复原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5、篮圈：篮圈采用≥φ19mm实心圆钢制作，篮圈抗弯性能好。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防护措施：篮架前立柱、底座、伸臂配备有专用护套，能有效保护运动员免受撞击，篮架底座下部设有防震垫，后部装有特制专用配重，单只配重500kg，能保证在篮圈根部施加3200N的载荷时，篮球架不倾翻。前立柱与伸臂间装有专用保险机构，能有效保证使用时的安全性及美观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7、爬坡功能：底座除了本身的走轮机构外，为了方便爬较陡的斜坡，在底座的后侧又另设计有一专用爬坡轮，使用时，安装方便。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8、产品涂层厚度70—80um，铅笔硬度达3H+。产品具有耐酸碱、耐湿热、抗老化、外观美观等优点，能适合潮湿和酸雨环境。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蓝圈用实心钢材制成；篮圈圈条直径为16-20mm，篮圈内径为450-459mm；篮圈下沿有12个均分的系篮网装置，无锐边、毛刺；系篮网装置间隙≤8mm；篮圈内沿至篮板板面的最近间距151±2mm；篮圈固定在支撑架篮板的构架上，固定篮圈的钢板和玻璃篮板之间没有直接的接触；篮圈颜色为橙色。篮圈固定在支撑架篮板的构架上，固定篮圈的钢板和玻璃篮板之间不得直接接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10、液压系统无漏油、渗油现象，篮球架架体升降灵活、运行平稳。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11、防护措施。篮板包扎物的下沿厚度为48～55mm</w:t>
            </w:r>
            <w:r>
              <w:rPr>
                <w:rFonts w:hint="eastAsia" w:ascii="宋体" w:hAnsi="宋体" w:eastAsia="宋体" w:cs="宋体"/>
                <w:i w:val="0"/>
                <w:iCs w:val="0"/>
                <w:color w:val="000000"/>
                <w:sz w:val="22"/>
                <w:szCs w:val="22"/>
                <w:highlight w:val="none"/>
                <w:u w:val="none"/>
                <w:lang w:val="en-US" w:eastAsia="zh-CN" w:bidi="ar"/>
              </w:rPr>
              <w:t xml:space="preserve">，侧表面高度（从篮板底起）为350～450mm，侧表面厚度为20～27mm,前、后表面高度（从底板起）为20～25mm，前、后表面厚度为20～27mm；支撑架篮板背后面向球场的篮板支撑架经衬填后包扎，包扎物的高度≥2150mm，包扎物厚度≥100mm；篮板背后包扎任何支撑部分在其下表面包扎，直到篮板后面，包扎物的长度包扎物≥1200mm，厚度≥25mm；所有包扎物具有一定的缓冲性能，能防止肢体陷入，当外力突然施加在包扎物上时包扎物的凹陷不超过其原先厚度的50%，包杂物的颜色应为蓝色或其他与架体反差大的颜色。</w:t>
            </w:r>
            <w:r>
              <w:rPr>
                <w:rFonts w:hint="eastAsia" w:ascii="宋体" w:hAnsi="宋体" w:eastAsia="宋体" w:cs="宋体"/>
                <w:i w:val="0"/>
                <w:iCs w:val="0"/>
                <w:color w:val="000000"/>
                <w:sz w:val="22"/>
                <w:szCs w:val="22"/>
                <w:highlight w:val="none"/>
                <w:u w:val="none"/>
              </w:rPr>
            </w:r>
            <w:r/>
          </w:p>
        </w:tc>
      </w:tr>
    </w:tbl>
    <w:p>
      <w:pPr>
        <w:pStyle w:val="853"/>
        <w:jc w:val="left"/>
        <w:spacing w:line="360" w:lineRule="auto"/>
        <w:rPr>
          <w:rFonts w:hint="eastAsia"/>
          <w:b/>
          <w:bCs/>
          <w:color w:val="000000"/>
          <w:sz w:val="24"/>
          <w:highlight w:val="none"/>
        </w:rPr>
      </w:pPr>
      <w:r>
        <w:rPr>
          <w:rFonts w:hint="eastAsia"/>
          <w:b/>
          <w:bCs/>
          <w:color w:val="000000"/>
          <w:sz w:val="24"/>
          <w:highlight w:val="none"/>
        </w:rPr>
      </w:r>
      <w:r/>
    </w:p>
    <w:p>
      <w:pPr>
        <w:pStyle w:val="853"/>
        <w:jc w:val="left"/>
        <w:spacing w:line="360" w:lineRule="auto"/>
        <w:rPr>
          <w:rFonts w:hint="eastAsia"/>
          <w:b/>
          <w:bCs/>
          <w:color w:val="000000"/>
          <w:sz w:val="24"/>
          <w:highlight w:val="none"/>
          <w:lang w:eastAsia="zh-CN"/>
        </w:rPr>
      </w:pPr>
      <w:r>
        <w:rPr>
          <w:rFonts w:hint="eastAsia"/>
          <w:b/>
          <w:bCs/>
          <w:color w:val="000000"/>
          <w:sz w:val="24"/>
          <w:highlight w:val="none"/>
        </w:rPr>
        <w:t xml:space="preserve">备注：运动场器材除足球门外均需埋置基础</w:t>
      </w:r>
      <w:r>
        <w:rPr>
          <w:rFonts w:hint="eastAsia"/>
          <w:b/>
          <w:bCs/>
          <w:color w:val="000000"/>
          <w:sz w:val="24"/>
          <w:highlight w:val="none"/>
          <w:lang w:eastAsia="zh-CN"/>
        </w:rPr>
        <w:t xml:space="preserve">。</w:t>
      </w:r>
      <w:r>
        <w:rPr>
          <w:rFonts w:hint="eastAsia"/>
          <w:b/>
          <w:bCs/>
          <w:color w:val="000000"/>
          <w:sz w:val="24"/>
          <w:highlight w:val="none"/>
          <w:lang w:eastAsia="zh-CN"/>
        </w:rPr>
      </w:r>
      <w:r/>
    </w:p>
    <w:p>
      <w:pPr>
        <w:pStyle w:val="853"/>
        <w:jc w:val="left"/>
        <w:spacing w:line="360" w:lineRule="auto"/>
        <w:rPr>
          <w:rFonts w:hint="eastAsia"/>
          <w:b/>
          <w:bCs/>
          <w:color w:val="000000"/>
          <w:sz w:val="24"/>
          <w:highlight w:val="none"/>
          <w:lang w:eastAsia="zh-CN"/>
        </w:rPr>
        <w:sectPr>
          <w:footnotePr/>
          <w:endnotePr/>
          <w:type w:val="nextPage"/>
          <w:pgSz w:w="16838" w:h="11905" w:orient="landscape"/>
          <w:pgMar w:top="1417" w:right="1417" w:bottom="1417" w:left="1417" w:header="850" w:footer="992" w:gutter="0"/>
          <w:cols w:num="1" w:sep="0" w:space="1701" w:equalWidth="1"/>
          <w:docGrid w:linePitch="360"/>
        </w:sectPr>
      </w:pPr>
      <w:r>
        <w:rPr>
          <w:rFonts w:hint="eastAsia"/>
          <w:b/>
          <w:bCs/>
          <w:color w:val="000000"/>
          <w:sz w:val="24"/>
          <w:highlight w:val="none"/>
          <w:lang w:eastAsia="zh-CN"/>
        </w:rPr>
      </w:r>
      <w:r/>
    </w:p>
    <w:p>
      <w:pPr>
        <w:pStyle w:val="853"/>
        <w:jc w:val="left"/>
        <w:spacing w:line="360" w:lineRule="auto"/>
        <w:rPr>
          <w:rFonts w:hint="eastAsia" w:ascii="宋体" w:hAnsi="宋体"/>
          <w:b/>
          <w:color w:val="000000"/>
          <w:sz w:val="24"/>
          <w:szCs w:val="28"/>
          <w:highlight w:val="none"/>
        </w:rPr>
      </w:pPr>
      <w:r>
        <w:rPr>
          <w:rFonts w:hint="eastAsia" w:ascii="宋体" w:hAnsi="宋体"/>
          <w:b/>
          <w:color w:val="000000"/>
          <w:sz w:val="24"/>
          <w:szCs w:val="28"/>
          <w:highlight w:val="none"/>
        </w:rPr>
        <w:t xml:space="preserve">三、质量要求</w:t>
      </w:r>
      <w:r>
        <w:rPr>
          <w:rFonts w:hint="eastAsia" w:ascii="宋体" w:hAnsi="宋体"/>
          <w:b/>
          <w:color w:val="000000"/>
          <w:sz w:val="24"/>
          <w:szCs w:val="28"/>
          <w:highlight w:val="none"/>
        </w:rPr>
      </w:r>
      <w:r/>
    </w:p>
    <w:p>
      <w:pPr>
        <w:pStyle w:val="85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1、供应商应保证所供货物的安全性、可靠性、先进性、经济性和实用性，并为全新、未使用过的原装合格正品，完全符合采购文件规定的质量、规格和性能的要求，</w:t>
      </w:r>
      <w:r>
        <w:rPr>
          <w:rFonts w:ascii="宋体" w:hAnsi="宋体"/>
          <w:color w:val="000000"/>
          <w:sz w:val="24"/>
          <w:highlight w:val="none"/>
        </w:rPr>
        <w:t xml:space="preserve">所有</w:t>
      </w:r>
      <w:r>
        <w:rPr>
          <w:rFonts w:hint="eastAsia" w:ascii="宋体" w:hAnsi="宋体"/>
          <w:color w:val="000000"/>
          <w:sz w:val="24"/>
          <w:highlight w:val="none"/>
        </w:rPr>
        <w:t xml:space="preserve">货物</w:t>
      </w:r>
      <w:r>
        <w:rPr>
          <w:rFonts w:ascii="宋体" w:hAnsi="宋体"/>
          <w:color w:val="000000"/>
          <w:sz w:val="24"/>
          <w:highlight w:val="none"/>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color w:val="000000"/>
          <w:sz w:val="24"/>
          <w:highlight w:val="none"/>
        </w:rPr>
        <w:t xml:space="preserve">保证能通过采购人的质量验收、竣工验收等各类验收。</w:t>
      </w:r>
      <w:r>
        <w:rPr>
          <w:rFonts w:hint="eastAsia" w:ascii="宋体" w:hAnsi="宋体" w:cs="宋体"/>
          <w:color w:val="000000"/>
          <w:sz w:val="24"/>
          <w:highlight w:val="none"/>
        </w:rPr>
      </w:r>
      <w:r/>
    </w:p>
    <w:p>
      <w:pPr>
        <w:pStyle w:val="85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cs="宋体"/>
          <w:color w:val="000000"/>
          <w:sz w:val="24"/>
          <w:highlight w:val="none"/>
        </w:rPr>
      </w:r>
      <w:r/>
    </w:p>
    <w:p>
      <w:pPr>
        <w:pStyle w:val="85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rPr>
          <w:rFonts w:hint="eastAsia" w:ascii="宋体" w:hAnsi="宋体" w:cs="宋体"/>
          <w:color w:val="000000"/>
          <w:sz w:val="24"/>
          <w:highlight w:val="none"/>
        </w:rPr>
      </w:r>
      <w:r/>
    </w:p>
    <w:p>
      <w:pPr>
        <w:pStyle w:val="853"/>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4、产品的外观、包装、运输应按国家规定、部颁标准或行业主管部门规定执行，如因中标人包装不当以及其它原因造成损坏或丢失，应由中标人负一切责任。</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、中标人应保证提供的产品不得侵犯第三方专利权、商标权和设计权、版权等。否则，中标人应负全部责任，并承担由此引起的一切后果。</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6</w:t>
      </w:r>
      <w:r>
        <w:rPr>
          <w:rFonts w:hint="eastAsia" w:ascii="宋体" w:hAnsi="宋体" w:cs="宋体"/>
          <w:color w:val="000000"/>
          <w:sz w:val="24"/>
          <w:highlight w:val="none"/>
        </w:rPr>
        <w:t xml:space="preserve">、中标人应保证其货物在正确安装、正常使用下，在其使用寿命期内应具有满意的性能。</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7</w:t>
      </w:r>
      <w:r>
        <w:rPr>
          <w:rFonts w:hint="eastAsia" w:ascii="宋体" w:hAnsi="宋体" w:cs="宋体"/>
          <w:color w:val="000000"/>
          <w:sz w:val="24"/>
          <w:highlight w:val="none"/>
        </w:rPr>
        <w:t xml:space="preserve">、中标人应采取必要的安全措施保证货物的运输及安装的安全，并承担货物的运输及安装过程中产生的风险。</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8</w:t>
      </w:r>
      <w:r>
        <w:rPr>
          <w:rFonts w:hint="eastAsia" w:ascii="宋体" w:hAnsi="宋体" w:cs="宋体"/>
          <w:color w:val="000000"/>
          <w:sz w:val="24"/>
          <w:highlight w:val="none"/>
        </w:rPr>
        <w:t xml:space="preserve">、除特别约定外，合同条款内项目（标的物）的质量保证期均自项目（标的物）通过最终验收之日起计算，质量保证期按承诺</w:t>
      </w:r>
      <w:r>
        <w:rPr>
          <w:rFonts w:hint="eastAsia" w:ascii="宋体" w:hAnsi="宋体" w:cs="宋体"/>
          <w:color w:val="000000"/>
          <w:sz w:val="24"/>
          <w:highlight w:val="none"/>
        </w:rPr>
      </w:r>
      <w:r/>
    </w:p>
    <w:p>
      <w:pPr>
        <w:pStyle w:val="853"/>
        <w:ind w:firstLine="480"/>
        <w:jc w:val="left"/>
        <w:spacing w:line="360" w:lineRule="auto"/>
        <w:rPr>
          <w:rFonts w:hint="eastAsia" w:ascii="宋体" w:hAnsi="宋体"/>
          <w:color w:val="000000"/>
          <w:sz w:val="24"/>
          <w:highlight w:val="none"/>
        </w:rPr>
      </w:pPr>
      <w:r>
        <w:rPr>
          <w:rFonts w:ascii="宋体" w:hAnsi="宋体" w:cs="宋体"/>
          <w:color w:val="000000"/>
          <w:sz w:val="24"/>
          <w:highlight w:val="none"/>
        </w:rPr>
        <w:t xml:space="preserve">9</w:t>
      </w:r>
      <w:r>
        <w:rPr>
          <w:rFonts w:hint="eastAsia" w:ascii="宋体" w:hAnsi="宋体" w:cs="宋体"/>
          <w:color w:val="000000"/>
          <w:sz w:val="24"/>
          <w:highlight w:val="none"/>
        </w:rPr>
        <w:t xml:space="preserve">、</w:t>
      </w:r>
      <w:r>
        <w:rPr>
          <w:rFonts w:ascii="宋体" w:hAnsi="宋体"/>
          <w:color w:val="000000"/>
          <w:sz w:val="24"/>
          <w:highlight w:val="none"/>
        </w:rPr>
        <w:t xml:space="preserve">在未验收前，请</w:t>
      </w:r>
      <w:r>
        <w:rPr>
          <w:rFonts w:hint="eastAsia" w:ascii="宋体" w:hAnsi="宋体"/>
          <w:color w:val="000000"/>
          <w:sz w:val="24"/>
          <w:highlight w:val="none"/>
        </w:rPr>
        <w:t xml:space="preserve">中标人</w:t>
      </w:r>
      <w:r>
        <w:rPr>
          <w:rFonts w:ascii="宋体" w:hAnsi="宋体"/>
          <w:color w:val="000000"/>
          <w:sz w:val="24"/>
          <w:highlight w:val="none"/>
        </w:rPr>
        <w:t xml:space="preserve">自行负责保管好施工材料、工具等。采购人不为施工期间材料丢失、被盗、损坏及与其它施工单位产生的纠纷等事项承担责任，直至验收合格</w:t>
      </w:r>
      <w:r>
        <w:rPr>
          <w:rFonts w:hint="eastAsia" w:ascii="宋体" w:hAnsi="宋体"/>
          <w:color w:val="000000"/>
          <w:sz w:val="24"/>
          <w:highlight w:val="none"/>
        </w:rPr>
        <w:t xml:space="preserve">；中标人出现的事故与采购人无关。</w:t>
      </w:r>
      <w:r>
        <w:rPr>
          <w:rFonts w:hint="eastAsia" w:ascii="宋体" w:hAnsi="宋体"/>
          <w:color w:val="000000"/>
          <w:sz w:val="24"/>
          <w:highlight w:val="none"/>
        </w:rPr>
      </w:r>
      <w:r/>
    </w:p>
    <w:p>
      <w:pPr>
        <w:pStyle w:val="853"/>
        <w:ind w:firstLine="480"/>
        <w:jc w:val="left"/>
        <w:spacing w:line="360" w:lineRule="auto"/>
        <w:widowControl/>
        <w:rPr>
          <w:rFonts w:hint="eastAsia" w:hAnsi="宋体"/>
          <w:color w:val="000000"/>
          <w:sz w:val="24"/>
          <w:highlight w:val="none"/>
        </w:rPr>
      </w:pPr>
      <w:r>
        <w:rPr>
          <w:rFonts w:hAnsi="宋体"/>
          <w:color w:val="000000"/>
          <w:sz w:val="24"/>
          <w:highlight w:val="none"/>
        </w:rPr>
        <w:t xml:space="preserve">10</w:t>
      </w:r>
      <w:r>
        <w:rPr>
          <w:rFonts w:hint="eastAsia" w:hAnsi="宋体"/>
          <w:color w:val="000000"/>
          <w:sz w:val="24"/>
          <w:highlight w:val="none"/>
        </w:rPr>
        <w:t xml:space="preserve">、</w:t>
      </w:r>
      <w:r>
        <w:rPr>
          <w:rFonts w:hAnsi="宋体"/>
          <w:color w:val="000000"/>
          <w:sz w:val="24"/>
          <w:highlight w:val="none"/>
        </w:rPr>
        <w:t xml:space="preserve">在安装过程中要委派有经验的专业技术人员进行安装调试，确保</w:t>
      </w:r>
      <w:r>
        <w:rPr>
          <w:rFonts w:hint="eastAsia" w:hAnsi="宋体"/>
          <w:color w:val="000000"/>
          <w:sz w:val="24"/>
          <w:highlight w:val="none"/>
        </w:rPr>
        <w:t xml:space="preserve">设施设备</w:t>
      </w:r>
      <w:r>
        <w:rPr>
          <w:rFonts w:hAnsi="宋体"/>
          <w:color w:val="000000"/>
          <w:sz w:val="24"/>
          <w:highlight w:val="none"/>
        </w:rPr>
        <w:t xml:space="preserve">正常使用。</w:t>
      </w:r>
      <w:r>
        <w:rPr>
          <w:rFonts w:hint="eastAsia" w:hAnsi="宋体"/>
          <w:color w:val="000000"/>
          <w:sz w:val="24"/>
          <w:highlight w:val="none"/>
        </w:rPr>
      </w:r>
      <w:r/>
    </w:p>
    <w:p>
      <w:pPr>
        <w:pStyle w:val="853"/>
        <w:jc w:val="left"/>
        <w:spacing w:line="360" w:lineRule="auto"/>
        <w:rPr>
          <w:rFonts w:hint="eastAsia" w:ascii="宋体" w:hAnsi="宋体"/>
          <w:b/>
          <w:color w:val="000000"/>
          <w:sz w:val="24"/>
          <w:szCs w:val="28"/>
          <w:highlight w:val="none"/>
        </w:rPr>
      </w:pPr>
      <w:r>
        <w:rPr>
          <w:rFonts w:hint="eastAsia" w:ascii="宋体" w:hAnsi="宋体"/>
          <w:b/>
          <w:color w:val="000000"/>
          <w:sz w:val="24"/>
          <w:szCs w:val="28"/>
          <w:highlight w:val="none"/>
        </w:rPr>
        <w:t xml:space="preserve">四、产品设备交货、安装调试服务</w:t>
      </w:r>
      <w:r>
        <w:rPr>
          <w:rFonts w:hint="eastAsia" w:ascii="宋体" w:hAnsi="宋体"/>
          <w:b/>
          <w:color w:val="000000"/>
          <w:sz w:val="24"/>
          <w:szCs w:val="28"/>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1.中标人提供中标产品设备并送至招标人指定的地点并负责安装、调试服务，同时承担因此发生的一切费用。</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2.本项目涉及到的产品从供货到安装均禁止分包或转包。</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3.中标人发货到招标人指定地点时应先用函、电通告招标人。</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4.产品设备交货时，外包装应完整无破损。</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5.产品设备交货时，应提供到货产品设备、材料的清单，具体还包括但不限于以下的内容：</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（1）产品出厂合检验格证，制造商全称、配套件的名称、型号、规格等。</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（2）完备的使用说明书。</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（3）安装说明书。</w:t>
      </w:r>
      <w:r>
        <w:rPr>
          <w:rFonts w:hint="eastAsia" w:ascii="宋体" w:hAnsi="宋体" w:cs="宋体"/>
          <w:color w:val="000000"/>
          <w:sz w:val="24"/>
          <w:highlight w:val="none"/>
        </w:rPr>
      </w:r>
      <w:r/>
    </w:p>
    <w:p>
      <w:pPr>
        <w:pStyle w:val="853"/>
        <w:jc w:val="left"/>
        <w:spacing w:line="360" w:lineRule="auto"/>
        <w:rPr>
          <w:rFonts w:hint="eastAsia" w:ascii="宋体" w:hAnsi="宋体"/>
          <w:b/>
          <w:color w:val="000000"/>
          <w:sz w:val="24"/>
          <w:szCs w:val="28"/>
          <w:highlight w:val="none"/>
        </w:rPr>
      </w:pPr>
      <w:r>
        <w:rPr>
          <w:rFonts w:hint="eastAsia" w:ascii="宋体" w:hAnsi="宋体"/>
          <w:b/>
          <w:color w:val="000000"/>
          <w:sz w:val="24"/>
          <w:szCs w:val="28"/>
          <w:highlight w:val="none"/>
        </w:rPr>
        <w:t xml:space="preserve">五、验收标准</w:t>
      </w:r>
      <w:r>
        <w:rPr>
          <w:rFonts w:hint="eastAsia" w:ascii="宋体" w:hAnsi="宋体"/>
          <w:b/>
          <w:color w:val="000000"/>
          <w:sz w:val="24"/>
          <w:szCs w:val="28"/>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1、投标产品所选用主材、辅材须达到或超过本招标文件和国家相关规定的要求。关于检测报告上的名称与采购需求的名称不同的，但内容实质相同的视作等同。</w:t>
      </w:r>
      <w:r>
        <w:rPr>
          <w:rFonts w:hint="eastAsia" w:ascii="宋体" w:hAnsi="宋体" w:cs="宋体"/>
          <w:color w:val="000000"/>
          <w:sz w:val="24"/>
          <w:highlight w:val="none"/>
        </w:rPr>
      </w:r>
      <w:r/>
    </w:p>
    <w:p>
      <w:pPr>
        <w:pStyle w:val="853"/>
        <w:ind w:right="2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2、中标人在交货时，需向采购人提供装箱清单和检验合格证</w:t>
      </w:r>
      <w:r>
        <w:rPr>
          <w:rFonts w:ascii="宋体" w:hAnsi="宋体" w:cs="宋体"/>
          <w:color w:val="000000"/>
          <w:sz w:val="24"/>
          <w:highlight w:val="none"/>
        </w:rPr>
        <w:t xml:space="preserve">。</w:t>
      </w:r>
      <w:r>
        <w:rPr>
          <w:rFonts w:hint="eastAsia" w:ascii="宋体" w:hAnsi="宋体" w:cs="宋体"/>
          <w:color w:val="000000"/>
          <w:sz w:val="24"/>
          <w:highlight w:val="none"/>
        </w:rPr>
      </w:r>
      <w:r/>
    </w:p>
    <w:p>
      <w:pPr>
        <w:pStyle w:val="853"/>
        <w:ind w:right="2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3、产品安装前，采购人组织相关人员依据招投标文件及合同要求的质量及技术标准对产品进行质量检查、检测，合格后方可进行安装。</w:t>
      </w:r>
      <w:r>
        <w:rPr>
          <w:rFonts w:hint="eastAsia" w:ascii="宋体" w:hAnsi="宋体" w:cs="宋体"/>
          <w:color w:val="000000"/>
          <w:sz w:val="24"/>
          <w:highlight w:val="none"/>
        </w:rPr>
      </w:r>
      <w:r/>
    </w:p>
    <w:p>
      <w:pPr>
        <w:pStyle w:val="853"/>
        <w:ind w:right="210" w:firstLine="480"/>
        <w:spacing w:line="360" w:lineRule="auto"/>
        <w:rPr>
          <w:rFonts w:hint="eastAsia" w:ascii="宋体" w:hAnsi="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、如</w:t>
      </w:r>
      <w:r>
        <w:rPr>
          <w:rFonts w:ascii="宋体" w:hAnsi="宋体"/>
          <w:color w:val="000000"/>
          <w:sz w:val="24"/>
          <w:highlight w:val="none"/>
        </w:rPr>
        <w:t xml:space="preserve">货物初验不合格，</w:t>
      </w:r>
      <w:r>
        <w:rPr>
          <w:rFonts w:hint="eastAsia" w:ascii="宋体" w:hAnsi="宋体"/>
          <w:color w:val="000000"/>
          <w:sz w:val="24"/>
          <w:highlight w:val="none"/>
        </w:rPr>
        <w:t xml:space="preserve">中</w:t>
      </w:r>
      <w:r>
        <w:rPr>
          <w:rFonts w:ascii="宋体" w:hAnsi="宋体"/>
          <w:color w:val="000000"/>
          <w:sz w:val="24"/>
          <w:highlight w:val="none"/>
        </w:rPr>
        <w:t xml:space="preserve">标</w:t>
      </w:r>
      <w:r>
        <w:rPr>
          <w:rFonts w:hint="eastAsia" w:ascii="宋体" w:hAnsi="宋体"/>
          <w:color w:val="000000"/>
          <w:sz w:val="24"/>
          <w:highlight w:val="none"/>
        </w:rPr>
        <w:t xml:space="preserve">人</w:t>
      </w:r>
      <w:r>
        <w:rPr>
          <w:rFonts w:ascii="宋体" w:hAnsi="宋体"/>
          <w:color w:val="000000"/>
          <w:sz w:val="24"/>
          <w:highlight w:val="none"/>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sz w:val="24"/>
          <w:highlight w:val="none"/>
        </w:rPr>
        <w:t xml:space="preserve">中</w:t>
      </w:r>
      <w:r>
        <w:rPr>
          <w:rFonts w:ascii="宋体" w:hAnsi="宋体"/>
          <w:color w:val="000000"/>
          <w:sz w:val="24"/>
          <w:highlight w:val="none"/>
        </w:rPr>
        <w:t xml:space="preserve">标</w:t>
      </w:r>
      <w:r>
        <w:rPr>
          <w:rFonts w:hint="eastAsia" w:ascii="宋体" w:hAnsi="宋体"/>
          <w:color w:val="000000"/>
          <w:sz w:val="24"/>
          <w:highlight w:val="none"/>
        </w:rPr>
        <w:t xml:space="preserve">人</w:t>
      </w:r>
      <w:r>
        <w:rPr>
          <w:rFonts w:ascii="宋体" w:hAnsi="宋体"/>
          <w:color w:val="000000"/>
          <w:sz w:val="24"/>
          <w:highlight w:val="none"/>
        </w:rPr>
        <w:t xml:space="preserve">还应赔偿采购人直接损失费用。</w:t>
      </w:r>
      <w:r>
        <w:rPr>
          <w:rFonts w:hint="eastAsia" w:ascii="宋体" w:hAnsi="宋体"/>
          <w:color w:val="000000"/>
          <w:sz w:val="24"/>
          <w:highlight w:val="none"/>
        </w:rPr>
      </w:r>
      <w:r/>
    </w:p>
    <w:p>
      <w:pPr>
        <w:pStyle w:val="853"/>
        <w:ind w:right="210" w:firstLine="480"/>
        <w:spacing w:line="360" w:lineRule="auto"/>
        <w:rPr>
          <w:rFonts w:hint="eastAsia" w:ascii="宋体" w:hAnsi="宋体"/>
          <w:color w:val="000000"/>
          <w:sz w:val="24"/>
          <w:highlight w:val="none"/>
          <w:shd w:val="clear" w:color="auto" w:fill="ffff00"/>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、经履约验收，产品性能参数达不到采购合同要求的，采购人可以拒收，并可以解除合同，由此造成的损失由中标人承担。</w:t>
      </w:r>
      <w:r>
        <w:rPr>
          <w:rFonts w:hint="eastAsia" w:ascii="宋体" w:hAnsi="宋体"/>
          <w:color w:val="000000"/>
          <w:sz w:val="24"/>
          <w:highlight w:val="none"/>
          <w:shd w:val="clear" w:color="auto" w:fill="ffff00"/>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853"/>
        <w:jc w:val="left"/>
        <w:spacing w:line="360" w:lineRule="auto"/>
        <w:rPr>
          <w:rFonts w:hint="eastAsia" w:ascii="宋体" w:hAnsi="宋体"/>
          <w:b/>
          <w:color w:val="000000"/>
          <w:sz w:val="24"/>
          <w:szCs w:val="28"/>
          <w:highlight w:val="none"/>
        </w:rPr>
      </w:pPr>
      <w:r>
        <w:rPr>
          <w:rFonts w:hint="eastAsia" w:ascii="宋体" w:hAnsi="宋体"/>
          <w:b/>
          <w:color w:val="000000"/>
          <w:sz w:val="24"/>
          <w:szCs w:val="28"/>
          <w:highlight w:val="none"/>
        </w:rPr>
        <w:t xml:space="preserve">六、包装和运输</w:t>
      </w:r>
      <w:r>
        <w:rPr>
          <w:rFonts w:hint="eastAsia" w:ascii="宋体" w:hAnsi="宋体"/>
          <w:b/>
          <w:color w:val="000000"/>
          <w:sz w:val="24"/>
          <w:szCs w:val="28"/>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1、须满足《关于印发&lt;商品包装政府采购需求标准（试行）&gt;、&lt;快递包装政府采购需求标准（试行）&gt;的通知》（财办库﹝2020﹞123号）。</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cs="宋体"/>
          <w:color w:val="000000"/>
          <w:sz w:val="24"/>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3、供应商应负责安排运输并承担运费、装卸费等相关费用。在运输和卸货过程中所涉及的一切安全责任，均由供应商负责。</w:t>
      </w:r>
      <w:r>
        <w:rPr>
          <w:rFonts w:hint="eastAsia" w:ascii="宋体" w:hAnsi="宋体" w:cs="宋体"/>
          <w:color w:val="000000"/>
          <w:sz w:val="24"/>
          <w:highlight w:val="none"/>
        </w:rPr>
      </w:r>
      <w:r/>
    </w:p>
    <w:p>
      <w:pPr>
        <w:pStyle w:val="853"/>
        <w:jc w:val="left"/>
        <w:spacing w:line="360" w:lineRule="auto"/>
        <w:rPr>
          <w:rFonts w:hint="eastAsia" w:ascii="宋体" w:hAnsi="宋体"/>
          <w:b/>
          <w:color w:val="000000"/>
          <w:sz w:val="24"/>
          <w:szCs w:val="28"/>
          <w:highlight w:val="none"/>
        </w:rPr>
      </w:pPr>
      <w:r>
        <w:rPr>
          <w:rFonts w:hint="eastAsia" w:ascii="宋体" w:hAnsi="宋体"/>
          <w:b/>
          <w:color w:val="000000"/>
          <w:sz w:val="24"/>
          <w:szCs w:val="28"/>
          <w:highlight w:val="none"/>
        </w:rPr>
        <w:t xml:space="preserve">七、售后服务</w:t>
      </w:r>
      <w:r>
        <w:rPr>
          <w:rFonts w:hint="eastAsia" w:ascii="宋体" w:hAnsi="宋体"/>
          <w:b/>
          <w:color w:val="000000"/>
          <w:sz w:val="24"/>
          <w:szCs w:val="28"/>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1.此次采购的所有项目产品质保期1</w:t>
      </w:r>
      <w:r>
        <w:rPr>
          <w:rFonts w:ascii="宋体" w:hAnsi="宋体" w:cs="宋体"/>
          <w:bCs/>
          <w:color w:val="000000"/>
          <w:sz w:val="24"/>
          <w:highlight w:val="none"/>
        </w:rPr>
        <w:t xml:space="preserve">年（即</w:t>
      </w:r>
      <w:r>
        <w:rPr>
          <w:rFonts w:hint="eastAsia" w:ascii="宋体" w:hAnsi="宋体" w:cs="宋体"/>
          <w:bCs/>
          <w:color w:val="000000"/>
          <w:sz w:val="24"/>
          <w:highlight w:val="none"/>
        </w:rPr>
        <w:t xml:space="preserve">12个月），从通过项目验收之日起计。</w:t>
      </w:r>
      <w:r>
        <w:rPr>
          <w:rFonts w:hint="eastAsia" w:ascii="宋体" w:hAnsi="宋体" w:cs="宋体"/>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2.投标人应提供详细的售后服务方案，包含《售后服务承诺书》，并提供相关技术支持服务。</w:t>
      </w:r>
      <w:r>
        <w:rPr>
          <w:rFonts w:hint="eastAsia" w:ascii="宋体" w:hAnsi="宋体" w:cs="宋体"/>
          <w:bCs/>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3.中标人无论对其投标产品的售后服务有无委托均不能免除其对投标产品所作出的售后服务承诺的一切责任。</w:t>
      </w:r>
      <w:r>
        <w:rPr>
          <w:rFonts w:hint="eastAsia" w:ascii="宋体" w:hAnsi="宋体" w:cs="宋体"/>
          <w:bCs/>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rPr>
          <w:rFonts w:hint="eastAsia" w:ascii="宋体" w:hAnsi="宋体" w:cs="宋体"/>
          <w:bCs/>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5.产品出现故障损坏时，中标人接到报修通知后，安排的维修人员在约定的时间内完成维修任务；</w:t>
      </w:r>
      <w:r>
        <w:rPr>
          <w:rFonts w:hint="eastAsia" w:ascii="宋体" w:hAnsi="宋体" w:cs="宋体"/>
          <w:bCs/>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6.如现场不能维修解决的故障问题，须提供故障不能排除时的解决方案。</w:t>
      </w:r>
      <w:r>
        <w:rPr>
          <w:rFonts w:hint="eastAsia" w:ascii="宋体" w:hAnsi="宋体" w:cs="宋体"/>
          <w:bCs/>
          <w:color w:val="000000"/>
          <w:sz w:val="24"/>
          <w:highlight w:val="none"/>
        </w:rPr>
      </w:r>
      <w:r/>
    </w:p>
    <w:p>
      <w:pPr>
        <w:pStyle w:val="853"/>
        <w:ind w:firstLine="480"/>
        <w:spacing w:line="360" w:lineRule="auto"/>
        <w:rPr>
          <w:color w:val="000000"/>
          <w:highlight w:val="none"/>
        </w:rPr>
      </w:pPr>
      <w:r>
        <w:rPr>
          <w:rFonts w:hint="eastAsia" w:ascii="宋体" w:hAnsi="宋体" w:cs="宋体"/>
          <w:b/>
          <w:bCs w:val="0"/>
          <w:color w:val="000000"/>
          <w:sz w:val="24"/>
          <w:highlight w:val="none"/>
          <w:u w:val="single"/>
        </w:rPr>
        <w:t xml:space="preserve">7.保修期满后，中标人须承诺提供终身维修服务，保证零配件供应，维修费用按照材料、人工成本收取。</w:t>
      </w:r>
      <w:r>
        <w:rPr>
          <w:color w:val="000000"/>
          <w:highlight w:val="none"/>
        </w:rPr>
      </w:r>
      <w:r/>
    </w:p>
    <w:p>
      <w:pPr>
        <w:pStyle w:val="853"/>
        <w:jc w:val="left"/>
        <w:spacing w:line="360" w:lineRule="auto"/>
        <w:rPr>
          <w:rFonts w:hint="eastAsia" w:ascii="宋体" w:hAnsi="宋体"/>
          <w:b/>
          <w:color w:val="000000"/>
          <w:sz w:val="24"/>
          <w:szCs w:val="28"/>
          <w:highlight w:val="none"/>
        </w:rPr>
      </w:pPr>
      <w:r>
        <w:rPr>
          <w:rFonts w:hint="eastAsia" w:ascii="宋体" w:hAnsi="宋体"/>
          <w:b/>
          <w:color w:val="000000"/>
          <w:sz w:val="24"/>
          <w:szCs w:val="28"/>
          <w:highlight w:val="none"/>
        </w:rPr>
        <w:t xml:space="preserve">八、培训</w:t>
      </w:r>
      <w:r>
        <w:rPr>
          <w:rFonts w:hint="eastAsia" w:ascii="宋体" w:hAnsi="宋体"/>
          <w:b/>
          <w:color w:val="000000"/>
          <w:sz w:val="24"/>
          <w:szCs w:val="28"/>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1、供应商应安排专业技术人员提供现场技术培训，保证使用人员能正常操作设备的各种功能，</w:t>
      </w:r>
      <w:r>
        <w:rPr>
          <w:rFonts w:hint="eastAsia" w:ascii="宋体" w:hAnsi="宋体"/>
          <w:color w:val="000000"/>
          <w:sz w:val="24"/>
          <w:szCs w:val="28"/>
          <w:highlight w:val="none"/>
        </w:rPr>
        <w:t xml:space="preserve">对采购人员工进行该技术内容操作使用和维护保养的培训不少于16小时。</w:t>
      </w:r>
      <w:r>
        <w:rPr>
          <w:rFonts w:hint="eastAsia" w:ascii="宋体" w:hAnsi="宋体" w:cs="宋体"/>
          <w:bCs/>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2、对采购人员工进行设备安全培训。</w:t>
      </w:r>
      <w:r>
        <w:rPr>
          <w:rFonts w:hint="eastAsia" w:ascii="宋体" w:hAnsi="宋体" w:cs="宋体"/>
          <w:bCs/>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3、提供设备运行、调试、维护过程中必要的专用工具、软件，以及对相关人员进行工艺设置、设备运行、调试和维护过程中相关的专用工具及软件使用的培训。</w:t>
      </w:r>
      <w:r>
        <w:rPr>
          <w:rFonts w:hint="eastAsia" w:ascii="宋体" w:hAnsi="宋体" w:cs="宋体"/>
          <w:bCs/>
          <w:color w:val="000000"/>
          <w:sz w:val="24"/>
          <w:highlight w:val="none"/>
        </w:rPr>
      </w:r>
      <w:r/>
    </w:p>
    <w:p>
      <w:pPr>
        <w:pStyle w:val="85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4、供应商应免费提供培训资料。</w:t>
      </w:r>
      <w:r>
        <w:rPr>
          <w:rFonts w:hint="eastAsia" w:ascii="宋体" w:hAnsi="宋体" w:cs="宋体"/>
          <w:bCs/>
          <w:color w:val="000000"/>
          <w:sz w:val="24"/>
          <w:highlight w:val="none"/>
        </w:rPr>
      </w:r>
      <w:r/>
    </w:p>
    <w:p>
      <w:pPr>
        <w:pStyle w:val="853"/>
        <w:jc w:val="left"/>
        <w:spacing w:line="460" w:lineRule="exact"/>
        <w:rPr>
          <w:rFonts w:hint="eastAsia" w:ascii="宋体" w:hAnsi="宋体"/>
          <w:b/>
          <w:color w:val="000000"/>
          <w:sz w:val="24"/>
          <w:szCs w:val="28"/>
          <w:highlight w:val="none"/>
        </w:rPr>
      </w:pPr>
      <w:r>
        <w:rPr>
          <w:rFonts w:hint="eastAsia" w:ascii="宋体" w:hAnsi="宋体"/>
          <w:b/>
          <w:color w:val="000000"/>
          <w:sz w:val="24"/>
          <w:szCs w:val="28"/>
          <w:highlight w:val="none"/>
          <w:lang w:val="en-US" w:eastAsia="zh-CN"/>
        </w:rPr>
        <w:t xml:space="preserve">九</w:t>
      </w:r>
      <w:r>
        <w:rPr>
          <w:rFonts w:hint="eastAsia" w:ascii="宋体" w:hAnsi="宋体"/>
          <w:b/>
          <w:color w:val="000000"/>
          <w:sz w:val="24"/>
          <w:szCs w:val="28"/>
          <w:highlight w:val="none"/>
        </w:rPr>
        <w:t xml:space="preserve">、报价要求及支付方式</w:t>
      </w:r>
      <w:r>
        <w:rPr>
          <w:rFonts w:hint="eastAsia" w:ascii="宋体" w:hAnsi="宋体"/>
          <w:b/>
          <w:color w:val="000000"/>
          <w:sz w:val="24"/>
          <w:szCs w:val="28"/>
          <w:highlight w:val="none"/>
        </w:rPr>
      </w:r>
      <w:r/>
    </w:p>
    <w:p>
      <w:pPr>
        <w:pStyle w:val="853"/>
        <w:ind w:firstLine="480"/>
        <w:spacing w:line="460" w:lineRule="exact"/>
        <w:rPr>
          <w:rFonts w:ascii="宋体"/>
          <w:color w:val="000000"/>
          <w:sz w:val="24"/>
          <w:highlight w:val="none"/>
        </w:rPr>
      </w:pPr>
      <w:r>
        <w:rPr>
          <w:rFonts w:hint="eastAsia" w:ascii="宋体"/>
          <w:color w:val="000000"/>
          <w:sz w:val="24"/>
          <w:highlight w:val="none"/>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费用等完成本项目的一切费用。</w:t>
      </w:r>
      <w:r>
        <w:rPr>
          <w:rFonts w:ascii="宋体"/>
          <w:color w:val="000000"/>
          <w:sz w:val="24"/>
          <w:highlight w:val="none"/>
        </w:rPr>
      </w:r>
      <w:r/>
    </w:p>
    <w:p>
      <w:pPr>
        <w:pStyle w:val="853"/>
        <w:ind w:firstLine="480"/>
        <w:spacing w:line="460" w:lineRule="exact"/>
        <w:rPr>
          <w:rFonts w:ascii="宋体"/>
          <w:b/>
          <w:bCs/>
          <w:color w:val="000000"/>
          <w:sz w:val="24"/>
          <w:highlight w:val="none"/>
        </w:rPr>
      </w:pPr>
      <w:r>
        <w:rPr>
          <w:rFonts w:hint="eastAsia" w:ascii="宋体"/>
          <w:b/>
          <w:bCs/>
          <w:color w:val="000000"/>
          <w:sz w:val="24"/>
          <w:highlight w:val="none"/>
        </w:rPr>
        <w:t xml:space="preserve">2、本投标文件中的技术要求不得被认为是详尽无遗的，无论规定与否，投标人应提供所有招标文件没有规定但投标人认为完成本项目必要或必须的设备和材料、辅件。</w:t>
      </w:r>
      <w:r>
        <w:rPr>
          <w:rFonts w:ascii="宋体"/>
          <w:b/>
          <w:bCs/>
          <w:color w:val="000000"/>
          <w:sz w:val="24"/>
          <w:highlight w:val="none"/>
        </w:rPr>
      </w:r>
      <w:r/>
    </w:p>
    <w:p>
      <w:pPr>
        <w:pStyle w:val="853"/>
        <w:ind w:firstLine="480"/>
        <w:spacing w:line="460" w:lineRule="exact"/>
        <w:shd w:val="clear" w:color="auto" w:fill="ffffff"/>
        <w:rPr>
          <w:rFonts w:hint="eastAsia" w:ascii="宋体" w:hAnsi="Times New Roman" w:eastAsia="宋体" w:cs="Times New Roman"/>
          <w:color w:val="000000"/>
          <w:sz w:val="24"/>
          <w:highlight w:val="none"/>
        </w:rPr>
      </w:pPr>
      <w:r>
        <w:rPr>
          <w:rFonts w:ascii="宋体" w:hAnsi="Times New Roman" w:eastAsia="宋体" w:cs="Times New Roman"/>
          <w:color w:val="000000"/>
          <w:sz w:val="24"/>
          <w:highlight w:val="none"/>
        </w:rPr>
        <w:t xml:space="preserve">3</w:t>
      </w:r>
      <w:r>
        <w:rPr>
          <w:rFonts w:hint="eastAsia" w:ascii="宋体" w:hAnsi="Times New Roman" w:eastAsia="宋体" w:cs="Times New Roman"/>
          <w:color w:val="000000"/>
          <w:sz w:val="24"/>
          <w:highlight w:val="none"/>
        </w:rPr>
        <w:t xml:space="preserve">、付款方式</w:t>
      </w:r>
      <w:r>
        <w:rPr>
          <w:rFonts w:hint="eastAsia" w:ascii="宋体" w:hAnsi="Times New Roman" w:eastAsia="宋体" w:cs="Times New Roman"/>
          <w:color w:val="000000"/>
          <w:sz w:val="24"/>
          <w:highlight w:val="none"/>
        </w:rPr>
      </w:r>
      <w:r/>
    </w:p>
    <w:p>
      <w:pPr>
        <w:pStyle w:val="853"/>
        <w:ind w:firstLine="480"/>
        <w:spacing w:line="460" w:lineRule="exact"/>
        <w:shd w:val="clear" w:color="auto" w:fill="ffffff"/>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3</w:t>
      </w:r>
      <w:r>
        <w:rPr>
          <w:rFonts w:hint="eastAsia" w:ascii="宋体" w:hAnsi="Times New Roman" w:eastAsia="宋体" w:cs="Times New Roman"/>
          <w:color w:val="000000"/>
          <w:sz w:val="24"/>
          <w:highlight w:val="none"/>
        </w:rPr>
        <w:t xml:space="preserve">.1、签订合同后，货物全部到场初验后付至合同价的50%；</w:t>
      </w:r>
      <w:r>
        <w:rPr>
          <w:rFonts w:hint="eastAsia" w:ascii="宋体" w:hAnsi="Times New Roman" w:eastAsia="宋体" w:cs="Times New Roman"/>
          <w:color w:val="000000"/>
          <w:sz w:val="24"/>
          <w:highlight w:val="none"/>
        </w:rPr>
      </w:r>
      <w:r/>
    </w:p>
    <w:p>
      <w:pPr>
        <w:pStyle w:val="853"/>
        <w:ind w:firstLine="480"/>
        <w:spacing w:line="460" w:lineRule="exact"/>
        <w:shd w:val="clear" w:color="auto" w:fill="ffffff"/>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lang w:val="en-US" w:eastAsia="zh-CN"/>
        </w:rPr>
        <w:t xml:space="preserve">3</w:t>
      </w:r>
      <w:r>
        <w:rPr>
          <w:rFonts w:hint="eastAsia" w:ascii="宋体" w:hAnsi="Times New Roman" w:eastAsia="宋体" w:cs="Times New Roman"/>
          <w:color w:val="000000"/>
          <w:sz w:val="24"/>
          <w:highlight w:val="none"/>
        </w:rPr>
        <w:t xml:space="preserve">.2、安装调试结束并经验收合格后支付至审计结算价的100%。</w:t>
      </w:r>
      <w:r>
        <w:rPr>
          <w:rFonts w:hint="eastAsia" w:ascii="宋体" w:hAnsi="Times New Roman" w:eastAsia="宋体" w:cs="Times New Roman"/>
          <w:color w:val="000000"/>
          <w:sz w:val="24"/>
          <w:highlight w:val="none"/>
        </w:rPr>
      </w:r>
      <w:r/>
    </w:p>
    <w:p>
      <w:pPr>
        <w:pStyle w:val="853"/>
        <w:ind w:firstLine="480"/>
        <w:spacing w:line="460" w:lineRule="exact"/>
        <w:shd w:val="clear" w:color="auto" w:fill="ffffff"/>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rPr>
        <w:t xml:space="preserve">注:1) 本项目为固定单价，按实结算，以项目完成后审计单位的审计结果作为结算依据。</w:t>
      </w:r>
      <w:r>
        <w:rPr>
          <w:rFonts w:hint="eastAsia" w:ascii="宋体" w:hAnsi="Times New Roman" w:eastAsia="宋体" w:cs="Times New Roman"/>
          <w:color w:val="000000"/>
          <w:sz w:val="24"/>
          <w:highlight w:val="none"/>
        </w:rPr>
      </w:r>
      <w:r/>
    </w:p>
    <w:p>
      <w:pPr>
        <w:pStyle w:val="853"/>
        <w:ind w:firstLine="480"/>
        <w:spacing w:line="460" w:lineRule="exact"/>
        <w:shd w:val="clear" w:color="auto" w:fill="ffffff"/>
        <w:rPr>
          <w:rFonts w:hint="eastAsia"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rPr>
        <w:t xml:space="preserve">2) 每次付款前中标人必须提交发票等符合采购人要求的付款材料，否则采购人有权推迟付款时间。</w:t>
      </w:r>
      <w:r>
        <w:rPr>
          <w:rFonts w:hint="eastAsia" w:ascii="宋体" w:hAnsi="Times New Roman" w:eastAsia="宋体" w:cs="Times New Roman"/>
          <w:color w:val="000000"/>
          <w:sz w:val="24"/>
          <w:highlight w:val="none"/>
        </w:rPr>
      </w:r>
      <w:r/>
    </w:p>
    <w:p>
      <w:pPr>
        <w:pStyle w:val="853"/>
        <w:ind w:firstLine="480"/>
        <w:spacing w:line="460" w:lineRule="exact"/>
        <w:shd w:val="clear" w:color="auto" w:fill="ffffff"/>
        <w:rPr>
          <w:rFonts w:ascii="宋体"/>
          <w:b/>
          <w:color w:val="000000"/>
          <w:sz w:val="24"/>
          <w:highlight w:val="none"/>
        </w:rPr>
      </w:pPr>
      <w:r>
        <w:rPr>
          <w:rFonts w:hint="eastAsia" w:ascii="宋体"/>
          <w:b/>
          <w:color w:val="000000"/>
          <w:sz w:val="24"/>
          <w:highlight w:val="none"/>
          <w:lang w:val="en-US" w:eastAsia="zh-CN"/>
        </w:rPr>
        <w:t xml:space="preserve">十</w:t>
      </w:r>
      <w:r>
        <w:rPr>
          <w:rFonts w:hint="eastAsia" w:ascii="宋体"/>
          <w:b/>
          <w:color w:val="000000"/>
          <w:sz w:val="24"/>
          <w:highlight w:val="none"/>
        </w:rPr>
        <w:t xml:space="preserve">、其他要求</w:t>
      </w:r>
      <w:r>
        <w:rPr>
          <w:rFonts w:ascii="宋体"/>
          <w:b/>
          <w:color w:val="000000"/>
          <w:sz w:val="24"/>
          <w:highlight w:val="none"/>
        </w:rPr>
      </w:r>
      <w:r/>
    </w:p>
    <w:p>
      <w:pPr>
        <w:pStyle w:val="853"/>
        <w:ind w:firstLine="480"/>
        <w:spacing w:line="460" w:lineRule="exact"/>
        <w:shd w:val="clear" w:color="auto" w:fill="ffffff"/>
        <w:rPr>
          <w:rFonts w:ascii="宋体"/>
          <w:color w:val="000000"/>
          <w:sz w:val="24"/>
          <w:highlight w:val="none"/>
        </w:rPr>
      </w:pPr>
      <w:r>
        <w:rPr>
          <w:rFonts w:ascii="宋体"/>
          <w:color w:val="000000"/>
          <w:sz w:val="24"/>
          <w:highlight w:val="none"/>
        </w:rPr>
        <w:t xml:space="preserve">1</w:t>
      </w:r>
      <w:r>
        <w:rPr>
          <w:rFonts w:hint="eastAsia" w:ascii="宋体"/>
          <w:color w:val="000000"/>
          <w:sz w:val="24"/>
          <w:highlight w:val="none"/>
        </w:rPr>
        <w:t xml:space="preserve">、知识产权：采购人在使用成果任何部分时不受任何关于侵犯所有权和工业产权、著作权（版权）等知识产权的指控（采购人是免责的）。如果任何第三方提出侵权指控，中标人承担一切与之有关的责任。</w:t>
      </w:r>
      <w:r>
        <w:rPr>
          <w:rFonts w:ascii="宋体"/>
          <w:color w:val="000000"/>
          <w:sz w:val="24"/>
          <w:highlight w:val="none"/>
        </w:rPr>
      </w:r>
      <w:r/>
    </w:p>
    <w:p>
      <w:pPr>
        <w:pStyle w:val="853"/>
        <w:ind w:firstLine="480"/>
        <w:spacing w:line="460" w:lineRule="exact"/>
        <w:shd w:val="clear" w:color="auto" w:fill="ffffff"/>
        <w:rPr>
          <w:rFonts w:ascii="宋体"/>
          <w:color w:val="000000"/>
          <w:sz w:val="24"/>
          <w:highlight w:val="none"/>
        </w:rPr>
      </w:pPr>
      <w:r>
        <w:rPr>
          <w:rFonts w:ascii="宋体"/>
          <w:color w:val="000000"/>
          <w:sz w:val="24"/>
          <w:highlight w:val="none"/>
        </w:rPr>
        <w:t xml:space="preserve">2</w:t>
      </w:r>
      <w:r>
        <w:rPr>
          <w:rFonts w:hint="eastAsia" w:ascii="宋体"/>
          <w:color w:val="000000"/>
          <w:sz w:val="24"/>
          <w:highlight w:val="none"/>
        </w:rPr>
        <w:t xml:space="preserve">、在项目实施或服务过程中发生的人员事故等一切责任均由中标人负责，采购人不承担任何法律及经济责任。</w:t>
      </w:r>
      <w:r>
        <w:rPr>
          <w:rFonts w:ascii="宋体"/>
          <w:color w:val="000000"/>
          <w:sz w:val="24"/>
          <w:highlight w:val="none"/>
        </w:rPr>
      </w:r>
      <w:r/>
    </w:p>
    <w:p>
      <w:pPr>
        <w:pStyle w:val="853"/>
        <w:jc w:val="center"/>
        <w:spacing w:line="360" w:lineRule="auto"/>
        <w:rPr>
          <w:rFonts w:hint="eastAsia" w:hAnsi="宋体" w:cs="宋体"/>
          <w:color w:val="000000"/>
          <w:szCs w:val="24"/>
          <w:highlight w:val="none"/>
        </w:rPr>
        <w:outlineLvl w:val="0"/>
      </w:pPr>
      <w:r>
        <w:rPr>
          <w:b/>
          <w:color w:val="000000"/>
          <w:sz w:val="36"/>
          <w:szCs w:val="36"/>
          <w:highlight w:val="none"/>
        </w:rPr>
        <w:br w:type="page" w:clear="all"/>
      </w:r>
      <w:r>
        <w:rPr>
          <w:b/>
          <w:color w:val="000000"/>
          <w:sz w:val="36"/>
          <w:szCs w:val="36"/>
          <w:highlight w:val="none"/>
        </w:rPr>
        <w:t xml:space="preserve">第六章   拟签订的合同文本</w:t>
      </w:r>
      <w:bookmarkEnd w:id="294"/>
      <w:r>
        <w:rPr>
          <w:rFonts w:hint="eastAsia" w:hAnsi="宋体" w:cs="宋体"/>
          <w:color w:val="000000"/>
          <w:szCs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根据《中华人民共和国政府采购法》、《中华人民共和国民法典》等法律法规的规定，甲乙双方按采购结果签订本合同。</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第一条　采购内容</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1、项目名称：</w:t>
      </w:r>
      <w:r>
        <w:rPr>
          <w:rFonts w:hint="eastAsia" w:ascii="宋体" w:hAnsi="宋体"/>
          <w:color w:val="000000"/>
          <w:sz w:val="24"/>
          <w:highlight w:val="none"/>
          <w:lang w:eastAsia="zh-CN"/>
        </w:rPr>
        <w:t xml:space="preserve">江苏理工学院武进绿建区协同创新园运动场、体育馆体育器材采购</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2、采购内容：</w:t>
      </w:r>
      <w:r>
        <w:rPr>
          <w:rFonts w:hint="eastAsia"/>
          <w:bCs/>
          <w:color w:val="000000"/>
          <w:sz w:val="24"/>
          <w:highlight w:val="none"/>
          <w:lang w:eastAsia="zh-CN"/>
        </w:rPr>
        <w:t xml:space="preserve">江苏理工学院武进绿建区协同创新园运动场、体育馆体育器材采购</w:t>
      </w:r>
      <w:r>
        <w:rPr>
          <w:rFonts w:hint="eastAsia" w:ascii="宋体" w:hAnsi="宋体"/>
          <w:color w:val="000000"/>
          <w:sz w:val="24"/>
          <w:highlight w:val="none"/>
        </w:rPr>
        <w:t xml:space="preserve">项目，包括相应产品供货前的准备（包括现场踏勘、技术核对等）、产品设计、制造、采购、运输、装卸、安装、调试、技术指导培训、检验、质保期及维保服务等全部内容</w:t>
      </w:r>
      <w:r>
        <w:rPr>
          <w:rFonts w:hint="eastAsia"/>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3、采购范围：</w:t>
      </w:r>
      <w:r>
        <w:rPr>
          <w:rFonts w:hint="eastAsia" w:ascii="宋体" w:hAnsi="宋体"/>
          <w:color w:val="000000"/>
          <w:sz w:val="24"/>
          <w:highlight w:val="none"/>
          <w:lang w:eastAsia="zh-CN"/>
        </w:rPr>
        <w:t xml:space="preserve">江苏理工学院武进绿建区协同创新园运动场、体育馆体育器材采购</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4、合同履行期限：</w:t>
      </w:r>
      <w:r>
        <w:rPr>
          <w:color w:val="000000"/>
          <w:sz w:val="24"/>
          <w:highlight w:val="none"/>
        </w:rPr>
        <w:t xml:space="preserve">签订合同后，</w:t>
      </w:r>
      <w:r>
        <w:rPr>
          <w:rFonts w:hint="eastAsia"/>
          <w:color w:val="000000"/>
          <w:sz w:val="24"/>
          <w:highlight w:val="none"/>
        </w:rPr>
        <w:t xml:space="preserve">30日历天完成采购安装及调试验收等工作。</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质保期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年（即</w:t>
      </w:r>
      <w:r>
        <w:rPr>
          <w:rFonts w:hint="eastAsia" w:ascii="宋体" w:hAnsi="宋体" w:cs="宋体"/>
          <w:bCs/>
          <w:color w:val="000000"/>
          <w:sz w:val="24"/>
          <w:highlight w:val="none"/>
        </w:rPr>
        <w:t xml:space="preserve">12个月），从通过项目验收之日起计。</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、其他：</w:t>
      </w:r>
      <w:r>
        <w:rPr>
          <w:rFonts w:hint="eastAsia" w:ascii="宋体" w:hAnsi="宋体"/>
          <w:color w:val="000000"/>
          <w:sz w:val="24"/>
          <w:highlight w:val="none"/>
          <w:u w:val="single"/>
        </w:rPr>
        <w:t xml:space="preserve">无</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hint="eastAsia" w:ascii="宋体" w:hAnsi="宋体"/>
          <w:color w:val="000000"/>
          <w:sz w:val="24"/>
          <w:highlight w:val="none"/>
          <w:lang w:val="zh-CN"/>
        </w:rPr>
      </w:r>
      <w:r/>
    </w:p>
    <w:p>
      <w:pPr>
        <w:pStyle w:val="853"/>
        <w:ind w:firstLine="482"/>
        <w:jc w:val="left"/>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1、本合同人民币总价款为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费用等完成本项目的一切费用。</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（1）采购文件；</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1、乙方应按采购文件规定的服务要求、技术要求、质量标准向甲方提供服务。</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2、质量保证：　　　　　　　　　　　　　　　　　　　　　　　　　　</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lang w:val="zh-CN"/>
        </w:rPr>
        <w:t xml:space="preserve">3、售后服务：　　　　　　　　　　　　　　　　　　　　　　　　　　</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验收主体：采购人及使用单位。</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验收时间：</w:t>
      </w:r>
      <w:r>
        <w:rPr>
          <w:rFonts w:hint="eastAsia"/>
          <w:color w:val="000000"/>
          <w:sz w:val="24"/>
          <w:highlight w:val="none"/>
        </w:rPr>
        <w:t xml:space="preserve">合同约定的履约验收条件达到时，在</w:t>
      </w:r>
      <w:r>
        <w:rPr>
          <w:rFonts w:ascii="宋体" w:hAnsi="宋体"/>
          <w:color w:val="000000"/>
          <w:sz w:val="24"/>
          <w:highlight w:val="none"/>
        </w:rPr>
        <w:t xml:space="preserve">5</w:t>
      </w:r>
      <w:r>
        <w:rPr>
          <w:rFonts w:hint="eastAsia" w:ascii="宋体" w:hAnsi="宋体"/>
          <w:color w:val="000000"/>
          <w:sz w:val="24"/>
          <w:highlight w:val="none"/>
        </w:rPr>
        <w:t xml:space="preserve">个工</w:t>
      </w:r>
      <w:r>
        <w:rPr>
          <w:rFonts w:hint="eastAsia"/>
          <w:color w:val="000000"/>
          <w:sz w:val="24"/>
          <w:highlight w:val="none"/>
        </w:rPr>
        <w:t xml:space="preserve">作日内启动履约验收工作。</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验收方式：成立验收小组，负责采购项目履约验收具体工作。</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验收内容：制定验收工作实施方案，按照方案开展验收，出具验收意见。</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验收标准：法律法规以及国家强制性标准、合同约定、招标文件要求等。</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2、付款方式：</w:t>
      </w:r>
      <w:r>
        <w:rPr>
          <w:rFonts w:hint="eastAsia" w:ascii="宋体" w:hAnsi="宋体" w:eastAsia="宋体" w:cs="Times New Roman"/>
          <w:color w:val="000000"/>
          <w:sz w:val="24"/>
          <w:highlight w:val="none"/>
          <w:lang w:val="zh-CN"/>
        </w:rPr>
      </w:r>
      <w:r/>
    </w:p>
    <w:p>
      <w:pPr>
        <w:pStyle w:val="853"/>
        <w:ind w:firstLine="480"/>
        <w:spacing w:line="420" w:lineRule="atLeas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2.1、签订合同后，货物全部到场初验后付至合同价的50%；</w:t>
      </w:r>
      <w:r>
        <w:rPr>
          <w:rFonts w:hint="eastAsia" w:ascii="宋体" w:hAnsi="宋体" w:eastAsia="宋体" w:cs="Times New Roman"/>
          <w:color w:val="000000"/>
          <w:sz w:val="24"/>
          <w:highlight w:val="none"/>
          <w:lang w:val="zh-CN"/>
        </w:rPr>
      </w:r>
      <w:r/>
    </w:p>
    <w:p>
      <w:pPr>
        <w:pStyle w:val="853"/>
        <w:ind w:firstLine="480"/>
        <w:spacing w:line="420" w:lineRule="atLeas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2.2、安装调试结束并经验收合格后支付至审计结算价的100%。</w:t>
      </w:r>
      <w:r>
        <w:rPr>
          <w:rFonts w:hint="eastAsia" w:ascii="宋体" w:hAnsi="宋体" w:eastAsia="宋体" w:cs="Times New Roman"/>
          <w:color w:val="000000"/>
          <w:sz w:val="24"/>
          <w:highlight w:val="none"/>
          <w:lang w:val="zh-CN"/>
        </w:rPr>
      </w:r>
      <w:r/>
    </w:p>
    <w:p>
      <w:pPr>
        <w:pStyle w:val="853"/>
        <w:ind w:firstLine="480"/>
        <w:spacing w:line="420" w:lineRule="atLeas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注:1) 本项目为固定单价，按实结算，以项目完成后审计单位的审计结果作为结算依据。</w:t>
      </w:r>
      <w:r>
        <w:rPr>
          <w:rFonts w:hint="eastAsia" w:ascii="宋体" w:hAnsi="宋体" w:eastAsia="宋体" w:cs="Times New Roman"/>
          <w:color w:val="000000"/>
          <w:sz w:val="24"/>
          <w:highlight w:val="none"/>
          <w:lang w:val="zh-CN"/>
        </w:rPr>
      </w:r>
      <w:r/>
    </w:p>
    <w:p>
      <w:pPr>
        <w:pStyle w:val="853"/>
        <w:ind w:firstLine="787"/>
        <w:spacing w:line="420" w:lineRule="atLeas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 每次付款前乙方必须提交发票等符合甲方要求的付款材料，否则甲方有权推迟付款时间。</w:t>
      </w:r>
      <w:r>
        <w:rPr>
          <w:rFonts w:hint="eastAsia" w:ascii="宋体" w:hAnsi="宋体" w:eastAsia="宋体" w:cs="Times New Roman"/>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3.履约保证金：合同金额的</w:t>
      </w:r>
      <w:r>
        <w:rPr>
          <w:rFonts w:ascii="宋体" w:hAnsi="宋体"/>
          <w:color w:val="000000"/>
          <w:sz w:val="24"/>
          <w:highlight w:val="none"/>
          <w:lang w:val="zh-CN"/>
        </w:rPr>
        <w:t xml:space="preserve">5</w:t>
      </w:r>
      <w:r>
        <w:rPr>
          <w:rFonts w:hint="eastAsia" w:ascii="宋体" w:hAnsi="宋体"/>
          <w:color w:val="000000"/>
          <w:sz w:val="24"/>
          <w:highlight w:val="none"/>
          <w:lang w:val="zh-CN"/>
        </w:rPr>
        <w:t xml:space="preserve">%。按照苏财购[2023]150号文，鼓励采用电子保函形式。成交</w:t>
      </w:r>
      <w:r>
        <w:rPr>
          <w:rFonts w:ascii="宋体" w:hAnsi="宋体"/>
          <w:color w:val="000000"/>
          <w:sz w:val="24"/>
          <w:highlight w:val="none"/>
          <w:lang w:val="zh-CN"/>
        </w:rPr>
        <w:t xml:space="preserve">投标人</w:t>
      </w:r>
      <w:r>
        <w:rPr>
          <w:rFonts w:hint="eastAsia" w:ascii="宋体" w:hAnsi="宋体"/>
          <w:color w:val="000000"/>
          <w:sz w:val="24"/>
          <w:highlight w:val="none"/>
          <w:lang w:val="zh-CN"/>
        </w:rPr>
        <w:t xml:space="preserve">也可以</w:t>
      </w:r>
      <w:r>
        <w:rPr>
          <w:rFonts w:ascii="宋体" w:hAnsi="宋体"/>
          <w:color w:val="000000"/>
          <w:sz w:val="24"/>
          <w:highlight w:val="none"/>
          <w:lang w:val="zh-CN"/>
        </w:rPr>
        <w:t xml:space="preserve">自主选择以支票、汇票、本票、保函等非现金形式缴纳或提交。</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履约保证金的提交时间：成交</w:t>
      </w:r>
      <w:r>
        <w:rPr>
          <w:rFonts w:ascii="宋体" w:hAnsi="宋体"/>
          <w:color w:val="000000"/>
          <w:sz w:val="24"/>
          <w:highlight w:val="none"/>
          <w:lang w:val="zh-CN"/>
        </w:rPr>
        <w:t xml:space="preserve">投标人</w:t>
      </w:r>
      <w:r>
        <w:rPr>
          <w:rFonts w:hint="eastAsia" w:ascii="宋体" w:hAnsi="宋体"/>
          <w:color w:val="000000"/>
          <w:sz w:val="24"/>
          <w:highlight w:val="none"/>
          <w:lang w:val="zh-CN"/>
        </w:rPr>
        <w:t xml:space="preserve">应当在合同签订前向采购人足额提交履约保证金。</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履约保证金退还方式：支票、汇票、本票或履约保函（保险）形式。</w:t>
      </w:r>
      <w:r>
        <w:rPr>
          <w:rFonts w:hint="eastAsia" w:ascii="宋体" w:hAnsi="宋体"/>
          <w:color w:val="000000"/>
          <w:sz w:val="24"/>
          <w:highlight w:val="none"/>
          <w:lang w:val="zh-CN"/>
        </w:rPr>
      </w:r>
      <w:r/>
    </w:p>
    <w:p>
      <w:pPr>
        <w:pStyle w:val="853"/>
        <w:ind w:firstLine="480"/>
        <w:jc w:val="left"/>
        <w:spacing w:line="36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履约保证金退还时间：采购人应在货物验收合格后退还履约保证金（无息）。</w:t>
      </w:r>
      <w:r>
        <w:rPr>
          <w:rFonts w:hint="eastAsia" w:ascii="Times New Roman" w:hAnsi="Times New Roman" w:eastAsia="宋体" w:cs="Times New Roman"/>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履约保证金退还条件：中标人按合同要求履约完成后，经采购人审核后无息退还。</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s="宋体"/>
          <w:color w:val="000000"/>
          <w:sz w:val="24"/>
          <w:highlight w:val="none"/>
        </w:rPr>
      </w:pPr>
      <w:r>
        <w:rPr>
          <w:rFonts w:hint="eastAsia" w:ascii="宋体" w:hAnsi="宋体"/>
          <w:color w:val="000000"/>
          <w:sz w:val="24"/>
          <w:highlight w:val="none"/>
          <w:lang w:val="zh-CN"/>
        </w:rPr>
        <w:t xml:space="preserve">履约保证金不予退还的情形：</w:t>
      </w:r>
      <w:r>
        <w:rPr>
          <w:rFonts w:ascii="宋体" w:hAnsi="宋体"/>
          <w:color w:val="000000"/>
          <w:sz w:val="24"/>
          <w:highlight w:val="none"/>
          <w:lang w:val="zh-CN"/>
        </w:rPr>
        <w:t xml:space="preserve">如果</w:t>
      </w:r>
      <w:r>
        <w:rPr>
          <w:rFonts w:hint="eastAsia" w:ascii="宋体" w:hAnsi="宋体"/>
          <w:color w:val="000000"/>
          <w:sz w:val="24"/>
          <w:highlight w:val="none"/>
          <w:lang w:val="zh-CN"/>
        </w:rPr>
        <w:t xml:space="preserve">成交</w:t>
      </w:r>
      <w:r>
        <w:rPr>
          <w:rFonts w:ascii="宋体" w:hAnsi="宋体"/>
          <w:color w:val="000000"/>
          <w:sz w:val="24"/>
          <w:highlight w:val="none"/>
          <w:lang w:val="zh-CN"/>
        </w:rPr>
        <w:t xml:space="preserve">投标人不履行合同</w:t>
      </w:r>
      <w:r>
        <w:rPr>
          <w:rFonts w:hint="eastAsia" w:ascii="宋体" w:hAnsi="宋体"/>
          <w:color w:val="000000"/>
          <w:sz w:val="24"/>
          <w:highlight w:val="none"/>
          <w:lang w:val="zh-CN"/>
        </w:rPr>
        <w:t xml:space="preserve">，履约保证金不予退还；如果成交</w:t>
      </w:r>
      <w:r>
        <w:rPr>
          <w:rFonts w:ascii="宋体" w:hAnsi="宋体"/>
          <w:color w:val="000000"/>
          <w:sz w:val="24"/>
          <w:highlight w:val="none"/>
          <w:lang w:val="zh-CN"/>
        </w:rPr>
        <w:t xml:space="preserve">投标人未能按合同</w:t>
      </w:r>
      <w:r>
        <w:rPr>
          <w:rFonts w:hint="eastAsia" w:ascii="宋体" w:hAnsi="宋体"/>
          <w:color w:val="000000"/>
          <w:sz w:val="24"/>
          <w:highlight w:val="none"/>
          <w:lang w:val="zh-CN"/>
        </w:rPr>
        <w:t xml:space="preserve">约</w:t>
      </w:r>
      <w:r>
        <w:rPr>
          <w:rFonts w:ascii="宋体" w:hAnsi="宋体"/>
          <w:color w:val="000000"/>
          <w:sz w:val="24"/>
          <w:highlight w:val="none"/>
          <w:lang w:val="zh-CN"/>
        </w:rPr>
        <w:t xml:space="preserve">定全面履行义务，那么</w:t>
      </w:r>
      <w:r>
        <w:rPr>
          <w:rFonts w:hint="eastAsia" w:ascii="宋体" w:hAnsi="宋体"/>
          <w:color w:val="000000"/>
          <w:sz w:val="24"/>
          <w:highlight w:val="none"/>
          <w:lang w:val="zh-CN"/>
        </w:rPr>
        <w:t xml:space="preserve">采购人</w:t>
      </w:r>
      <w:r>
        <w:rPr>
          <w:rFonts w:ascii="宋体" w:hAnsi="宋体"/>
          <w:color w:val="000000"/>
          <w:sz w:val="24"/>
          <w:highlight w:val="none"/>
          <w:lang w:val="zh-CN"/>
        </w:rPr>
        <w:t xml:space="preserve">有权从履约保证金中取得补偿或赔偿</w:t>
      </w:r>
      <w:r>
        <w:rPr>
          <w:rFonts w:hint="eastAsia" w:ascii="宋体" w:hAnsi="宋体"/>
          <w:color w:val="000000"/>
          <w:sz w:val="24"/>
          <w:highlight w:val="none"/>
          <w:lang w:val="zh-CN"/>
        </w:rPr>
        <w:t xml:space="preserve">，同时不影响采购人要求成交</w:t>
      </w:r>
      <w:r>
        <w:rPr>
          <w:rFonts w:ascii="宋体" w:hAnsi="宋体"/>
          <w:color w:val="000000"/>
          <w:sz w:val="24"/>
          <w:highlight w:val="none"/>
          <w:lang w:val="zh-CN"/>
        </w:rPr>
        <w:t xml:space="preserve">投标人</w:t>
      </w:r>
      <w:r>
        <w:rPr>
          <w:rFonts w:hint="eastAsia" w:ascii="宋体" w:hAnsi="宋体"/>
          <w:color w:val="000000"/>
          <w:sz w:val="24"/>
          <w:highlight w:val="none"/>
          <w:lang w:val="zh-CN"/>
        </w:rPr>
        <w:t xml:space="preserve">承担合同约定的超过履约保证金的违约责任的权利。</w:t>
      </w:r>
      <w:r>
        <w:rPr>
          <w:rFonts w:hint="eastAsia" w:ascii="宋体" w:hAnsi="宋体" w:cs="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8、其他：　　　　　　　　　　　　　　　　　　　　　　　　　　　　</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第十一条  合同的终止</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本合同因下列原因而终止：</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(1)本合同正常履行完毕；</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种方式解决争议：</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hint="eastAsia" w:ascii="宋体" w:hAnsi="宋体"/>
          <w:color w:val="000000"/>
          <w:sz w:val="24"/>
          <w:highlight w:val="none"/>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2、本合同一式陆份，甲方执肆份，乙方执贰份。</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3、本合同应按照中华人民共和国的现行法律进行解释。</w:t>
      </w:r>
      <w:r>
        <w:rPr>
          <w:rFonts w:hint="eastAsia" w:ascii="宋体" w:hAnsi="宋体"/>
          <w:color w:val="000000"/>
          <w:sz w:val="24"/>
          <w:highlight w:val="none"/>
          <w:lang w:val="zh-CN"/>
        </w:rPr>
      </w:r>
      <w:r/>
    </w:p>
    <w:p>
      <w:pPr>
        <w:pStyle w:val="853"/>
        <w:ind w:firstLine="480"/>
        <w:spacing w:line="420" w:lineRule="atLeast"/>
        <w:widowControl/>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附件：货物清单</w:t>
      </w:r>
      <w:r>
        <w:rPr>
          <w:rFonts w:hint="eastAsia" w:ascii="宋体" w:hAnsi="宋体"/>
          <w:b/>
          <w:bCs/>
          <w:color w:val="000000"/>
          <w:sz w:val="24"/>
          <w:highlight w:val="none"/>
          <w:lang w:val="zh-CN"/>
        </w:rPr>
      </w:r>
      <w:r/>
    </w:p>
    <w:p>
      <w:pPr>
        <w:pStyle w:val="853"/>
        <w:ind w:firstLine="480"/>
        <w:spacing w:line="420" w:lineRule="atLeast"/>
        <w:widowControl/>
        <w:rPr>
          <w:rFonts w:hint="eastAsia" w:ascii="宋体" w:hAnsi="宋体"/>
          <w:color w:val="000000"/>
          <w:sz w:val="24"/>
          <w:highlight w:val="none"/>
          <w:lang w:val="zh-CN"/>
        </w:rPr>
      </w:pPr>
      <w:r>
        <w:rPr>
          <w:rFonts w:hint="eastAsia" w:ascii="宋体" w:hAnsi="宋体"/>
          <w:color w:val="000000"/>
          <w:sz w:val="24"/>
          <w:highlight w:val="none"/>
          <w:lang w:val="zh-CN"/>
        </w:rPr>
      </w:r>
      <w:r/>
    </w:p>
    <w:tbl>
      <w:tblPr>
        <w:tblW w:w="9356"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甲方（采购人）：      （盖章）</w:t>
            </w: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乙方（投标人）：      （盖章）</w:t>
            </w:r>
            <w:r>
              <w:rPr>
                <w:rFonts w:hint="eastAsia"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地址：                              </w:t>
            </w: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地址：                              </w:t>
            </w:r>
            <w:r>
              <w:rPr>
                <w:rFonts w:hint="eastAsia"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法定（授权）代表人：                </w:t>
            </w: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法定（授权）代表人：                </w:t>
            </w:r>
            <w:r>
              <w:rPr>
                <w:rFonts w:hint="eastAsia"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　　　　　年　　　月　　　日</w:t>
            </w: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53"/>
              <w:ind w:firstLine="48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　　　　　年　　　月　　　日</w:t>
            </w:r>
            <w:r>
              <w:rPr>
                <w:rFonts w:hint="eastAsia" w:ascii="宋体" w:hAnsi="宋体"/>
                <w:color w:val="000000"/>
                <w:sz w:val="24"/>
                <w:highlight w:val="none"/>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853"/>
              <w:ind w:firstLine="960"/>
              <w:spacing w:line="420" w:lineRule="atLeast"/>
              <w:widowControl/>
              <w:rPr>
                <w:rFonts w:hint="eastAsia"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hint="eastAsia" w:ascii="宋体" w:hAnsi="宋体"/>
                <w:color w:val="000000"/>
                <w:sz w:val="24"/>
                <w:highlight w:val="none"/>
              </w:rPr>
            </w:r>
            <w:r/>
          </w:p>
        </w:tc>
      </w:tr>
    </w:tbl>
    <w:p>
      <w:pPr>
        <w:pStyle w:val="853"/>
        <w:rPr>
          <w:rFonts w:hint="eastAsia"/>
          <w:color w:val="000000"/>
          <w:highlight w:val="none"/>
        </w:rPr>
        <w:sectPr>
          <w:footnotePr/>
          <w:endnotePr/>
          <w:type w:val="nextPage"/>
          <w:pgSz w:w="11905" w:h="16838" w:orient="portrait"/>
          <w:pgMar w:top="1134" w:right="1134" w:bottom="1134" w:left="1134" w:header="850" w:footer="992" w:gutter="0"/>
          <w:cols w:num="1" w:sep="0" w:space="1701" w:equalWidth="1"/>
          <w:docGrid w:linePitch="360"/>
        </w:sectPr>
      </w:pPr>
      <w:r>
        <w:rPr>
          <w:rFonts w:hint="eastAsia"/>
          <w:color w:val="000000"/>
          <w:highlight w:val="none"/>
        </w:rPr>
      </w:r>
      <w:r/>
    </w:p>
    <w:p>
      <w:pPr>
        <w:pStyle w:val="853"/>
        <w:ind w:firstLine="480"/>
        <w:jc w:val="center"/>
        <w:spacing w:line="360" w:lineRule="auto"/>
        <w:widowControl/>
        <w:rPr>
          <w:b/>
          <w:color w:val="000000"/>
          <w:sz w:val="36"/>
          <w:szCs w:val="36"/>
          <w:highlight w:val="none"/>
        </w:rPr>
      </w:pPr>
      <w:r/>
      <w:bookmarkStart w:id="295"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101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2617"/>
        <w:gridCol w:w="6320"/>
      </w:tblGrid>
      <w:tr>
        <w:trPr>
          <w:trHeight w:val="432"/>
        </w:trPr>
        <w:tc>
          <w:tcPr>
            <w:tcW w:w="1202" w:type="dxa"/>
            <w:vAlign w:val="center"/>
            <w:textDirection w:val="lrTb"/>
            <w:noWrap w:val="false"/>
          </w:tcPr>
          <w:p>
            <w:pPr>
              <w:pStyle w:val="853"/>
              <w:jc w:val="center"/>
              <w:rPr>
                <w:rFonts w:ascii="宋体" w:hAnsi="宋体" w:cs="宋体"/>
                <w:b/>
                <w:color w:val="000000"/>
                <w:szCs w:val="21"/>
                <w:highlight w:val="none"/>
              </w:rPr>
            </w:pPr>
            <w:r/>
            <w:bookmarkStart w:id="296"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617" w:type="dxa"/>
            <w:vAlign w:val="center"/>
            <w:textDirection w:val="lrTb"/>
            <w:noWrap w:val="false"/>
          </w:tcPr>
          <w:p>
            <w:pPr>
              <w:pStyle w:val="853"/>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320" w:type="dxa"/>
            <w:vAlign w:val="center"/>
            <w:textDirection w:val="lrTb"/>
            <w:noWrap w:val="false"/>
          </w:tcPr>
          <w:p>
            <w:pPr>
              <w:pStyle w:val="853"/>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303"/>
        </w:trPr>
        <w:tc>
          <w:tcPr>
            <w:tcW w:w="1202" w:type="dxa"/>
            <w:vAlign w:val="center"/>
            <w:vMerge w:val="restart"/>
            <w:textDirection w:val="lrTb"/>
            <w:noWrap w:val="false"/>
          </w:tcPr>
          <w:p>
            <w:pPr>
              <w:pStyle w:val="853"/>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617" w:type="dxa"/>
            <w:vAlign w:val="center"/>
            <w:vMerge w:val="restart"/>
            <w:textDirection w:val="lrTb"/>
            <w:noWrap w:val="false"/>
          </w:tcPr>
          <w:p>
            <w:pPr>
              <w:pStyle w:val="85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center"/>
            <w:vMerge w:val="restart"/>
            <w:textDirection w:val="lrTb"/>
            <w:noWrap w:val="false"/>
          </w:tcPr>
          <w:p>
            <w:pPr>
              <w:pStyle w:val="85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rHeight w:val="586"/>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317"/>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306"/>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rHeight w:val="869"/>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center"/>
            <w:vMerge w:val="restart"/>
            <w:textDirection w:val="lrTb"/>
            <w:noWrap w:val="false"/>
          </w:tcPr>
          <w:p>
            <w:pPr>
              <w:pStyle w:val="85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311"/>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85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top"/>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textDirection w:val="lrTb"/>
            <w:noWrap w:val="false"/>
          </w:tcPr>
          <w:p>
            <w:pPr>
              <w:pStyle w:val="853"/>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320" w:type="dxa"/>
            <w:vAlign w:val="top"/>
            <w:textDirection w:val="lrTb"/>
            <w:noWrap w:val="false"/>
          </w:tcPr>
          <w:p>
            <w:pPr>
              <w:pStyle w:val="853"/>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85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textDirection w:val="lrTb"/>
            <w:noWrap w:val="false"/>
          </w:tcPr>
          <w:p>
            <w:pPr>
              <w:pStyle w:val="853"/>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320" w:type="dxa"/>
            <w:vAlign w:val="top"/>
            <w:textDirection w:val="lrTb"/>
            <w:noWrap w:val="false"/>
          </w:tcPr>
          <w:p>
            <w:pPr>
              <w:pStyle w:val="853"/>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531"/>
        </w:trPr>
        <w:tc>
          <w:tcPr>
            <w:tcW w:w="1202" w:type="dxa"/>
            <w:vAlign w:val="center"/>
            <w:textDirection w:val="lrTb"/>
            <w:noWrap w:val="false"/>
          </w:tcPr>
          <w:p>
            <w:pPr>
              <w:pStyle w:val="853"/>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853"/>
              <w:rPr>
                <w:rFonts w:ascii="宋体" w:hAnsi="宋体" w:cs="宋体"/>
                <w:color w:val="000000"/>
                <w:szCs w:val="21"/>
                <w:highlight w:val="none"/>
              </w:rPr>
            </w:pPr>
            <w:r>
              <w:rPr>
                <w:rFonts w:ascii="宋体" w:hAnsi="宋体" w:cs="宋体"/>
                <w:color w:val="000000"/>
                <w:szCs w:val="21"/>
                <w:highlight w:val="none"/>
              </w:rPr>
            </w:r>
            <w:r/>
          </w:p>
        </w:tc>
        <w:tc>
          <w:tcPr>
            <w:gridSpan w:val="2"/>
            <w:tcW w:w="8937" w:type="dxa"/>
            <w:vAlign w:val="top"/>
            <w:textDirection w:val="lrTb"/>
            <w:noWrap w:val="false"/>
          </w:tcPr>
          <w:p>
            <w:pPr>
              <w:pStyle w:val="853"/>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853"/>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853"/>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853"/>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853"/>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853"/>
        <w:spacing w:line="360" w:lineRule="auto"/>
        <w:rPr>
          <w:rFonts w:hint="eastAsia"/>
          <w:b/>
          <w:color w:val="000000"/>
          <w:sz w:val="36"/>
          <w:szCs w:val="36"/>
          <w:highlight w:val="none"/>
        </w:rPr>
        <w:outlineLvl w:val="0"/>
      </w:pPr>
      <w:r/>
      <w:bookmarkEnd w:id="296"/>
      <w:r>
        <w:rPr>
          <w:rFonts w:hint="eastAsia"/>
          <w:b/>
          <w:color w:val="000000"/>
          <w:sz w:val="36"/>
          <w:szCs w:val="36"/>
          <w:highlight w:val="none"/>
        </w:rPr>
      </w:r>
      <w:r/>
    </w:p>
    <w:p>
      <w:pPr>
        <w:pStyle w:val="853"/>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295"/>
      <w:r>
        <w:rPr>
          <w:b/>
          <w:color w:val="000000"/>
          <w:sz w:val="24"/>
          <w:highlight w:val="none"/>
        </w:rPr>
      </w:r>
      <w:r/>
    </w:p>
    <w:p>
      <w:pPr>
        <w:pStyle w:val="853"/>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53"/>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53"/>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53"/>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853"/>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53"/>
        <w:jc w:val="left"/>
        <w:widowControl/>
        <w:rPr>
          <w:color w:val="000000"/>
          <w:sz w:val="24"/>
          <w:highlight w:val="none"/>
        </w:rPr>
      </w:pPr>
      <w:r/>
      <w:bookmarkEnd w:id="95"/>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color w:val="000000"/>
          <w:sz w:val="24"/>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853"/>
        <w:ind w:firstLine="2529"/>
        <w:rPr>
          <w:rFonts w:hint="eastAsia"/>
          <w:b/>
          <w:color w:val="000000"/>
          <w:sz w:val="32"/>
          <w:szCs w:val="32"/>
          <w:highlight w:val="none"/>
        </w:rPr>
      </w:pPr>
      <w:r>
        <w:rPr>
          <w:b/>
          <w:color w:val="000000"/>
          <w:spacing w:val="20"/>
          <w:sz w:val="32"/>
          <w:szCs w:val="32"/>
          <w:highlight w:val="none"/>
        </w:rPr>
        <w:br w:type="page" w:clear="all"/>
      </w: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rFonts w:hint="eastAsia"/>
          <w:b/>
          <w:color w:val="000000"/>
          <w:sz w:val="32"/>
          <w:szCs w:val="32"/>
          <w:highlight w:val="none"/>
        </w:rPr>
      </w:r>
      <w:r/>
    </w:p>
    <w:p>
      <w:pPr>
        <w:pStyle w:val="853"/>
        <w:jc w:val="center"/>
        <w:rPr>
          <w:color w:val="000000"/>
          <w:szCs w:val="21"/>
          <w:highlight w:val="none"/>
        </w:rPr>
      </w:pPr>
      <w:r>
        <w:rPr>
          <w:color w:val="000000"/>
          <w:szCs w:val="21"/>
          <w:highlight w:val="none"/>
        </w:rPr>
      </w:r>
      <w:r/>
    </w:p>
    <w:p>
      <w:pPr>
        <w:pStyle w:val="853"/>
        <w:jc w:val="center"/>
        <w:rPr>
          <w:b/>
          <w:color w:val="000000"/>
          <w:spacing w:val="60"/>
          <w:sz w:val="84"/>
          <w:szCs w:val="84"/>
          <w:highlight w:val="none"/>
        </w:rPr>
      </w:pPr>
      <w:r>
        <w:rPr>
          <w:b/>
          <w:color w:val="000000"/>
          <w:spacing w:val="60"/>
          <w:sz w:val="84"/>
          <w:szCs w:val="84"/>
          <w:highlight w:val="none"/>
        </w:rPr>
      </w:r>
      <w:r/>
    </w:p>
    <w:p>
      <w:pPr>
        <w:pStyle w:val="853"/>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53"/>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853"/>
        <w:ind w:firstLine="963"/>
        <w:rPr>
          <w:b/>
          <w:color w:val="000000"/>
          <w:spacing w:val="60"/>
          <w:sz w:val="52"/>
          <w:szCs w:val="52"/>
          <w:highlight w:val="none"/>
        </w:rPr>
      </w:pPr>
      <w:r>
        <w:rPr>
          <w:b/>
          <w:color w:val="000000"/>
          <w:spacing w:val="60"/>
          <w:sz w:val="52"/>
          <w:szCs w:val="52"/>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853"/>
        <w:ind w:firstLine="542"/>
        <w:rPr>
          <w:b/>
          <w:color w:val="000000"/>
          <w:spacing w:val="20"/>
          <w:sz w:val="32"/>
          <w:szCs w:val="32"/>
          <w:highlight w:val="none"/>
        </w:rPr>
      </w:pPr>
      <w:r>
        <w:rPr>
          <w:b/>
          <w:color w:val="000000"/>
          <w:spacing w:val="20"/>
          <w:sz w:val="32"/>
          <w:szCs w:val="32"/>
          <w:highlight w:val="none"/>
        </w:rPr>
      </w:r>
      <w:r/>
    </w:p>
    <w:p>
      <w:pPr>
        <w:pStyle w:val="853"/>
        <w:ind w:firstLine="542"/>
        <w:rPr>
          <w:b/>
          <w:color w:val="000000"/>
          <w:spacing w:val="20"/>
          <w:sz w:val="32"/>
          <w:szCs w:val="32"/>
          <w:highlight w:val="none"/>
        </w:rPr>
      </w:pPr>
      <w:r>
        <w:rPr>
          <w:b/>
          <w:color w:val="000000"/>
          <w:spacing w:val="20"/>
          <w:sz w:val="32"/>
          <w:szCs w:val="32"/>
          <w:highlight w:val="none"/>
        </w:rPr>
      </w:r>
      <w:r/>
    </w:p>
    <w:p>
      <w:pPr>
        <w:pStyle w:val="853"/>
        <w:ind w:firstLine="1446"/>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3"/>
        <w:ind w:firstLine="1446"/>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3"/>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highlight w:val="none"/>
          <w:u w:val="single"/>
        </w:rPr>
      </w:r>
      <w:r/>
    </w:p>
    <w:p>
      <w:pPr>
        <w:pStyle w:val="853"/>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3"/>
        <w:jc w:val="center"/>
        <w:rPr>
          <w:b/>
          <w:color w:val="000000"/>
          <w:sz w:val="32"/>
          <w:szCs w:val="32"/>
          <w:highlight w:val="none"/>
        </w:rPr>
      </w:pPr>
      <w:r>
        <w:rPr>
          <w:b/>
          <w:color w:val="000000"/>
          <w:sz w:val="32"/>
          <w:szCs w:val="32"/>
          <w:highlight w:val="none"/>
        </w:rPr>
      </w:r>
      <w:r/>
    </w:p>
    <w:p>
      <w:pPr>
        <w:pStyle w:val="853"/>
        <w:ind w:firstLine="1806"/>
        <w:rPr>
          <w:rFonts w:hint="eastAsia"/>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rFonts w:hint="eastAsia"/>
          <w:b/>
          <w:color w:val="000000"/>
          <w:spacing w:val="20"/>
          <w:sz w:val="32"/>
          <w:szCs w:val="32"/>
          <w:highlight w:val="none"/>
        </w:rPr>
      </w:r>
      <w:r/>
    </w:p>
    <w:p>
      <w:pPr>
        <w:pStyle w:val="884"/>
        <w:ind w:firstLine="482"/>
        <w:spacing w:line="360" w:lineRule="auto"/>
        <w:tabs>
          <w:tab w:val="left" w:pos="567" w:leader="none"/>
        </w:tabs>
        <w:rPr>
          <w:b/>
          <w:color w:val="000000"/>
          <w:highlight w:val="none"/>
        </w:rPr>
      </w:pPr>
      <w:r>
        <w:rPr>
          <w:rFonts w:hint="eastAsia"/>
          <w:b/>
          <w:color w:val="000000"/>
          <w:highlight w:val="none"/>
        </w:rPr>
        <w:t xml:space="preserve">投标人在提交投标文件时，应按照投标工具（苏采云客户端）的提示流程编制提交开标一览表，开标一览表格式以投标工具中的为准。</w:t>
      </w:r>
      <w:r>
        <w:rPr>
          <w:b/>
          <w:color w:val="000000"/>
          <w:highlight w:val="none"/>
        </w:rPr>
      </w:r>
      <w:r/>
    </w:p>
    <w:p>
      <w:pPr>
        <w:pStyle w:val="853"/>
        <w:jc w:val="both"/>
        <w:spacing w:line="400" w:lineRule="exact"/>
        <w:rPr>
          <w:rFonts w:hint="eastAsia"/>
          <w:b/>
          <w:color w:val="000000"/>
          <w:spacing w:val="20"/>
          <w:sz w:val="32"/>
          <w:szCs w:val="32"/>
          <w:highlight w:val="none"/>
        </w:rPr>
      </w:pPr>
      <w:r>
        <w:rPr>
          <w:rFonts w:hint="eastAsia"/>
          <w:b/>
          <w:color w:val="000000"/>
          <w:spacing w:val="20"/>
          <w:sz w:val="32"/>
          <w:szCs w:val="32"/>
          <w:highlight w:val="none"/>
        </w:rPr>
        <w:br w:type="page" w:clear="all"/>
      </w:r>
      <w:r>
        <w:rPr>
          <w:rFonts w:hint="eastAsia"/>
          <w:b/>
          <w:color w:val="000000"/>
          <w:spacing w:val="20"/>
          <w:sz w:val="32"/>
          <w:szCs w:val="32"/>
          <w:highlight w:val="none"/>
        </w:rPr>
      </w:r>
      <w:r/>
    </w:p>
    <w:p>
      <w:pPr>
        <w:pStyle w:val="853"/>
        <w:jc w:val="center"/>
        <w:spacing w:line="400" w:lineRule="exact"/>
        <w:rPr>
          <w:b/>
          <w:color w:val="000000"/>
          <w:spacing w:val="20"/>
          <w:sz w:val="32"/>
          <w:szCs w:val="32"/>
          <w:highlight w:val="none"/>
        </w:rPr>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853"/>
        <w:jc w:val="center"/>
        <w:spacing w:line="400" w:lineRule="exact"/>
        <w:rPr>
          <w:b/>
          <w:color w:val="000000"/>
          <w:spacing w:val="20"/>
          <w:sz w:val="32"/>
          <w:szCs w:val="32"/>
          <w:highlight w:val="none"/>
        </w:rPr>
      </w:pPr>
      <w:r>
        <w:rPr>
          <w:b/>
          <w:color w:val="000000"/>
          <w:spacing w:val="20"/>
          <w:sz w:val="32"/>
          <w:szCs w:val="32"/>
          <w:highlight w:val="none"/>
        </w:rPr>
      </w:r>
      <w:r/>
    </w:p>
    <w:p>
      <w:pPr>
        <w:pStyle w:val="853"/>
        <w:spacing w:line="360" w:lineRule="auto"/>
        <w:rPr>
          <w:color w:val="000000"/>
          <w:highlight w:val="none"/>
        </w:rPr>
      </w:pPr>
      <w:r>
        <w:rPr>
          <w:color w:val="000000"/>
          <w:highlight w:val="none"/>
        </w:rPr>
        <w:t xml:space="preserve">项目编号：</w:t>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ab/>
      </w:r>
      <w:r>
        <w:rPr>
          <w:color w:val="000000"/>
          <w:highlight w:val="none"/>
        </w:rPr>
        <w:t xml:space="preserve">报价单位：人民币元</w:t>
      </w:r>
      <w:r>
        <w:rPr>
          <w:color w:val="000000"/>
          <w:highlight w:val="none"/>
        </w:rPr>
      </w:r>
      <w:r/>
    </w:p>
    <w:p>
      <w:pPr>
        <w:pStyle w:val="853"/>
        <w:spacing w:line="360" w:lineRule="auto"/>
        <w:rPr>
          <w:rFonts w:ascii="Arial" w:hAnsi="Arial"/>
          <w:bCs/>
          <w:color w:val="000000"/>
          <w:highlight w:val="none"/>
        </w:rPr>
      </w:pPr>
      <w:r>
        <w:rPr>
          <w:color w:val="000000"/>
          <w:highlight w:val="none"/>
        </w:rPr>
        <w:t xml:space="preserve">项目名称：</w:t>
      </w:r>
      <w:r>
        <w:rPr>
          <w:rFonts w:ascii="Arial" w:hAnsi="Arial"/>
          <w:bCs/>
          <w:color w:val="000000"/>
          <w:highlight w:val="none"/>
        </w:rPr>
        <w:t xml:space="preserve">                           </w:t>
      </w:r>
      <w:r>
        <w:rPr>
          <w:rFonts w:ascii="Arial" w:hAnsi="Arial"/>
          <w:bCs/>
          <w:color w:val="000000"/>
          <w:highlight w:val="none"/>
        </w:rPr>
      </w:r>
      <w:r/>
    </w:p>
    <w:p>
      <w:pPr>
        <w:pStyle w:val="853"/>
        <w:spacing w:line="360" w:lineRule="auto"/>
        <w:rPr>
          <w:color w:val="000000"/>
          <w:highlight w:val="none"/>
        </w:rPr>
      </w:pPr>
      <w:r>
        <w:rPr>
          <w:rFonts w:ascii="Arial" w:hAnsi="Arial"/>
          <w:bCs/>
          <w:color w:val="000000"/>
          <w:highlight w:val="none"/>
        </w:rPr>
        <w:t xml:space="preserve"> </w:t>
      </w:r>
      <w:r>
        <w:rPr>
          <w:color w:val="000000"/>
          <w:highlight w:val="none"/>
        </w:rPr>
      </w:r>
      <w:r/>
    </w:p>
    <w:tbl>
      <w:tblPr>
        <w:tblW w:w="10632" w:type="dxa"/>
        <w:jc w:val="center"/>
        <w:tblInd w:w="-1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序号</w:t>
            </w:r>
            <w:r>
              <w:rPr>
                <w:color w:val="000000"/>
                <w:sz w:val="24"/>
                <w:highlight w:val="none"/>
              </w:rPr>
            </w:r>
            <w:r/>
          </w:p>
        </w:tc>
        <w:tc>
          <w:tcPr>
            <w:tcW w:w="1418"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设备名称</w:t>
            </w:r>
            <w:r>
              <w:rPr>
                <w:color w:val="000000"/>
                <w:sz w:val="24"/>
                <w:highlight w:val="none"/>
              </w:rPr>
            </w:r>
            <w:r/>
          </w:p>
        </w:tc>
        <w:tc>
          <w:tcPr>
            <w:tcW w:w="1276"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生产厂家</w:t>
            </w:r>
            <w:r>
              <w:rPr>
                <w:color w:val="000000"/>
                <w:sz w:val="24"/>
                <w:highlight w:val="none"/>
              </w:rPr>
            </w:r>
            <w:r/>
          </w:p>
        </w:tc>
        <w:tc>
          <w:tcPr>
            <w:tcW w:w="992"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品牌</w:t>
            </w:r>
            <w:r>
              <w:rPr>
                <w:color w:val="000000"/>
                <w:sz w:val="24"/>
                <w:highlight w:val="none"/>
              </w:rPr>
            </w:r>
            <w:r/>
          </w:p>
        </w:tc>
        <w:tc>
          <w:tcPr>
            <w:tcW w:w="1843"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技术参数</w:t>
            </w:r>
            <w:r>
              <w:rPr>
                <w:color w:val="000000"/>
                <w:sz w:val="24"/>
                <w:highlight w:val="none"/>
              </w:rPr>
            </w:r>
            <w:r/>
          </w:p>
        </w:tc>
        <w:tc>
          <w:tcPr>
            <w:tcW w:w="992"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单位</w:t>
            </w:r>
            <w:r>
              <w:rPr>
                <w:color w:val="000000"/>
                <w:sz w:val="24"/>
                <w:highlight w:val="none"/>
              </w:rPr>
            </w:r>
            <w:r/>
          </w:p>
        </w:tc>
        <w:tc>
          <w:tcPr>
            <w:tcW w:w="850"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数量</w:t>
            </w:r>
            <w:r>
              <w:rPr>
                <w:color w:val="000000"/>
                <w:sz w:val="24"/>
                <w:highlight w:val="none"/>
              </w:rPr>
            </w:r>
            <w:r/>
          </w:p>
        </w:tc>
        <w:tc>
          <w:tcPr>
            <w:tcW w:w="709"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单价</w:t>
            </w:r>
            <w:r>
              <w:rPr>
                <w:color w:val="000000"/>
                <w:sz w:val="24"/>
                <w:highlight w:val="none"/>
              </w:rPr>
            </w:r>
            <w:r/>
          </w:p>
        </w:tc>
        <w:tc>
          <w:tcPr>
            <w:tcW w:w="992"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合价</w:t>
            </w:r>
            <w:r>
              <w:rPr>
                <w:color w:val="000000"/>
                <w:sz w:val="24"/>
                <w:highlight w:val="none"/>
              </w:rPr>
            </w:r>
            <w:r/>
          </w:p>
        </w:tc>
        <w:tc>
          <w:tcPr>
            <w:tcW w:w="851" w:type="dxa"/>
            <w:vAlign w:val="top"/>
            <w:textDirection w:val="lrTb"/>
            <w:noWrap w:val="false"/>
          </w:tcPr>
          <w:p>
            <w:pPr>
              <w:pStyle w:val="853"/>
              <w:jc w:val="center"/>
              <w:rPr>
                <w:color w:val="000000"/>
                <w:sz w:val="24"/>
                <w:highlight w:val="none"/>
              </w:rPr>
            </w:pPr>
            <w:r>
              <w:rPr>
                <w:rFonts w:hint="eastAsia"/>
                <w:color w:val="000000"/>
                <w:sz w:val="24"/>
                <w:highlight w:val="none"/>
              </w:rPr>
              <w:t xml:space="preserve">备注</w:t>
            </w:r>
            <w:r>
              <w:rPr>
                <w:color w:val="000000"/>
                <w:sz w:val="24"/>
                <w:highlight w:val="none"/>
              </w:rPr>
            </w:r>
            <w:r/>
          </w:p>
        </w:tc>
      </w:tr>
      <w:tr>
        <w:trPr>
          <w:trHeight w:val="553"/>
        </w:trPr>
        <w:tc>
          <w:tcPr>
            <w:tcW w:w="709" w:type="dxa"/>
            <w:vAlign w:val="top"/>
            <w:textDirection w:val="lrTb"/>
            <w:noWrap w:val="false"/>
          </w:tcPr>
          <w:p>
            <w:pPr>
              <w:pStyle w:val="853"/>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1418" w:type="dxa"/>
            <w:vAlign w:val="top"/>
            <w:textDirection w:val="lrTb"/>
            <w:noWrap w:val="false"/>
          </w:tcPr>
          <w:p>
            <w:pPr>
              <w:pStyle w:val="853"/>
              <w:jc w:val="center"/>
              <w:rPr>
                <w:color w:val="000000"/>
                <w:highlight w:val="none"/>
              </w:rPr>
            </w:pPr>
            <w:r>
              <w:rPr>
                <w:color w:val="000000"/>
                <w:highlight w:val="none"/>
              </w:rPr>
            </w:r>
            <w:r/>
          </w:p>
        </w:tc>
        <w:tc>
          <w:tcPr>
            <w:tcW w:w="1276"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1843"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0" w:type="dxa"/>
            <w:vAlign w:val="top"/>
            <w:textDirection w:val="lrTb"/>
            <w:noWrap w:val="false"/>
          </w:tcPr>
          <w:p>
            <w:pPr>
              <w:pStyle w:val="853"/>
              <w:jc w:val="center"/>
              <w:rPr>
                <w:color w:val="000000"/>
                <w:highlight w:val="none"/>
              </w:rPr>
            </w:pPr>
            <w:r>
              <w:rPr>
                <w:color w:val="000000"/>
                <w:highlight w:val="none"/>
              </w:rPr>
            </w:r>
            <w:r/>
          </w:p>
        </w:tc>
        <w:tc>
          <w:tcPr>
            <w:tcW w:w="709"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r>
        <w:trPr>
          <w:trHeight w:val="561"/>
        </w:trPr>
        <w:tc>
          <w:tcPr>
            <w:tcW w:w="709" w:type="dxa"/>
            <w:vAlign w:val="top"/>
            <w:textDirection w:val="lrTb"/>
            <w:noWrap w:val="false"/>
          </w:tcPr>
          <w:p>
            <w:pPr>
              <w:pStyle w:val="853"/>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1418" w:type="dxa"/>
            <w:vAlign w:val="top"/>
            <w:textDirection w:val="lrTb"/>
            <w:noWrap w:val="false"/>
          </w:tcPr>
          <w:p>
            <w:pPr>
              <w:pStyle w:val="853"/>
              <w:jc w:val="center"/>
              <w:rPr>
                <w:color w:val="000000"/>
                <w:highlight w:val="none"/>
              </w:rPr>
            </w:pPr>
            <w:r>
              <w:rPr>
                <w:color w:val="000000"/>
                <w:highlight w:val="none"/>
              </w:rPr>
            </w:r>
            <w:r/>
          </w:p>
        </w:tc>
        <w:tc>
          <w:tcPr>
            <w:tcW w:w="1276"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1843"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0" w:type="dxa"/>
            <w:vAlign w:val="top"/>
            <w:textDirection w:val="lrTb"/>
            <w:noWrap w:val="false"/>
          </w:tcPr>
          <w:p>
            <w:pPr>
              <w:pStyle w:val="853"/>
              <w:jc w:val="center"/>
              <w:rPr>
                <w:color w:val="000000"/>
                <w:highlight w:val="none"/>
              </w:rPr>
            </w:pPr>
            <w:r>
              <w:rPr>
                <w:color w:val="000000"/>
                <w:highlight w:val="none"/>
              </w:rPr>
            </w:r>
            <w:r/>
          </w:p>
        </w:tc>
        <w:tc>
          <w:tcPr>
            <w:tcW w:w="709"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r>
        <w:trPr>
          <w:trHeight w:val="555"/>
        </w:trPr>
        <w:tc>
          <w:tcPr>
            <w:tcW w:w="709" w:type="dxa"/>
            <w:vAlign w:val="top"/>
            <w:textDirection w:val="lrTb"/>
            <w:noWrap w:val="false"/>
          </w:tcPr>
          <w:p>
            <w:pPr>
              <w:pStyle w:val="853"/>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1418" w:type="dxa"/>
            <w:vAlign w:val="top"/>
            <w:textDirection w:val="lrTb"/>
            <w:noWrap w:val="false"/>
          </w:tcPr>
          <w:p>
            <w:pPr>
              <w:pStyle w:val="853"/>
              <w:jc w:val="center"/>
              <w:rPr>
                <w:color w:val="000000"/>
                <w:highlight w:val="none"/>
              </w:rPr>
            </w:pPr>
            <w:r>
              <w:rPr>
                <w:color w:val="000000"/>
                <w:highlight w:val="none"/>
              </w:rPr>
            </w:r>
            <w:r/>
          </w:p>
        </w:tc>
        <w:tc>
          <w:tcPr>
            <w:tcW w:w="1276"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1843"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0" w:type="dxa"/>
            <w:vAlign w:val="top"/>
            <w:textDirection w:val="lrTb"/>
            <w:noWrap w:val="false"/>
          </w:tcPr>
          <w:p>
            <w:pPr>
              <w:pStyle w:val="853"/>
              <w:jc w:val="center"/>
              <w:rPr>
                <w:color w:val="000000"/>
                <w:highlight w:val="none"/>
              </w:rPr>
            </w:pPr>
            <w:r>
              <w:rPr>
                <w:color w:val="000000"/>
                <w:highlight w:val="none"/>
              </w:rPr>
            </w:r>
            <w:r/>
          </w:p>
        </w:tc>
        <w:tc>
          <w:tcPr>
            <w:tcW w:w="709"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r>
        <w:trPr>
          <w:trHeight w:val="563"/>
        </w:trPr>
        <w:tc>
          <w:tcPr>
            <w:tcW w:w="709" w:type="dxa"/>
            <w:vAlign w:val="top"/>
            <w:textDirection w:val="lrTb"/>
            <w:noWrap w:val="false"/>
          </w:tcPr>
          <w:p>
            <w:pPr>
              <w:pStyle w:val="853"/>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1418" w:type="dxa"/>
            <w:vAlign w:val="top"/>
            <w:textDirection w:val="lrTb"/>
            <w:noWrap w:val="false"/>
          </w:tcPr>
          <w:p>
            <w:pPr>
              <w:pStyle w:val="853"/>
              <w:jc w:val="center"/>
              <w:rPr>
                <w:color w:val="000000"/>
                <w:highlight w:val="none"/>
              </w:rPr>
            </w:pPr>
            <w:r>
              <w:rPr>
                <w:color w:val="000000"/>
                <w:highlight w:val="none"/>
              </w:rPr>
            </w:r>
            <w:r/>
          </w:p>
        </w:tc>
        <w:tc>
          <w:tcPr>
            <w:tcW w:w="1276"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1843"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0" w:type="dxa"/>
            <w:vAlign w:val="top"/>
            <w:textDirection w:val="lrTb"/>
            <w:noWrap w:val="false"/>
          </w:tcPr>
          <w:p>
            <w:pPr>
              <w:pStyle w:val="853"/>
              <w:jc w:val="center"/>
              <w:rPr>
                <w:color w:val="000000"/>
                <w:highlight w:val="none"/>
              </w:rPr>
            </w:pPr>
            <w:r>
              <w:rPr>
                <w:color w:val="000000"/>
                <w:highlight w:val="none"/>
              </w:rPr>
            </w:r>
            <w:r/>
          </w:p>
        </w:tc>
        <w:tc>
          <w:tcPr>
            <w:tcW w:w="709"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r>
        <w:trPr>
          <w:trHeight w:val="557"/>
        </w:trPr>
        <w:tc>
          <w:tcPr>
            <w:tcW w:w="709" w:type="dxa"/>
            <w:vAlign w:val="top"/>
            <w:textDirection w:val="lrTb"/>
            <w:noWrap w:val="false"/>
          </w:tcPr>
          <w:p>
            <w:pPr>
              <w:pStyle w:val="853"/>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1418" w:type="dxa"/>
            <w:vAlign w:val="top"/>
            <w:textDirection w:val="lrTb"/>
            <w:noWrap w:val="false"/>
          </w:tcPr>
          <w:p>
            <w:pPr>
              <w:pStyle w:val="853"/>
              <w:jc w:val="center"/>
              <w:rPr>
                <w:color w:val="000000"/>
                <w:highlight w:val="none"/>
              </w:rPr>
            </w:pPr>
            <w:r>
              <w:rPr>
                <w:color w:val="000000"/>
                <w:highlight w:val="none"/>
              </w:rPr>
            </w:r>
            <w:r/>
          </w:p>
        </w:tc>
        <w:tc>
          <w:tcPr>
            <w:tcW w:w="1276"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1843"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0" w:type="dxa"/>
            <w:vAlign w:val="top"/>
            <w:textDirection w:val="lrTb"/>
            <w:noWrap w:val="false"/>
          </w:tcPr>
          <w:p>
            <w:pPr>
              <w:pStyle w:val="853"/>
              <w:jc w:val="center"/>
              <w:rPr>
                <w:color w:val="000000"/>
                <w:highlight w:val="none"/>
              </w:rPr>
            </w:pPr>
            <w:r>
              <w:rPr>
                <w:color w:val="000000"/>
                <w:highlight w:val="none"/>
              </w:rPr>
            </w:r>
            <w:r/>
          </w:p>
        </w:tc>
        <w:tc>
          <w:tcPr>
            <w:tcW w:w="709"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r>
        <w:trPr/>
        <w:tc>
          <w:tcPr>
            <w:tcW w:w="709" w:type="dxa"/>
            <w:vAlign w:val="top"/>
            <w:textDirection w:val="lrTb"/>
            <w:noWrap w:val="false"/>
          </w:tcPr>
          <w:p>
            <w:pPr>
              <w:pStyle w:val="853"/>
              <w:jc w:val="center"/>
              <w:rPr>
                <w:color w:val="000000"/>
                <w:highlight w:val="none"/>
              </w:rPr>
            </w:pPr>
            <w:r>
              <w:rPr>
                <w:color w:val="000000"/>
                <w:highlight w:val="none"/>
              </w:rPr>
              <w:t xml:space="preserve">..</w:t>
            </w:r>
            <w:r>
              <w:rPr>
                <w:color w:val="000000"/>
                <w:highlight w:val="none"/>
              </w:rPr>
            </w:r>
            <w:r/>
          </w:p>
        </w:tc>
        <w:tc>
          <w:tcPr>
            <w:tcW w:w="1418" w:type="dxa"/>
            <w:vAlign w:val="top"/>
            <w:textDirection w:val="lrTb"/>
            <w:noWrap w:val="false"/>
          </w:tcPr>
          <w:p>
            <w:pPr>
              <w:pStyle w:val="853"/>
              <w:jc w:val="center"/>
              <w:rPr>
                <w:color w:val="000000"/>
                <w:highlight w:val="none"/>
              </w:rPr>
            </w:pPr>
            <w:r>
              <w:rPr>
                <w:color w:val="000000"/>
                <w:highlight w:val="none"/>
              </w:rPr>
            </w:r>
            <w:r/>
          </w:p>
        </w:tc>
        <w:tc>
          <w:tcPr>
            <w:tcW w:w="1276"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1843"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0" w:type="dxa"/>
            <w:vAlign w:val="top"/>
            <w:textDirection w:val="lrTb"/>
            <w:noWrap w:val="false"/>
          </w:tcPr>
          <w:p>
            <w:pPr>
              <w:pStyle w:val="853"/>
              <w:jc w:val="center"/>
              <w:rPr>
                <w:color w:val="000000"/>
                <w:highlight w:val="none"/>
              </w:rPr>
            </w:pPr>
            <w:r>
              <w:rPr>
                <w:color w:val="000000"/>
                <w:highlight w:val="none"/>
              </w:rPr>
            </w:r>
            <w:r/>
          </w:p>
        </w:tc>
        <w:tc>
          <w:tcPr>
            <w:tcW w:w="709"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r>
        <w:trPr/>
        <w:tc>
          <w:tcPr>
            <w:tcW w:w="709" w:type="dxa"/>
            <w:vAlign w:val="top"/>
            <w:textDirection w:val="lrTb"/>
            <w:noWrap w:val="false"/>
          </w:tcPr>
          <w:p>
            <w:pPr>
              <w:pStyle w:val="853"/>
              <w:jc w:val="center"/>
              <w:rPr>
                <w:color w:val="000000"/>
                <w:highlight w:val="none"/>
              </w:rPr>
            </w:pPr>
            <w:r>
              <w:rPr>
                <w:rFonts w:hint="eastAsia"/>
                <w:color w:val="000000"/>
                <w:highlight w:val="none"/>
              </w:rPr>
              <w:t xml:space="preserve">.</w:t>
            </w:r>
            <w:r>
              <w:rPr>
                <w:color w:val="000000"/>
                <w:highlight w:val="none"/>
              </w:rPr>
              <w:t xml:space="preserve">.</w:t>
            </w:r>
            <w:r>
              <w:rPr>
                <w:color w:val="000000"/>
                <w:highlight w:val="none"/>
              </w:rPr>
            </w:r>
            <w:r/>
          </w:p>
        </w:tc>
        <w:tc>
          <w:tcPr>
            <w:tcW w:w="1418" w:type="dxa"/>
            <w:vAlign w:val="top"/>
            <w:textDirection w:val="lrTb"/>
            <w:noWrap w:val="false"/>
          </w:tcPr>
          <w:p>
            <w:pPr>
              <w:pStyle w:val="853"/>
              <w:jc w:val="center"/>
              <w:rPr>
                <w:color w:val="000000"/>
                <w:highlight w:val="none"/>
              </w:rPr>
            </w:pPr>
            <w:r>
              <w:rPr>
                <w:color w:val="000000"/>
                <w:highlight w:val="none"/>
              </w:rPr>
            </w:r>
            <w:r/>
          </w:p>
        </w:tc>
        <w:tc>
          <w:tcPr>
            <w:tcW w:w="1276"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1843"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0" w:type="dxa"/>
            <w:vAlign w:val="top"/>
            <w:textDirection w:val="lrTb"/>
            <w:noWrap w:val="false"/>
          </w:tcPr>
          <w:p>
            <w:pPr>
              <w:pStyle w:val="853"/>
              <w:jc w:val="center"/>
              <w:rPr>
                <w:color w:val="000000"/>
                <w:highlight w:val="none"/>
              </w:rPr>
            </w:pPr>
            <w:r>
              <w:rPr>
                <w:color w:val="000000"/>
                <w:highlight w:val="none"/>
              </w:rPr>
            </w:r>
            <w:r/>
          </w:p>
        </w:tc>
        <w:tc>
          <w:tcPr>
            <w:tcW w:w="709" w:type="dxa"/>
            <w:vAlign w:val="top"/>
            <w:textDirection w:val="lrTb"/>
            <w:noWrap w:val="false"/>
          </w:tcPr>
          <w:p>
            <w:pPr>
              <w:pStyle w:val="853"/>
              <w:jc w:val="center"/>
              <w:rPr>
                <w:color w:val="000000"/>
                <w:highlight w:val="none"/>
              </w:rPr>
            </w:pP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r>
        <w:trPr/>
        <w:tc>
          <w:tcPr>
            <w:gridSpan w:val="8"/>
            <w:tcW w:w="8789" w:type="dxa"/>
            <w:vAlign w:val="top"/>
            <w:textDirection w:val="lrTb"/>
            <w:noWrap w:val="false"/>
          </w:tcPr>
          <w:p>
            <w:pPr>
              <w:pStyle w:val="853"/>
              <w:jc w:val="center"/>
              <w:rPr>
                <w:color w:val="000000"/>
                <w:highlight w:val="none"/>
              </w:rPr>
            </w:pPr>
            <w:r>
              <w:rPr>
                <w:color w:val="000000"/>
                <w:sz w:val="24"/>
                <w:highlight w:val="none"/>
              </w:rPr>
              <w:t xml:space="preserve">合计</w:t>
            </w:r>
            <w:r>
              <w:rPr>
                <w:color w:val="000000"/>
                <w:highlight w:val="none"/>
              </w:rPr>
            </w:r>
            <w:r/>
          </w:p>
        </w:tc>
        <w:tc>
          <w:tcPr>
            <w:tcW w:w="992" w:type="dxa"/>
            <w:vAlign w:val="top"/>
            <w:textDirection w:val="lrTb"/>
            <w:noWrap w:val="false"/>
          </w:tcPr>
          <w:p>
            <w:pPr>
              <w:pStyle w:val="853"/>
              <w:jc w:val="center"/>
              <w:rPr>
                <w:color w:val="000000"/>
                <w:highlight w:val="none"/>
              </w:rPr>
            </w:pPr>
            <w:r>
              <w:rPr>
                <w:color w:val="000000"/>
                <w:highlight w:val="none"/>
              </w:rPr>
            </w:r>
            <w:r/>
          </w:p>
        </w:tc>
        <w:tc>
          <w:tcPr>
            <w:tcW w:w="851" w:type="dxa"/>
            <w:vAlign w:val="top"/>
            <w:textDirection w:val="lrTb"/>
            <w:noWrap w:val="false"/>
          </w:tcPr>
          <w:p>
            <w:pPr>
              <w:pStyle w:val="853"/>
              <w:jc w:val="center"/>
              <w:rPr>
                <w:color w:val="000000"/>
                <w:highlight w:val="none"/>
              </w:rPr>
            </w:pPr>
            <w:r>
              <w:rPr>
                <w:color w:val="000000"/>
                <w:highlight w:val="none"/>
              </w:rPr>
            </w:r>
            <w:r/>
          </w:p>
        </w:tc>
      </w:tr>
    </w:tbl>
    <w:p>
      <w:pPr>
        <w:pStyle w:val="853"/>
        <w:spacing w:line="360" w:lineRule="auto"/>
        <w:rPr>
          <w:color w:val="000000"/>
          <w:highlight w:val="none"/>
        </w:rPr>
      </w:pPr>
      <w:r>
        <w:rPr>
          <w:color w:val="000000"/>
          <w:highlight w:val="none"/>
        </w:rPr>
      </w:r>
      <w:r/>
    </w:p>
    <w:p>
      <w:pPr>
        <w:pStyle w:val="853"/>
        <w:jc w:val="left"/>
        <w:spacing w:line="360" w:lineRule="auto"/>
        <w:tabs>
          <w:tab w:val="left" w:pos="1800" w:leader="none"/>
          <w:tab w:val="left" w:pos="5580" w:leader="none"/>
        </w:tabs>
        <w:rPr>
          <w:rFonts w:hint="eastAsia" w:ascii="宋体" w:hAnsi="宋体" w:cs="楷体"/>
          <w:color w:val="000000"/>
          <w:sz w:val="24"/>
          <w:highlight w:val="none"/>
        </w:rPr>
      </w:pPr>
      <w:r>
        <w:rPr>
          <w:rFonts w:ascii="宋体" w:hAnsi="宋体" w:cs="楷体"/>
          <w:color w:val="000000"/>
          <w:sz w:val="24"/>
          <w:highlight w:val="none"/>
        </w:rPr>
        <w:t xml:space="preserve">注：</w:t>
      </w:r>
      <w:r>
        <w:rPr>
          <w:rFonts w:ascii="宋体" w:hAnsi="宋体" w:cs="楷体"/>
          <w:b/>
          <w:bCs/>
          <w:color w:val="000000"/>
          <w:sz w:val="24"/>
          <w:highlight w:val="none"/>
        </w:rPr>
        <w:t xml:space="preserve">1</w:t>
      </w:r>
      <w:r>
        <w:rPr>
          <w:rFonts w:hint="eastAsia" w:ascii="宋体" w:hAnsi="宋体" w:cs="楷体"/>
          <w:b/>
          <w:bCs/>
          <w:color w:val="000000"/>
          <w:sz w:val="24"/>
          <w:highlight w:val="none"/>
        </w:rPr>
        <w:t xml:space="preserve">、本表按本招标文件“第五章采购需求”-“采购清单”中的标的逐项报价</w:t>
      </w:r>
      <w:r>
        <w:rPr>
          <w:rFonts w:hint="eastAsia" w:ascii="宋体" w:hAnsi="宋体" w:cs="楷体"/>
          <w:b/>
          <w:bCs/>
          <w:color w:val="000000"/>
          <w:sz w:val="24"/>
          <w:highlight w:val="none"/>
          <w:lang w:eastAsia="zh-CN"/>
        </w:rPr>
        <w:t xml:space="preserve">（含税价）</w:t>
      </w:r>
      <w:r>
        <w:rPr>
          <w:rFonts w:hint="eastAsia" w:ascii="宋体" w:hAnsi="宋体" w:cs="楷体"/>
          <w:b/>
          <w:bCs/>
          <w:color w:val="000000"/>
          <w:sz w:val="24"/>
          <w:highlight w:val="none"/>
        </w:rPr>
        <w:t xml:space="preserve">。</w:t>
      </w:r>
      <w:r>
        <w:rPr>
          <w:rFonts w:hint="eastAsia" w:ascii="宋体" w:hAnsi="宋体" w:cs="楷体"/>
          <w:color w:val="000000"/>
          <w:sz w:val="24"/>
          <w:highlight w:val="none"/>
        </w:rPr>
      </w:r>
      <w:r/>
    </w:p>
    <w:p>
      <w:pPr>
        <w:pStyle w:val="853"/>
        <w:ind w:firstLine="480"/>
        <w:jc w:val="left"/>
        <w:spacing w:line="360" w:lineRule="auto"/>
        <w:tabs>
          <w:tab w:val="left" w:pos="1800" w:leader="none"/>
          <w:tab w:val="left" w:pos="5580" w:leader="none"/>
        </w:tabs>
        <w:rPr>
          <w:rFonts w:hint="eastAsia" w:ascii="宋体" w:hAnsi="宋体" w:cs="楷体"/>
          <w:color w:val="000000"/>
          <w:sz w:val="24"/>
          <w:highlight w:val="none"/>
        </w:rPr>
      </w:pPr>
      <w:r>
        <w:rPr>
          <w:rFonts w:hint="eastAsia" w:ascii="宋体" w:hAnsi="宋体" w:cs="楷体"/>
          <w:color w:val="000000"/>
          <w:sz w:val="24"/>
          <w:highlight w:val="none"/>
        </w:rPr>
        <w:t xml:space="preserve">2、</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招标</w:t>
      </w:r>
      <w:r>
        <w:rPr>
          <w:rFonts w:ascii="宋体" w:hAnsi="宋体" w:cs="楷体"/>
          <w:color w:val="000000"/>
          <w:sz w:val="24"/>
          <w:highlight w:val="none"/>
        </w:rPr>
        <w:t xml:space="preserve">文件。</w:t>
      </w:r>
      <w:r>
        <w:rPr>
          <w:rFonts w:hint="eastAsia" w:ascii="宋体" w:hAnsi="宋体" w:cs="楷体"/>
          <w:color w:val="000000"/>
          <w:sz w:val="24"/>
          <w:highlight w:val="none"/>
        </w:rPr>
      </w:r>
      <w:r/>
    </w:p>
    <w:p>
      <w:pPr>
        <w:pStyle w:val="853"/>
        <w:ind w:firstLine="480"/>
        <w:jc w:val="left"/>
        <w:spacing w:line="360" w:lineRule="auto"/>
        <w:tabs>
          <w:tab w:val="left" w:pos="1800" w:leader="none"/>
          <w:tab w:val="left" w:pos="5580" w:leader="none"/>
        </w:tabs>
        <w:rPr>
          <w:rFonts w:hint="eastAsia"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hint="eastAsia" w:ascii="宋体" w:hAnsi="宋体" w:cs="楷体"/>
          <w:color w:val="000000"/>
          <w:sz w:val="24"/>
          <w:highlight w:val="none"/>
        </w:rPr>
      </w:r>
      <w:r/>
    </w:p>
    <w:p>
      <w:pPr>
        <w:pStyle w:val="853"/>
        <w:ind w:firstLine="480"/>
        <w:spacing w:line="320" w:lineRule="atLeast"/>
        <w:tabs>
          <w:tab w:val="left" w:pos="851" w:leader="none"/>
          <w:tab w:val="left" w:pos="993" w:leader="none"/>
          <w:tab w:val="left" w:pos="1418" w:leader="none"/>
        </w:tabs>
        <w:rPr>
          <w:rFonts w:hint="eastAsia" w:ascii="楷体" w:hAnsi="楷体" w:eastAsia="楷体"/>
          <w:color w:val="000000"/>
          <w:sz w:val="24"/>
          <w:highlight w:val="none"/>
        </w:rPr>
      </w:pPr>
      <w:r>
        <w:rPr>
          <w:rFonts w:hint="eastAsia" w:ascii="宋体" w:hAnsi="宋体" w:cs="楷体"/>
          <w:color w:val="000000"/>
          <w:sz w:val="24"/>
          <w:highlight w:val="none"/>
        </w:rPr>
        <w:t xml:space="preserve">4、</w:t>
      </w:r>
      <w:r>
        <w:rPr>
          <w:rFonts w:ascii="宋体" w:hAnsi="宋体" w:cs="楷体"/>
          <w:color w:val="000000"/>
          <w:sz w:val="24"/>
          <w:highlight w:val="none"/>
        </w:rPr>
        <w:t xml:space="preserve">上述各项的详细规格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ascii="楷体" w:hAnsi="楷体" w:eastAsia="楷体"/>
          <w:color w:val="000000"/>
          <w:sz w:val="24"/>
          <w:highlight w:val="none"/>
        </w:rPr>
        <w:t xml:space="preserve">。</w:t>
      </w:r>
      <w:r>
        <w:rPr>
          <w:rFonts w:hint="eastAsia" w:ascii="楷体" w:hAnsi="楷体" w:eastAsia="楷体"/>
          <w:color w:val="000000"/>
          <w:sz w:val="24"/>
          <w:highlight w:val="none"/>
        </w:rPr>
      </w:r>
      <w:r/>
    </w:p>
    <w:p>
      <w:pPr>
        <w:pStyle w:val="853"/>
        <w:ind w:firstLine="384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853"/>
        <w:ind w:firstLine="384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53"/>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33"/>
        <w:rPr>
          <w:color w:val="000000"/>
          <w:highlight w:val="none"/>
        </w:rPr>
        <w:sectPr>
          <w:footnotePr/>
          <w:endnotePr/>
          <w:type w:val="nextPage"/>
          <w:pgSz w:w="11905" w:h="16838" w:orient="portrait"/>
          <w:pgMar w:top="1417" w:right="1417" w:bottom="1417" w:left="1417" w:header="850" w:footer="992" w:gutter="0"/>
          <w:cols w:num="1" w:sep="0" w:space="1701" w:equalWidth="1"/>
          <w:docGrid w:linePitch="360"/>
        </w:sectPr>
      </w:pPr>
      <w:r>
        <w:rPr>
          <w:color w:val="000000"/>
          <w:highlight w:val="none"/>
        </w:rPr>
      </w:r>
      <w:r/>
    </w:p>
    <w:p>
      <w:pPr>
        <w:pStyle w:val="855"/>
        <w:tabs>
          <w:tab w:val="right" w:pos="8937" w:leader="dot"/>
        </w:tabs>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867"/>
        <w:rPr>
          <w:color w:val="000000"/>
          <w:highlight w:val="none"/>
        </w:rPr>
      </w:pPr>
      <w:r>
        <w:rPr>
          <w:color w:val="000000"/>
          <w:highlight w:val="none"/>
        </w:rPr>
      </w:r>
      <w:r/>
    </w:p>
    <w:p>
      <w:pPr>
        <w:pStyle w:val="855"/>
        <w:jc w:val="left"/>
        <w:spacing w:before="0" w:line="360" w:lineRule="auto"/>
        <w:tabs>
          <w:tab w:val="center" w:pos="4592" w:leader="none"/>
          <w:tab w:val="left" w:pos="7860" w:leader="none"/>
        </w:tabs>
        <w:rPr>
          <w:b w:val="0"/>
          <w:color w:val="000000"/>
          <w:sz w:val="24"/>
          <w:highlight w:val="none"/>
          <w:u w:val="singl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rPr>
          <w:b w:val="0"/>
          <w:color w:val="000000"/>
          <w:sz w:val="24"/>
          <w:highlight w:val="none"/>
          <w:u w:val="single"/>
        </w:rPr>
      </w:r>
      <w:r/>
    </w:p>
    <w:p>
      <w:pPr>
        <w:pStyle w:val="853"/>
        <w:rPr>
          <w:rFonts w:hint="eastAsia" w:ascii="宋体" w:hAnsi="宋体" w:cs="楷体"/>
          <w:b/>
          <w:color w:val="000000"/>
          <w:sz w:val="32"/>
          <w:szCs w:val="32"/>
          <w:highlight w:val="none"/>
        </w:rPr>
      </w:pPr>
      <w:r/>
      <w:bookmarkStart w:id="297" w:name="_Toc311189788"/>
      <w:r>
        <w:rPr>
          <w:rFonts w:hint="eastAsia" w:ascii="宋体" w:hAnsi="宋体" w:cs="楷体"/>
          <w:b/>
          <w:color w:val="000000"/>
          <w:sz w:val="32"/>
          <w:szCs w:val="32"/>
          <w:highlight w:val="none"/>
        </w:rPr>
      </w:r>
      <w:r/>
    </w:p>
    <w:p>
      <w:pPr>
        <w:pStyle w:val="853"/>
        <w:jc w:val="center"/>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w:t>
      </w:r>
      <w:r>
        <w:rPr>
          <w:rFonts w:hint="eastAsia" w:ascii="宋体" w:hAnsi="宋体" w:cs="楷体"/>
          <w:b/>
          <w:color w:val="000000"/>
          <w:sz w:val="32"/>
          <w:szCs w:val="32"/>
          <w:highlight w:val="none"/>
          <w:lang w:val="en-US" w:eastAsia="zh-CN"/>
        </w:rPr>
        <w:t xml:space="preserve">货物</w:t>
      </w:r>
      <w:r>
        <w:rPr>
          <w:rFonts w:hint="eastAsia" w:ascii="宋体" w:hAnsi="宋体" w:cs="楷体"/>
          <w:b/>
          <w:color w:val="000000"/>
          <w:sz w:val="32"/>
          <w:szCs w:val="32"/>
          <w:highlight w:val="none"/>
        </w:rPr>
        <w:t xml:space="preserve">)</w:t>
      </w:r>
      <w:r>
        <w:rPr>
          <w:rFonts w:hint="eastAsia" w:ascii="宋体" w:hAnsi="宋体" w:cs="楷体"/>
          <w:b/>
          <w:color w:val="000000"/>
          <w:sz w:val="32"/>
          <w:szCs w:val="32"/>
          <w:highlight w:val="none"/>
        </w:rPr>
      </w:r>
      <w:r/>
    </w:p>
    <w:p>
      <w:pPr>
        <w:pStyle w:val="853"/>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篮球架</w:t>
      </w:r>
      <w:r>
        <w:rPr>
          <w:rFonts w:hint="eastAsia" w:ascii="宋体" w:hAnsi="宋体" w:eastAsia="宋体" w:cs="楷体"/>
          <w:color w:val="000000"/>
          <w:sz w:val="24"/>
          <w:szCs w:val="24"/>
          <w:highlight w:val="none"/>
          <w:u w:val="single"/>
          <w:lang w:eastAsia="zh-CN"/>
        </w:rPr>
        <w:t xml:space="preserve">（</w:t>
      </w:r>
      <w:r>
        <w:rPr>
          <w:rFonts w:hint="eastAsia" w:ascii="宋体" w:hAnsi="宋体" w:eastAsia="宋体" w:cs="楷体"/>
          <w:color w:val="000000"/>
          <w:sz w:val="24"/>
          <w:szCs w:val="24"/>
          <w:highlight w:val="none"/>
          <w:u w:val="single"/>
          <w:lang w:val="en-US" w:eastAsia="zh-CN"/>
        </w:rPr>
        <w:t xml:space="preserve">单头</w:t>
      </w:r>
      <w:r>
        <w:rPr>
          <w:rFonts w:hint="eastAsia" w:ascii="宋体" w:hAnsi="宋体" w:eastAsia="宋体" w:cs="楷体"/>
          <w:color w:val="000000"/>
          <w:sz w:val="24"/>
          <w:szCs w:val="24"/>
          <w:highlight w:val="none"/>
          <w:u w:val="single"/>
          <w:lang w:eastAsia="zh-CN"/>
        </w:rPr>
        <w:t xml:space="preserve">）</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篮球架</w:t>
      </w:r>
      <w:r>
        <w:rPr>
          <w:rFonts w:hint="eastAsia" w:ascii="宋体" w:hAnsi="宋体" w:eastAsia="宋体" w:cs="楷体"/>
          <w:color w:val="000000"/>
          <w:sz w:val="24"/>
          <w:szCs w:val="24"/>
          <w:highlight w:val="none"/>
          <w:u w:val="single"/>
          <w:lang w:eastAsia="zh-CN"/>
        </w:rPr>
        <w:t xml:space="preserve">（</w:t>
      </w:r>
      <w:r>
        <w:rPr>
          <w:rFonts w:hint="eastAsia" w:ascii="宋体" w:hAnsi="宋体" w:eastAsia="宋体" w:cs="楷体"/>
          <w:color w:val="000000"/>
          <w:sz w:val="24"/>
          <w:szCs w:val="24"/>
          <w:highlight w:val="none"/>
          <w:u w:val="single"/>
          <w:lang w:val="en-US" w:eastAsia="zh-CN"/>
        </w:rPr>
        <w:t xml:space="preserve">双头</w:t>
      </w:r>
      <w:r>
        <w:rPr>
          <w:rFonts w:hint="eastAsia" w:ascii="宋体" w:hAnsi="宋体" w:eastAsia="宋体" w:cs="楷体"/>
          <w:color w:val="000000"/>
          <w:sz w:val="24"/>
          <w:szCs w:val="24"/>
          <w:highlight w:val="none"/>
          <w:u w:val="single"/>
          <w:lang w:eastAsia="zh-CN"/>
        </w:rPr>
        <w:t xml:space="preserve">）</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val="en-US" w:eastAsia="zh-CN"/>
        </w:rPr>
        <w:t xml:space="preserve">3</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rPr>
        <w:t xml:space="preserve">11人制足球门</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val="en-US" w:eastAsia="zh-CN"/>
        </w:rPr>
        <w:t xml:space="preserve">4</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rPr>
        <w:t xml:space="preserve">7人制足球门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val="en-US" w:eastAsia="zh-CN"/>
        </w:rPr>
        <w:t xml:space="preserve">5</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lang w:val="en-US" w:eastAsia="zh-CN"/>
        </w:rPr>
        <w:t xml:space="preserve">铅球投掷圈</w:t>
      </w:r>
      <w:r>
        <w:rPr>
          <w:rFonts w:hint="eastAsia" w:ascii="宋体" w:hAnsi="宋体" w:eastAsia="宋体" w:cs="楷体"/>
          <w:color w:val="000000"/>
          <w:sz w:val="24"/>
          <w:szCs w:val="24"/>
          <w:highlight w:val="none"/>
          <w:u w:val="none"/>
        </w:rPr>
        <w:t xml:space="preserve">（</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val="en-US" w:eastAsia="zh-CN"/>
        </w:rPr>
        <w:t xml:space="preserve">6</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lang w:val="en-US" w:eastAsia="zh-CN"/>
        </w:rPr>
        <w:t xml:space="preserve">跳远起跳板</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val="en-US" w:eastAsia="zh-CN"/>
        </w:rPr>
        <w:t xml:space="preserve">7</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lang w:val="en-US" w:eastAsia="zh-CN"/>
        </w:rPr>
        <w:t xml:space="preserve">单杠</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val="en-US" w:eastAsia="zh-CN"/>
        </w:rPr>
        <w:t xml:space="preserve">8</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lang w:val="en-US" w:eastAsia="zh-CN"/>
        </w:rPr>
        <w:t xml:space="preserve">双杠</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val="en-US" w:eastAsia="zh-CN"/>
        </w:rPr>
        <w:t xml:space="preserve">9</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rPr>
        <w:t xml:space="preserve">电动液压篮球架</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lang w:val="en-US" w:eastAsia="zh-CN"/>
        </w:rPr>
        <w:t xml:space="preserve">0</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lang w:val="en-US" w:eastAsia="zh-CN"/>
        </w:rPr>
        <w:t xml:space="preserve">横向肋木训练器</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lang w:val="en-US" w:eastAsia="zh-CN"/>
        </w:rPr>
        <w:t xml:space="preserve">1</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u w:val="single"/>
          <w:lang w:val="en-US" w:eastAsia="zh-CN"/>
        </w:rPr>
        <w:t xml:space="preserve">纵向肋木训练器</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工业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853"/>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853"/>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853"/>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53"/>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10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0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0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0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853"/>
        <w:jc w:val="center"/>
        <w:spacing w:before="240" w:after="240" w:line="360" w:lineRule="auto"/>
        <w:rPr>
          <w:b/>
          <w:color w:val="000000"/>
          <w:sz w:val="32"/>
          <w:szCs w:val="32"/>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五、残疾人福利性单位声明函 （实质性格式）</w:t>
      </w:r>
      <w:r>
        <w:rPr>
          <w:b/>
          <w:color w:val="000000"/>
          <w:sz w:val="32"/>
          <w:szCs w:val="32"/>
          <w:highlight w:val="none"/>
        </w:rPr>
      </w:r>
      <w:r/>
    </w:p>
    <w:p>
      <w:pPr>
        <w:pStyle w:val="853"/>
        <w:ind w:firstLine="504"/>
        <w:spacing w:line="588" w:lineRule="exact"/>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hint="eastAsia" w:ascii="宋体" w:hAnsi="宋体"/>
          <w:color w:val="000000"/>
          <w:spacing w:val="6"/>
          <w:sz w:val="24"/>
          <w:highlight w:val="none"/>
        </w:rPr>
      </w:r>
      <w:r/>
    </w:p>
    <w:p>
      <w:pPr>
        <w:pStyle w:val="853"/>
        <w:ind w:firstLine="482"/>
        <w:spacing w:line="588" w:lineRule="exact"/>
        <w:rPr>
          <w:rFonts w:hint="eastAsia"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hint="eastAsia" w:ascii="宋体" w:hAnsi="宋体"/>
          <w:b/>
          <w:color w:val="000000"/>
          <w:spacing w:val="6"/>
          <w:sz w:val="24"/>
          <w:highlight w:val="none"/>
        </w:rPr>
      </w:r>
      <w:r/>
    </w:p>
    <w:p>
      <w:pPr>
        <w:pStyle w:val="853"/>
        <w:ind w:firstLine="482"/>
        <w:spacing w:line="588" w:lineRule="exact"/>
        <w:rPr>
          <w:rFonts w:hint="eastAsia"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853"/>
        <w:ind w:firstLine="506"/>
        <w:spacing w:line="588" w:lineRule="exact"/>
        <w:rPr>
          <w:rFonts w:hint="eastAsia"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853"/>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53"/>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53"/>
        <w:ind w:firstLine="3780"/>
        <w:spacing w:line="400" w:lineRule="exact"/>
        <w:rPr>
          <w:rFonts w:hint="eastAsia"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53"/>
        <w:ind w:right="1560" w:firstLine="504"/>
        <w:jc w:val="center"/>
        <w:spacing w:line="588" w:lineRule="exact"/>
        <w:tabs>
          <w:tab w:val="left" w:pos="4860" w:leader="none"/>
        </w:tabs>
        <w:rPr>
          <w:rFonts w:hint="eastAsia" w:ascii="宋体" w:hAnsi="宋体"/>
          <w:color w:val="000000"/>
          <w:spacing w:val="6"/>
          <w:sz w:val="24"/>
          <w:highlight w:val="none"/>
        </w:rPr>
        <w:sectPr>
          <w:footerReference w:type="even" r:id="rId18"/>
          <w:footerReference w:type="first" r:id="rId19"/>
          <w:footnotePr/>
          <w:endnotePr/>
          <w:type w:val="nextPage"/>
          <w:pgSz w:w="11905" w:h="16838" w:orient="portrait"/>
          <w:pgMar w:top="1417" w:right="1417" w:bottom="1417" w:left="1417" w:header="850"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853"/>
        <w:jc w:val="center"/>
        <w:spacing w:before="240" w:after="240" w:line="360" w:lineRule="auto"/>
        <w:rPr>
          <w:rFonts w:hint="eastAsia"/>
          <w:b/>
          <w:bCs/>
          <w:color w:val="000000"/>
          <w:sz w:val="32"/>
          <w:szCs w:val="32"/>
          <w:highlight w:val="none"/>
        </w:rPr>
      </w:pPr>
      <w:r/>
      <w:bookmarkEnd w:id="297"/>
      <w:r>
        <w:rPr>
          <w:rFonts w:hint="eastAsia"/>
          <w:b/>
          <w:color w:val="000000"/>
          <w:spacing w:val="20"/>
          <w:sz w:val="32"/>
          <w:szCs w:val="32"/>
          <w:highlight w:val="none"/>
        </w:rPr>
        <w:t xml:space="preserve">六、</w:t>
      </w:r>
      <w:r>
        <w:rPr>
          <w:rFonts w:hint="eastAsia"/>
          <w:b/>
          <w:bCs/>
          <w:color w:val="000000"/>
          <w:sz w:val="32"/>
          <w:szCs w:val="32"/>
          <w:highlight w:val="none"/>
        </w:rPr>
        <w:t xml:space="preserve">关于符合本国产品标准的声明函（实质性格式）</w:t>
      </w:r>
      <w:r>
        <w:rPr>
          <w:rFonts w:hint="eastAsia"/>
          <w:b/>
          <w:bCs/>
          <w:color w:val="000000"/>
          <w:sz w:val="32"/>
          <w:szCs w:val="32"/>
          <w:highlight w:val="none"/>
        </w:rPr>
      </w:r>
      <w:r/>
    </w:p>
    <w:p>
      <w:pPr>
        <w:pStyle w:val="914"/>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14"/>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14"/>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928"/>
          <w:rFonts w:hint="eastAsia"/>
          <w:color w:val="000000"/>
          <w:highlight w:val="none"/>
          <w:u w:val="single"/>
          <w:shd w:val="clear" w:color="auto" w:fill="ffffff"/>
        </w:rPr>
        <w:t xml:space="preserve">（产品名称1）</w:t>
      </w:r>
      <w:r>
        <w:rPr>
          <w:rStyle w:val="928"/>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928"/>
          <w:rFonts w:hint="eastAsia"/>
          <w:color w:val="000000"/>
          <w:highlight w:val="none"/>
          <w:u w:val="single"/>
          <w:shd w:val="clear" w:color="auto" w:fill="ffffff"/>
        </w:rPr>
        <w:t xml:space="preserve">（厂名）</w:t>
      </w:r>
      <w:r>
        <w:rPr>
          <w:rStyle w:val="928"/>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28"/>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928"/>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928"/>
          <w:rFonts w:hint="eastAsia"/>
          <w:color w:val="000000"/>
          <w:highlight w:val="none"/>
          <w:u w:val="single"/>
          <w:shd w:val="clear" w:color="auto" w:fill="ffffff"/>
        </w:rPr>
        <w:t xml:space="preserve">（规定比例）</w:t>
      </w:r>
      <w:r>
        <w:rPr>
          <w:rStyle w:val="928"/>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92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28"/>
          <w:rFonts w:hint="eastAsia"/>
          <w:color w:val="000000"/>
          <w:highlight w:val="none"/>
          <w:u w:val="single"/>
          <w:shd w:val="clear" w:color="auto" w:fill="ffffff"/>
        </w:rPr>
        <w:t xml:space="preserve">（关键组件）</w:t>
      </w:r>
      <w:r>
        <w:rPr>
          <w:rStyle w:val="928"/>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92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28"/>
          <w:rFonts w:hint="eastAsia"/>
          <w:color w:val="000000"/>
          <w:highlight w:val="none"/>
          <w:u w:val="single"/>
          <w:shd w:val="clear" w:color="auto" w:fill="ffffff"/>
        </w:rPr>
        <w:t xml:space="preserve">（关键工序）</w:t>
      </w:r>
      <w:r>
        <w:rPr>
          <w:rStyle w:val="928"/>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914"/>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92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28"/>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28"/>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2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928"/>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92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28"/>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92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28"/>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914"/>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914"/>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14"/>
        <w:spacing w:before="0" w:beforeAutospacing="0" w:after="0" w:afterAutospacing="0" w:line="500" w:lineRule="exact"/>
        <w:rPr>
          <w:rFonts w:hint="eastAsia"/>
          <w:color w:val="000000"/>
          <w:highlight w:val="none"/>
        </w:rPr>
      </w:pPr>
      <w:r>
        <w:rPr>
          <w:rFonts w:hint="eastAsia"/>
          <w:color w:val="000000"/>
          <w:highlight w:val="none"/>
        </w:rPr>
      </w:r>
      <w:r/>
    </w:p>
    <w:p>
      <w:pPr>
        <w:pStyle w:val="914"/>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14"/>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914"/>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914"/>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914"/>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914"/>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914"/>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914"/>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914"/>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853"/>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br w:type="page" w:clear="all"/>
      </w:r>
      <w:r>
        <w:rPr>
          <w:rFonts w:hint="eastAsia"/>
          <w:b/>
          <w:color w:val="000000"/>
          <w:spacing w:val="20"/>
          <w:sz w:val="32"/>
          <w:szCs w:val="32"/>
          <w:highlight w:val="none"/>
        </w:rPr>
        <w:t xml:space="preserve">七、项目实施方案</w:t>
      </w:r>
      <w:r>
        <w:rPr>
          <w:b/>
          <w:color w:val="000000"/>
          <w:spacing w:val="20"/>
          <w:sz w:val="32"/>
          <w:szCs w:val="32"/>
          <w:highlight w:val="none"/>
        </w:rPr>
      </w:r>
      <w:r/>
    </w:p>
    <w:p>
      <w:pPr>
        <w:pStyle w:val="884"/>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853"/>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招标文件中提出的需求是最基本的服务要求，各供应商须响应这些要求，并可以在此基础上，根据自身优势进一步优化。本方案可包括（但不限于）以下内容：</w:t>
      </w:r>
      <w:r>
        <w:rPr>
          <w:rFonts w:hint="eastAsia" w:ascii="宋体" w:hAnsi="宋体" w:cs="宋体"/>
          <w:color w:val="000000"/>
          <w:sz w:val="24"/>
          <w:highlight w:val="none"/>
        </w:rPr>
      </w:r>
      <w:r/>
    </w:p>
    <w:p>
      <w:pPr>
        <w:pStyle w:val="853"/>
        <w:numPr>
          <w:ilvl w:val="1"/>
          <w:numId w:val="9"/>
        </w:numPr>
        <w:spacing w:line="400" w:lineRule="exact"/>
        <w:tabs>
          <w:tab w:val="left" w:pos="1140" w:leader="none"/>
        </w:tabs>
        <w:rPr>
          <w:rFonts w:hint="eastAsia"/>
          <w:color w:val="000000"/>
          <w:sz w:val="24"/>
          <w:szCs w:val="24"/>
          <w:highlight w:val="none"/>
        </w:rPr>
      </w:pPr>
      <w:r>
        <w:rPr>
          <w:rFonts w:hint="eastAsia"/>
          <w:color w:val="000000"/>
          <w:sz w:val="24"/>
          <w:szCs w:val="24"/>
          <w:highlight w:val="none"/>
        </w:rPr>
        <w:t xml:space="preserve">详细实施方案</w:t>
      </w:r>
      <w:r>
        <w:rPr>
          <w:rFonts w:hint="eastAsia"/>
          <w:color w:val="000000"/>
          <w:sz w:val="24"/>
          <w:szCs w:val="24"/>
          <w:highlight w:val="none"/>
        </w:rPr>
      </w:r>
      <w:r/>
    </w:p>
    <w:p>
      <w:pPr>
        <w:pStyle w:val="853"/>
        <w:numPr>
          <w:ilvl w:val="1"/>
          <w:numId w:val="9"/>
        </w:numPr>
        <w:spacing w:line="400" w:lineRule="exact"/>
        <w:tabs>
          <w:tab w:val="left" w:pos="1140" w:leader="none"/>
        </w:tabs>
        <w:rPr>
          <w:rFonts w:hint="eastAsia"/>
          <w:color w:val="000000"/>
          <w:sz w:val="24"/>
          <w:szCs w:val="24"/>
          <w:highlight w:val="none"/>
        </w:rPr>
      </w:pPr>
      <w:r>
        <w:rPr>
          <w:rFonts w:hint="eastAsia"/>
          <w:color w:val="000000"/>
          <w:sz w:val="24"/>
          <w:szCs w:val="24"/>
          <w:highlight w:val="none"/>
        </w:rPr>
        <w:t xml:space="preserve">投标人应就人员配备、技术保证、项目质量、服务期限等做出承诺</w:t>
      </w:r>
      <w:r>
        <w:rPr>
          <w:rFonts w:hint="eastAsia"/>
          <w:color w:val="000000"/>
          <w:sz w:val="24"/>
          <w:szCs w:val="24"/>
          <w:highlight w:val="none"/>
        </w:rPr>
      </w:r>
      <w:r/>
    </w:p>
    <w:p>
      <w:pPr>
        <w:pStyle w:val="853"/>
        <w:numPr>
          <w:ilvl w:val="1"/>
          <w:numId w:val="9"/>
        </w:numPr>
        <w:spacing w:line="400" w:lineRule="exact"/>
        <w:tabs>
          <w:tab w:val="left" w:pos="1140" w:leader="none"/>
        </w:tabs>
        <w:rPr>
          <w:rFonts w:hint="eastAsia"/>
          <w:color w:val="000000"/>
          <w:sz w:val="24"/>
          <w:szCs w:val="24"/>
          <w:highlight w:val="none"/>
        </w:rPr>
      </w:pPr>
      <w:r>
        <w:rPr>
          <w:rFonts w:hint="eastAsia"/>
          <w:bCs/>
          <w:color w:val="000000"/>
          <w:sz w:val="24"/>
          <w:szCs w:val="24"/>
          <w:highlight w:val="none"/>
        </w:rPr>
        <w:t xml:space="preserve">对原始资料的调查与收集</w:t>
      </w:r>
      <w:r>
        <w:rPr>
          <w:rFonts w:hint="eastAsia"/>
          <w:color w:val="000000"/>
          <w:sz w:val="24"/>
          <w:szCs w:val="24"/>
          <w:highlight w:val="none"/>
        </w:rPr>
      </w:r>
      <w:r/>
    </w:p>
    <w:p>
      <w:pPr>
        <w:pStyle w:val="853"/>
        <w:numPr>
          <w:ilvl w:val="1"/>
          <w:numId w:val="9"/>
        </w:numPr>
        <w:spacing w:line="400" w:lineRule="exact"/>
        <w:tabs>
          <w:tab w:val="left" w:pos="1140" w:leader="none"/>
        </w:tabs>
        <w:rPr>
          <w:rFonts w:hint="eastAsia"/>
          <w:color w:val="000000"/>
          <w:sz w:val="24"/>
          <w:szCs w:val="24"/>
          <w:highlight w:val="none"/>
        </w:rPr>
      </w:pPr>
      <w:r>
        <w:rPr>
          <w:rFonts w:hint="eastAsia"/>
          <w:color w:val="000000"/>
          <w:sz w:val="24"/>
          <w:szCs w:val="24"/>
          <w:highlight w:val="none"/>
        </w:rPr>
        <w:t xml:space="preserve">合理化建议（并提出相应可行的解决办法）</w:t>
      </w:r>
      <w:r>
        <w:rPr>
          <w:rFonts w:hint="eastAsia"/>
          <w:color w:val="000000"/>
          <w:sz w:val="24"/>
          <w:szCs w:val="24"/>
          <w:highlight w:val="none"/>
        </w:rPr>
      </w:r>
      <w:r/>
    </w:p>
    <w:p>
      <w:pPr>
        <w:pStyle w:val="853"/>
        <w:numPr>
          <w:ilvl w:val="1"/>
          <w:numId w:val="9"/>
        </w:numPr>
        <w:spacing w:line="400" w:lineRule="exact"/>
        <w:tabs>
          <w:tab w:val="left" w:pos="1140" w:leader="none"/>
        </w:tabs>
        <w:rPr>
          <w:rFonts w:hint="eastAsia"/>
          <w:color w:val="000000"/>
          <w:sz w:val="24"/>
          <w:szCs w:val="24"/>
          <w:highlight w:val="none"/>
        </w:rPr>
      </w:pPr>
      <w:r>
        <w:rPr>
          <w:rFonts w:hint="eastAsia"/>
          <w:color w:val="000000"/>
          <w:sz w:val="24"/>
          <w:szCs w:val="24"/>
          <w:highlight w:val="none"/>
        </w:rPr>
        <w:t xml:space="preserve">需要招标人协助的事项</w:t>
      </w:r>
      <w:r>
        <w:rPr>
          <w:rFonts w:hint="eastAsia"/>
          <w:color w:val="000000"/>
          <w:sz w:val="24"/>
          <w:szCs w:val="24"/>
          <w:highlight w:val="none"/>
        </w:rPr>
      </w:r>
      <w:r/>
    </w:p>
    <w:p>
      <w:pPr>
        <w:pStyle w:val="853"/>
        <w:numPr>
          <w:ilvl w:val="1"/>
          <w:numId w:val="9"/>
        </w:numPr>
        <w:spacing w:line="400" w:lineRule="exact"/>
        <w:tabs>
          <w:tab w:val="left" w:pos="1140" w:leader="none"/>
        </w:tabs>
        <w:rPr>
          <w:rFonts w:hint="eastAsia"/>
          <w:color w:val="000000"/>
          <w:sz w:val="24"/>
          <w:szCs w:val="24"/>
          <w:highlight w:val="none"/>
        </w:rPr>
      </w:pPr>
      <w:r>
        <w:rPr>
          <w:rFonts w:hint="eastAsia"/>
          <w:color w:val="000000"/>
          <w:sz w:val="24"/>
          <w:szCs w:val="24"/>
          <w:highlight w:val="none"/>
        </w:rPr>
        <w:t xml:space="preserve">投标人认为需要添加的内容</w:t>
      </w:r>
      <w:r>
        <w:rPr>
          <w:rFonts w:hint="eastAsia"/>
          <w:color w:val="000000"/>
          <w:sz w:val="24"/>
          <w:szCs w:val="24"/>
          <w:highlight w:val="none"/>
        </w:rPr>
      </w:r>
      <w:r/>
    </w:p>
    <w:p>
      <w:pPr>
        <w:pStyle w:val="853"/>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853"/>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853"/>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53"/>
        <w:ind w:firstLine="4414"/>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53"/>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853"/>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853"/>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r>
      <w:r/>
    </w:p>
    <w:p>
      <w:pPr>
        <w:pStyle w:val="853"/>
        <w:ind w:firstLine="2529"/>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八、基本服务承诺书 </w:t>
      </w:r>
      <w:r>
        <w:rPr>
          <w:b/>
          <w:color w:val="000000"/>
          <w:spacing w:val="20"/>
          <w:sz w:val="32"/>
          <w:szCs w:val="32"/>
          <w:highlight w:val="none"/>
        </w:rPr>
        <w:t xml:space="preserve"> </w:t>
      </w:r>
      <w:r>
        <w:rPr>
          <w:b/>
          <w:color w:val="000000"/>
          <w:spacing w:val="20"/>
          <w:sz w:val="32"/>
          <w:szCs w:val="32"/>
          <w:highlight w:val="none"/>
        </w:rPr>
      </w:r>
      <w:r/>
    </w:p>
    <w:p>
      <w:pPr>
        <w:pStyle w:val="853"/>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53"/>
        <w:numPr>
          <w:ilvl w:val="0"/>
          <w:numId w:val="10"/>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853"/>
        <w:ind w:firstLine="4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53"/>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3"/>
        <w:rPr>
          <w:color w:val="000000"/>
          <w:highlight w:val="none"/>
        </w:rPr>
      </w:pPr>
      <w:r>
        <w:rPr>
          <w:color w:val="000000"/>
          <w:highlight w:val="none"/>
        </w:rPr>
      </w:r>
      <w:r/>
    </w:p>
    <w:p>
      <w:pPr>
        <w:pStyle w:val="853"/>
        <w:ind w:firstLine="43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53"/>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853"/>
        <w:keepLines/>
        <w:keepNext/>
        <w:spacing w:after="240" w:line="360" w:lineRule="auto"/>
        <w:widowControl/>
        <w:rPr>
          <w:color w:val="000000"/>
          <w:highlight w:val="none"/>
        </w:rPr>
        <w:outlineLvl w:val="0"/>
      </w:pPr>
      <w:r>
        <w:rPr>
          <w:color w:val="000000"/>
          <w:highlight w:val="none"/>
        </w:rPr>
      </w:r>
      <w:r/>
    </w:p>
    <w:p>
      <w:pPr>
        <w:pStyle w:val="853"/>
        <w:jc w:val="center"/>
        <w:spacing w:line="360" w:lineRule="auto"/>
        <w:rPr>
          <w:b/>
          <w:color w:val="000000"/>
          <w:spacing w:val="20"/>
          <w:sz w:val="30"/>
          <w:szCs w:val="30"/>
          <w:highlight w:val="none"/>
        </w:rPr>
      </w:pPr>
      <w:r>
        <w:rPr>
          <w:rFonts w:hint="eastAsia"/>
          <w:b/>
          <w:color w:val="000000"/>
          <w:spacing w:val="20"/>
          <w:sz w:val="30"/>
          <w:szCs w:val="30"/>
          <w:highlight w:val="none"/>
        </w:rPr>
        <w:br w:type="page" w:clear="all"/>
      </w:r>
      <w:r>
        <w:rPr>
          <w:rFonts w:hint="eastAsia"/>
          <w:b/>
          <w:color w:val="000000"/>
          <w:spacing w:val="20"/>
          <w:sz w:val="30"/>
          <w:szCs w:val="30"/>
          <w:highlight w:val="none"/>
        </w:rPr>
        <w:t xml:space="preserve">九、法人授权书（实质性格式）</w:t>
      </w:r>
      <w:r>
        <w:rPr>
          <w:b/>
          <w:color w:val="000000"/>
          <w:spacing w:val="20"/>
          <w:sz w:val="30"/>
          <w:szCs w:val="30"/>
          <w:highlight w:val="none"/>
        </w:rPr>
      </w:r>
      <w:r/>
    </w:p>
    <w:p>
      <w:pPr>
        <w:pStyle w:val="853"/>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 </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853"/>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853"/>
        <w:ind w:firstLine="480"/>
        <w:spacing w:line="360" w:lineRule="auto"/>
        <w:tabs>
          <w:tab w:val="left" w:pos="360" w:leader="none"/>
        </w:tabs>
        <w:rPr>
          <w:color w:val="000000"/>
          <w:sz w:val="24"/>
          <w:highlight w:val="none"/>
        </w:rPr>
      </w:pPr>
      <w:r>
        <w:rPr>
          <w:color w:val="000000"/>
          <w:sz w:val="24"/>
          <w:highlight w:val="none"/>
        </w:rPr>
      </w:r>
      <w:r/>
    </w:p>
    <w:p>
      <w:pPr>
        <w:pStyle w:val="853"/>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853"/>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53"/>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853"/>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853"/>
        <w:ind w:firstLine="4080"/>
        <w:spacing w:line="360" w:lineRule="auto"/>
        <w:tabs>
          <w:tab w:val="left" w:pos="360" w:leader="none"/>
        </w:tabs>
        <w:rPr>
          <w:color w:val="000000"/>
          <w:sz w:val="24"/>
          <w:highlight w:val="none"/>
        </w:rPr>
      </w:pPr>
      <w:r>
        <w:rPr>
          <w:color w:val="000000"/>
          <w:sz w:val="24"/>
          <w:highlight w:val="none"/>
        </w:rPr>
      </w:r>
      <w:r/>
    </w:p>
    <w:p>
      <w:pPr>
        <w:pStyle w:val="853"/>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853"/>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853"/>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298" w:name="_Hlt26671380"/>
      <w:r/>
      <w:bookmarkEnd w:id="298"/>
      <w:r/>
      <w:bookmarkStart w:id="299" w:name="_格式3__银行出具的资信证明"/>
      <w:r/>
      <w:bookmarkEnd w:id="299"/>
      <w:r/>
      <w:bookmarkStart w:id="300" w:name="_Hlt26955070"/>
      <w:r/>
      <w:bookmarkEnd w:id="300"/>
      <w:r>
        <w:rPr>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853"/>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853"/>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致本项目采购单位及代理单位：</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按照《中华人民共和国政府采购法》第二十二条及招标文件的规定，我单位郑重声明如下：</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hint="eastAsia" w:ascii="宋体" w:hAnsi="宋体" w:cs="楷体"/>
          <w:color w:val="000000"/>
          <w:sz w:val="24"/>
          <w:highlight w:val="none"/>
        </w:rPr>
      </w:r>
      <w:r/>
    </w:p>
    <w:p>
      <w:pPr>
        <w:pStyle w:val="85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884"/>
        <w:ind w:firstLine="4800"/>
        <w:spacing w:before="0" w:line="360" w:lineRule="auto"/>
        <w:tabs>
          <w:tab w:val="left" w:pos="567" w:leader="none"/>
        </w:tabs>
        <w:rPr>
          <w:rFonts w:hint="eastAsia" w:cs="楷体"/>
          <w:color w:val="000000"/>
          <w:highlight w:val="none"/>
        </w:rPr>
      </w:pPr>
      <w:r/>
      <w:bookmarkStart w:id="301" w:name="_Hlk149916533"/>
      <w:r>
        <w:rPr>
          <w:rFonts w:hint="eastAsia"/>
          <w:bCs/>
          <w:color w:val="000000"/>
          <w:highlight w:val="none"/>
        </w:rPr>
        <w:t xml:space="preserve">供应商名称：</w:t>
      </w:r>
      <w:r>
        <w:rPr>
          <w:rFonts w:hint="eastAsia" w:cs="楷体"/>
          <w:color w:val="000000"/>
          <w:highlight w:val="none"/>
        </w:rPr>
        <w:t xml:space="preserve">（加盖CA电子公章）</w:t>
      </w:r>
      <w:r>
        <w:rPr>
          <w:rFonts w:hint="eastAsia" w:cs="楷体"/>
          <w:color w:val="000000"/>
          <w:highlight w:val="none"/>
        </w:rPr>
      </w:r>
      <w:r/>
    </w:p>
    <w:p>
      <w:pPr>
        <w:pStyle w:val="853"/>
        <w:ind w:firstLine="5040"/>
        <w:spacing w:line="400" w:lineRule="exact"/>
        <w:rPr>
          <w:rFonts w:hint="eastAsia" w:ascii="宋体" w:hAnsi="宋体" w:cs="楷体"/>
          <w:color w:val="000000"/>
          <w:sz w:val="24"/>
          <w:highlight w:val="none"/>
        </w:rPr>
      </w:pPr>
      <w:r/>
      <w:bookmarkEnd w:id="301"/>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853"/>
        <w:ind w:firstLine="480"/>
        <w:jc w:val="center"/>
        <w:spacing w:line="500" w:lineRule="exact"/>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hint="eastAsia" w:ascii="宋体" w:hAnsi="宋体" w:cs="楷体"/>
          <w:color w:val="000000"/>
          <w:sz w:val="24"/>
          <w:highlight w:val="none"/>
        </w:rPr>
      </w:r>
      <w:r/>
    </w:p>
    <w:p>
      <w:pPr>
        <w:pStyle w:val="853"/>
        <w:spacing w:line="440" w:lineRule="exact"/>
        <w:widowControl/>
        <w:rPr>
          <w:rFonts w:hint="eastAsia" w:ascii="宋体" w:hAnsi="宋体" w:cs="楷体"/>
          <w:color w:val="000000"/>
          <w:sz w:val="24"/>
          <w:highlight w:val="none"/>
        </w:rPr>
      </w:pPr>
      <w:r>
        <w:rPr>
          <w:rFonts w:hint="eastAsia" w:ascii="宋体" w:hAnsi="宋体" w:cs="楷体"/>
          <w:color w:val="000000"/>
          <w:sz w:val="24"/>
          <w:highlight w:val="none"/>
        </w:rPr>
      </w:r>
      <w:r/>
    </w:p>
    <w:p>
      <w:pPr>
        <w:pStyle w:val="853"/>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853"/>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853"/>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107"/>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85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853"/>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853"/>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884"/>
        <w:ind w:firstLine="4560"/>
        <w:spacing w:before="0" w:line="360" w:lineRule="auto"/>
        <w:tabs>
          <w:tab w:val="left" w:pos="567" w:leader="none"/>
        </w:tabs>
        <w:rPr>
          <w:rFonts w:hint="eastAsia" w:cs="楷体"/>
          <w:color w:val="000000"/>
          <w:highlight w:val="none"/>
        </w:rPr>
      </w:pPr>
      <w:r/>
      <w:bookmarkStart w:id="302" w:name="_Hlk149916556"/>
      <w:r>
        <w:rPr>
          <w:rFonts w:hint="eastAsia"/>
          <w:bCs/>
          <w:color w:val="000000"/>
          <w:highlight w:val="none"/>
        </w:rPr>
        <w:t xml:space="preserve">供应商名称：</w:t>
      </w:r>
      <w:r>
        <w:rPr>
          <w:rFonts w:hint="eastAsia" w:cs="楷体"/>
          <w:color w:val="000000"/>
          <w:highlight w:val="none"/>
        </w:rPr>
        <w:t xml:space="preserve">（加盖CA电子公章）</w:t>
      </w:r>
      <w:r>
        <w:rPr>
          <w:rFonts w:hint="eastAsia" w:cs="楷体"/>
          <w:color w:val="000000"/>
          <w:highlight w:val="none"/>
        </w:rPr>
      </w:r>
      <w:r/>
    </w:p>
    <w:p>
      <w:pPr>
        <w:pStyle w:val="853"/>
        <w:ind w:firstLine="5040"/>
        <w:spacing w:line="400" w:lineRule="exact"/>
        <w:rPr>
          <w:rFonts w:hint="eastAsia" w:ascii="宋体" w:hAnsi="宋体" w:cs="楷体"/>
          <w:color w:val="000000"/>
          <w:sz w:val="24"/>
          <w:highlight w:val="none"/>
        </w:rPr>
      </w:pPr>
      <w:r/>
      <w:bookmarkEnd w:id="302"/>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102"/>
        <w:ind w:right="840" w:firstLine="480"/>
        <w:jc w:val="center"/>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                                 年   月   日</w:t>
      </w:r>
      <w:r>
        <w:rPr>
          <w:rFonts w:hint="eastAsia" w:ascii="宋体" w:hAnsi="宋体" w:eastAsia="宋体" w:cs="楷体"/>
          <w:color w:val="000000"/>
          <w:sz w:val="24"/>
          <w:szCs w:val="24"/>
          <w:highlight w:val="none"/>
        </w:rPr>
      </w:r>
      <w:r/>
    </w:p>
    <w:p>
      <w:pPr>
        <w:pStyle w:val="1102"/>
        <w:ind w:right="840" w:firstLine="48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02"/>
        <w:ind w:right="840" w:firstLine="48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02"/>
        <w:ind w:right="840" w:firstLine="48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02"/>
        <w:ind w:right="840" w:firstLine="48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853"/>
        <w:ind w:firstLine="2168"/>
        <w:keepLines/>
        <w:keepNext/>
        <w:spacing w:after="240" w:line="360" w:lineRule="auto"/>
        <w:widowControl/>
        <w:rPr>
          <w:rFonts w:hint="eastAsia"/>
          <w:b/>
          <w:color w:val="000000"/>
          <w:spacing w:val="20"/>
          <w:sz w:val="32"/>
          <w:szCs w:val="32"/>
          <w:highlight w:val="none"/>
        </w:rPr>
        <w:outlineLvl w:val="0"/>
      </w:pPr>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十二、联合体协议（实质性格式）</w:t>
      </w:r>
      <w:r>
        <w:rPr>
          <w:rFonts w:hint="eastAsia"/>
          <w:b/>
          <w:color w:val="000000"/>
          <w:spacing w:val="20"/>
          <w:sz w:val="32"/>
          <w:szCs w:val="32"/>
          <w:highlight w:val="none"/>
        </w:rPr>
      </w:r>
      <w:r/>
    </w:p>
    <w:p>
      <w:pPr>
        <w:pStyle w:val="853"/>
        <w:spacing w:line="560" w:lineRule="exact"/>
        <w:rPr>
          <w:rFonts w:ascii="Adobe 仿宋 Std R" w:hAnsi="Adobe 仿宋 Std R"/>
          <w:color w:val="000000"/>
          <w:sz w:val="24"/>
          <w:szCs w:val="21"/>
          <w:highlight w:val="none"/>
        </w:rPr>
      </w:pPr>
      <w:r/>
      <w:bookmarkStart w:id="303" w:name="_Hlk149905720"/>
      <w:r>
        <w:rPr>
          <w:rFonts w:hint="eastAsia" w:ascii="Adobe 仿宋 Std R" w:hAnsi="Adobe 仿宋 Std R"/>
          <w:color w:val="000000"/>
          <w:sz w:val="24"/>
          <w:szCs w:val="21"/>
          <w:highlight w:val="none"/>
        </w:rPr>
        <w:t xml:space="preserve">（联合体中各供应商全称）在此达成以下协议：</w:t>
      </w:r>
      <w:r>
        <w:rPr>
          <w:rFonts w:ascii="Adobe 仿宋 Std R" w:hAnsi="Adobe 仿宋 Std R"/>
          <w:color w:val="000000"/>
          <w:sz w:val="24"/>
          <w:szCs w:val="21"/>
          <w:highlight w:val="none"/>
        </w:rPr>
      </w:r>
      <w:r/>
    </w:p>
    <w:p>
      <w:pPr>
        <w:pStyle w:val="853"/>
        <w:ind w:firstLine="720"/>
        <w:jc w:val="left"/>
        <w:spacing w:line="360" w:lineRule="auto"/>
        <w:rPr>
          <w:rFonts w:ascii="宋体" w:hAnsi="宋体"/>
          <w:color w:val="000000"/>
          <w:sz w:val="24"/>
          <w:highlight w:val="none"/>
        </w:rPr>
      </w:pPr>
      <w:r>
        <w:rPr>
          <w:rFonts w:ascii="Adobe 仿宋 Std R" w:hAnsi="Adobe 仿宋 Std R"/>
          <w:color w:val="000000"/>
          <w:sz w:val="24"/>
          <w:szCs w:val="21"/>
          <w:highlight w:val="none"/>
        </w:rPr>
        <w:t xml:space="preserve">1</w:t>
      </w:r>
      <w:r>
        <w:rPr>
          <w:rFonts w:hint="eastAsia" w:ascii="Adobe 仿宋 Std R" w:hAnsi="Adobe 仿宋 Std R"/>
          <w:color w:val="000000"/>
          <w:sz w:val="24"/>
          <w:szCs w:val="21"/>
          <w:highlight w:val="none"/>
        </w:rPr>
        <w:t xml:space="preserve">、我们</w:t>
      </w:r>
      <w:r>
        <w:rPr>
          <w:rFonts w:hint="eastAsia" w:ascii="Adobe 仿宋 Std R" w:hAnsi="Adobe 仿宋 Std R"/>
          <w:color w:val="000000"/>
          <w:sz w:val="24"/>
          <w:szCs w:val="21"/>
          <w:highlight w:val="none"/>
          <w:u w:val="single"/>
        </w:rPr>
        <w:t xml:space="preserve"> （供应商1），（供应商2） </w:t>
      </w:r>
      <w:r>
        <w:rPr>
          <w:rFonts w:hint="eastAsia" w:ascii="Adobe 仿宋 Std R" w:hAnsi="Adobe 仿宋 Std R"/>
          <w:color w:val="000000"/>
          <w:sz w:val="24"/>
          <w:szCs w:val="21"/>
          <w:highlight w:val="none"/>
        </w:rPr>
        <w:t xml:space="preserve">自愿组成联合体，参加</w:t>
      </w:r>
      <w:r>
        <w:rPr>
          <w:rFonts w:hint="eastAsia" w:ascii="宋体" w:hAnsi="宋体"/>
          <w:color w:val="000000"/>
          <w:sz w:val="24"/>
          <w:highlight w:val="none"/>
        </w:rPr>
        <w:t xml:space="preserve">常州环宇工程项目管理有限公司</w:t>
      </w:r>
      <w:r>
        <w:rPr>
          <w:rFonts w:hint="eastAsia" w:ascii="Adobe 仿宋 Std R" w:hAnsi="Adobe 仿宋 Std R"/>
          <w:color w:val="000000"/>
          <w:sz w:val="24"/>
          <w:szCs w:val="21"/>
          <w:highlight w:val="none"/>
        </w:rPr>
        <w:t xml:space="preserve">组织的采购编号为</w:t>
      </w:r>
      <w:r>
        <w:rPr>
          <w:rFonts w:hint="eastAsia" w:ascii="Adobe 仿宋 Std R" w:hAnsi="Adobe 仿宋 Std R"/>
          <w:color w:val="000000"/>
          <w:sz w:val="24"/>
          <w:szCs w:val="21"/>
          <w:highlight w:val="none"/>
          <w:u w:val="single"/>
        </w:rPr>
        <w:t xml:space="preserve">（编号全称），（项目全称）</w:t>
      </w:r>
      <w:r>
        <w:rPr>
          <w:rFonts w:hint="eastAsia" w:ascii="Adobe 仿宋 Std R" w:hAnsi="Adobe 仿宋 Std R"/>
          <w:color w:val="000000"/>
          <w:sz w:val="24"/>
          <w:szCs w:val="21"/>
          <w:highlight w:val="none"/>
        </w:rPr>
        <w:t xml:space="preserve">项目 的政府采购活动，我联合体指定</w:t>
      </w:r>
      <w:r>
        <w:rPr>
          <w:rFonts w:hint="eastAsia" w:ascii="Adobe 仿宋 Std R" w:hAnsi="Adobe 仿宋 Std R"/>
          <w:color w:val="000000"/>
          <w:sz w:val="24"/>
          <w:szCs w:val="21"/>
          <w:highlight w:val="none"/>
          <w:u w:val="single"/>
        </w:rPr>
        <w:t xml:space="preserve">（供应商*）</w:t>
      </w:r>
      <w:r>
        <w:rPr>
          <w:rFonts w:hint="eastAsia" w:ascii="Adobe 仿宋 Std R" w:hAnsi="Adobe 仿宋 Std R"/>
          <w:color w:val="000000"/>
          <w:sz w:val="24"/>
          <w:szCs w:val="21"/>
          <w:highlight w:val="none"/>
        </w:rPr>
        <w:t xml:space="preserve">为牵头单位（牵头单位必须为联合体成员）。</w:t>
      </w:r>
      <w:r>
        <w:rPr>
          <w:rFonts w:ascii="宋体" w:hAnsi="宋体"/>
          <w:color w:val="000000"/>
          <w:sz w:val="24"/>
          <w:highlight w:val="none"/>
        </w:rPr>
      </w:r>
      <w:r/>
    </w:p>
    <w:p>
      <w:pPr>
        <w:pStyle w:val="853"/>
        <w:ind w:firstLine="645"/>
        <w:spacing w:line="560" w:lineRule="exact"/>
        <w:rPr>
          <w:rFonts w:ascii="Adobe 仿宋 Std R" w:hAnsi="Adobe 仿宋 Std R"/>
          <w:color w:val="000000"/>
          <w:sz w:val="24"/>
          <w:szCs w:val="21"/>
          <w:highlight w:val="none"/>
        </w:rPr>
      </w:pPr>
      <w:r>
        <w:rPr>
          <w:rFonts w:ascii="Adobe 仿宋 Std R" w:hAnsi="Adobe 仿宋 Std R"/>
          <w:color w:val="000000"/>
          <w:sz w:val="24"/>
          <w:szCs w:val="21"/>
          <w:highlight w:val="none"/>
        </w:rPr>
        <w:t xml:space="preserve">2</w:t>
      </w:r>
      <w:r>
        <w:rPr>
          <w:rFonts w:hint="eastAsia" w:ascii="Adobe 仿宋 Std R" w:hAnsi="Adobe 仿宋 Std R"/>
          <w:color w:val="000000"/>
          <w:sz w:val="24"/>
          <w:szCs w:val="21"/>
          <w:highlight w:val="none"/>
        </w:rPr>
        <w:t xml:space="preserve">、若我们联合中标、成交，（供应商单位</w:t>
      </w:r>
      <w:r>
        <w:rPr>
          <w:rFonts w:ascii="Adobe 仿宋 Std R" w:hAnsi="Adobe 仿宋 Std R"/>
          <w:color w:val="000000"/>
          <w:sz w:val="24"/>
          <w:szCs w:val="21"/>
          <w:highlight w:val="none"/>
        </w:rPr>
        <w:t xml:space="preserve">1</w:t>
      </w:r>
      <w:r>
        <w:rPr>
          <w:rFonts w:hint="eastAsia" w:ascii="Adobe 仿宋 Std R" w:hAnsi="Adobe 仿宋 Std R"/>
          <w:color w:val="000000"/>
          <w:sz w:val="24"/>
          <w:szCs w:val="21"/>
          <w:highlight w:val="none"/>
        </w:rPr>
        <w:t xml:space="preserve">全称）</w:t>
      </w:r>
      <w:r>
        <w:rPr>
          <w:rFonts w:hint="eastAsia"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实施项目中（工作内容）</w:t>
      </w:r>
      <w:r>
        <w:rPr>
          <w:rFonts w:hint="eastAsia"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部分工作，并承担相应的责任。（供应商单位</w:t>
      </w:r>
      <w:r>
        <w:rPr>
          <w:rFonts w:ascii="Adobe 仿宋 Std R" w:hAnsi="Adobe 仿宋 Std R"/>
          <w:color w:val="000000"/>
          <w:sz w:val="24"/>
          <w:szCs w:val="21"/>
          <w:highlight w:val="none"/>
        </w:rPr>
        <w:t xml:space="preserve">2</w:t>
      </w:r>
      <w:r>
        <w:rPr>
          <w:rFonts w:hint="eastAsia" w:ascii="Adobe 仿宋 Std R" w:hAnsi="Adobe 仿宋 Std R"/>
          <w:color w:val="000000"/>
          <w:sz w:val="24"/>
          <w:szCs w:val="21"/>
          <w:highlight w:val="none"/>
        </w:rPr>
        <w:t xml:space="preserve">全称）</w:t>
      </w:r>
      <w:r>
        <w:rPr>
          <w:rFonts w:hint="eastAsia"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实施项目中（工作内容）</w:t>
      </w:r>
      <w:r>
        <w:rPr>
          <w:rFonts w:hint="eastAsia"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部分工作，并承担相应的责任……。（注：联合体中各供应商都应明示所承担的工作和相应的责任）。</w:t>
      </w:r>
      <w:r>
        <w:rPr>
          <w:rFonts w:ascii="Adobe 仿宋 Std R" w:hAnsi="Adobe 仿宋 Std R"/>
          <w:color w:val="000000"/>
          <w:sz w:val="24"/>
          <w:szCs w:val="21"/>
          <w:highlight w:val="none"/>
        </w:rPr>
      </w:r>
      <w:r/>
    </w:p>
    <w:p>
      <w:pPr>
        <w:pStyle w:val="853"/>
        <w:ind w:firstLine="645"/>
        <w:spacing w:line="560" w:lineRule="exact"/>
        <w:rPr>
          <w:rFonts w:hint="eastAsia" w:ascii="Adobe 仿宋 Std R" w:hAnsi="Adobe 仿宋 Std R"/>
          <w:color w:val="000000"/>
          <w:sz w:val="24"/>
          <w:szCs w:val="21"/>
          <w:highlight w:val="none"/>
        </w:rPr>
      </w:pPr>
      <w:r>
        <w:rPr>
          <w:rFonts w:ascii="Adobe 仿宋 Std R" w:hAnsi="Adobe 仿宋 Std R"/>
          <w:color w:val="000000"/>
          <w:sz w:val="24"/>
          <w:szCs w:val="21"/>
          <w:highlight w:val="none"/>
        </w:rPr>
        <w:t xml:space="preserve">3</w:t>
      </w:r>
      <w:r>
        <w:rPr>
          <w:rFonts w:hint="eastAsia" w:ascii="Adobe 仿宋 Std R" w:hAnsi="Adobe 仿宋 Std R"/>
          <w:color w:val="000000"/>
          <w:sz w:val="24"/>
          <w:szCs w:val="21"/>
          <w:highlight w:val="none"/>
        </w:rPr>
        <w:t xml:space="preserve">、其中</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u w:val="single"/>
        </w:rPr>
        <w:t xml:space="preserve">      </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（小型、微型企业/残疾人福利性单位/监狱企业全称）为</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u w:val="single"/>
        </w:rPr>
        <w:t xml:space="preserve">    </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（小型、微型企业/残疾人福利性单位/监狱企业）企业，且我们约定该公司/单位所承担的合同金额将占本项目合同总金额的</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u w:val="single"/>
        </w:rPr>
        <w:t xml:space="preserve">  </w:t>
      </w:r>
      <w:r>
        <w:rPr>
          <w:rFonts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t xml:space="preserve">。</w:t>
      </w:r>
      <w:r>
        <w:rPr>
          <w:rFonts w:hint="eastAsia" w:ascii="Adobe 仿宋 Std R" w:hAnsi="Adobe 仿宋 Std R"/>
          <w:color w:val="000000"/>
          <w:sz w:val="24"/>
          <w:szCs w:val="21"/>
          <w:highlight w:val="none"/>
        </w:rPr>
      </w:r>
      <w:r/>
    </w:p>
    <w:p>
      <w:pPr>
        <w:pStyle w:val="853"/>
        <w:ind w:firstLine="645"/>
        <w:spacing w:line="560" w:lineRule="exact"/>
        <w:rPr>
          <w:rFonts w:hint="eastAsia" w:ascii="Adobe 仿宋 Std R" w:hAnsi="Adobe 仿宋 Std R"/>
          <w:color w:val="000000"/>
          <w:sz w:val="24"/>
          <w:szCs w:val="21"/>
          <w:highlight w:val="none"/>
        </w:rPr>
      </w:pPr>
      <w:r>
        <w:rPr>
          <w:rFonts w:hint="eastAsia" w:ascii="Adobe 仿宋 Std R" w:hAnsi="Adobe 仿宋 Std R"/>
          <w:color w:val="000000"/>
          <w:sz w:val="24"/>
          <w:szCs w:val="21"/>
          <w:highlight w:val="none"/>
        </w:rPr>
      </w:r>
      <w:r/>
    </w:p>
    <w:p>
      <w:pPr>
        <w:pStyle w:val="853"/>
        <w:ind w:firstLine="645"/>
        <w:spacing w:line="560" w:lineRule="exact"/>
        <w:rPr>
          <w:rFonts w:ascii="Adobe 仿宋 Std R" w:hAnsi="Adobe 仿宋 Std R"/>
          <w:color w:val="000000"/>
          <w:sz w:val="24"/>
          <w:szCs w:val="21"/>
          <w:highlight w:val="none"/>
        </w:rPr>
      </w:pPr>
      <w:r>
        <w:rPr>
          <w:rFonts w:hint="eastAsia" w:ascii="Adobe 仿宋 Std R" w:hAnsi="Adobe 仿宋 Std R"/>
          <w:color w:val="000000"/>
          <w:sz w:val="24"/>
          <w:szCs w:val="21"/>
          <w:highlight w:val="none"/>
        </w:rPr>
        <w:t xml:space="preserve">备注：本招标文件中要求加盖CA电子签章的地方，仅需加盖牵头单位的CA电子签章。</w:t>
      </w:r>
      <w:r>
        <w:rPr>
          <w:rFonts w:ascii="Adobe 仿宋 Std R" w:hAnsi="Adobe 仿宋 Std R"/>
          <w:color w:val="000000"/>
          <w:sz w:val="24"/>
          <w:szCs w:val="21"/>
          <w:highlight w:val="none"/>
        </w:rPr>
      </w:r>
      <w:r/>
    </w:p>
    <w:p>
      <w:pPr>
        <w:pStyle w:val="853"/>
        <w:ind w:firstLine="645"/>
        <w:spacing w:line="560" w:lineRule="exact"/>
        <w:rPr>
          <w:rFonts w:hint="eastAsia" w:ascii="Adobe 仿宋 Std R" w:hAnsi="Adobe 仿宋 Std R"/>
          <w:color w:val="000000"/>
          <w:sz w:val="24"/>
          <w:szCs w:val="21"/>
          <w:highlight w:val="none"/>
        </w:rPr>
      </w:pPr>
      <w:r>
        <w:rPr>
          <w:rFonts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r>
      <w:r/>
    </w:p>
    <w:p>
      <w:pPr>
        <w:pStyle w:val="853"/>
        <w:ind w:firstLine="645"/>
        <w:jc w:val="right"/>
        <w:spacing w:line="560" w:lineRule="exact"/>
        <w:rPr>
          <w:rFonts w:ascii="Adobe 仿宋 Std R" w:hAnsi="Adobe 仿宋 Std R"/>
          <w:color w:val="000000"/>
          <w:sz w:val="24"/>
          <w:szCs w:val="21"/>
          <w:highlight w:val="none"/>
        </w:rPr>
      </w:pPr>
      <w:r>
        <w:rPr>
          <w:rFonts w:hint="eastAsia" w:ascii="Adobe 仿宋 Std R" w:hAnsi="Adobe 仿宋 Std R"/>
          <w:color w:val="000000"/>
          <w:sz w:val="24"/>
          <w:szCs w:val="21"/>
          <w:highlight w:val="none"/>
        </w:rPr>
        <w:t xml:space="preserve">联合体中各供应商全称（公章）：</w:t>
      </w:r>
      <w:r>
        <w:rPr>
          <w:rFonts w:ascii="Adobe 仿宋 Std R" w:hAnsi="Adobe 仿宋 Std R"/>
          <w:color w:val="000000"/>
          <w:sz w:val="24"/>
          <w:szCs w:val="21"/>
          <w:highlight w:val="none"/>
        </w:rPr>
        <w:t xml:space="preserve">     </w:t>
      </w:r>
      <w:r>
        <w:rPr>
          <w:rFonts w:ascii="Adobe 仿宋 Std R" w:hAnsi="Adobe 仿宋 Std R"/>
          <w:color w:val="000000"/>
          <w:sz w:val="24"/>
          <w:szCs w:val="21"/>
          <w:highlight w:val="none"/>
        </w:rPr>
      </w:r>
      <w:r/>
    </w:p>
    <w:p>
      <w:pPr>
        <w:pStyle w:val="853"/>
        <w:ind w:firstLine="645"/>
        <w:spacing w:line="560" w:lineRule="exact"/>
        <w:rPr>
          <w:rFonts w:ascii="Adobe 仿宋 Std R" w:hAnsi="Adobe 仿宋 Std R"/>
          <w:color w:val="000000"/>
          <w:sz w:val="24"/>
          <w:szCs w:val="21"/>
          <w:highlight w:val="none"/>
        </w:rPr>
      </w:pPr>
      <w:r>
        <w:rPr>
          <w:rFonts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t xml:space="preserve">                     日期：</w:t>
      </w:r>
      <w:r>
        <w:rPr>
          <w:rFonts w:ascii="Adobe 仿宋 Std R" w:hAnsi="Adobe 仿宋 Std R"/>
          <w:color w:val="000000"/>
          <w:sz w:val="24"/>
          <w:szCs w:val="21"/>
          <w:highlight w:val="none"/>
        </w:rPr>
      </w:r>
      <w:r/>
    </w:p>
    <w:p>
      <w:pPr>
        <w:pStyle w:val="853"/>
        <w:ind w:firstLine="2168"/>
        <w:keepLines/>
        <w:keepNext/>
        <w:spacing w:after="240" w:line="360" w:lineRule="auto"/>
        <w:widowControl/>
        <w:rPr>
          <w:b/>
          <w:color w:val="000000"/>
          <w:spacing w:val="20"/>
          <w:sz w:val="32"/>
          <w:szCs w:val="32"/>
          <w:highlight w:val="none"/>
        </w:rPr>
        <w:outlineLvl w:val="0"/>
      </w:pPr>
      <w:r/>
      <w:bookmarkEnd w:id="303"/>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十三、投标函</w:t>
      </w:r>
      <w:r>
        <w:rPr>
          <w:b/>
          <w:color w:val="000000"/>
          <w:spacing w:val="20"/>
          <w:sz w:val="32"/>
          <w:szCs w:val="32"/>
          <w:highlight w:val="none"/>
        </w:rPr>
        <w:t xml:space="preserve">（实质性格式）</w:t>
      </w:r>
      <w:r>
        <w:rPr>
          <w:b/>
          <w:color w:val="000000"/>
          <w:spacing w:val="20"/>
          <w:sz w:val="32"/>
          <w:szCs w:val="32"/>
          <w:highlight w:val="none"/>
        </w:rPr>
      </w:r>
      <w:r/>
    </w:p>
    <w:p>
      <w:pPr>
        <w:pStyle w:val="853"/>
        <w:jc w:val="left"/>
        <w:spacing w:line="400" w:lineRule="exact"/>
        <w:widowControl/>
        <w:rPr>
          <w:rFonts w:hint="eastAsia" w:ascii="宋体" w:hAnsi="宋体"/>
          <w:color w:val="000000"/>
          <w:sz w:val="24"/>
          <w:highlight w:val="none"/>
        </w:rPr>
      </w:pPr>
      <w:r/>
      <w:bookmarkStart w:id="304" w:name="_Hlk149916598"/>
      <w:r>
        <w:rPr>
          <w:rFonts w:hint="eastAsia" w:ascii="宋体" w:hAnsi="宋体"/>
          <w:color w:val="000000"/>
          <w:sz w:val="24"/>
          <w:highlight w:val="none"/>
        </w:rPr>
        <w:t xml:space="preserve">致：常州环宇工程项目管理有限公司：</w:t>
      </w:r>
      <w:r>
        <w:rPr>
          <w:rFonts w:hint="eastAsia" w:ascii="宋体" w:hAnsi="宋体"/>
          <w:color w:val="000000"/>
          <w:sz w:val="24"/>
          <w:highlight w:val="none"/>
        </w:rPr>
      </w:r>
      <w:r/>
    </w:p>
    <w:p>
      <w:pPr>
        <w:pStyle w:val="853"/>
        <w:ind w:firstLine="480"/>
        <w:jc w:val="left"/>
        <w:spacing w:line="420" w:lineRule="exact"/>
        <w:rPr>
          <w:rFonts w:hint="eastAsia" w:ascii="宋体" w:hAnsi="宋体"/>
          <w:color w:val="000000"/>
          <w:sz w:val="24"/>
          <w:szCs w:val="21"/>
          <w:highlight w:val="none"/>
        </w:rPr>
      </w:pPr>
      <w:r/>
      <w:bookmarkStart w:id="305" w:name="_Hlk156651493"/>
      <w:r>
        <w:rPr>
          <w:rFonts w:hint="eastAsia" w:ascii="宋体" w:hAnsi="宋体"/>
          <w:color w:val="000000"/>
          <w:sz w:val="24"/>
          <w:szCs w:val="21"/>
          <w:highlight w:val="none"/>
        </w:rPr>
        <w:t xml:space="preserve">根据贵方的</w:t>
      </w:r>
      <w:r>
        <w:rPr>
          <w:rFonts w:ascii="宋体" w:hAnsi="宋体"/>
          <w:color w:val="000000"/>
          <w:sz w:val="24"/>
          <w:szCs w:val="21"/>
          <w:highlight w:val="none"/>
          <w:u w:val="single"/>
        </w:rPr>
        <w:t xml:space="preserve"> </w:t>
      </w:r>
      <w:r>
        <w:rPr>
          <w:rFonts w:hint="eastAsia" w:ascii="宋体" w:hAnsi="宋体"/>
          <w:b/>
          <w:color w:val="000000"/>
          <w:sz w:val="36"/>
          <w:highlight w:val="none"/>
          <w:u w:val="single"/>
        </w:rPr>
        <w:t xml:space="preserve"> </w:t>
      </w:r>
      <w:r>
        <w:rPr>
          <w:rFonts w:ascii="宋体" w:hAnsi="宋体"/>
          <w:b/>
          <w:color w:val="000000"/>
          <w:sz w:val="36"/>
          <w:highlight w:val="none"/>
          <w:u w:val="single"/>
        </w:rPr>
        <w:t xml:space="preserve">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号招标文件，正式授权下述签字人______(姓名)代表我方______________（供应商的名称），全权处理本次项目投标的有关事宜。</w:t>
      </w:r>
      <w:r>
        <w:rPr>
          <w:rFonts w:hint="eastAsia" w:ascii="宋体" w:hAnsi="宋体"/>
          <w:color w:val="000000"/>
          <w:sz w:val="24"/>
          <w:szCs w:val="21"/>
          <w:highlight w:val="none"/>
        </w:rPr>
      </w:r>
      <w:r/>
    </w:p>
    <w:p>
      <w:pPr>
        <w:pStyle w:val="853"/>
        <w:ind w:firstLine="480"/>
        <w:jc w:val="left"/>
        <w:spacing w:line="420" w:lineRule="exact"/>
        <w:rPr>
          <w:rFonts w:hint="eastAsia" w:ascii="宋体" w:hAnsi="宋体"/>
          <w:color w:val="000000"/>
          <w:sz w:val="24"/>
          <w:szCs w:val="21"/>
          <w:highlight w:val="none"/>
        </w:rPr>
      </w:pPr>
      <w:r/>
      <w:bookmarkEnd w:id="305"/>
      <w:r>
        <w:rPr>
          <w:rFonts w:hint="eastAsia" w:ascii="宋体" w:hAnsi="宋体"/>
          <w:color w:val="000000"/>
          <w:sz w:val="24"/>
          <w:szCs w:val="21"/>
          <w:highlight w:val="none"/>
        </w:rPr>
        <w:t xml:space="preserve">据此函，我公司兹宣布同意如下：</w:t>
      </w:r>
      <w:r>
        <w:rPr>
          <w:rFonts w:hint="eastAsia" w:ascii="宋体" w:hAnsi="宋体"/>
          <w:color w:val="000000"/>
          <w:sz w:val="24"/>
          <w:szCs w:val="21"/>
          <w:highlight w:val="none"/>
        </w:rPr>
      </w:r>
      <w:r/>
    </w:p>
    <w:p>
      <w:pPr>
        <w:pStyle w:val="8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1.按招标文件规定的各项要求，向买方提供所需货物、服务（包含与货物相关的服务及与服务相关的货物）。</w:t>
      </w:r>
      <w:r>
        <w:rPr>
          <w:rFonts w:hint="eastAsia" w:ascii="宋体" w:hAnsi="宋体"/>
          <w:color w:val="000000"/>
          <w:sz w:val="24"/>
          <w:szCs w:val="21"/>
          <w:highlight w:val="none"/>
        </w:rPr>
      </w:r>
      <w:r/>
    </w:p>
    <w:p>
      <w:pPr>
        <w:pStyle w:val="8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8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5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4.我们同意从规定的开标日期起遵循本响应文件，并在规定的投标有效期期满之前均具有约束力。</w:t>
      </w:r>
      <w:r>
        <w:rPr>
          <w:rFonts w:hint="eastAsia" w:ascii="宋体" w:hAnsi="宋体"/>
          <w:color w:val="000000"/>
          <w:sz w:val="24"/>
          <w:szCs w:val="21"/>
          <w:highlight w:val="none"/>
        </w:rPr>
      </w:r>
      <w:r/>
    </w:p>
    <w:p>
      <w:pPr>
        <w:pStyle w:val="85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5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5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.我方与本投标有关的正式通讯地址为：</w:t>
      </w:r>
      <w:r>
        <w:rPr>
          <w:rFonts w:hint="eastAsia" w:ascii="宋体" w:hAnsi="宋体"/>
          <w:color w:val="000000"/>
          <w:sz w:val="24"/>
          <w:szCs w:val="21"/>
          <w:highlight w:val="none"/>
        </w:rPr>
      </w:r>
      <w:r/>
    </w:p>
    <w:p>
      <w:pPr>
        <w:pStyle w:val="853"/>
        <w:ind w:left="420" w:firstLine="480"/>
        <w:jc w:val="left"/>
        <w:spacing w:line="420" w:lineRule="exact"/>
        <w:rPr>
          <w:rFonts w:hint="eastAsia" w:ascii="宋体" w:hAnsi="宋体"/>
          <w:color w:val="000000"/>
          <w:sz w:val="24"/>
          <w:szCs w:val="21"/>
          <w:highlight w:val="none"/>
        </w:rPr>
      </w:pPr>
      <w:r/>
      <w:bookmarkStart w:id="306" w:name="_Hlk149920288"/>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85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53"/>
        <w:ind w:left="420" w:firstLine="420"/>
        <w:jc w:val="left"/>
        <w:spacing w:line="420" w:lineRule="exact"/>
        <w:rPr>
          <w:rFonts w:hint="eastAsia" w:ascii="宋体" w:hAnsi="宋体"/>
          <w:bCs/>
          <w:color w:val="000000"/>
          <w:highlight w:val="none"/>
        </w:rPr>
      </w:pPr>
      <w:r>
        <w:rPr>
          <w:rFonts w:hint="eastAsia" w:ascii="宋体" w:hAnsi="宋体"/>
          <w:bCs/>
          <w:color w:val="000000"/>
          <w:highlight w:val="none"/>
        </w:rPr>
      </w:r>
      <w:r/>
    </w:p>
    <w:p>
      <w:pPr>
        <w:pStyle w:val="853"/>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hint="eastAsia" w:ascii="宋体" w:hAnsi="宋体"/>
          <w:color w:val="000000"/>
          <w:sz w:val="24"/>
          <w:szCs w:val="21"/>
          <w:highlight w:val="none"/>
        </w:rPr>
      </w:r>
      <w:r/>
    </w:p>
    <w:p>
      <w:pPr>
        <w:pStyle w:val="853"/>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53"/>
        <w:rPr>
          <w:rFonts w:hint="eastAsia" w:ascii="宋体" w:hAnsi="宋体" w:cs="宋体"/>
          <w:b/>
          <w:color w:val="000000"/>
          <w:sz w:val="28"/>
          <w:szCs w:val="28"/>
          <w:highlight w:val="none"/>
        </w:rPr>
      </w:pPr>
      <w:r/>
      <w:bookmarkEnd w:id="304"/>
      <w:r>
        <w:rPr>
          <w:rFonts w:hint="eastAsia" w:ascii="宋体" w:hAnsi="宋体" w:cs="宋体"/>
          <w:b/>
          <w:color w:val="000000"/>
          <w:sz w:val="28"/>
          <w:szCs w:val="28"/>
          <w:highlight w:val="none"/>
        </w:rPr>
      </w:r>
      <w:r/>
    </w:p>
    <w:p>
      <w:pPr>
        <w:pStyle w:val="853"/>
        <w:rPr>
          <w:rFonts w:hint="eastAsia" w:ascii="宋体" w:hAnsi="宋体" w:cs="宋体"/>
          <w:b/>
          <w:color w:val="000000"/>
          <w:sz w:val="28"/>
          <w:szCs w:val="28"/>
          <w:highlight w:val="none"/>
        </w:rPr>
      </w:pPr>
      <w:r/>
      <w:bookmarkEnd w:id="306"/>
      <w:r>
        <w:rPr>
          <w:rFonts w:hint="eastAsia" w:ascii="宋体" w:hAnsi="宋体" w:cs="宋体"/>
          <w:b/>
          <w:color w:val="000000"/>
          <w:sz w:val="28"/>
          <w:szCs w:val="28"/>
          <w:highlight w:val="none"/>
        </w:rPr>
      </w:r>
      <w:r/>
    </w:p>
    <w:p>
      <w:pPr>
        <w:pStyle w:val="85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3"/>
        <w:jc w:val="center"/>
        <w:rPr>
          <w:b/>
          <w:color w:val="000000"/>
          <w:spacing w:val="20"/>
          <w:sz w:val="32"/>
          <w:szCs w:val="32"/>
          <w:highlight w:val="none"/>
        </w:rPr>
      </w:pPr>
      <w:r/>
      <w:bookmarkStart w:id="307" w:name="_Hlk154065357"/>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十四、技术偏离表</w:t>
      </w:r>
      <w:r>
        <w:rPr>
          <w:b/>
          <w:color w:val="000000"/>
          <w:spacing w:val="20"/>
          <w:sz w:val="32"/>
          <w:szCs w:val="32"/>
          <w:highlight w:val="none"/>
        </w:rPr>
        <w:t xml:space="preserve">（实质性格式）</w:t>
      </w:r>
      <w:r>
        <w:rPr>
          <w:b/>
          <w:color w:val="000000"/>
          <w:spacing w:val="20"/>
          <w:sz w:val="32"/>
          <w:szCs w:val="32"/>
          <w:highlight w:val="none"/>
        </w:rPr>
      </w:r>
      <w:r/>
    </w:p>
    <w:p>
      <w:pPr>
        <w:pStyle w:val="853"/>
        <w:jc w:val="center"/>
        <w:rPr>
          <w:color w:val="000000"/>
          <w:sz w:val="36"/>
          <w:szCs w:val="36"/>
          <w:highlight w:val="none"/>
        </w:rPr>
      </w:pPr>
      <w:r>
        <w:rPr>
          <w:color w:val="000000"/>
          <w:sz w:val="36"/>
          <w:szCs w:val="36"/>
          <w:highlight w:val="none"/>
        </w:rPr>
      </w:r>
      <w:r/>
    </w:p>
    <w:p>
      <w:pPr>
        <w:pStyle w:val="85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3"/>
              <w:rPr>
                <w:b/>
                <w:bCs/>
                <w:color w:val="000000"/>
                <w:sz w:val="24"/>
                <w:highlight w:val="none"/>
              </w:rPr>
            </w:pPr>
            <w:r>
              <w:rPr>
                <w:rFonts w:hint="eastAsia"/>
                <w:b/>
                <w:bCs/>
                <w:color w:val="000000"/>
                <w:sz w:val="24"/>
                <w:highlight w:val="none"/>
              </w:rPr>
              <w:t xml:space="preserve">对本项目采购文件要求的偏离情况</w:t>
            </w:r>
            <w:r>
              <w:rPr>
                <w:b/>
                <w:bCs/>
                <w:color w:val="000000"/>
                <w:sz w:val="24"/>
                <w:highlight w:val="none"/>
              </w:rPr>
              <w:t xml:space="preserve">(</w:t>
            </w:r>
            <w:r>
              <w:rPr>
                <w:rFonts w:hint="eastAsia"/>
                <w:b/>
                <w:bCs/>
                <w:color w:val="000000"/>
                <w:sz w:val="24"/>
                <w:highlight w:val="none"/>
              </w:rPr>
              <w:t xml:space="preserve">请进行勾选</w:t>
            </w:r>
            <w:r>
              <w:rPr>
                <w:b/>
                <w:bCs/>
                <w:color w:val="000000"/>
                <w:sz w:val="24"/>
                <w:highlight w:val="none"/>
              </w:rPr>
              <w:t xml:space="preserve">)</w:t>
            </w:r>
            <w:r>
              <w:rPr>
                <w:rFonts w:hint="eastAsia"/>
                <w:b/>
                <w:bCs/>
                <w:color w:val="000000"/>
                <w:sz w:val="24"/>
                <w:highlight w:val="none"/>
              </w:rPr>
              <w:t xml:space="preserve">：</w:t>
            </w:r>
            <w:r>
              <w:rPr>
                <w:b/>
                <w:bCs/>
                <w:color w:val="000000"/>
                <w:sz w:val="24"/>
                <w:highlight w:val="none"/>
              </w:rPr>
            </w:r>
            <w:r/>
          </w:p>
          <w:p>
            <w:pPr>
              <w:pStyle w:val="853"/>
              <w:rPr>
                <w:color w:val="000000"/>
                <w:sz w:val="24"/>
                <w:highlight w:val="none"/>
              </w:rPr>
            </w:pPr>
            <w:r>
              <w:rPr>
                <w:rFonts w:hint="eastAsia"/>
                <w:color w:val="000000"/>
                <w:sz w:val="24"/>
                <w:highlight w:val="none"/>
              </w:rPr>
              <w:t xml:space="preserve">□无偏离（如无偏离，仅勾选无偏离即可）</w:t>
            </w:r>
            <w:r>
              <w:rPr>
                <w:color w:val="000000"/>
                <w:sz w:val="24"/>
                <w:highlight w:val="none"/>
              </w:rPr>
            </w:r>
            <w:r/>
          </w:p>
          <w:p>
            <w:pPr>
              <w:pStyle w:val="853"/>
              <w:rPr>
                <w:color w:val="000000"/>
                <w:sz w:val="24"/>
                <w:highlight w:val="none"/>
              </w:rPr>
            </w:pPr>
            <w:r>
              <w:rPr>
                <w:rFonts w:hint="eastAsia"/>
                <w:color w:val="000000"/>
                <w:sz w:val="24"/>
                <w:highlight w:val="none"/>
              </w:rPr>
              <w:t xml:space="preserve">□有偏离（如有偏离，则应在本表中对</w:t>
            </w:r>
            <w:r>
              <w:rPr>
                <w:rFonts w:hint="eastAsia"/>
                <w:b/>
                <w:bCs/>
                <w:color w:val="000000"/>
                <w:sz w:val="24"/>
                <w:highlight w:val="none"/>
              </w:rPr>
              <w:t xml:space="preserve">偏离项</w:t>
            </w:r>
            <w:r>
              <w:rPr>
                <w:rFonts w:hint="eastAsia"/>
                <w:color w:val="000000"/>
                <w:sz w:val="24"/>
                <w:highlight w:val="none"/>
              </w:rPr>
              <w:t xml:space="preserve">逐一罗列）</w:t>
            </w:r>
            <w:r>
              <w:rPr>
                <w:color w:val="000000"/>
                <w:sz w:val="24"/>
                <w:highlight w:val="none"/>
              </w:rPr>
            </w:r>
            <w:r/>
          </w:p>
        </w:tc>
      </w:tr>
      <w:tr>
        <w:trPr>
          <w:trHeight w:val="1053"/>
        </w:trPr>
        <w:tc>
          <w:tcPr>
            <w:tcW w:w="775" w:type="dxa"/>
            <w:vAlign w:val="center"/>
            <w:textDirection w:val="lrTb"/>
            <w:noWrap w:val="false"/>
          </w:tcPr>
          <w:p>
            <w:pPr>
              <w:pStyle w:val="85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文件条目号(页码)</w:t>
            </w: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文件要求</w:t>
            </w: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t xml:space="preserve">偏离情况</w:t>
            </w:r>
            <w:r>
              <w:rPr>
                <w:color w:val="000000"/>
                <w:sz w:val="24"/>
                <w:highlight w:val="none"/>
              </w:rPr>
            </w:r>
            <w:r/>
          </w:p>
          <w:p>
            <w:pPr>
              <w:pStyle w:val="853"/>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bl>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注：</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1.对招标文件中的所有技术参数要求，除本表所列明的所有偏离外，均视作投标人已对之理解和响应。</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2.“偏离情况”列应据实填写“正偏离”或“负偏离”。</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3.若以联合体投标，由联合体牵头人盖章。</w:t>
      </w:r>
      <w:r>
        <w:rPr>
          <w:rFonts w:hint="eastAsia"/>
          <w:color w:val="000000"/>
          <w:sz w:val="24"/>
          <w:highlight w:val="none"/>
        </w:rPr>
      </w:r>
      <w:r/>
    </w:p>
    <w:p>
      <w:pPr>
        <w:pStyle w:val="1124"/>
        <w:rPr>
          <w:color w:val="000000"/>
          <w:highlight w:val="none"/>
        </w:rPr>
      </w:pPr>
      <w:r>
        <w:rPr>
          <w:color w:val="000000"/>
          <w:highlight w:val="none"/>
        </w:rPr>
      </w:r>
      <w:r/>
    </w:p>
    <w:p>
      <w:pPr>
        <w:pStyle w:val="85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53"/>
        <w:ind w:firstLine="4920"/>
        <w:spacing w:line="360" w:lineRule="auto"/>
        <w:rPr>
          <w:rFonts w:ascii="宋体" w:hAnsi="宋体" w:cs="黑体"/>
          <w:bCs/>
          <w:color w:val="000000"/>
          <w:sz w:val="24"/>
          <w:highlight w:val="none"/>
          <w:lang w:bidi="ar"/>
        </w:rPr>
      </w:pPr>
      <w:r>
        <w:rPr>
          <w:rFonts w:hint="eastAsia" w:ascii="宋体" w:hAnsi="宋体" w:cs="黑体"/>
          <w:bCs/>
          <w:color w:val="000000"/>
          <w:sz w:val="24"/>
          <w:highlight w:val="none"/>
          <w:lang w:bidi="ar"/>
        </w:rPr>
        <w:t xml:space="preserve">供应商名称：（加盖CA电子公章）  </w:t>
      </w:r>
      <w:r>
        <w:rPr>
          <w:rFonts w:ascii="宋体" w:hAnsi="宋体" w:cs="黑体"/>
          <w:bCs/>
          <w:color w:val="000000"/>
          <w:sz w:val="24"/>
          <w:highlight w:val="none"/>
          <w:lang w:bidi="ar"/>
        </w:rPr>
      </w:r>
      <w:r/>
    </w:p>
    <w:p>
      <w:pPr>
        <w:pStyle w:val="853"/>
        <w:ind w:firstLine="4800"/>
        <w:spacing w:line="360" w:lineRule="auto"/>
        <w:rPr>
          <w:rFonts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rPr>
          <w:rFonts w:ascii="宋体" w:hAnsi="宋体" w:cs="黑体"/>
          <w:bCs/>
          <w:color w:val="000000"/>
          <w:sz w:val="24"/>
          <w:highlight w:val="none"/>
          <w:lang w:bidi="ar"/>
        </w:rPr>
      </w:r>
      <w:r/>
    </w:p>
    <w:p>
      <w:pPr>
        <w:pStyle w:val="85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3"/>
        <w:jc w:val="center"/>
        <w:spacing w:line="400" w:lineRule="exact"/>
        <w:rPr>
          <w:b/>
          <w:bCs/>
          <w:color w:val="000000"/>
          <w:sz w:val="32"/>
          <w:szCs w:val="32"/>
          <w:highlight w:val="none"/>
        </w:rPr>
        <w:outlineLvl w:val="1"/>
      </w:pPr>
      <w:r>
        <w:rPr>
          <w:rFonts w:hint="eastAsia"/>
          <w:b/>
          <w:color w:val="000000"/>
          <w:spacing w:val="20"/>
          <w:sz w:val="32"/>
          <w:szCs w:val="32"/>
          <w:highlight w:val="none"/>
        </w:rPr>
        <w:br w:type="page" w:clear="all"/>
      </w:r>
      <w:r>
        <w:rPr>
          <w:rFonts w:hint="eastAsia"/>
          <w:b/>
          <w:bCs/>
          <w:color w:val="000000"/>
          <w:sz w:val="32"/>
          <w:szCs w:val="32"/>
          <w:highlight w:val="none"/>
        </w:rPr>
        <w:t xml:space="preserve">十五、合同条款偏离表</w:t>
      </w:r>
      <w:r>
        <w:rPr>
          <w:b/>
          <w:bCs/>
          <w:color w:val="000000"/>
          <w:sz w:val="32"/>
          <w:szCs w:val="32"/>
          <w:highlight w:val="none"/>
        </w:rPr>
        <w:t xml:space="preserve">（实质性格式）</w:t>
      </w:r>
      <w:r>
        <w:rPr>
          <w:b/>
          <w:bCs/>
          <w:color w:val="000000"/>
          <w:sz w:val="32"/>
          <w:szCs w:val="32"/>
          <w:highlight w:val="none"/>
        </w:rPr>
      </w:r>
      <w:r/>
    </w:p>
    <w:p>
      <w:pPr>
        <w:pStyle w:val="853"/>
        <w:spacing w:line="360" w:lineRule="auto"/>
        <w:rPr>
          <w:color w:val="000000"/>
          <w:sz w:val="24"/>
          <w:szCs w:val="20"/>
          <w:highlight w:val="none"/>
        </w:rPr>
      </w:pPr>
      <w:r>
        <w:rPr>
          <w:color w:val="000000"/>
          <w:sz w:val="24"/>
          <w:szCs w:val="20"/>
          <w:highlight w:val="none"/>
        </w:rPr>
      </w:r>
      <w:r/>
    </w:p>
    <w:p>
      <w:pPr>
        <w:pStyle w:val="853"/>
        <w:ind w:firstLine="36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项目编号：</w:t>
      </w:r>
      <w:r>
        <w:rPr>
          <w:color w:val="000000"/>
          <w:sz w:val="24"/>
          <w:highlight w:val="none"/>
        </w:rPr>
        <w:t xml:space="preserve">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2"/>
      </w:tblGrid>
      <w:tr>
        <w:trPr>
          <w:trHeight w:val="930"/>
        </w:trPr>
        <w:tc>
          <w:tcPr>
            <w:gridSpan w:val="6"/>
            <w:tcW w:w="9287" w:type="dxa"/>
            <w:vAlign w:val="center"/>
            <w:textDirection w:val="lrTb"/>
            <w:noWrap w:val="false"/>
          </w:tcPr>
          <w:p>
            <w:pPr>
              <w:pStyle w:val="853"/>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85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5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85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53"/>
              <w:jc w:val="center"/>
              <w:rPr>
                <w:color w:val="000000"/>
                <w:sz w:val="24"/>
                <w:highlight w:val="none"/>
              </w:rPr>
            </w:pPr>
            <w:r>
              <w:rPr>
                <w:rFonts w:hint="eastAsia"/>
                <w:color w:val="000000"/>
                <w:sz w:val="24"/>
                <w:szCs w:val="21"/>
                <w:highlight w:val="none"/>
              </w:rPr>
              <w:t xml:space="preserve">采购</w:t>
            </w:r>
            <w:r>
              <w:rPr>
                <w:color w:val="000000"/>
                <w:sz w:val="24"/>
                <w:szCs w:val="21"/>
                <w:highlight w:val="none"/>
              </w:rPr>
              <w:t xml:space="preserve">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53"/>
              <w:jc w:val="center"/>
              <w:rPr>
                <w:color w:val="000000"/>
                <w:sz w:val="24"/>
                <w:highlight w:val="none"/>
              </w:rPr>
            </w:pPr>
            <w:r>
              <w:rPr>
                <w:rFonts w:hint="eastAsia"/>
                <w:color w:val="000000"/>
                <w:sz w:val="24"/>
                <w:szCs w:val="21"/>
                <w:highlight w:val="none"/>
              </w:rPr>
              <w:t xml:space="preserve">采购</w:t>
            </w:r>
            <w:r>
              <w:rPr>
                <w:color w:val="000000"/>
                <w:sz w:val="24"/>
                <w:szCs w:val="21"/>
                <w:highlight w:val="none"/>
              </w:rPr>
              <w:t xml:space="preserve">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53"/>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853"/>
              <w:jc w:val="center"/>
              <w:rPr>
                <w:color w:val="000000"/>
                <w:sz w:val="24"/>
                <w:highlight w:val="none"/>
              </w:rPr>
            </w:pPr>
            <w:r>
              <w:rPr>
                <w:color w:val="000000"/>
                <w:sz w:val="24"/>
                <w:highlight w:val="none"/>
              </w:rPr>
              <w:t xml:space="preserve">偏离情况</w:t>
            </w:r>
            <w:r>
              <w:rPr>
                <w:color w:val="000000"/>
                <w:sz w:val="24"/>
                <w:highlight w:val="none"/>
              </w:rPr>
            </w:r>
            <w:r/>
          </w:p>
          <w:p>
            <w:pPr>
              <w:pStyle w:val="85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85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53"/>
              <w:jc w:val="center"/>
              <w:rPr>
                <w:color w:val="000000"/>
                <w:sz w:val="24"/>
                <w:highlight w:val="none"/>
              </w:rPr>
            </w:pPr>
            <w:r>
              <w:rPr>
                <w:color w:val="000000"/>
                <w:sz w:val="24"/>
                <w:highlight w:val="none"/>
              </w:rPr>
            </w:r>
            <w:r/>
          </w:p>
        </w:tc>
        <w:tc>
          <w:tcPr>
            <w:tcW w:w="1301" w:type="dxa"/>
            <w:vAlign w:val="center"/>
            <w:textDirection w:val="lrTb"/>
            <w:noWrap w:val="false"/>
          </w:tcPr>
          <w:p>
            <w:pPr>
              <w:pStyle w:val="853"/>
              <w:jc w:val="center"/>
              <w:rPr>
                <w:color w:val="000000"/>
                <w:sz w:val="24"/>
                <w:highlight w:val="none"/>
              </w:rPr>
            </w:pPr>
            <w:r>
              <w:rPr>
                <w:color w:val="000000"/>
                <w:sz w:val="24"/>
                <w:highlight w:val="none"/>
              </w:rPr>
            </w:r>
            <w:r/>
          </w:p>
        </w:tc>
        <w:tc>
          <w:tcPr>
            <w:tcW w:w="2007" w:type="dxa"/>
            <w:vAlign w:val="center"/>
            <w:textDirection w:val="lrTb"/>
            <w:noWrap w:val="false"/>
          </w:tcPr>
          <w:p>
            <w:pPr>
              <w:pStyle w:val="853"/>
              <w:jc w:val="center"/>
              <w:rPr>
                <w:color w:val="000000"/>
                <w:sz w:val="24"/>
                <w:highlight w:val="none"/>
              </w:rPr>
            </w:pPr>
            <w:r>
              <w:rPr>
                <w:color w:val="000000"/>
                <w:sz w:val="24"/>
                <w:highlight w:val="none"/>
              </w:rPr>
            </w:r>
            <w:r/>
          </w:p>
        </w:tc>
        <w:tc>
          <w:tcPr>
            <w:tcW w:w="2008" w:type="dxa"/>
            <w:vAlign w:val="center"/>
            <w:textDirection w:val="lrTb"/>
            <w:noWrap w:val="false"/>
          </w:tcPr>
          <w:p>
            <w:pPr>
              <w:pStyle w:val="853"/>
              <w:jc w:val="center"/>
              <w:rPr>
                <w:color w:val="000000"/>
                <w:sz w:val="24"/>
                <w:highlight w:val="none"/>
              </w:rPr>
            </w:pPr>
            <w:r>
              <w:rPr>
                <w:color w:val="000000"/>
                <w:sz w:val="24"/>
                <w:highlight w:val="none"/>
              </w:rPr>
            </w:r>
            <w:r/>
          </w:p>
        </w:tc>
        <w:tc>
          <w:tcPr>
            <w:tcW w:w="2458" w:type="dxa"/>
            <w:vAlign w:val="center"/>
            <w:textDirection w:val="lrTb"/>
            <w:noWrap w:val="false"/>
          </w:tcPr>
          <w:p>
            <w:pPr>
              <w:pStyle w:val="853"/>
              <w:jc w:val="center"/>
              <w:rPr>
                <w:color w:val="000000"/>
                <w:sz w:val="24"/>
                <w:highlight w:val="none"/>
              </w:rPr>
            </w:pPr>
            <w:r>
              <w:rPr>
                <w:color w:val="000000"/>
                <w:sz w:val="24"/>
                <w:highlight w:val="none"/>
              </w:rPr>
            </w:r>
            <w:r/>
          </w:p>
        </w:tc>
        <w:tc>
          <w:tcPr>
            <w:tcW w:w="788"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53"/>
              <w:jc w:val="center"/>
              <w:rPr>
                <w:color w:val="000000"/>
                <w:sz w:val="24"/>
                <w:highlight w:val="none"/>
              </w:rPr>
            </w:pPr>
            <w:r>
              <w:rPr>
                <w:color w:val="000000"/>
                <w:sz w:val="24"/>
                <w:highlight w:val="none"/>
              </w:rPr>
            </w:r>
            <w:r/>
          </w:p>
        </w:tc>
        <w:tc>
          <w:tcPr>
            <w:tcW w:w="1301" w:type="dxa"/>
            <w:vAlign w:val="center"/>
            <w:textDirection w:val="lrTb"/>
            <w:noWrap w:val="false"/>
          </w:tcPr>
          <w:p>
            <w:pPr>
              <w:pStyle w:val="853"/>
              <w:jc w:val="center"/>
              <w:rPr>
                <w:color w:val="000000"/>
                <w:sz w:val="24"/>
                <w:highlight w:val="none"/>
              </w:rPr>
            </w:pPr>
            <w:r>
              <w:rPr>
                <w:color w:val="000000"/>
                <w:sz w:val="24"/>
                <w:highlight w:val="none"/>
              </w:rPr>
            </w:r>
            <w:r/>
          </w:p>
        </w:tc>
        <w:tc>
          <w:tcPr>
            <w:tcW w:w="2007" w:type="dxa"/>
            <w:vAlign w:val="center"/>
            <w:textDirection w:val="lrTb"/>
            <w:noWrap w:val="false"/>
          </w:tcPr>
          <w:p>
            <w:pPr>
              <w:pStyle w:val="853"/>
              <w:jc w:val="center"/>
              <w:rPr>
                <w:color w:val="000000"/>
                <w:sz w:val="24"/>
                <w:highlight w:val="none"/>
              </w:rPr>
            </w:pPr>
            <w:r>
              <w:rPr>
                <w:color w:val="000000"/>
                <w:sz w:val="24"/>
                <w:highlight w:val="none"/>
              </w:rPr>
            </w:r>
            <w:r/>
          </w:p>
        </w:tc>
        <w:tc>
          <w:tcPr>
            <w:tcW w:w="2008" w:type="dxa"/>
            <w:vAlign w:val="center"/>
            <w:textDirection w:val="lrTb"/>
            <w:noWrap w:val="false"/>
          </w:tcPr>
          <w:p>
            <w:pPr>
              <w:pStyle w:val="853"/>
              <w:jc w:val="center"/>
              <w:rPr>
                <w:color w:val="000000"/>
                <w:sz w:val="24"/>
                <w:highlight w:val="none"/>
              </w:rPr>
            </w:pPr>
            <w:r>
              <w:rPr>
                <w:color w:val="000000"/>
                <w:sz w:val="24"/>
                <w:highlight w:val="none"/>
              </w:rPr>
            </w:r>
            <w:r/>
          </w:p>
        </w:tc>
        <w:tc>
          <w:tcPr>
            <w:tcW w:w="2458" w:type="dxa"/>
            <w:vAlign w:val="center"/>
            <w:textDirection w:val="lrTb"/>
            <w:noWrap w:val="false"/>
          </w:tcPr>
          <w:p>
            <w:pPr>
              <w:pStyle w:val="853"/>
              <w:jc w:val="center"/>
              <w:rPr>
                <w:color w:val="000000"/>
                <w:sz w:val="24"/>
                <w:highlight w:val="none"/>
              </w:rPr>
            </w:pPr>
            <w:r>
              <w:rPr>
                <w:color w:val="000000"/>
                <w:sz w:val="24"/>
                <w:highlight w:val="none"/>
              </w:rPr>
            </w:r>
            <w:r/>
          </w:p>
        </w:tc>
        <w:tc>
          <w:tcPr>
            <w:tcW w:w="788"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53"/>
              <w:jc w:val="center"/>
              <w:rPr>
                <w:color w:val="000000"/>
                <w:sz w:val="24"/>
                <w:highlight w:val="none"/>
              </w:rPr>
            </w:pPr>
            <w:r>
              <w:rPr>
                <w:color w:val="000000"/>
                <w:sz w:val="24"/>
                <w:highlight w:val="none"/>
              </w:rPr>
            </w:r>
            <w:r/>
          </w:p>
        </w:tc>
        <w:tc>
          <w:tcPr>
            <w:tcW w:w="1301" w:type="dxa"/>
            <w:vAlign w:val="center"/>
            <w:textDirection w:val="lrTb"/>
            <w:noWrap w:val="false"/>
          </w:tcPr>
          <w:p>
            <w:pPr>
              <w:pStyle w:val="853"/>
              <w:jc w:val="center"/>
              <w:rPr>
                <w:color w:val="000000"/>
                <w:sz w:val="24"/>
                <w:highlight w:val="none"/>
              </w:rPr>
            </w:pPr>
            <w:r>
              <w:rPr>
                <w:color w:val="000000"/>
                <w:sz w:val="24"/>
                <w:highlight w:val="none"/>
              </w:rPr>
            </w:r>
            <w:r/>
          </w:p>
        </w:tc>
        <w:tc>
          <w:tcPr>
            <w:tcW w:w="2007" w:type="dxa"/>
            <w:vAlign w:val="center"/>
            <w:textDirection w:val="lrTb"/>
            <w:noWrap w:val="false"/>
          </w:tcPr>
          <w:p>
            <w:pPr>
              <w:pStyle w:val="853"/>
              <w:jc w:val="center"/>
              <w:rPr>
                <w:color w:val="000000"/>
                <w:sz w:val="24"/>
                <w:highlight w:val="none"/>
              </w:rPr>
            </w:pPr>
            <w:r>
              <w:rPr>
                <w:color w:val="000000"/>
                <w:sz w:val="24"/>
                <w:highlight w:val="none"/>
              </w:rPr>
            </w:r>
            <w:r/>
          </w:p>
        </w:tc>
        <w:tc>
          <w:tcPr>
            <w:tcW w:w="2008" w:type="dxa"/>
            <w:vAlign w:val="center"/>
            <w:textDirection w:val="lrTb"/>
            <w:noWrap w:val="false"/>
          </w:tcPr>
          <w:p>
            <w:pPr>
              <w:pStyle w:val="853"/>
              <w:jc w:val="center"/>
              <w:rPr>
                <w:color w:val="000000"/>
                <w:sz w:val="24"/>
                <w:highlight w:val="none"/>
              </w:rPr>
            </w:pPr>
            <w:r>
              <w:rPr>
                <w:color w:val="000000"/>
                <w:sz w:val="24"/>
                <w:highlight w:val="none"/>
              </w:rPr>
            </w:r>
            <w:r/>
          </w:p>
        </w:tc>
        <w:tc>
          <w:tcPr>
            <w:tcW w:w="2458" w:type="dxa"/>
            <w:vAlign w:val="center"/>
            <w:textDirection w:val="lrTb"/>
            <w:noWrap w:val="false"/>
          </w:tcPr>
          <w:p>
            <w:pPr>
              <w:pStyle w:val="853"/>
              <w:jc w:val="center"/>
              <w:rPr>
                <w:color w:val="000000"/>
                <w:sz w:val="24"/>
                <w:highlight w:val="none"/>
              </w:rPr>
            </w:pPr>
            <w:r>
              <w:rPr>
                <w:color w:val="000000"/>
                <w:sz w:val="24"/>
                <w:highlight w:val="none"/>
              </w:rPr>
            </w:r>
            <w:r/>
          </w:p>
        </w:tc>
        <w:tc>
          <w:tcPr>
            <w:tcW w:w="788"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53"/>
              <w:jc w:val="center"/>
              <w:rPr>
                <w:color w:val="000000"/>
                <w:sz w:val="24"/>
                <w:highlight w:val="none"/>
              </w:rPr>
            </w:pPr>
            <w:r>
              <w:rPr>
                <w:color w:val="000000"/>
                <w:sz w:val="24"/>
                <w:highlight w:val="none"/>
              </w:rPr>
            </w:r>
            <w:r/>
          </w:p>
        </w:tc>
        <w:tc>
          <w:tcPr>
            <w:tcW w:w="1301" w:type="dxa"/>
            <w:vAlign w:val="center"/>
            <w:textDirection w:val="lrTb"/>
            <w:noWrap w:val="false"/>
          </w:tcPr>
          <w:p>
            <w:pPr>
              <w:pStyle w:val="853"/>
              <w:jc w:val="center"/>
              <w:rPr>
                <w:color w:val="000000"/>
                <w:sz w:val="24"/>
                <w:highlight w:val="none"/>
              </w:rPr>
            </w:pPr>
            <w:r>
              <w:rPr>
                <w:color w:val="000000"/>
                <w:sz w:val="24"/>
                <w:highlight w:val="none"/>
              </w:rPr>
            </w:r>
            <w:r/>
          </w:p>
        </w:tc>
        <w:tc>
          <w:tcPr>
            <w:tcW w:w="2007" w:type="dxa"/>
            <w:vAlign w:val="center"/>
            <w:textDirection w:val="lrTb"/>
            <w:noWrap w:val="false"/>
          </w:tcPr>
          <w:p>
            <w:pPr>
              <w:pStyle w:val="853"/>
              <w:jc w:val="center"/>
              <w:rPr>
                <w:color w:val="000000"/>
                <w:sz w:val="24"/>
                <w:highlight w:val="none"/>
              </w:rPr>
            </w:pPr>
            <w:r>
              <w:rPr>
                <w:color w:val="000000"/>
                <w:sz w:val="24"/>
                <w:highlight w:val="none"/>
              </w:rPr>
            </w:r>
            <w:r/>
          </w:p>
        </w:tc>
        <w:tc>
          <w:tcPr>
            <w:tcW w:w="2008" w:type="dxa"/>
            <w:vAlign w:val="center"/>
            <w:textDirection w:val="lrTb"/>
            <w:noWrap w:val="false"/>
          </w:tcPr>
          <w:p>
            <w:pPr>
              <w:pStyle w:val="853"/>
              <w:jc w:val="center"/>
              <w:rPr>
                <w:color w:val="000000"/>
                <w:sz w:val="24"/>
                <w:highlight w:val="none"/>
              </w:rPr>
            </w:pPr>
            <w:r>
              <w:rPr>
                <w:color w:val="000000"/>
                <w:sz w:val="24"/>
                <w:highlight w:val="none"/>
              </w:rPr>
            </w:r>
            <w:r/>
          </w:p>
        </w:tc>
        <w:tc>
          <w:tcPr>
            <w:tcW w:w="2458" w:type="dxa"/>
            <w:vAlign w:val="center"/>
            <w:textDirection w:val="lrTb"/>
            <w:noWrap w:val="false"/>
          </w:tcPr>
          <w:p>
            <w:pPr>
              <w:pStyle w:val="853"/>
              <w:jc w:val="center"/>
              <w:rPr>
                <w:color w:val="000000"/>
                <w:sz w:val="24"/>
                <w:highlight w:val="none"/>
              </w:rPr>
            </w:pPr>
            <w:r>
              <w:rPr>
                <w:color w:val="000000"/>
                <w:sz w:val="24"/>
                <w:highlight w:val="none"/>
              </w:rPr>
            </w:r>
            <w:r/>
          </w:p>
        </w:tc>
        <w:tc>
          <w:tcPr>
            <w:tcW w:w="788" w:type="dxa"/>
            <w:vAlign w:val="center"/>
            <w:textDirection w:val="lrTb"/>
            <w:noWrap w:val="false"/>
          </w:tcPr>
          <w:p>
            <w:pPr>
              <w:pStyle w:val="853"/>
              <w:jc w:val="center"/>
              <w:rPr>
                <w:color w:val="000000"/>
                <w:sz w:val="24"/>
                <w:highlight w:val="none"/>
              </w:rPr>
            </w:pPr>
            <w:r>
              <w:rPr>
                <w:color w:val="000000"/>
                <w:sz w:val="24"/>
                <w:highlight w:val="none"/>
              </w:rPr>
            </w:r>
            <w:r/>
          </w:p>
        </w:tc>
      </w:tr>
    </w:tbl>
    <w:p>
      <w:pPr>
        <w:pStyle w:val="853"/>
        <w:jc w:val="left"/>
        <w:tabs>
          <w:tab w:val="left" w:pos="1800" w:leader="none"/>
          <w:tab w:val="left" w:pos="5580" w:leader="none"/>
        </w:tabs>
        <w:rPr>
          <w:color w:val="000000"/>
          <w:sz w:val="24"/>
          <w:highlight w:val="none"/>
        </w:rPr>
      </w:pPr>
      <w:r>
        <w:rPr>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注：</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1. 对合同条款中的所有要求，除本表所列明的所有偏离外，均视作供应商已对之理解和响应。</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 “偏离情况”列应据实填写“正偏离”或“负偏离”。</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3.若以联合体投标，由联合体牵头人盖章。</w:t>
      </w:r>
      <w:r>
        <w:rPr>
          <w:rFonts w:hint="eastAsia"/>
          <w:color w:val="000000"/>
          <w:sz w:val="24"/>
          <w:highlight w:val="none"/>
        </w:rPr>
      </w:r>
      <w:r/>
    </w:p>
    <w:p>
      <w:pPr>
        <w:pStyle w:val="85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53"/>
        <w:ind w:firstLine="4920"/>
        <w:spacing w:line="360" w:lineRule="auto"/>
        <w:rPr>
          <w:rFonts w:ascii="宋体" w:hAnsi="宋体" w:cs="黑体"/>
          <w:bCs/>
          <w:color w:val="000000"/>
          <w:sz w:val="24"/>
          <w:highlight w:val="none"/>
          <w:lang w:bidi="ar"/>
        </w:rPr>
      </w:pPr>
      <w:r>
        <w:rPr>
          <w:rFonts w:hint="eastAsia" w:ascii="宋体" w:hAnsi="宋体" w:cs="黑体"/>
          <w:bCs/>
          <w:color w:val="000000"/>
          <w:sz w:val="24"/>
          <w:highlight w:val="none"/>
          <w:lang w:bidi="ar"/>
        </w:rPr>
        <w:t xml:space="preserve">供应商名称：（加盖CA电子公章）  </w:t>
      </w:r>
      <w:r>
        <w:rPr>
          <w:rFonts w:ascii="宋体" w:hAnsi="宋体" w:cs="黑体"/>
          <w:bCs/>
          <w:color w:val="000000"/>
          <w:sz w:val="24"/>
          <w:highlight w:val="none"/>
          <w:lang w:bidi="ar"/>
        </w:rPr>
      </w:r>
      <w:r/>
    </w:p>
    <w:p>
      <w:pPr>
        <w:pStyle w:val="853"/>
        <w:ind w:firstLine="4920"/>
        <w:spacing w:line="360" w:lineRule="auto"/>
        <w:rPr>
          <w:rFonts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rPr>
          <w:rFonts w:ascii="宋体" w:hAnsi="宋体" w:cs="黑体"/>
          <w:bCs/>
          <w:color w:val="000000"/>
          <w:sz w:val="24"/>
          <w:highlight w:val="none"/>
          <w:lang w:bidi="ar"/>
        </w:rPr>
      </w:r>
      <w:r/>
    </w:p>
    <w:p>
      <w:pPr>
        <w:pStyle w:val="853"/>
        <w:jc w:val="center"/>
        <w:rPr>
          <w:rFonts w:hint="eastAsia"/>
          <w:b/>
          <w:color w:val="000000"/>
          <w:sz w:val="30"/>
          <w:szCs w:val="30"/>
          <w:highlight w:val="none"/>
        </w:rPr>
      </w:pPr>
      <w:r>
        <w:rPr>
          <w:b/>
          <w:color w:val="000000"/>
          <w:spacing w:val="20"/>
          <w:sz w:val="32"/>
          <w:szCs w:val="32"/>
          <w:highlight w:val="none"/>
        </w:rPr>
        <w:br w:type="page" w:clear="all"/>
      </w:r>
      <w:r>
        <w:rPr>
          <w:rFonts w:hint="eastAsia"/>
          <w:b/>
          <w:color w:val="000000"/>
          <w:sz w:val="30"/>
          <w:szCs w:val="30"/>
          <w:highlight w:val="none"/>
        </w:rPr>
        <w:t xml:space="preserve">十六、采购需求偏离表</w:t>
      </w:r>
      <w:r>
        <w:rPr>
          <w:b/>
          <w:color w:val="000000"/>
          <w:sz w:val="30"/>
          <w:szCs w:val="30"/>
          <w:highlight w:val="none"/>
        </w:rPr>
        <w:t xml:space="preserve">（实质性格式）</w:t>
      </w:r>
      <w:r>
        <w:rPr>
          <w:rFonts w:hint="eastAsia"/>
          <w:b/>
          <w:color w:val="000000"/>
          <w:sz w:val="30"/>
          <w:szCs w:val="30"/>
          <w:highlight w:val="none"/>
        </w:rPr>
      </w:r>
      <w:r/>
    </w:p>
    <w:p>
      <w:pPr>
        <w:pStyle w:val="853"/>
        <w:jc w:val="center"/>
        <w:rPr>
          <w:color w:val="000000"/>
          <w:sz w:val="30"/>
          <w:szCs w:val="30"/>
          <w:highlight w:val="none"/>
        </w:rPr>
      </w:pPr>
      <w:r>
        <w:rPr>
          <w:color w:val="000000"/>
          <w:sz w:val="30"/>
          <w:szCs w:val="30"/>
          <w:highlight w:val="none"/>
        </w:rPr>
      </w:r>
      <w:r/>
    </w:p>
    <w:p>
      <w:pPr>
        <w:pStyle w:val="853"/>
        <w:jc w:val="center"/>
        <w:rPr>
          <w:color w:val="000000"/>
          <w:sz w:val="36"/>
          <w:szCs w:val="36"/>
          <w:highlight w:val="none"/>
        </w:rPr>
      </w:pPr>
      <w:r>
        <w:rPr>
          <w:color w:val="000000"/>
          <w:sz w:val="36"/>
          <w:szCs w:val="36"/>
          <w:highlight w:val="none"/>
        </w:rPr>
      </w:r>
      <w:r/>
    </w:p>
    <w:p>
      <w:pPr>
        <w:pStyle w:val="85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rFonts w:hint="eastAsia"/>
                <w:color w:val="000000"/>
                <w:sz w:val="24"/>
                <w:highlight w:val="none"/>
              </w:rPr>
              <w:t xml:space="preserve">采购</w:t>
            </w:r>
            <w:r>
              <w:rPr>
                <w:color w:val="000000"/>
                <w:sz w:val="24"/>
                <w:highlight w:val="none"/>
              </w:rPr>
              <w:t xml:space="preserve">文件条目号(页码)</w:t>
            </w: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rFonts w:hint="eastAsia"/>
                <w:color w:val="000000"/>
                <w:sz w:val="24"/>
                <w:highlight w:val="none"/>
              </w:rPr>
              <w:t xml:space="preserve">采购</w:t>
            </w:r>
            <w:r>
              <w:rPr>
                <w:color w:val="000000"/>
                <w:sz w:val="24"/>
                <w:highlight w:val="none"/>
              </w:rPr>
              <w:t xml:space="preserve">文件要求</w:t>
            </w: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t xml:space="preserve">偏离情况</w:t>
            </w:r>
            <w:r>
              <w:rPr>
                <w:color w:val="000000"/>
                <w:sz w:val="24"/>
                <w:highlight w:val="none"/>
              </w:rPr>
            </w:r>
            <w:r/>
          </w:p>
          <w:p>
            <w:pPr>
              <w:pStyle w:val="853"/>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3"/>
              <w:jc w:val="center"/>
              <w:rPr>
                <w:color w:val="000000"/>
                <w:sz w:val="24"/>
                <w:highlight w:val="none"/>
              </w:rPr>
            </w:pPr>
            <w:r>
              <w:rPr>
                <w:color w:val="000000"/>
                <w:sz w:val="24"/>
                <w:highlight w:val="none"/>
              </w:rPr>
            </w:r>
            <w:r/>
          </w:p>
        </w:tc>
        <w:tc>
          <w:tcPr>
            <w:tcW w:w="1482" w:type="dxa"/>
            <w:vAlign w:val="center"/>
            <w:textDirection w:val="lrTb"/>
            <w:noWrap w:val="false"/>
          </w:tcPr>
          <w:p>
            <w:pPr>
              <w:pStyle w:val="853"/>
              <w:jc w:val="center"/>
              <w:rPr>
                <w:color w:val="000000"/>
                <w:sz w:val="24"/>
                <w:highlight w:val="none"/>
              </w:rPr>
            </w:pPr>
            <w:r>
              <w:rPr>
                <w:color w:val="000000"/>
                <w:sz w:val="24"/>
                <w:highlight w:val="none"/>
              </w:rPr>
            </w:r>
            <w:r/>
          </w:p>
        </w:tc>
        <w:tc>
          <w:tcPr>
            <w:tcW w:w="2384" w:type="dxa"/>
            <w:vAlign w:val="center"/>
            <w:textDirection w:val="lrTb"/>
            <w:noWrap w:val="false"/>
          </w:tcPr>
          <w:p>
            <w:pPr>
              <w:pStyle w:val="853"/>
              <w:jc w:val="center"/>
              <w:rPr>
                <w:color w:val="000000"/>
                <w:sz w:val="24"/>
                <w:highlight w:val="none"/>
              </w:rPr>
            </w:pPr>
            <w:r>
              <w:rPr>
                <w:color w:val="000000"/>
                <w:sz w:val="24"/>
                <w:highlight w:val="none"/>
              </w:rPr>
            </w:r>
            <w:r/>
          </w:p>
        </w:tc>
        <w:tc>
          <w:tcPr>
            <w:tcW w:w="2126" w:type="dxa"/>
            <w:vAlign w:val="center"/>
            <w:textDirection w:val="lrTb"/>
            <w:noWrap w:val="false"/>
          </w:tcPr>
          <w:p>
            <w:pPr>
              <w:pStyle w:val="853"/>
              <w:jc w:val="center"/>
              <w:rPr>
                <w:color w:val="000000"/>
                <w:sz w:val="24"/>
                <w:highlight w:val="none"/>
              </w:rPr>
            </w:pPr>
            <w:r>
              <w:rPr>
                <w:color w:val="000000"/>
                <w:sz w:val="24"/>
                <w:highlight w:val="none"/>
              </w:rPr>
            </w:r>
            <w:r/>
          </w:p>
        </w:tc>
        <w:tc>
          <w:tcPr>
            <w:tcW w:w="1875" w:type="dxa"/>
            <w:vAlign w:val="center"/>
            <w:textDirection w:val="lrTb"/>
            <w:noWrap w:val="false"/>
          </w:tcPr>
          <w:p>
            <w:pPr>
              <w:pStyle w:val="853"/>
              <w:jc w:val="center"/>
              <w:rPr>
                <w:color w:val="000000"/>
                <w:sz w:val="24"/>
                <w:highlight w:val="none"/>
              </w:rPr>
            </w:pPr>
            <w:r>
              <w:rPr>
                <w:color w:val="000000"/>
                <w:sz w:val="24"/>
                <w:highlight w:val="none"/>
              </w:rPr>
            </w:r>
            <w:r/>
          </w:p>
        </w:tc>
        <w:tc>
          <w:tcPr>
            <w:tcW w:w="1009" w:type="dxa"/>
            <w:vAlign w:val="center"/>
            <w:textDirection w:val="lrTb"/>
            <w:noWrap w:val="false"/>
          </w:tcPr>
          <w:p>
            <w:pPr>
              <w:pStyle w:val="853"/>
              <w:jc w:val="center"/>
              <w:rPr>
                <w:color w:val="000000"/>
                <w:sz w:val="24"/>
                <w:highlight w:val="none"/>
              </w:rPr>
            </w:pPr>
            <w:r>
              <w:rPr>
                <w:color w:val="000000"/>
                <w:sz w:val="24"/>
                <w:highlight w:val="none"/>
              </w:rPr>
            </w:r>
            <w:r/>
          </w:p>
        </w:tc>
      </w:tr>
    </w:tbl>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注：</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1. 对采购文件中的所有商务、技术要求，除本表所列明的所有偏离外，均视作供应商已对之理解和响应。</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2.“偏离情况”列应据实填写“正偏离”或“负偏离”。</w:t>
      </w:r>
      <w:r>
        <w:rPr>
          <w:rFonts w:hint="eastAsia"/>
          <w:color w:val="000000"/>
          <w:sz w:val="24"/>
          <w:highlight w:val="none"/>
        </w:rPr>
      </w:r>
      <w:r/>
    </w:p>
    <w:p>
      <w:pPr>
        <w:pStyle w:val="853"/>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3.若以联合体投标，由联合体牵头人盖章。</w:t>
      </w:r>
      <w:r>
        <w:rPr>
          <w:rFonts w:hint="eastAsia"/>
          <w:color w:val="000000"/>
          <w:sz w:val="24"/>
          <w:highlight w:val="none"/>
        </w:rPr>
      </w:r>
      <w:r/>
    </w:p>
    <w:p>
      <w:pPr>
        <w:pStyle w:val="853"/>
        <w:rPr>
          <w:color w:val="000000"/>
          <w:sz w:val="24"/>
          <w:szCs w:val="20"/>
          <w:highlight w:val="none"/>
        </w:rPr>
      </w:pPr>
      <w:r>
        <w:rPr>
          <w:color w:val="000000"/>
          <w:sz w:val="24"/>
          <w:szCs w:val="20"/>
          <w:highlight w:val="none"/>
        </w:rPr>
      </w:r>
      <w:r/>
    </w:p>
    <w:p>
      <w:pPr>
        <w:pStyle w:val="85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53"/>
        <w:ind w:firstLine="4920"/>
        <w:spacing w:line="360" w:lineRule="auto"/>
        <w:rPr>
          <w:rFonts w:ascii="宋体" w:hAnsi="宋体" w:cs="黑体"/>
          <w:bCs/>
          <w:color w:val="000000"/>
          <w:sz w:val="24"/>
          <w:highlight w:val="none"/>
          <w:lang w:bidi="ar"/>
        </w:rPr>
      </w:pPr>
      <w:r>
        <w:rPr>
          <w:rFonts w:hint="eastAsia" w:ascii="宋体" w:hAnsi="宋体" w:cs="黑体"/>
          <w:bCs/>
          <w:color w:val="000000"/>
          <w:sz w:val="24"/>
          <w:highlight w:val="none"/>
          <w:lang w:bidi="ar"/>
        </w:rPr>
        <w:t xml:space="preserve">供应商名称：（加盖CA电子公章）  </w:t>
      </w:r>
      <w:r>
        <w:rPr>
          <w:rFonts w:ascii="宋体" w:hAnsi="宋体" w:cs="黑体"/>
          <w:bCs/>
          <w:color w:val="000000"/>
          <w:sz w:val="24"/>
          <w:highlight w:val="none"/>
          <w:lang w:bidi="ar"/>
        </w:rPr>
      </w:r>
      <w:r/>
    </w:p>
    <w:p>
      <w:pPr>
        <w:pStyle w:val="853"/>
        <w:ind w:firstLine="4800"/>
        <w:spacing w:line="360" w:lineRule="auto"/>
        <w:rPr>
          <w:rFonts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rPr>
          <w:rFonts w:ascii="宋体" w:hAnsi="宋体" w:cs="黑体"/>
          <w:bCs/>
          <w:color w:val="000000"/>
          <w:sz w:val="24"/>
          <w:highlight w:val="none"/>
          <w:lang w:bidi="ar"/>
        </w:rPr>
      </w:r>
      <w:r/>
    </w:p>
    <w:p>
      <w:pPr>
        <w:pStyle w:val="853"/>
        <w:jc w:val="center"/>
        <w:rPr>
          <w:b/>
          <w:color w:val="000000"/>
          <w:spacing w:val="20"/>
          <w:sz w:val="32"/>
          <w:szCs w:val="32"/>
          <w:highlight w:val="none"/>
        </w:rPr>
      </w:pPr>
      <w:r>
        <w:rPr>
          <w:rFonts w:hint="eastAsia"/>
          <w:b/>
          <w:color w:val="000000"/>
          <w:spacing w:val="20"/>
          <w:sz w:val="32"/>
          <w:szCs w:val="32"/>
          <w:highlight w:val="none"/>
        </w:rPr>
        <w:br w:type="page" w:clear="all"/>
      </w:r>
      <w:bookmarkEnd w:id="307"/>
      <w:r>
        <w:rPr>
          <w:rFonts w:hint="eastAsia"/>
          <w:b/>
          <w:color w:val="000000"/>
          <w:spacing w:val="20"/>
          <w:sz w:val="32"/>
          <w:szCs w:val="32"/>
          <w:highlight w:val="none"/>
        </w:rPr>
        <w:t xml:space="preserve">十七、其他格式材料</w:t>
      </w:r>
      <w:r>
        <w:rPr>
          <w:b/>
          <w:color w:val="000000"/>
          <w:spacing w:val="20"/>
          <w:sz w:val="32"/>
          <w:szCs w:val="32"/>
          <w:highlight w:val="none"/>
        </w:rPr>
      </w:r>
      <w:r/>
    </w:p>
    <w:p>
      <w:pPr>
        <w:pStyle w:val="853"/>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hint="eastAsia" w:ascii="宋体" w:hAnsi="宋体"/>
          <w:b/>
          <w:color w:val="000000"/>
          <w:sz w:val="32"/>
          <w:szCs w:val="32"/>
          <w:highlight w:val="none"/>
        </w:rPr>
      </w:r>
      <w:r/>
    </w:p>
    <w:p>
      <w:pPr>
        <w:pStyle w:val="853"/>
        <w:spacing w:line="360" w:lineRule="auto"/>
        <w:rPr>
          <w:rFonts w:hint="eastAsia" w:ascii="宋体" w:hAnsi="宋体"/>
          <w:color w:val="000000"/>
          <w:sz w:val="22"/>
          <w:highlight w:val="none"/>
        </w:rPr>
      </w:pPr>
      <w:r>
        <w:rPr>
          <w:rFonts w:hint="eastAsia" w:ascii="宋体" w:hAnsi="宋体"/>
          <w:color w:val="000000"/>
          <w:sz w:val="22"/>
          <w:highlight w:val="none"/>
        </w:rPr>
      </w:r>
      <w:r/>
    </w:p>
    <w:p>
      <w:pPr>
        <w:pStyle w:val="85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856"/>
        <w:gridCol w:w="1857"/>
        <w:gridCol w:w="1857"/>
        <w:gridCol w:w="1857"/>
      </w:tblGrid>
      <w:tr>
        <w:trPr>
          <w:trHeight w:val="1378"/>
        </w:trPr>
        <w:tc>
          <w:tcPr>
            <w:tcW w:w="1000"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000"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000"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1000"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1000"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480"/>
        </w:trPr>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480"/>
        </w:trPr>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480"/>
        </w:trPr>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0"/>
        </w:trPr>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00"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bl>
    <w:p>
      <w:pPr>
        <w:pStyle w:val="853"/>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853"/>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hint="eastAsia" w:ascii="宋体" w:hAnsi="宋体" w:cs="宋体"/>
          <w:b/>
          <w:color w:val="000000"/>
          <w:sz w:val="24"/>
          <w:highlight w:val="none"/>
        </w:rPr>
      </w:r>
      <w:r/>
    </w:p>
    <w:p>
      <w:pPr>
        <w:pStyle w:val="853"/>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3"/>
        <w:ind w:firstLine="4320"/>
        <w:spacing w:before="25" w:after="25" w:line="360" w:lineRule="auto"/>
        <w:rPr>
          <w:rFonts w:ascii="黑体" w:eastAsia="黑体" w:cs="黑体"/>
          <w:bCs/>
          <w:color w:val="000000"/>
          <w:sz w:val="24"/>
          <w:highlight w:val="none"/>
          <w:lang w:bidi="ar"/>
        </w:rPr>
      </w:pPr>
      <w:r/>
      <w:bookmarkStart w:id="308" w:name="_Hlk149916855"/>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853"/>
        <w:ind w:firstLine="4320"/>
        <w:spacing w:before="25" w:after="25" w:line="360" w:lineRule="auto"/>
        <w:rPr>
          <w:rFonts w:ascii="黑体" w:eastAsia="黑体" w:cs="黑体"/>
          <w:bCs/>
          <w:color w:val="000000"/>
          <w:sz w:val="24"/>
          <w:highlight w:val="none"/>
          <w:lang w:bidi="ar"/>
        </w:rPr>
      </w:pPr>
      <w:r/>
      <w:bookmarkEnd w:id="308"/>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853"/>
        <w:rPr>
          <w:color w:val="000000"/>
          <w:sz w:val="24"/>
          <w:szCs w:val="20"/>
          <w:highlight w:val="none"/>
        </w:rPr>
      </w:pPr>
      <w:r>
        <w:rPr>
          <w:color w:val="000000"/>
          <w:sz w:val="22"/>
          <w:highlight w:val="none"/>
        </w:rPr>
        <w:br w:type="page" w:clear="all"/>
      </w:r>
      <w:bookmarkStart w:id="309" w:name="_Toc288738397"/>
      <w:r/>
      <w:bookmarkStart w:id="310" w:name="_Toc288738839"/>
      <w:r>
        <w:rPr>
          <w:color w:val="000000"/>
          <w:sz w:val="24"/>
          <w:szCs w:val="20"/>
          <w:highlight w:val="none"/>
        </w:rPr>
      </w:r>
      <w:r/>
    </w:p>
    <w:p>
      <w:pPr>
        <w:pStyle w:val="853"/>
        <w:rPr>
          <w:rFonts w:hint="eastAsia"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09"/>
      <w:r/>
      <w:bookmarkEnd w:id="310"/>
      <w:r>
        <w:rPr>
          <w:rFonts w:hint="eastAsia" w:ascii="宋体" w:hAnsi="宋体"/>
          <w:b/>
          <w:color w:val="000000"/>
          <w:sz w:val="32"/>
          <w:szCs w:val="32"/>
          <w:highlight w:val="none"/>
        </w:rPr>
      </w:r>
      <w:r/>
    </w:p>
    <w:p>
      <w:pPr>
        <w:pStyle w:val="853"/>
        <w:jc w:val="center"/>
        <w:spacing w:line="360" w:lineRule="auto"/>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5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25"/>
        <w:gridCol w:w="1997"/>
        <w:gridCol w:w="1807"/>
        <w:gridCol w:w="2056"/>
        <w:gridCol w:w="1898"/>
      </w:tblGrid>
      <w:tr>
        <w:trPr>
          <w:trHeight w:val="498"/>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hint="eastAsia"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pStyle w:val="85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53"/>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pStyle w:val="853"/>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75"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3"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07"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pStyle w:val="85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53"/>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5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3"/>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853"/>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853"/>
        <w:spacing w:line="360" w:lineRule="auto"/>
        <w:rPr>
          <w:color w:val="000000"/>
          <w:sz w:val="24"/>
          <w:szCs w:val="20"/>
          <w:highlight w:val="none"/>
        </w:rPr>
        <w:outlineLvl w:val="2"/>
      </w:pPr>
      <w:r>
        <w:rPr>
          <w:color w:val="000000"/>
          <w:sz w:val="24"/>
          <w:szCs w:val="20"/>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853"/>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3、关于招标文件的询问内容</w:t>
      </w:r>
      <w:r>
        <w:rPr>
          <w:b/>
          <w:color w:val="000000"/>
          <w:spacing w:val="20"/>
          <w:sz w:val="32"/>
          <w:szCs w:val="32"/>
          <w:highlight w:val="none"/>
        </w:rPr>
      </w:r>
      <w:r/>
    </w:p>
    <w:p>
      <w:pPr>
        <w:pStyle w:val="853"/>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853"/>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853"/>
        <w:jc w:val="left"/>
        <w:spacing w:line="360" w:lineRule="auto"/>
        <w:widowControl/>
        <w:rPr>
          <w:rFonts w:hint="eastAsia" w:ascii="宋体" w:hAnsi="宋体"/>
          <w:color w:val="000000"/>
          <w:sz w:val="24"/>
          <w:highlight w:val="none"/>
        </w:rPr>
      </w:pPr>
      <w:r/>
      <w:bookmarkStart w:id="311" w:name="_Hlk162250573"/>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853"/>
        <w:jc w:val="left"/>
        <w:spacing w:line="360" w:lineRule="auto"/>
        <w:widowControl/>
        <w:rPr>
          <w:rFonts w:hint="eastAsia" w:ascii="宋体" w:hAnsi="宋体"/>
          <w:color w:val="000000"/>
          <w:sz w:val="24"/>
          <w:highlight w:val="none"/>
        </w:rPr>
      </w:pPr>
      <w:r/>
      <w:bookmarkEnd w:id="311"/>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853"/>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853"/>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933"/>
        <w:rPr>
          <w:color w:val="000000"/>
          <w:highlight w:val="none"/>
        </w:rPr>
      </w:pPr>
      <w:r>
        <w:rPr>
          <w:color w:val="000000"/>
          <w:highlight w:val="none"/>
        </w:rPr>
      </w:r>
      <w:r/>
    </w:p>
    <w:p>
      <w:pPr>
        <w:pStyle w:val="85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853"/>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853"/>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853"/>
        <w:ind w:firstLine="480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时间：    年   月  日</w:t>
      </w:r>
      <w:r>
        <w:rPr>
          <w:rFonts w:hint="eastAsia" w:ascii="宋体" w:hAnsi="宋体"/>
          <w:color w:val="000000"/>
          <w:sz w:val="24"/>
          <w:highlight w:val="none"/>
        </w:rPr>
      </w:r>
      <w:r/>
    </w:p>
    <w:p>
      <w:pPr>
        <w:pStyle w:val="884"/>
        <w:tabs>
          <w:tab w:val="left" w:pos="567" w:leader="none"/>
        </w:tabs>
        <w:rPr>
          <w:rFonts w:hint="eastAsia"/>
          <w:color w:val="000000"/>
          <w:highlight w:val="none"/>
        </w:rPr>
      </w:pPr>
      <w:r>
        <w:rPr>
          <w:rFonts w:hint="eastAsia"/>
          <w:color w:val="000000"/>
          <w:highlight w:val="none"/>
        </w:rPr>
      </w:r>
      <w:r/>
    </w:p>
    <w:p>
      <w:pPr>
        <w:pStyle w:val="853"/>
        <w:rPr>
          <w:rFonts w:hint="eastAsia" w:ascii="宋体" w:hAnsi="宋体"/>
          <w:color w:val="000000"/>
          <w:sz w:val="24"/>
          <w:highlight w:val="none"/>
        </w:rPr>
      </w:pPr>
      <w:r>
        <w:rPr>
          <w:rFonts w:hint="eastAsia" w:ascii="宋体" w:hAnsi="宋体"/>
          <w:color w:val="000000"/>
          <w:sz w:val="24"/>
          <w:highlight w:val="none"/>
        </w:rPr>
      </w:r>
      <w:r/>
    </w:p>
    <w:sectPr>
      <w:headerReference w:type="even" r:id="rId11"/>
      <w:headerReference w:type="first" r:id="rId12"/>
      <w:footerReference w:type="even" r:id="rId20"/>
      <w:footerReference w:type="first" r:id="rId21"/>
      <w:footnotePr/>
      <w:endnotePr/>
      <w:type w:val="nextPage"/>
      <w:pgSz w:w="11905" w:h="16838" w:orient="portrait"/>
      <w:pgMar w:top="1417" w:right="1417"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w:t>
                          </w:r>
                          <w:r>
                            <w:rPr>
                              <w:rFonts w:ascii="Times New Roman"/>
                            </w:rPr>
                            <w:fldChar w:fldCharType="end"/>
                          </w:r>
                          <w:r/>
                        </w:p>
                        <w:p>
                          <w:pPr>
                            <w:pStyle w:val="8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w:t>
                    </w:r>
                    <w:r>
                      <w:rPr>
                        <w:rFonts w:ascii="Times New Roman"/>
                      </w:rPr>
                      <w:fldChar w:fldCharType="end"/>
                    </w:r>
                    <w:r/>
                  </w:p>
                  <w:p>
                    <w:pPr>
                      <w:pStyle w:val="85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26"/>
      </w:rPr>
      <w:framePr w:wrap="around" w:vAnchor="text" w:hAnchor="margin" w:xAlign="right" w:y="1"/>
    </w:pPr>
    <w:r>
      <w:rPr>
        <w:rStyle w:val="926"/>
      </w:rPr>
    </w:r>
    <w:r/>
  </w:p>
  <w:p>
    <w:pPr>
      <w:pStyle w:val="90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jc w:val="center"/>
                          </w:pPr>
                          <w:r>
                            <w:fldChar w:fldCharType="begin"/>
                          </w:r>
                          <w:r>
                            <w:instrText xml:space="preserve">PAGE   \* MERGEFORMAT</w:instrText>
                          </w:r>
                          <w:r>
                            <w:fldChar w:fldCharType="separate"/>
                          </w:r>
                          <w:r>
                            <w:rPr>
                              <w:lang w:val="zh-CN"/>
                            </w:rPr>
                            <w:t xml:space="preserve">66</w:t>
                          </w:r>
                          <w:r>
                            <w:rPr>
                              <w:lang w:val="zh-CN"/>
                            </w:rPr>
                            <w:fldChar w:fldCharType="end"/>
                          </w:r>
                          <w:r/>
                        </w:p>
                        <w:p>
                          <w:pPr>
                            <w:pStyle w:val="8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jc w:val="center"/>
                    </w:pPr>
                    <w:r>
                      <w:fldChar w:fldCharType="begin"/>
                    </w:r>
                    <w:r>
                      <w:instrText xml:space="preserve">PAGE   \* MERGEFORMAT</w:instrText>
                    </w:r>
                    <w:r>
                      <w:fldChar w:fldCharType="separate"/>
                    </w:r>
                    <w:r>
                      <w:rPr>
                        <w:lang w:val="zh-CN"/>
                      </w:rPr>
                      <w:t xml:space="preserve">66</w:t>
                    </w:r>
                    <w:r>
                      <w:rPr>
                        <w:lang w:val="zh-CN"/>
                      </w:rPr>
                      <w:fldChar w:fldCharType="end"/>
                    </w:r>
                    <w:r/>
                  </w:p>
                  <w:p>
                    <w:pPr>
                      <w:pStyle w:val="853"/>
                    </w:pPr>
                    <w:r/>
                    <w:r/>
                  </w:p>
                </w:txbxContent>
              </v:textbox>
            </v:shape>
          </w:pict>
        </mc:Fallback>
      </mc:AlternateContent>
    </w:r>
    <w:r/>
  </w:p>
  <w:p>
    <w:pPr>
      <w:pStyle w:val="8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PAGE   \* MERGEFORMAT</w:instrText>
    </w:r>
    <w:r>
      <w:fldChar w:fldCharType="separate"/>
    </w:r>
    <w:r>
      <w:rPr>
        <w:lang w:val="zh-CN"/>
      </w:rPr>
      <w:t xml:space="preserve">46</w:t>
    </w:r>
    <w:r>
      <w:rPr>
        <w:lang w:val="zh-CN"/>
      </w:rPr>
      <w:fldChar w:fldCharType="end"/>
    </w:r>
    <w:r/>
  </w:p>
  <w:p>
    <w:pPr>
      <w:pStyle w:val="8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PAGE   \* MERGEFORMAT</w:instrText>
    </w:r>
    <w:r>
      <w:fldChar w:fldCharType="separate"/>
    </w:r>
    <w:r>
      <w:rPr>
        <w:lang w:val="zh-CN"/>
      </w:rPr>
      <w:t xml:space="preserve">23</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26"/>
      </w:rPr>
      <w:framePr w:wrap="around" w:vAnchor="text" w:hAnchor="margin" w:xAlign="right" w:y="1"/>
    </w:pPr>
    <w:r>
      <w:rPr>
        <w:rStyle w:val="926"/>
      </w:rPr>
      <w:fldChar w:fldCharType="begin"/>
    </w:r>
    <w:r>
      <w:rPr>
        <w:rStyle w:val="926"/>
      </w:rPr>
      <w:instrText xml:space="preserve">PAGE  </w:instrText>
    </w:r>
    <w:r>
      <w:rPr>
        <w:rStyle w:val="926"/>
      </w:rPr>
      <w:fldChar w:fldCharType="end"/>
    </w:r>
    <w:r>
      <w:rPr>
        <w:rStyle w:val="926"/>
      </w:rPr>
    </w:r>
    <w:r/>
  </w:p>
  <w:p>
    <w:pPr>
      <w:pStyle w:val="90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26"/>
      </w:rPr>
      <w:framePr w:wrap="around" w:vAnchor="text" w:hAnchor="margin" w:xAlign="right" w:y="1"/>
    </w:pPr>
    <w:r>
      <w:rPr>
        <w:rStyle w:val="926"/>
      </w:rPr>
      <w:fldChar w:fldCharType="begin"/>
    </w:r>
    <w:r>
      <w:rPr>
        <w:rStyle w:val="926"/>
      </w:rPr>
      <w:instrText xml:space="preserve">PAGE  </w:instrText>
    </w:r>
    <w:r>
      <w:rPr>
        <w:rStyle w:val="926"/>
      </w:rPr>
      <w:fldChar w:fldCharType="end"/>
    </w:r>
    <w:r>
      <w:rPr>
        <w:rStyle w:val="926"/>
      </w:rPr>
    </w:r>
    <w:r/>
  </w:p>
  <w:p>
    <w:pPr>
      <w:pStyle w:val="901"/>
      <w:ind w:right="360"/>
      <w:tabs>
        <w:tab w:val="center" w:pos="4153" w:leader="none"/>
        <w:tab w:val="right" w:pos="8306" w:leader="none"/>
      </w:tabs>
    </w:pPr>
    <w:r/>
    <w:r/>
  </w:p>
  <w:p>
    <w:pPr>
      <w:pStyle w:val="85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p>
    <w:pPr>
      <w:pStyle w:val="85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8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4"/>
      <w:isLgl w:val="false"/>
      <w:suff w:val="tab"/>
      <w:lvlText w:val="%1."/>
      <w:lvlJc w:val="left"/>
      <w:pPr>
        <w:pStyle w:val="853"/>
        <w:ind w:left="420" w:hanging="420"/>
      </w:pPr>
    </w:lvl>
    <w:lvl w:ilvl="1">
      <w:start w:val="1"/>
      <w:numFmt w:val="decimal"/>
      <w:isLgl w:val="false"/>
      <w:suff w:val="tab"/>
      <w:lvlText w:val="（%2）"/>
      <w:lvlJc w:val="left"/>
      <w:pPr>
        <w:pStyle w:val="853"/>
        <w:ind w:left="1140" w:hanging="720"/>
        <w:tabs>
          <w:tab w:val="num" w:pos="1140" w:leader="none"/>
        </w:tabs>
      </w:pPr>
      <w:rPr>
        <w:rFonts w:hint="eastAsia"/>
      </w:r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abstractNum w:abstractNumId="2">
    <w:multiLevelType w:val="hybridMultilevel"/>
    <w:lvl w:ilvl="0">
      <w:start w:val="1"/>
      <w:numFmt w:val="lowerLetter"/>
      <w:pStyle w:val="1038"/>
      <w:isLgl w:val="false"/>
      <w:suff w:val="tab"/>
      <w:lvlText w:val="%1)"/>
      <w:lvlJc w:val="left"/>
      <w:pPr>
        <w:pStyle w:val="853"/>
        <w:ind w:left="902" w:hanging="420"/>
      </w:pPr>
      <w:rPr>
        <w:color w:val="000000"/>
      </w:rPr>
    </w:lvl>
    <w:lvl w:ilvl="1">
      <w:start w:val="1"/>
      <w:numFmt w:val="lowerLetter"/>
      <w:isLgl w:val="false"/>
      <w:suff w:val="tab"/>
      <w:lvlText w:val="%2)"/>
      <w:lvlJc w:val="left"/>
      <w:pPr>
        <w:pStyle w:val="853"/>
        <w:ind w:left="1322" w:hanging="420"/>
      </w:pPr>
    </w:lvl>
    <w:lvl w:ilvl="2">
      <w:start w:val="1"/>
      <w:numFmt w:val="lowerRoman"/>
      <w:isLgl w:val="false"/>
      <w:suff w:val="tab"/>
      <w:lvlText w:val="%3."/>
      <w:lvlJc w:val="right"/>
      <w:pPr>
        <w:pStyle w:val="853"/>
        <w:ind w:left="1742" w:hanging="420"/>
      </w:pPr>
    </w:lvl>
    <w:lvl w:ilvl="3">
      <w:start w:val="1"/>
      <w:numFmt w:val="decimal"/>
      <w:isLgl w:val="false"/>
      <w:suff w:val="tab"/>
      <w:lvlText w:val="%4."/>
      <w:lvlJc w:val="left"/>
      <w:pPr>
        <w:pStyle w:val="853"/>
        <w:ind w:left="2162" w:hanging="420"/>
      </w:pPr>
    </w:lvl>
    <w:lvl w:ilvl="4">
      <w:start w:val="1"/>
      <w:numFmt w:val="lowerLetter"/>
      <w:isLgl w:val="false"/>
      <w:suff w:val="tab"/>
      <w:lvlText w:val="%5)"/>
      <w:lvlJc w:val="left"/>
      <w:pPr>
        <w:pStyle w:val="853"/>
        <w:ind w:left="2582" w:hanging="420"/>
      </w:pPr>
    </w:lvl>
    <w:lvl w:ilvl="5">
      <w:start w:val="1"/>
      <w:numFmt w:val="lowerRoman"/>
      <w:isLgl w:val="false"/>
      <w:suff w:val="tab"/>
      <w:lvlText w:val="%6."/>
      <w:lvlJc w:val="right"/>
      <w:pPr>
        <w:pStyle w:val="853"/>
        <w:ind w:left="3002" w:hanging="420"/>
      </w:pPr>
    </w:lvl>
    <w:lvl w:ilvl="6">
      <w:start w:val="1"/>
      <w:numFmt w:val="decimal"/>
      <w:isLgl w:val="false"/>
      <w:suff w:val="tab"/>
      <w:lvlText w:val="%7."/>
      <w:lvlJc w:val="left"/>
      <w:pPr>
        <w:pStyle w:val="853"/>
        <w:ind w:left="3422" w:hanging="420"/>
      </w:pPr>
    </w:lvl>
    <w:lvl w:ilvl="7">
      <w:start w:val="1"/>
      <w:numFmt w:val="lowerLetter"/>
      <w:isLgl w:val="false"/>
      <w:suff w:val="tab"/>
      <w:lvlText w:val="%8)"/>
      <w:lvlJc w:val="left"/>
      <w:pPr>
        <w:pStyle w:val="853"/>
        <w:ind w:left="3842" w:hanging="420"/>
      </w:pPr>
    </w:lvl>
    <w:lvl w:ilvl="8">
      <w:start w:val="1"/>
      <w:numFmt w:val="lowerRoman"/>
      <w:isLgl w:val="false"/>
      <w:suff w:val="tab"/>
      <w:lvlText w:val="%9."/>
      <w:lvlJc w:val="right"/>
      <w:pPr>
        <w:pStyle w:val="853"/>
        <w:ind w:left="4262" w:hanging="420"/>
      </w:pPr>
    </w:lvl>
  </w:abstractNum>
  <w:abstractNum w:abstractNumId="3">
    <w:multiLevelType w:val="hybridMultilevel"/>
    <w:lvl w:ilvl="0">
      <w:start w:val="1"/>
      <w:numFmt w:val="decimal"/>
      <w:pStyle w:val="1009"/>
      <w:isLgl w:val="false"/>
      <w:suff w:val="tab"/>
      <w:lvlText w:val="%1."/>
      <w:lvlJc w:val="left"/>
      <w:pPr>
        <w:pStyle w:val="85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8"/>
      <w:isLgl w:val="false"/>
      <w:suff w:val="nothing"/>
      <w:lvlText w:val="%1　"/>
      <w:lvlJc w:val="left"/>
      <w:pPr>
        <w:pStyle w:val="85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3"/>
        <w:ind w:left="-25" w:firstLine="0"/>
      </w:pPr>
      <w:rPr>
        <w:rFonts w:ascii="Times New Roman" w:hAnsi="Times New Roman" w:eastAsia="黑体"/>
        <w:b/>
        <w:i w:val="0"/>
        <w:sz w:val="28"/>
      </w:rPr>
    </w:lvl>
    <w:lvl w:ilvl="3">
      <w:start w:val="1"/>
      <w:numFmt w:val="decimal"/>
      <w:pStyle w:val="994"/>
      <w:isLgl w:val="false"/>
      <w:suff w:val="nothing"/>
      <w:lvlText w:val="%1.%2.%3.%4　"/>
      <w:lvlJc w:val="left"/>
      <w:pPr>
        <w:pStyle w:val="85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3"/>
        <w:ind w:left="-25" w:firstLine="0"/>
      </w:pPr>
      <w:rPr>
        <w:rFonts w:ascii="Times New Roman" w:hAnsi="Times New Roman" w:eastAsia="宋体"/>
        <w:b/>
        <w:i w:val="0"/>
        <w:sz w:val="28"/>
      </w:rPr>
    </w:lvl>
    <w:lvl w:ilvl="6">
      <w:start w:val="1"/>
      <w:numFmt w:val="lowerLetter"/>
      <w:pStyle w:val="1015"/>
      <w:isLgl w:val="false"/>
      <w:suff w:val="tab"/>
      <w:lvlText w:val="%7) "/>
      <w:lvlJc w:val="left"/>
      <w:pPr>
        <w:pStyle w:val="853"/>
        <w:ind w:left="-125" w:firstLine="400"/>
        <w:tabs>
          <w:tab w:val="num" w:pos="635" w:leader="none"/>
        </w:tabs>
      </w:pPr>
      <w:rPr>
        <w:rFonts w:ascii="Times New Roman" w:hAnsi="Times New Roman" w:eastAsia="宋体"/>
        <w:b/>
        <w:i w:val="0"/>
        <w:color w:val="000000"/>
        <w:sz w:val="28"/>
        <w:u w:val="none"/>
      </w:rPr>
    </w:lvl>
    <w:lvl w:ilvl="7">
      <w:start w:val="1"/>
      <w:numFmt w:val="decimal"/>
      <w:pStyle w:val="978"/>
      <w:isLgl w:val="false"/>
      <w:suff w:val="tab"/>
      <w:lvlText w:val="%8) "/>
      <w:lvlJc w:val="left"/>
      <w:pPr>
        <w:pStyle w:val="85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3"/>
        <w:ind w:left="768" w:hanging="360"/>
        <w:tabs>
          <w:tab w:val="num" w:pos="768" w:leader="none"/>
        </w:tabs>
      </w:pPr>
      <w:rPr>
        <w:rFonts w:hint="eastAsia"/>
      </w:rPr>
    </w:lvl>
    <w:lvl w:ilvl="1">
      <w:start w:val="1"/>
      <w:numFmt w:val="decimal"/>
      <w:pStyle w:val="996"/>
      <w:isLgl w:val="false"/>
      <w:suff w:val="tab"/>
      <w:lvlText w:val="%2、"/>
      <w:lvlJc w:val="left"/>
      <w:pPr>
        <w:pStyle w:val="853"/>
        <w:ind w:left="1188" w:hanging="360"/>
        <w:tabs>
          <w:tab w:val="num" w:pos="1188" w:leader="none"/>
        </w:tabs>
      </w:pPr>
      <w:rPr>
        <w:rFonts w:hint="eastAsia"/>
      </w:rPr>
    </w:lvl>
    <w:lvl w:ilvl="2">
      <w:start w:val="1"/>
      <w:numFmt w:val="decimal"/>
      <w:isLgl w:val="false"/>
      <w:suff w:val="tab"/>
      <w:lvlText w:val="（%3）"/>
      <w:lvlJc w:val="left"/>
      <w:pPr>
        <w:pStyle w:val="853"/>
        <w:ind w:left="1968" w:hanging="720"/>
        <w:tabs>
          <w:tab w:val="num" w:pos="1968" w:leader="none"/>
        </w:tabs>
      </w:pPr>
      <w:rPr>
        <w:rFonts w:hint="eastAsia"/>
        <w:u w:val="none"/>
      </w:rPr>
    </w:lvl>
    <w:lvl w:ilvl="3">
      <w:start w:val="1"/>
      <w:numFmt w:val="decimal"/>
      <w:isLgl w:val="false"/>
      <w:suff w:val="tab"/>
      <w:lvlText w:val="%4."/>
      <w:lvlJc w:val="left"/>
      <w:pPr>
        <w:pStyle w:val="853"/>
        <w:ind w:left="2088" w:hanging="420"/>
        <w:tabs>
          <w:tab w:val="num" w:pos="2088" w:leader="none"/>
        </w:tabs>
      </w:pPr>
    </w:lvl>
    <w:lvl w:ilvl="4">
      <w:start w:val="1"/>
      <w:numFmt w:val="lowerLetter"/>
      <w:isLgl w:val="false"/>
      <w:suff w:val="tab"/>
      <w:lvlText w:val="%5)"/>
      <w:lvlJc w:val="left"/>
      <w:pPr>
        <w:pStyle w:val="853"/>
        <w:ind w:left="2508" w:hanging="420"/>
        <w:tabs>
          <w:tab w:val="num" w:pos="2508" w:leader="none"/>
        </w:tabs>
      </w:pPr>
    </w:lvl>
    <w:lvl w:ilvl="5">
      <w:start w:val="1"/>
      <w:numFmt w:val="lowerRoman"/>
      <w:isLgl w:val="false"/>
      <w:suff w:val="tab"/>
      <w:lvlText w:val="%6."/>
      <w:lvlJc w:val="right"/>
      <w:pPr>
        <w:pStyle w:val="853"/>
        <w:ind w:left="2928" w:hanging="420"/>
        <w:tabs>
          <w:tab w:val="num" w:pos="2928" w:leader="none"/>
        </w:tabs>
      </w:pPr>
    </w:lvl>
    <w:lvl w:ilvl="6">
      <w:start w:val="1"/>
      <w:numFmt w:val="decimal"/>
      <w:isLgl w:val="false"/>
      <w:suff w:val="tab"/>
      <w:lvlText w:val="%7."/>
      <w:lvlJc w:val="left"/>
      <w:pPr>
        <w:pStyle w:val="853"/>
        <w:ind w:left="3348" w:hanging="420"/>
        <w:tabs>
          <w:tab w:val="num" w:pos="3348" w:leader="none"/>
        </w:tabs>
      </w:pPr>
    </w:lvl>
    <w:lvl w:ilvl="7">
      <w:start w:val="1"/>
      <w:numFmt w:val="lowerLetter"/>
      <w:isLgl w:val="false"/>
      <w:suff w:val="tab"/>
      <w:lvlText w:val="%8)"/>
      <w:lvlJc w:val="left"/>
      <w:pPr>
        <w:pStyle w:val="853"/>
        <w:ind w:left="3768" w:hanging="420"/>
        <w:tabs>
          <w:tab w:val="num" w:pos="3768" w:leader="none"/>
        </w:tabs>
      </w:pPr>
    </w:lvl>
    <w:lvl w:ilvl="8">
      <w:start w:val="1"/>
      <w:numFmt w:val="lowerRoman"/>
      <w:isLgl w:val="false"/>
      <w:suff w:val="tab"/>
      <w:lvlText w:val="%9."/>
      <w:lvlJc w:val="right"/>
      <w:pPr>
        <w:pStyle w:val="853"/>
        <w:ind w:left="4188" w:hanging="420"/>
        <w:tabs>
          <w:tab w:val="num" w:pos="4188" w:leader="none"/>
        </w:tabs>
      </w:pPr>
    </w:lvl>
  </w:abstractNum>
  <w:abstractNum w:abstractNumId="6">
    <w:multiLevelType w:val="hybridMultilevel"/>
    <w:lvl w:ilvl="0">
      <w:start w:val="1"/>
      <w:numFmt w:val="decimal"/>
      <w:pStyle w:val="963"/>
      <w:isLgl w:val="false"/>
      <w:suff w:val="tab"/>
      <w:lvlText w:val="%1)"/>
      <w:lvlJc w:val="left"/>
      <w:pPr>
        <w:pStyle w:val="853"/>
        <w:ind w:left="420" w:hanging="420"/>
      </w:pPr>
    </w:lvl>
    <w:lvl w:ilvl="1">
      <w:start w:val="1"/>
      <w:numFmt w:val="lowerLetter"/>
      <w:isLgl w:val="false"/>
      <w:suff w:val="tab"/>
      <w:lvlText w:val="%2)"/>
      <w:lvlJc w:val="left"/>
      <w:pPr>
        <w:pStyle w:val="853"/>
        <w:ind w:left="840" w:hanging="420"/>
      </w:pPr>
    </w:lvl>
    <w:lvl w:ilvl="2">
      <w:start w:val="1"/>
      <w:numFmt w:val="lowerRoman"/>
      <w:isLgl w:val="false"/>
      <w:suff w:val="tab"/>
      <w:lvlText w:val="%3."/>
      <w:lvlJc w:val="right"/>
      <w:pPr>
        <w:pStyle w:val="853"/>
        <w:ind w:left="1260" w:hanging="420"/>
      </w:pPr>
    </w:lvl>
    <w:lvl w:ilvl="3">
      <w:start w:val="1"/>
      <w:numFmt w:val="decimal"/>
      <w:isLgl w:val="false"/>
      <w:suff w:val="tab"/>
      <w:lvlText w:val="%4."/>
      <w:lvlJc w:val="left"/>
      <w:pPr>
        <w:pStyle w:val="853"/>
        <w:ind w:left="1680" w:hanging="420"/>
      </w:pPr>
    </w:lvl>
    <w:lvl w:ilvl="4">
      <w:start w:val="1"/>
      <w:numFmt w:val="lowerLetter"/>
      <w:isLgl w:val="false"/>
      <w:suff w:val="tab"/>
      <w:lvlText w:val="%5)"/>
      <w:lvlJc w:val="left"/>
      <w:pPr>
        <w:pStyle w:val="853"/>
        <w:ind w:left="2100" w:hanging="420"/>
      </w:pPr>
    </w:lvl>
    <w:lvl w:ilvl="5">
      <w:start w:val="1"/>
      <w:numFmt w:val="lowerRoman"/>
      <w:isLgl w:val="false"/>
      <w:suff w:val="tab"/>
      <w:lvlText w:val="%6."/>
      <w:lvlJc w:val="right"/>
      <w:pPr>
        <w:pStyle w:val="853"/>
        <w:ind w:left="2520" w:hanging="420"/>
      </w:pPr>
    </w:lvl>
    <w:lvl w:ilvl="6">
      <w:start w:val="1"/>
      <w:numFmt w:val="decimal"/>
      <w:isLgl w:val="false"/>
      <w:suff w:val="tab"/>
      <w:lvlText w:val="%7."/>
      <w:lvlJc w:val="left"/>
      <w:pPr>
        <w:pStyle w:val="853"/>
        <w:ind w:left="2940" w:hanging="420"/>
      </w:pPr>
    </w:lvl>
    <w:lvl w:ilvl="7">
      <w:start w:val="1"/>
      <w:numFmt w:val="lowerLetter"/>
      <w:isLgl w:val="false"/>
      <w:suff w:val="tab"/>
      <w:lvlText w:val="%8)"/>
      <w:lvlJc w:val="left"/>
      <w:pPr>
        <w:pStyle w:val="853"/>
        <w:ind w:left="3360" w:hanging="420"/>
      </w:pPr>
    </w:lvl>
    <w:lvl w:ilvl="8">
      <w:start w:val="1"/>
      <w:numFmt w:val="lowerRoman"/>
      <w:isLgl w:val="false"/>
      <w:suff w:val="tab"/>
      <w:lvlText w:val="%9."/>
      <w:lvlJc w:val="right"/>
      <w:pPr>
        <w:pStyle w:val="853"/>
        <w:ind w:left="3780" w:hanging="420"/>
      </w:pPr>
    </w:lvl>
  </w:abstractNum>
  <w:abstractNum w:abstractNumId="7">
    <w:multiLevelType w:val="hybridMultilevel"/>
    <w:lvl w:ilvl="0">
      <w:start w:val="1"/>
      <w:numFmt w:val="decimal"/>
      <w:pStyle w:val="1063"/>
      <w:isLgl w:val="false"/>
      <w:suff w:val="tab"/>
      <w:lvlText w:val="%1"/>
      <w:lvlJc w:val="left"/>
      <w:pPr>
        <w:pStyle w:val="853"/>
        <w:ind w:left="680" w:hanging="680"/>
      </w:pPr>
      <w:rPr>
        <w:rFonts w:hint="eastAsia" w:ascii="宋体" w:hAnsi="宋体" w:eastAsia="宋体"/>
      </w:rPr>
    </w:lvl>
    <w:lvl w:ilvl="1">
      <w:start w:val="1"/>
      <w:numFmt w:val="decimal"/>
      <w:pStyle w:val="1064"/>
      <w:isLgl w:val="false"/>
      <w:suff w:val="tab"/>
      <w:lvlText w:val="%1.%2"/>
      <w:lvlJc w:val="left"/>
      <w:pPr>
        <w:pStyle w:val="853"/>
        <w:ind w:left="851" w:hanging="851"/>
      </w:pPr>
      <w:rPr>
        <w:rFonts w:hint="eastAsia" w:ascii="宋体" w:hAnsi="宋体" w:eastAsia="宋体"/>
        <w:color w:val="000000"/>
      </w:rPr>
    </w:lvl>
    <w:lvl w:ilvl="2">
      <w:start w:val="1"/>
      <w:numFmt w:val="decimal"/>
      <w:pStyle w:val="1065"/>
      <w:isLgl w:val="false"/>
      <w:suff w:val="tab"/>
      <w:lvlText w:val="%1.%2.%3"/>
      <w:lvlJc w:val="left"/>
      <w:pPr>
        <w:pStyle w:val="853"/>
        <w:ind w:left="851" w:hanging="851"/>
      </w:pPr>
      <w:rPr>
        <w:rFonts w:hint="eastAsia"/>
      </w:rPr>
    </w:lvl>
    <w:lvl w:ilvl="3">
      <w:start w:val="1"/>
      <w:numFmt w:val="decimal"/>
      <w:isLgl w:val="false"/>
      <w:suff w:val="tab"/>
      <w:lvlText w:val="%1.%2.%3.%4"/>
      <w:lvlJc w:val="left"/>
      <w:pPr>
        <w:pStyle w:val="853"/>
        <w:ind w:left="680" w:hanging="680"/>
      </w:pPr>
      <w:rPr>
        <w:rFonts w:hint="eastAsia"/>
      </w:rPr>
    </w:lvl>
    <w:lvl w:ilvl="4">
      <w:start w:val="1"/>
      <w:numFmt w:val="decimal"/>
      <w:isLgl w:val="false"/>
      <w:suff w:val="tab"/>
      <w:lvlText w:val="%1.%2.%3.%4.%5"/>
      <w:lvlJc w:val="left"/>
      <w:pPr>
        <w:pStyle w:val="853"/>
        <w:ind w:left="680" w:hanging="680"/>
      </w:pPr>
      <w:rPr>
        <w:rFonts w:hint="eastAsia"/>
      </w:rPr>
    </w:lvl>
    <w:lvl w:ilvl="5">
      <w:start w:val="1"/>
      <w:numFmt w:val="decimal"/>
      <w:isLgl w:val="false"/>
      <w:suff w:val="tab"/>
      <w:lvlText w:val="%1.%2.%3.%4.%5.%6"/>
      <w:lvlJc w:val="left"/>
      <w:pPr>
        <w:pStyle w:val="853"/>
        <w:ind w:left="680" w:hanging="680"/>
      </w:pPr>
      <w:rPr>
        <w:rFonts w:hint="eastAsia"/>
      </w:rPr>
    </w:lvl>
    <w:lvl w:ilvl="6">
      <w:start w:val="1"/>
      <w:numFmt w:val="decimal"/>
      <w:isLgl w:val="false"/>
      <w:suff w:val="tab"/>
      <w:lvlText w:val="%1.%2.%3.%4.%5.%6.%7"/>
      <w:lvlJc w:val="left"/>
      <w:pPr>
        <w:pStyle w:val="853"/>
        <w:ind w:left="680" w:hanging="680"/>
      </w:pPr>
      <w:rPr>
        <w:rFonts w:hint="eastAsia"/>
      </w:rPr>
    </w:lvl>
    <w:lvl w:ilvl="7">
      <w:start w:val="1"/>
      <w:numFmt w:val="decimal"/>
      <w:isLgl w:val="false"/>
      <w:suff w:val="tab"/>
      <w:lvlText w:val="%1.%2.%3.%4.%5.%6.%7.%8"/>
      <w:lvlJc w:val="left"/>
      <w:pPr>
        <w:pStyle w:val="853"/>
        <w:ind w:left="680" w:hanging="680"/>
      </w:pPr>
      <w:rPr>
        <w:rFonts w:hint="eastAsia"/>
      </w:rPr>
    </w:lvl>
    <w:lvl w:ilvl="8">
      <w:start w:val="1"/>
      <w:numFmt w:val="decimal"/>
      <w:isLgl w:val="false"/>
      <w:suff w:val="tab"/>
      <w:lvlText w:val="%1.%2.%3.%4.%5.%6.%7.%8.%9"/>
      <w:lvlJc w:val="left"/>
      <w:pPr>
        <w:pStyle w:val="853"/>
        <w:ind w:left="680" w:hanging="680"/>
      </w:pPr>
      <w:rPr>
        <w:rFonts w:hint="eastAsia"/>
      </w:rPr>
    </w:lvl>
  </w:abstractNum>
  <w:abstractNum w:abstractNumId="8">
    <w:multiLevelType w:val="hybridMultilevel"/>
    <w:lvl w:ilvl="0">
      <w:start w:val="1"/>
      <w:numFmt w:val="decimal"/>
      <w:isLgl w:val="false"/>
      <w:suff w:val="tab"/>
      <w:lvlText w:val="%1."/>
      <w:lvlJc w:val="left"/>
      <w:pPr>
        <w:pStyle w:val="853"/>
        <w:ind w:left="1965" w:hanging="705"/>
        <w:tabs>
          <w:tab w:val="num" w:pos="1965" w:leader="none"/>
        </w:tabs>
      </w:pPr>
    </w:lvl>
    <w:lvl w:ilvl="1">
      <w:start w:val="1"/>
      <w:numFmt w:val="decimal"/>
      <w:isLgl w:val="false"/>
      <w:suff w:val="tab"/>
      <w:lvlText w:val="（%2）"/>
      <w:lvlJc w:val="left"/>
      <w:pPr>
        <w:pStyle w:val="853"/>
        <w:ind w:left="1140" w:hanging="720"/>
        <w:tabs>
          <w:tab w:val="num" w:pos="1140" w:leader="none"/>
        </w:tabs>
      </w:pPr>
    </w:lvl>
    <w:lvl w:ilvl="2">
      <w:start w:val="1"/>
      <w:numFmt w:val="lowerRoman"/>
      <w:isLgl w:val="false"/>
      <w:suff w:val="tab"/>
      <w:lvlText w:val="%3."/>
      <w:lvlJc w:val="right"/>
      <w:pPr>
        <w:pStyle w:val="853"/>
        <w:ind w:left="1260" w:hanging="420"/>
        <w:tabs>
          <w:tab w:val="num" w:pos="126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9">
    <w:multiLevelType w:val="hybridMultilevel"/>
    <w:lvl w:ilvl="0">
      <w:start w:val="1"/>
      <w:numFmt w:val="chineseCounting"/>
      <w:isLgl w:val="false"/>
      <w:suff w:val="nothing"/>
      <w:lvlText w:val="%1、"/>
      <w:lvlJc w:val="left"/>
      <w:pPr>
        <w:pStyle w:val="853"/>
        <w:ind w:left="0" w:firstLine="0"/>
      </w:pPr>
    </w:lvl>
    <w:lvl w:ilvl="1">
      <w:start w:val="1"/>
      <w:numFmt w:val="bullet"/>
      <w:isLgl w:val="false"/>
      <w:suff w:val="tab"/>
      <w:lvlText w:val="o"/>
      <w:lvlJc w:val="left"/>
      <w:pPr>
        <w:pStyle w:val="853"/>
        <w:ind w:left="1440" w:hanging="360"/>
      </w:pPr>
      <w:rPr>
        <w:rFonts w:ascii="Courier New" w:hAnsi="Courier New" w:eastAsia="Courier New" w:cs="Courier New"/>
      </w:rPr>
    </w:lvl>
    <w:lvl w:ilvl="2">
      <w:start w:val="1"/>
      <w:numFmt w:val="bullet"/>
      <w:isLgl w:val="false"/>
      <w:suff w:val="tab"/>
      <w:lvlText w:val="§"/>
      <w:lvlJc w:val="left"/>
      <w:pPr>
        <w:pStyle w:val="853"/>
        <w:ind w:left="2160" w:hanging="360"/>
      </w:pPr>
      <w:rPr>
        <w:rFonts w:ascii="Wingdings" w:hAnsi="Wingdings" w:eastAsia="Wingdings" w:cs="Wingdings"/>
      </w:rPr>
    </w:lvl>
    <w:lvl w:ilvl="3">
      <w:start w:val="1"/>
      <w:numFmt w:val="bullet"/>
      <w:isLgl w:val="false"/>
      <w:suff w:val="tab"/>
      <w:lvlText w:val="·"/>
      <w:lvlJc w:val="left"/>
      <w:pPr>
        <w:pStyle w:val="853"/>
        <w:ind w:left="2880" w:hanging="360"/>
      </w:pPr>
      <w:rPr>
        <w:rFonts w:ascii="Symbol" w:hAnsi="Symbol" w:eastAsia="Symbol" w:cs="Symbol"/>
      </w:rPr>
    </w:lvl>
    <w:lvl w:ilvl="4">
      <w:start w:val="1"/>
      <w:numFmt w:val="bullet"/>
      <w:isLgl w:val="false"/>
      <w:suff w:val="tab"/>
      <w:lvlText w:val="o"/>
      <w:lvlJc w:val="left"/>
      <w:pPr>
        <w:pStyle w:val="853"/>
        <w:ind w:left="3600" w:hanging="360"/>
      </w:pPr>
      <w:rPr>
        <w:rFonts w:ascii="Courier New" w:hAnsi="Courier New" w:eastAsia="Courier New" w:cs="Courier New"/>
      </w:rPr>
    </w:lvl>
    <w:lvl w:ilvl="5">
      <w:start w:val="1"/>
      <w:numFmt w:val="bullet"/>
      <w:isLgl w:val="false"/>
      <w:suff w:val="tab"/>
      <w:lvlText w:val="§"/>
      <w:lvlJc w:val="left"/>
      <w:pPr>
        <w:pStyle w:val="853"/>
        <w:ind w:left="4320" w:hanging="360"/>
      </w:pPr>
      <w:rPr>
        <w:rFonts w:ascii="Wingdings" w:hAnsi="Wingdings" w:eastAsia="Wingdings" w:cs="Wingdings"/>
      </w:rPr>
    </w:lvl>
    <w:lvl w:ilvl="6">
      <w:start w:val="1"/>
      <w:numFmt w:val="bullet"/>
      <w:isLgl w:val="false"/>
      <w:suff w:val="tab"/>
      <w:lvlText w:val="·"/>
      <w:lvlJc w:val="left"/>
      <w:pPr>
        <w:pStyle w:val="853"/>
        <w:ind w:left="5040" w:hanging="360"/>
      </w:pPr>
      <w:rPr>
        <w:rFonts w:ascii="Symbol" w:hAnsi="Symbol" w:eastAsia="Symbol" w:cs="Symbol"/>
      </w:rPr>
    </w:lvl>
    <w:lvl w:ilvl="7">
      <w:start w:val="1"/>
      <w:numFmt w:val="bullet"/>
      <w:isLgl w:val="false"/>
      <w:suff w:val="tab"/>
      <w:lvlText w:val="o"/>
      <w:lvlJc w:val="left"/>
      <w:pPr>
        <w:pStyle w:val="853"/>
        <w:ind w:left="5760" w:hanging="360"/>
      </w:pPr>
      <w:rPr>
        <w:rFonts w:ascii="Courier New" w:hAnsi="Courier New" w:eastAsia="Courier New" w:cs="Courier New"/>
      </w:rPr>
    </w:lvl>
    <w:lvl w:ilvl="8">
      <w:start w:val="1"/>
      <w:numFmt w:val="bullet"/>
      <w:isLgl w:val="false"/>
      <w:suff w:val="tab"/>
      <w:lvlText w:val="§"/>
      <w:lvlJc w:val="left"/>
      <w:pPr>
        <w:pStyle w:val="853"/>
        <w:ind w:left="6480" w:hanging="360"/>
      </w:pPr>
      <w:rPr>
        <w:rFonts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3"/>
    <w:next w:val="8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3"/>
    <w:next w:val="8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3"/>
    <w:next w:val="8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3"/>
    <w:next w:val="8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3"/>
    <w:next w:val="8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3"/>
    <w:next w:val="8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3"/>
    <w:next w:val="8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3"/>
    <w:next w:val="8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3"/>
    <w:next w:val="8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3"/>
    <w:next w:val="8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3"/>
    <w:next w:val="853"/>
    <w:link w:val="38"/>
    <w:uiPriority w:val="29"/>
    <w:qFormat/>
    <w:pPr>
      <w:ind w:left="720" w:right="720"/>
    </w:pPr>
    <w:rPr>
      <w:i/>
    </w:rPr>
  </w:style>
  <w:style w:type="character" w:styleId="38">
    <w:name w:val="Quote Char"/>
    <w:link w:val="37"/>
    <w:uiPriority w:val="29"/>
    <w:rPr>
      <w:i/>
    </w:rPr>
  </w:style>
  <w:style w:type="paragraph" w:styleId="39">
    <w:name w:val="Intense Quote"/>
    <w:basedOn w:val="853"/>
    <w:next w:val="8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3"/>
    <w:next w:val="8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3"/>
    <w:next w:val="853"/>
    <w:uiPriority w:val="39"/>
    <w:unhideWhenUsed/>
    <w:pPr>
      <w:ind w:left="0" w:right="0" w:firstLine="0"/>
      <w:spacing w:after="57"/>
    </w:pPr>
  </w:style>
  <w:style w:type="paragraph" w:styleId="181">
    <w:name w:val="toc 2"/>
    <w:basedOn w:val="853"/>
    <w:next w:val="853"/>
    <w:uiPriority w:val="39"/>
    <w:unhideWhenUsed/>
    <w:pPr>
      <w:ind w:left="283" w:right="0" w:firstLine="0"/>
      <w:spacing w:after="57"/>
    </w:pPr>
  </w:style>
  <w:style w:type="paragraph" w:styleId="182">
    <w:name w:val="toc 3"/>
    <w:basedOn w:val="853"/>
    <w:next w:val="853"/>
    <w:uiPriority w:val="39"/>
    <w:unhideWhenUsed/>
    <w:pPr>
      <w:ind w:left="567" w:right="0" w:firstLine="0"/>
      <w:spacing w:after="57"/>
    </w:pPr>
  </w:style>
  <w:style w:type="paragraph" w:styleId="183">
    <w:name w:val="toc 4"/>
    <w:basedOn w:val="853"/>
    <w:next w:val="853"/>
    <w:uiPriority w:val="39"/>
    <w:unhideWhenUsed/>
    <w:pPr>
      <w:ind w:left="850" w:right="0" w:firstLine="0"/>
      <w:spacing w:after="57"/>
    </w:pPr>
  </w:style>
  <w:style w:type="paragraph" w:styleId="184">
    <w:name w:val="toc 5"/>
    <w:basedOn w:val="853"/>
    <w:next w:val="853"/>
    <w:uiPriority w:val="39"/>
    <w:unhideWhenUsed/>
    <w:pPr>
      <w:ind w:left="1134" w:right="0" w:firstLine="0"/>
      <w:spacing w:after="57"/>
    </w:pPr>
  </w:style>
  <w:style w:type="paragraph" w:styleId="185">
    <w:name w:val="toc 6"/>
    <w:basedOn w:val="853"/>
    <w:next w:val="853"/>
    <w:uiPriority w:val="39"/>
    <w:unhideWhenUsed/>
    <w:pPr>
      <w:ind w:left="1417" w:right="0" w:firstLine="0"/>
      <w:spacing w:after="57"/>
    </w:pPr>
  </w:style>
  <w:style w:type="paragraph" w:styleId="186">
    <w:name w:val="toc 7"/>
    <w:basedOn w:val="853"/>
    <w:next w:val="853"/>
    <w:uiPriority w:val="39"/>
    <w:unhideWhenUsed/>
    <w:pPr>
      <w:ind w:left="1701" w:right="0" w:firstLine="0"/>
      <w:spacing w:after="57"/>
    </w:pPr>
  </w:style>
  <w:style w:type="paragraph" w:styleId="187">
    <w:name w:val="toc 8"/>
    <w:basedOn w:val="853"/>
    <w:next w:val="853"/>
    <w:uiPriority w:val="39"/>
    <w:unhideWhenUsed/>
    <w:pPr>
      <w:ind w:left="1984" w:right="0" w:firstLine="0"/>
      <w:spacing w:after="57"/>
    </w:pPr>
  </w:style>
  <w:style w:type="paragraph" w:styleId="188">
    <w:name w:val="toc 9"/>
    <w:basedOn w:val="853"/>
    <w:next w:val="8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sz w:val="21"/>
      <w:szCs w:val="24"/>
      <w:lang w:val="en-US" w:eastAsia="zh-CN" w:bidi="ar-SA"/>
    </w:rPr>
  </w:style>
  <w:style w:type="paragraph" w:styleId="854">
    <w:name w:val="标题 1"/>
    <w:basedOn w:val="853"/>
    <w:next w:val="853"/>
    <w:link w:val="865"/>
    <w:qFormat/>
    <w:pPr>
      <w:jc w:val="center"/>
      <w:keepLines/>
      <w:keepNext/>
      <w:spacing w:before="240" w:after="120" w:line="300" w:lineRule="auto"/>
      <w:outlineLvl w:val="0"/>
    </w:pPr>
    <w:rPr>
      <w:rFonts w:ascii="宋体"/>
      <w:b/>
      <w:sz w:val="32"/>
      <w:szCs w:val="20"/>
    </w:rPr>
  </w:style>
  <w:style w:type="paragraph" w:styleId="855">
    <w:name w:val="标题 2"/>
    <w:basedOn w:val="853"/>
    <w:next w:val="867"/>
    <w:link w:val="866"/>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856">
    <w:name w:val="标题 3"/>
    <w:basedOn w:val="853"/>
    <w:next w:val="853"/>
    <w:link w:val="869"/>
    <w:qFormat/>
    <w:pPr>
      <w:jc w:val="left"/>
      <w:keepLines/>
      <w:keepNext/>
      <w:spacing w:before="360" w:after="120"/>
      <w:outlineLvl w:val="2"/>
    </w:pPr>
    <w:rPr>
      <w:rFonts w:ascii="宋体"/>
      <w:b/>
      <w:sz w:val="24"/>
      <w:szCs w:val="20"/>
      <w:u w:val="single"/>
    </w:rPr>
  </w:style>
  <w:style w:type="paragraph" w:styleId="857">
    <w:name w:val="标题 4"/>
    <w:basedOn w:val="853"/>
    <w:next w:val="853"/>
    <w:link w:val="870"/>
    <w:qFormat/>
    <w:pPr>
      <w:keepLines/>
      <w:keepNext/>
      <w:spacing w:before="280" w:after="290" w:line="376" w:lineRule="atLeast"/>
      <w:outlineLvl w:val="3"/>
    </w:pPr>
    <w:rPr>
      <w:rFonts w:ascii="Arial" w:hAnsi="Arial" w:eastAsia="黑体"/>
      <w:b/>
      <w:sz w:val="28"/>
      <w:szCs w:val="20"/>
    </w:rPr>
  </w:style>
  <w:style w:type="paragraph" w:styleId="858">
    <w:name w:val="标题 5"/>
    <w:basedOn w:val="853"/>
    <w:next w:val="853"/>
    <w:link w:val="871"/>
    <w:qFormat/>
    <w:pPr>
      <w:keepLines/>
      <w:keepNext/>
      <w:spacing w:before="280" w:after="290" w:line="376" w:lineRule="atLeast"/>
      <w:outlineLvl w:val="4"/>
    </w:pPr>
    <w:rPr>
      <w:b/>
      <w:sz w:val="28"/>
      <w:szCs w:val="20"/>
    </w:rPr>
  </w:style>
  <w:style w:type="paragraph" w:styleId="859">
    <w:name w:val="标题 6"/>
    <w:basedOn w:val="853"/>
    <w:next w:val="853"/>
    <w:link w:val="872"/>
    <w:qFormat/>
    <w:pPr>
      <w:keepLines/>
      <w:keepNext/>
      <w:spacing w:before="240" w:after="64" w:line="320" w:lineRule="atLeast"/>
      <w:outlineLvl w:val="5"/>
    </w:pPr>
    <w:rPr>
      <w:rFonts w:ascii="Arial" w:hAnsi="Arial" w:eastAsia="黑体"/>
      <w:b/>
      <w:sz w:val="24"/>
      <w:szCs w:val="20"/>
    </w:rPr>
  </w:style>
  <w:style w:type="paragraph" w:styleId="860">
    <w:name w:val="标题 7"/>
    <w:basedOn w:val="853"/>
    <w:next w:val="853"/>
    <w:link w:val="873"/>
    <w:qFormat/>
    <w:pPr>
      <w:keepLines/>
      <w:keepNext/>
      <w:spacing w:before="240" w:after="64" w:line="320" w:lineRule="atLeast"/>
      <w:outlineLvl w:val="6"/>
    </w:pPr>
    <w:rPr>
      <w:b/>
      <w:sz w:val="24"/>
      <w:szCs w:val="20"/>
    </w:rPr>
  </w:style>
  <w:style w:type="paragraph" w:styleId="861">
    <w:name w:val="标题 8"/>
    <w:basedOn w:val="853"/>
    <w:next w:val="853"/>
    <w:link w:val="874"/>
    <w:qFormat/>
    <w:pPr>
      <w:keepLines/>
      <w:keepNext/>
      <w:spacing w:before="240" w:after="64" w:line="320" w:lineRule="atLeast"/>
      <w:outlineLvl w:val="7"/>
    </w:pPr>
    <w:rPr>
      <w:rFonts w:ascii="Arial" w:hAnsi="Arial" w:eastAsia="黑体"/>
      <w:sz w:val="24"/>
      <w:szCs w:val="20"/>
    </w:rPr>
  </w:style>
  <w:style w:type="paragraph" w:styleId="862">
    <w:name w:val="标题 9"/>
    <w:basedOn w:val="853"/>
    <w:next w:val="853"/>
    <w:link w:val="875"/>
    <w:qFormat/>
    <w:pPr>
      <w:keepLines/>
      <w:keepNext/>
      <w:spacing w:before="240" w:after="64" w:line="320" w:lineRule="atLeast"/>
      <w:outlineLvl w:val="8"/>
    </w:pPr>
    <w:rPr>
      <w:rFonts w:ascii="Arial" w:hAnsi="Arial" w:eastAsia="黑体"/>
      <w:szCs w:val="20"/>
    </w:rPr>
  </w:style>
  <w:style w:type="character" w:styleId="863">
    <w:name w:val="默认段落字体"/>
    <w:next w:val="863"/>
    <w:link w:val="853"/>
    <w:uiPriority w:val="1"/>
    <w:unhideWhenUsed/>
    <w:qFormat/>
  </w:style>
  <w:style w:type="table" w:styleId="864">
    <w:name w:val="普通表格"/>
    <w:next w:val="864"/>
    <w:link w:val="853"/>
    <w:uiPriority w:val="99"/>
    <w:unhideWhenUsed/>
    <w:qFormat/>
    <w:tblPr/>
  </w:style>
  <w:style w:type="character" w:styleId="865">
    <w:name w:val="标题 1 字符1"/>
    <w:next w:val="865"/>
    <w:link w:val="854"/>
    <w:uiPriority w:val="99"/>
    <w:qFormat/>
    <w:rPr>
      <w:rFonts w:eastAsia="黑体"/>
      <w:sz w:val="30"/>
    </w:rPr>
  </w:style>
  <w:style w:type="character" w:styleId="866">
    <w:name w:val="标题 2 字符"/>
    <w:next w:val="866"/>
    <w:link w:val="855"/>
    <w:qFormat/>
    <w:rPr>
      <w:rFonts w:ascii="Arial" w:hAnsi="Arial" w:eastAsia="黑体"/>
      <w:b/>
      <w:sz w:val="30"/>
      <w:lang w:val="en-US" w:eastAsia="zh-CN" w:bidi="ar-SA"/>
    </w:rPr>
  </w:style>
  <w:style w:type="paragraph" w:styleId="867">
    <w:name w:val="正文缩进"/>
    <w:basedOn w:val="853"/>
    <w:next w:val="867"/>
    <w:link w:val="868"/>
    <w:qFormat/>
    <w:pPr>
      <w:ind w:firstLine="420"/>
      <w:jc w:val="left"/>
    </w:pPr>
    <w:rPr>
      <w:rFonts w:ascii="宋体"/>
      <w:sz w:val="24"/>
    </w:rPr>
  </w:style>
  <w:style w:type="character" w:styleId="868">
    <w:name w:val="正文缩进 字符"/>
    <w:next w:val="868"/>
    <w:link w:val="867"/>
    <w:qFormat/>
    <w:rPr>
      <w:rFonts w:ascii="宋体" w:eastAsia="宋体"/>
      <w:sz w:val="24"/>
      <w:szCs w:val="24"/>
      <w:lang w:val="en-US" w:eastAsia="zh-CN" w:bidi="ar-SA"/>
    </w:rPr>
  </w:style>
  <w:style w:type="character" w:styleId="869">
    <w:name w:val="标题 3 字符"/>
    <w:next w:val="869"/>
    <w:link w:val="856"/>
    <w:qFormat/>
    <w:rPr>
      <w:rFonts w:ascii="宋体" w:eastAsia="宋体"/>
      <w:b/>
      <w:sz w:val="24"/>
      <w:u w:val="single"/>
      <w:lang w:val="en-US" w:eastAsia="zh-CN" w:bidi="ar-SA"/>
    </w:rPr>
  </w:style>
  <w:style w:type="character" w:styleId="870">
    <w:name w:val="标题 4 字符"/>
    <w:next w:val="870"/>
    <w:link w:val="857"/>
    <w:qFormat/>
    <w:rPr>
      <w:rFonts w:ascii="Arial" w:hAnsi="Arial" w:eastAsia="黑体"/>
      <w:b/>
      <w:sz w:val="28"/>
    </w:rPr>
  </w:style>
  <w:style w:type="character" w:styleId="871">
    <w:name w:val="标题 5 字符"/>
    <w:next w:val="871"/>
    <w:link w:val="858"/>
    <w:qFormat/>
    <w:rPr>
      <w:b/>
      <w:sz w:val="28"/>
    </w:rPr>
  </w:style>
  <w:style w:type="character" w:styleId="872">
    <w:name w:val="标题 6 字符"/>
    <w:next w:val="872"/>
    <w:link w:val="859"/>
    <w:qFormat/>
    <w:rPr>
      <w:rFonts w:ascii="Arial" w:hAnsi="Arial" w:eastAsia="黑体"/>
      <w:b/>
      <w:sz w:val="24"/>
    </w:rPr>
  </w:style>
  <w:style w:type="character" w:styleId="873">
    <w:name w:val="标题 7 字符"/>
    <w:next w:val="873"/>
    <w:link w:val="860"/>
    <w:qFormat/>
    <w:rPr>
      <w:b/>
      <w:sz w:val="24"/>
    </w:rPr>
  </w:style>
  <w:style w:type="character" w:styleId="874">
    <w:name w:val="标题 8 字符"/>
    <w:next w:val="874"/>
    <w:link w:val="861"/>
    <w:qFormat/>
    <w:rPr>
      <w:rFonts w:ascii="Arial" w:hAnsi="Arial" w:eastAsia="黑体"/>
      <w:sz w:val="24"/>
    </w:rPr>
  </w:style>
  <w:style w:type="character" w:styleId="875">
    <w:name w:val="标题 9 字符"/>
    <w:next w:val="875"/>
    <w:link w:val="862"/>
    <w:qFormat/>
    <w:rPr>
      <w:rFonts w:ascii="Arial" w:hAnsi="Arial" w:eastAsia="黑体"/>
      <w:sz w:val="21"/>
    </w:rPr>
  </w:style>
  <w:style w:type="paragraph" w:styleId="876">
    <w:name w:val="目录 7"/>
    <w:basedOn w:val="853"/>
    <w:next w:val="853"/>
    <w:link w:val="853"/>
    <w:qFormat/>
    <w:pPr>
      <w:ind w:left="2520"/>
    </w:pPr>
  </w:style>
  <w:style w:type="paragraph" w:styleId="877">
    <w:name w:val="题注"/>
    <w:basedOn w:val="853"/>
    <w:next w:val="853"/>
    <w:link w:val="853"/>
    <w:qFormat/>
    <w:pPr>
      <w:spacing w:line="480" w:lineRule="auto"/>
    </w:pPr>
    <w:rPr>
      <w:rFonts w:ascii="华文中宋" w:hAnsi="华文中宋" w:eastAsia="华文中宋"/>
      <w:sz w:val="36"/>
      <w:szCs w:val="20"/>
    </w:rPr>
  </w:style>
  <w:style w:type="paragraph" w:styleId="878">
    <w:name w:val="文档结构图"/>
    <w:basedOn w:val="853"/>
    <w:next w:val="878"/>
    <w:link w:val="879"/>
    <w:qFormat/>
    <w:pPr>
      <w:shd w:val="clear" w:color="auto" w:fill="000080"/>
    </w:pPr>
  </w:style>
  <w:style w:type="character" w:styleId="879">
    <w:name w:val="文档结构图 字符"/>
    <w:next w:val="879"/>
    <w:link w:val="878"/>
    <w:qFormat/>
    <w:rPr>
      <w:sz w:val="21"/>
      <w:szCs w:val="24"/>
      <w:shd w:val="clear" w:color="auto" w:fill="000080"/>
    </w:rPr>
  </w:style>
  <w:style w:type="paragraph" w:styleId="880">
    <w:name w:val="批注文字"/>
    <w:basedOn w:val="853"/>
    <w:next w:val="880"/>
    <w:link w:val="881"/>
    <w:uiPriority w:val="99"/>
    <w:qFormat/>
    <w:pPr>
      <w:jc w:val="left"/>
    </w:pPr>
  </w:style>
  <w:style w:type="character" w:styleId="881">
    <w:name w:val="批注文字 字符1"/>
    <w:next w:val="881"/>
    <w:link w:val="880"/>
    <w:uiPriority w:val="99"/>
    <w:qFormat/>
    <w:rPr>
      <w:sz w:val="21"/>
      <w:szCs w:val="24"/>
    </w:rPr>
  </w:style>
  <w:style w:type="paragraph" w:styleId="882">
    <w:name w:val="正文文本 3"/>
    <w:basedOn w:val="853"/>
    <w:next w:val="882"/>
    <w:link w:val="883"/>
    <w:qFormat/>
    <w:pPr>
      <w:spacing w:after="120"/>
    </w:pPr>
    <w:rPr>
      <w:sz w:val="16"/>
      <w:szCs w:val="16"/>
    </w:rPr>
  </w:style>
  <w:style w:type="character" w:styleId="883">
    <w:name w:val="正文文本 3 字符"/>
    <w:next w:val="883"/>
    <w:link w:val="882"/>
    <w:qFormat/>
    <w:rPr>
      <w:sz w:val="16"/>
      <w:szCs w:val="16"/>
    </w:rPr>
  </w:style>
  <w:style w:type="paragraph" w:styleId="884">
    <w:name w:val="正文文本"/>
    <w:basedOn w:val="853"/>
    <w:next w:val="884"/>
    <w:link w:val="885"/>
    <w:qFormat/>
    <w:pPr>
      <w:spacing w:before="120" w:line="22" w:lineRule="atLeast"/>
      <w:tabs>
        <w:tab w:val="left" w:pos="567" w:leader="none"/>
      </w:tabs>
    </w:pPr>
    <w:rPr>
      <w:rFonts w:ascii="宋体" w:hAnsi="宋体"/>
      <w:sz w:val="24"/>
    </w:rPr>
  </w:style>
  <w:style w:type="character" w:styleId="885">
    <w:name w:val="正文文本 字符"/>
    <w:next w:val="885"/>
    <w:link w:val="884"/>
    <w:qFormat/>
    <w:rPr>
      <w:rFonts w:ascii="宋体" w:hAnsi="宋体"/>
      <w:sz w:val="24"/>
      <w:szCs w:val="24"/>
    </w:rPr>
  </w:style>
  <w:style w:type="paragraph" w:styleId="886">
    <w:name w:val="正文文本缩进"/>
    <w:basedOn w:val="853"/>
    <w:next w:val="886"/>
    <w:link w:val="887"/>
    <w:qFormat/>
    <w:pPr>
      <w:ind w:firstLine="570"/>
      <w:spacing w:line="360" w:lineRule="auto"/>
    </w:pPr>
    <w:rPr>
      <w:sz w:val="24"/>
    </w:rPr>
  </w:style>
  <w:style w:type="character" w:styleId="887">
    <w:name w:val="正文文本缩进 字符"/>
    <w:next w:val="887"/>
    <w:link w:val="886"/>
    <w:qFormat/>
    <w:rPr>
      <w:rFonts w:eastAsia="宋体"/>
      <w:sz w:val="24"/>
      <w:szCs w:val="24"/>
      <w:lang w:val="en-US" w:eastAsia="zh-CN" w:bidi="ar-SA"/>
    </w:rPr>
  </w:style>
  <w:style w:type="paragraph" w:styleId="888">
    <w:name w:val="列表 2"/>
    <w:basedOn w:val="853"/>
    <w:next w:val="888"/>
    <w:link w:val="853"/>
    <w:qFormat/>
    <w:pPr>
      <w:ind w:left="100" w:hanging="200"/>
    </w:pPr>
  </w:style>
  <w:style w:type="paragraph" w:styleId="889">
    <w:name w:val="文本块"/>
    <w:basedOn w:val="853"/>
    <w:next w:val="889"/>
    <w:link w:val="853"/>
    <w:qFormat/>
    <w:pPr>
      <w:ind w:left="480" w:right="-341" w:firstLine="513"/>
      <w:widowControl/>
    </w:pPr>
    <w:rPr>
      <w:sz w:val="24"/>
      <w:szCs w:val="20"/>
    </w:rPr>
  </w:style>
  <w:style w:type="paragraph" w:styleId="890">
    <w:name w:val="目录 5"/>
    <w:basedOn w:val="853"/>
    <w:next w:val="853"/>
    <w:link w:val="853"/>
    <w:qFormat/>
    <w:pPr>
      <w:ind w:left="1680"/>
    </w:pPr>
  </w:style>
  <w:style w:type="paragraph" w:styleId="891">
    <w:name w:val="目录 3"/>
    <w:basedOn w:val="853"/>
    <w:next w:val="853"/>
    <w:link w:val="853"/>
    <w:uiPriority w:val="39"/>
    <w:qFormat/>
    <w:pPr>
      <w:ind w:left="840"/>
    </w:pPr>
  </w:style>
  <w:style w:type="paragraph" w:styleId="892">
    <w:name w:val="纯文本"/>
    <w:basedOn w:val="853"/>
    <w:next w:val="892"/>
    <w:link w:val="893"/>
    <w:qFormat/>
    <w:rPr>
      <w:rFonts w:hint="eastAsia" w:ascii="宋体" w:hAnsi="Courier New"/>
      <w:szCs w:val="20"/>
    </w:rPr>
  </w:style>
  <w:style w:type="character" w:styleId="893">
    <w:name w:val="纯文本 字符2"/>
    <w:next w:val="893"/>
    <w:link w:val="892"/>
    <w:qFormat/>
    <w:rPr>
      <w:rFonts w:hint="eastAsia" w:ascii="宋体" w:hAnsi="Courier New" w:eastAsia="宋体" w:cs="宋体"/>
      <w:sz w:val="21"/>
    </w:rPr>
  </w:style>
  <w:style w:type="paragraph" w:styleId="894">
    <w:name w:val="目录 8"/>
    <w:basedOn w:val="853"/>
    <w:next w:val="853"/>
    <w:link w:val="853"/>
    <w:qFormat/>
    <w:pPr>
      <w:ind w:left="2940"/>
    </w:pPr>
  </w:style>
  <w:style w:type="paragraph" w:styleId="895">
    <w:name w:val="日期"/>
    <w:basedOn w:val="853"/>
    <w:next w:val="853"/>
    <w:link w:val="896"/>
    <w:qFormat/>
    <w:pPr>
      <w:ind w:left="100"/>
    </w:pPr>
    <w:rPr>
      <w:rFonts w:ascii="仿宋_GB2312" w:hAnsi="宋体" w:eastAsia="仿宋_GB2312"/>
      <w:color w:val="000000"/>
      <w:sz w:val="24"/>
    </w:rPr>
  </w:style>
  <w:style w:type="character" w:styleId="896">
    <w:name w:val="日期 字符"/>
    <w:next w:val="896"/>
    <w:link w:val="895"/>
    <w:qFormat/>
    <w:rPr>
      <w:rFonts w:ascii="仿宋_GB2312" w:hAnsi="宋体" w:eastAsia="仿宋_GB2312"/>
      <w:color w:val="000000"/>
      <w:sz w:val="24"/>
      <w:szCs w:val="24"/>
    </w:rPr>
  </w:style>
  <w:style w:type="paragraph" w:styleId="897">
    <w:name w:val="正文文本缩进 2"/>
    <w:basedOn w:val="853"/>
    <w:next w:val="897"/>
    <w:link w:val="898"/>
    <w:qFormat/>
    <w:pPr>
      <w:ind w:firstLine="480"/>
    </w:pPr>
    <w:rPr>
      <w:rFonts w:ascii="仿宋_GB2312" w:eastAsia="仿宋_GB2312"/>
      <w:sz w:val="24"/>
    </w:rPr>
  </w:style>
  <w:style w:type="character" w:styleId="898">
    <w:name w:val="正文文本缩进 2 字符"/>
    <w:next w:val="898"/>
    <w:link w:val="897"/>
    <w:qFormat/>
    <w:rPr>
      <w:rFonts w:ascii="仿宋_GB2312" w:eastAsia="仿宋_GB2312"/>
      <w:sz w:val="24"/>
      <w:szCs w:val="24"/>
    </w:rPr>
  </w:style>
  <w:style w:type="paragraph" w:styleId="899">
    <w:name w:val="批注框文本"/>
    <w:basedOn w:val="853"/>
    <w:next w:val="899"/>
    <w:link w:val="900"/>
    <w:qFormat/>
    <w:rPr>
      <w:sz w:val="18"/>
      <w:szCs w:val="18"/>
    </w:rPr>
  </w:style>
  <w:style w:type="character" w:styleId="900">
    <w:name w:val="批注框文本 字符"/>
    <w:next w:val="900"/>
    <w:link w:val="899"/>
    <w:qFormat/>
    <w:rPr>
      <w:sz w:val="18"/>
      <w:szCs w:val="18"/>
    </w:rPr>
  </w:style>
  <w:style w:type="paragraph" w:styleId="901">
    <w:name w:val="页脚"/>
    <w:basedOn w:val="853"/>
    <w:next w:val="901"/>
    <w:link w:val="902"/>
    <w:uiPriority w:val="99"/>
    <w:qFormat/>
    <w:pPr>
      <w:jc w:val="left"/>
      <w:tabs>
        <w:tab w:val="center" w:pos="4153" w:leader="none"/>
        <w:tab w:val="right" w:pos="8306" w:leader="none"/>
      </w:tabs>
    </w:pPr>
    <w:rPr>
      <w:rFonts w:ascii="宋体"/>
      <w:sz w:val="18"/>
      <w:szCs w:val="20"/>
    </w:rPr>
  </w:style>
  <w:style w:type="character" w:styleId="902">
    <w:name w:val="页脚 字符"/>
    <w:next w:val="902"/>
    <w:link w:val="901"/>
    <w:uiPriority w:val="99"/>
    <w:qFormat/>
    <w:rPr>
      <w:rFonts w:ascii="宋体" w:eastAsia="宋体"/>
      <w:sz w:val="18"/>
      <w:lang w:val="en-US" w:eastAsia="zh-CN" w:bidi="ar-SA"/>
    </w:rPr>
  </w:style>
  <w:style w:type="paragraph" w:styleId="903">
    <w:name w:val="页眉"/>
    <w:basedOn w:val="853"/>
    <w:next w:val="903"/>
    <w:link w:val="904"/>
    <w:qFormat/>
    <w:pPr>
      <w:jc w:val="center"/>
      <w:tabs>
        <w:tab w:val="center" w:pos="4153" w:leader="none"/>
        <w:tab w:val="right" w:pos="8306" w:leader="none"/>
      </w:tabs>
      <w:pBdr>
        <w:bottom w:val="single" w:color="000000" w:sz="6" w:space="1"/>
      </w:pBdr>
    </w:pPr>
    <w:rPr>
      <w:sz w:val="18"/>
      <w:szCs w:val="18"/>
    </w:rPr>
  </w:style>
  <w:style w:type="character" w:styleId="904">
    <w:name w:val="页眉 字符"/>
    <w:next w:val="904"/>
    <w:link w:val="903"/>
    <w:qFormat/>
    <w:rPr>
      <w:rFonts w:eastAsia="宋体"/>
      <w:sz w:val="18"/>
      <w:szCs w:val="18"/>
      <w:lang w:val="en-US" w:eastAsia="zh-CN" w:bidi="ar-SA"/>
    </w:rPr>
  </w:style>
  <w:style w:type="paragraph" w:styleId="905">
    <w:name w:val="目录 1"/>
    <w:basedOn w:val="853"/>
    <w:next w:val="853"/>
    <w:link w:val="853"/>
    <w:uiPriority w:val="39"/>
    <w:qFormat/>
    <w:pPr>
      <w:spacing w:line="300" w:lineRule="auto"/>
      <w:tabs>
        <w:tab w:val="left" w:pos="1050" w:leader="none"/>
        <w:tab w:val="right" w:pos="8937" w:leader="dot"/>
      </w:tabs>
    </w:pPr>
    <w:rPr>
      <w:rFonts w:ascii="宋体" w:hAnsi="宋体"/>
      <w:b/>
      <w:sz w:val="24"/>
    </w:rPr>
  </w:style>
  <w:style w:type="paragraph" w:styleId="906">
    <w:name w:val="目录 4"/>
    <w:basedOn w:val="853"/>
    <w:next w:val="853"/>
    <w:link w:val="853"/>
    <w:qFormat/>
    <w:pPr>
      <w:ind w:left="1260"/>
    </w:pPr>
  </w:style>
  <w:style w:type="paragraph" w:styleId="907">
    <w:name w:val="目录 6"/>
    <w:basedOn w:val="853"/>
    <w:next w:val="853"/>
    <w:link w:val="853"/>
    <w:qFormat/>
    <w:pPr>
      <w:ind w:left="2100"/>
    </w:pPr>
  </w:style>
  <w:style w:type="paragraph" w:styleId="908">
    <w:name w:val="正文文本缩进 3"/>
    <w:basedOn w:val="853"/>
    <w:next w:val="908"/>
    <w:link w:val="909"/>
    <w:qFormat/>
    <w:pPr>
      <w:ind w:left="720" w:firstLine="480"/>
      <w:jc w:val="left"/>
      <w:spacing w:before="120" w:line="22" w:lineRule="atLeast"/>
    </w:pPr>
    <w:rPr>
      <w:rFonts w:ascii="宋体"/>
      <w:sz w:val="24"/>
      <w:szCs w:val="20"/>
    </w:rPr>
  </w:style>
  <w:style w:type="character" w:styleId="909">
    <w:name w:val="正文文本缩进 3 字符"/>
    <w:next w:val="909"/>
    <w:link w:val="908"/>
    <w:qFormat/>
    <w:rPr>
      <w:rFonts w:ascii="宋体"/>
      <w:sz w:val="24"/>
    </w:rPr>
  </w:style>
  <w:style w:type="paragraph" w:styleId="910">
    <w:name w:val="目录 2"/>
    <w:basedOn w:val="853"/>
    <w:next w:val="853"/>
    <w:link w:val="853"/>
    <w:uiPriority w:val="39"/>
    <w:qFormat/>
    <w:pPr>
      <w:ind w:left="420"/>
      <w:spacing w:line="312" w:lineRule="auto"/>
      <w:tabs>
        <w:tab w:val="right" w:pos="8937" w:leader="dot"/>
      </w:tabs>
    </w:pPr>
  </w:style>
  <w:style w:type="paragraph" w:styleId="911">
    <w:name w:val="目录 9"/>
    <w:basedOn w:val="853"/>
    <w:next w:val="853"/>
    <w:link w:val="853"/>
    <w:qFormat/>
    <w:pPr>
      <w:ind w:left="3360"/>
    </w:pPr>
  </w:style>
  <w:style w:type="paragraph" w:styleId="912">
    <w:name w:val="HTML 预设格式"/>
    <w:basedOn w:val="853"/>
    <w:next w:val="912"/>
    <w:link w:val="9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3">
    <w:name w:val="HTML 预设格式 字符"/>
    <w:next w:val="913"/>
    <w:link w:val="912"/>
    <w:qFormat/>
    <w:rPr>
      <w:rFonts w:ascii="宋体" w:hAnsi="宋体" w:cs="宋体"/>
      <w:sz w:val="24"/>
      <w:szCs w:val="24"/>
    </w:rPr>
  </w:style>
  <w:style w:type="paragraph" w:styleId="914">
    <w:name w:val="普通(网站)"/>
    <w:basedOn w:val="853"/>
    <w:next w:val="914"/>
    <w:link w:val="853"/>
    <w:uiPriority w:val="99"/>
    <w:unhideWhenUsed/>
    <w:qFormat/>
    <w:pPr>
      <w:jc w:val="left"/>
      <w:spacing w:before="100" w:beforeAutospacing="1" w:after="100" w:afterAutospacing="1"/>
      <w:widowControl/>
    </w:pPr>
    <w:rPr>
      <w:rFonts w:ascii="宋体" w:hAnsi="宋体" w:cs="宋体"/>
      <w:sz w:val="24"/>
    </w:rPr>
  </w:style>
  <w:style w:type="paragraph" w:styleId="915">
    <w:name w:val="索引 1"/>
    <w:basedOn w:val="853"/>
    <w:next w:val="853"/>
    <w:link w:val="853"/>
    <w:qFormat/>
    <w:rPr>
      <w:szCs w:val="20"/>
    </w:rPr>
  </w:style>
  <w:style w:type="paragraph" w:styleId="916">
    <w:name w:val="标题"/>
    <w:basedOn w:val="853"/>
    <w:next w:val="916"/>
    <w:link w:val="917"/>
    <w:qFormat/>
    <w:pPr>
      <w:jc w:val="center"/>
      <w:outlineLvl w:val="0"/>
    </w:pPr>
    <w:rPr>
      <w:b/>
      <w:sz w:val="32"/>
      <w:szCs w:val="20"/>
    </w:rPr>
  </w:style>
  <w:style w:type="character" w:styleId="917">
    <w:name w:val="标题 字符"/>
    <w:next w:val="917"/>
    <w:link w:val="916"/>
    <w:qFormat/>
    <w:rPr>
      <w:b/>
      <w:sz w:val="32"/>
    </w:rPr>
  </w:style>
  <w:style w:type="paragraph" w:styleId="918">
    <w:name w:val="批注主题"/>
    <w:basedOn w:val="880"/>
    <w:next w:val="880"/>
    <w:link w:val="919"/>
    <w:qFormat/>
    <w:rPr>
      <w:b/>
      <w:bCs/>
    </w:rPr>
  </w:style>
  <w:style w:type="character" w:styleId="919">
    <w:name w:val="批注主题 字符"/>
    <w:next w:val="919"/>
    <w:link w:val="918"/>
    <w:qFormat/>
    <w:rPr>
      <w:rFonts w:ascii="Times New Roman" w:hAnsi="Times New Roman" w:eastAsia="宋体" w:cs="Times New Roman"/>
      <w:b/>
      <w:bCs/>
      <w:sz w:val="21"/>
      <w:szCs w:val="24"/>
      <w:lang w:val="en-US" w:eastAsia="zh-CN" w:bidi="ar-SA"/>
    </w:rPr>
  </w:style>
  <w:style w:type="paragraph" w:styleId="920">
    <w:name w:val="正文首行缩进"/>
    <w:basedOn w:val="884"/>
    <w:next w:val="920"/>
    <w:link w:val="853"/>
    <w:uiPriority w:val="99"/>
    <w:qFormat/>
    <w:pPr>
      <w:ind w:firstLine="420"/>
      <w:tabs>
        <w:tab w:val="left" w:pos="567" w:leader="none"/>
      </w:tabs>
    </w:pPr>
  </w:style>
  <w:style w:type="paragraph" w:styleId="921">
    <w:name w:val="正文首行缩进 2"/>
    <w:basedOn w:val="886"/>
    <w:next w:val="921"/>
    <w:link w:val="922"/>
    <w:qFormat/>
    <w:pPr>
      <w:ind w:left="420" w:firstLine="420"/>
      <w:spacing w:after="120" w:line="480" w:lineRule="exact"/>
    </w:pPr>
    <w:rPr>
      <w:szCs w:val="20"/>
    </w:rPr>
  </w:style>
  <w:style w:type="character" w:styleId="922">
    <w:name w:val="正文首行缩进 2 字符"/>
    <w:next w:val="922"/>
    <w:link w:val="921"/>
    <w:qFormat/>
    <w:rPr>
      <w:rFonts w:eastAsia="宋体"/>
      <w:sz w:val="24"/>
      <w:szCs w:val="24"/>
      <w:lang w:val="en-US" w:eastAsia="zh-CN" w:bidi="ar-SA"/>
    </w:rPr>
  </w:style>
  <w:style w:type="table" w:styleId="923">
    <w:name w:val="网格型"/>
    <w:basedOn w:val="864"/>
    <w:next w:val="923"/>
    <w:link w:val="853"/>
    <w:uiPriority w:val="39"/>
    <w:qFormat/>
    <w:tblPr/>
  </w:style>
  <w:style w:type="table" w:styleId="924">
    <w:name w:val="中等深浅网格 1 - 强调文字颜色 2"/>
    <w:basedOn w:val="864"/>
    <w:next w:val="924"/>
    <w:link w:val="853"/>
    <w:qFormat/>
    <w:rPr>
      <w:sz w:val="21"/>
      <w:szCs w:val="24"/>
    </w:rPr>
    <w:tblPr/>
  </w:style>
  <w:style w:type="character" w:styleId="925">
    <w:name w:val="要点"/>
    <w:next w:val="925"/>
    <w:link w:val="853"/>
    <w:qFormat/>
    <w:rPr>
      <w:b/>
      <w:bCs/>
    </w:rPr>
  </w:style>
  <w:style w:type="character" w:styleId="926">
    <w:name w:val="页码"/>
    <w:next w:val="926"/>
    <w:link w:val="853"/>
    <w:qFormat/>
  </w:style>
  <w:style w:type="character" w:styleId="927">
    <w:name w:val="已访问的超链接"/>
    <w:next w:val="927"/>
    <w:link w:val="853"/>
    <w:qFormat/>
    <w:rPr>
      <w:color w:val="333333"/>
      <w:u w:val="none"/>
    </w:rPr>
  </w:style>
  <w:style w:type="character" w:styleId="928">
    <w:name w:val="强调"/>
    <w:next w:val="928"/>
    <w:link w:val="853"/>
    <w:qFormat/>
    <w:rPr>
      <w:color w:val="cc0033"/>
    </w:rPr>
  </w:style>
  <w:style w:type="character" w:styleId="929">
    <w:name w:val="超链接"/>
    <w:next w:val="929"/>
    <w:link w:val="853"/>
    <w:uiPriority w:val="99"/>
    <w:qFormat/>
    <w:rPr>
      <w:color w:val="333333"/>
      <w:u w:val="none"/>
    </w:rPr>
  </w:style>
  <w:style w:type="character" w:styleId="930">
    <w:name w:val="批注引用"/>
    <w:next w:val="930"/>
    <w:link w:val="853"/>
    <w:uiPriority w:val="99"/>
    <w:qFormat/>
    <w:rPr>
      <w:sz w:val="21"/>
      <w:szCs w:val="21"/>
    </w:rPr>
  </w:style>
  <w:style w:type="character" w:styleId="931">
    <w:name w:val="HTML 引文"/>
    <w:next w:val="931"/>
    <w:link w:val="853"/>
    <w:qFormat/>
    <w:rPr>
      <w:i/>
      <w:iCs/>
    </w:rPr>
  </w:style>
  <w:style w:type="character" w:styleId="932">
    <w:name w:val="标题 1 字符"/>
    <w:next w:val="932"/>
    <w:link w:val="854"/>
    <w:qFormat/>
    <w:rPr>
      <w:rFonts w:ascii="宋体"/>
      <w:b/>
      <w:sz w:val="32"/>
    </w:rPr>
  </w:style>
  <w:style w:type="paragraph" w:styleId="933">
    <w:name w:val="Default"/>
    <w:next w:val="933"/>
    <w:link w:val="853"/>
    <w:qFormat/>
    <w:pPr>
      <w:widowControl w:val="off"/>
    </w:pPr>
    <w:rPr>
      <w:rFonts w:ascii="Symbol" w:hAnsi="Symbol" w:cs="Symbol"/>
      <w:color w:val="000000"/>
      <w:sz w:val="24"/>
      <w:szCs w:val="24"/>
      <w:lang w:val="en-US" w:eastAsia="zh-CN" w:bidi="ar-SA"/>
    </w:rPr>
  </w:style>
  <w:style w:type="character" w:styleId="934">
    <w:name w:val="批注文字 字符"/>
    <w:next w:val="934"/>
    <w:link w:val="853"/>
    <w:uiPriority w:val="99"/>
    <w:qFormat/>
    <w:rPr>
      <w:rFonts w:ascii="Times New Roman" w:hAnsi="Times New Roman" w:eastAsia="宋体" w:cs="Times New Roman"/>
      <w:sz w:val="24"/>
      <w:lang w:val="en-US" w:eastAsia="zh-CN" w:bidi="ar-SA"/>
    </w:rPr>
  </w:style>
  <w:style w:type="character" w:styleId="935">
    <w:name w:val="c21"/>
    <w:next w:val="935"/>
    <w:link w:val="853"/>
    <w:qFormat/>
    <w:rPr>
      <w:rFonts w:ascii="ˎ̥" w:hAnsi="ˎ̥"/>
      <w:color w:val="000000"/>
      <w:sz w:val="20"/>
      <w:szCs w:val="20"/>
      <w:u w:val="none"/>
    </w:rPr>
  </w:style>
  <w:style w:type="character" w:styleId="936">
    <w:name w:val="title4"/>
    <w:next w:val="936"/>
    <w:link w:val="853"/>
    <w:qFormat/>
    <w:rPr>
      <w:b/>
      <w:bCs/>
      <w:color w:val="1d87b3"/>
      <w:sz w:val="15"/>
      <w:szCs w:val="15"/>
    </w:rPr>
  </w:style>
  <w:style w:type="character" w:styleId="937">
    <w:name w:val="标题 2 Char Char"/>
    <w:next w:val="937"/>
    <w:link w:val="853"/>
    <w:qFormat/>
    <w:rPr>
      <w:rFonts w:ascii="Arial" w:hAnsi="Arial" w:eastAsia="黑体"/>
      <w:b/>
      <w:bCs/>
      <w:sz w:val="32"/>
      <w:szCs w:val="32"/>
      <w:lang w:val="en-US" w:eastAsia="zh-CN" w:bidi="ar-SA"/>
    </w:rPr>
  </w:style>
  <w:style w:type="character" w:styleId="938">
    <w:name w:val="black1"/>
    <w:next w:val="938"/>
    <w:link w:val="853"/>
    <w:qFormat/>
    <w:rPr>
      <w:color w:val="000000"/>
    </w:rPr>
  </w:style>
  <w:style w:type="character" w:styleId="939">
    <w:name w:val="street-address"/>
    <w:next w:val="939"/>
    <w:link w:val="853"/>
    <w:qFormat/>
  </w:style>
  <w:style w:type="character" w:styleId="940">
    <w:name w:val="locality"/>
    <w:next w:val="940"/>
    <w:link w:val="853"/>
    <w:qFormat/>
  </w:style>
  <w:style w:type="character" w:styleId="941">
    <w:name w:val="正文文本缩进 Char1"/>
    <w:next w:val="941"/>
    <w:link w:val="942"/>
    <w:qFormat/>
    <w:rPr>
      <w:rFonts w:ascii="宋体" w:hAnsi="宋体" w:eastAsia="宋体"/>
      <w:sz w:val="24"/>
      <w:szCs w:val="24"/>
      <w:lang w:bidi="ar-SA"/>
    </w:rPr>
  </w:style>
  <w:style w:type="paragraph" w:styleId="942">
    <w:name w:val="正文文本缩进1"/>
    <w:basedOn w:val="853"/>
    <w:next w:val="942"/>
    <w:link w:val="941"/>
    <w:qFormat/>
    <w:pPr>
      <w:ind w:firstLine="480"/>
      <w:spacing w:line="480" w:lineRule="exact"/>
    </w:pPr>
    <w:rPr>
      <w:rFonts w:ascii="宋体" w:hAnsi="宋体"/>
      <w:sz w:val="24"/>
    </w:rPr>
  </w:style>
  <w:style w:type="character" w:styleId="943">
    <w:name w:val="Char Char11"/>
    <w:next w:val="943"/>
    <w:link w:val="853"/>
    <w:qFormat/>
    <w:rPr>
      <w:rFonts w:ascii="宋体" w:eastAsia="宋体"/>
      <w:b/>
      <w:sz w:val="24"/>
      <w:u w:val="single"/>
      <w:lang w:val="en-US" w:eastAsia="zh-CN" w:bidi="ar-SA"/>
    </w:rPr>
  </w:style>
  <w:style w:type="character" w:styleId="944">
    <w:name w:val="txt"/>
    <w:next w:val="944"/>
    <w:link w:val="853"/>
    <w:qFormat/>
  </w:style>
  <w:style w:type="character" w:styleId="945">
    <w:name w:val="正文缩进 Char Char"/>
    <w:next w:val="945"/>
    <w:link w:val="946"/>
    <w:qFormat/>
    <w:rPr>
      <w:rFonts w:ascii="宋体" w:eastAsia="宋体"/>
      <w:color w:val="000000"/>
      <w:sz w:val="28"/>
      <w:lang w:bidi="ar-SA"/>
    </w:rPr>
  </w:style>
  <w:style w:type="paragraph" w:styleId="946">
    <w:name w:val="正文缩进1"/>
    <w:basedOn w:val="853"/>
    <w:next w:val="946"/>
    <w:link w:val="945"/>
    <w:qFormat/>
    <w:pPr>
      <w:ind w:firstLine="567"/>
      <w:spacing w:line="480" w:lineRule="exact"/>
      <w:widowControl/>
    </w:pPr>
    <w:rPr>
      <w:rFonts w:ascii="宋体"/>
      <w:color w:val="000000"/>
      <w:sz w:val="28"/>
      <w:szCs w:val="20"/>
    </w:rPr>
  </w:style>
  <w:style w:type="character" w:styleId="947">
    <w:name w:val="普通文字1 Char1"/>
    <w:next w:val="947"/>
    <w:link w:val="853"/>
    <w:qFormat/>
    <w:rPr>
      <w:rFonts w:ascii="宋体" w:hAnsi="Courier New" w:eastAsia="宋体"/>
      <w:sz w:val="21"/>
      <w:lang w:val="en-US" w:eastAsia="zh-CN" w:bidi="ar-SA"/>
    </w:rPr>
  </w:style>
  <w:style w:type="character" w:styleId="948">
    <w:name w:val="chanpin1"/>
    <w:next w:val="948"/>
    <w:link w:val="853"/>
    <w:qFormat/>
    <w:rPr>
      <w:rFonts w:ascii="ˎ̥" w:hAnsi="ˎ̥"/>
      <w:color w:val="000000"/>
      <w:sz w:val="20"/>
      <w:szCs w:val="20"/>
      <w:u w:val="none"/>
    </w:rPr>
  </w:style>
  <w:style w:type="character" w:styleId="949">
    <w:name w:val="列出段落 字符"/>
    <w:next w:val="949"/>
    <w:link w:val="950"/>
    <w:uiPriority w:val="34"/>
    <w:qFormat/>
    <w:rPr>
      <w:rFonts w:ascii="Calibri" w:hAnsi="Calibri" w:eastAsia="宋体"/>
      <w:sz w:val="21"/>
      <w:szCs w:val="22"/>
      <w:lang w:val="en-US" w:eastAsia="zh-CN" w:bidi="ar-SA"/>
    </w:rPr>
  </w:style>
  <w:style w:type="paragraph" w:styleId="950">
    <w:name w:val="列出段落"/>
    <w:basedOn w:val="853"/>
    <w:next w:val="950"/>
    <w:link w:val="949"/>
    <w:uiPriority w:val="34"/>
    <w:qFormat/>
    <w:pPr>
      <w:ind w:firstLine="420"/>
    </w:pPr>
    <w:rPr>
      <w:rFonts w:ascii="Calibri" w:hAnsi="Calibri"/>
      <w:szCs w:val="22"/>
    </w:rPr>
  </w:style>
  <w:style w:type="character" w:styleId="951">
    <w:name w:val="标题 3 Char Char"/>
    <w:next w:val="951"/>
    <w:link w:val="853"/>
    <w:qFormat/>
    <w:rPr>
      <w:rFonts w:eastAsia="宋体"/>
      <w:b/>
      <w:bCs/>
      <w:sz w:val="32"/>
      <w:szCs w:val="32"/>
      <w:lang w:val="en-US" w:eastAsia="zh-CN" w:bidi="ar-SA"/>
    </w:rPr>
  </w:style>
  <w:style w:type="character" w:styleId="952">
    <w:name w:val="段1 Char"/>
    <w:next w:val="952"/>
    <w:link w:val="853"/>
    <w:qFormat/>
    <w:rPr>
      <w:rFonts w:ascii="宋体" w:eastAsia="宋体"/>
      <w:sz w:val="24"/>
      <w:lang w:val="en-US" w:eastAsia="zh-CN" w:bidi="ar-SA"/>
    </w:rPr>
  </w:style>
  <w:style w:type="character" w:styleId="953">
    <w:name w:val="chanpin拷贝"/>
    <w:next w:val="953"/>
    <w:link w:val="853"/>
    <w:qFormat/>
  </w:style>
  <w:style w:type="character" w:styleId="954">
    <w:name w:val="纯文本 Char1"/>
    <w:next w:val="954"/>
    <w:link w:val="853"/>
    <w:qFormat/>
    <w:rPr>
      <w:rFonts w:ascii="宋体" w:hAnsi="Courier New" w:eastAsia="宋体"/>
      <w:sz w:val="21"/>
      <w:lang w:val="en-US" w:eastAsia="zh-CN" w:bidi="ar-SA"/>
    </w:rPr>
  </w:style>
  <w:style w:type="character" w:styleId="955">
    <w:name w:val="apple-style-span"/>
    <w:next w:val="955"/>
    <w:link w:val="853"/>
    <w:qFormat/>
    <w:rPr>
      <w:rFonts w:cs="Times New Roman"/>
    </w:rPr>
  </w:style>
  <w:style w:type="paragraph" w:styleId="956">
    <w:name w:val="二级条标题"/>
    <w:basedOn w:val="957"/>
    <w:next w:val="853"/>
    <w:link w:val="853"/>
    <w:qFormat/>
    <w:pPr>
      <w:numPr>
        <w:ilvl w:val="0"/>
        <w:numId w:val="0"/>
      </w:numPr>
      <w:ind w:hanging="840"/>
      <w:tabs>
        <w:tab w:val="left" w:pos="360" w:leader="none"/>
        <w:tab w:val="left" w:pos="840" w:leader="none"/>
      </w:tabs>
      <w:outlineLvl w:val="2"/>
    </w:pPr>
    <w:rPr>
      <w:rFonts w:ascii="宋体" w:eastAsia="宋体"/>
      <w:b w:val="0"/>
    </w:rPr>
  </w:style>
  <w:style w:type="paragraph" w:styleId="957">
    <w:name w:val="一级条标题"/>
    <w:basedOn w:val="958"/>
    <w:next w:val="853"/>
    <w:link w:val="853"/>
    <w:qFormat/>
    <w:pPr>
      <w:numPr>
        <w:ilvl w:val="1"/>
      </w:numPr>
      <w:ind w:left="0" w:hanging="840"/>
      <w:tabs>
        <w:tab w:val="left" w:pos="360" w:leader="none"/>
        <w:tab w:val="left" w:pos="840" w:leader="none"/>
      </w:tabs>
      <w:outlineLvl w:val="1"/>
    </w:pPr>
  </w:style>
  <w:style w:type="paragraph" w:styleId="958">
    <w:name w:val="章标题"/>
    <w:next w:val="853"/>
    <w:link w:val="85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9">
    <w:name w:val="font7"/>
    <w:basedOn w:val="853"/>
    <w:next w:val="959"/>
    <w:link w:val="853"/>
    <w:qFormat/>
    <w:pPr>
      <w:jc w:val="left"/>
      <w:spacing w:before="100" w:beforeAutospacing="1" w:after="100" w:afterAutospacing="1"/>
      <w:widowControl/>
    </w:pPr>
    <w:rPr>
      <w:rFonts w:eastAsia="Arial Unicode MS"/>
      <w:b/>
      <w:bCs/>
      <w:color w:val="000000"/>
      <w:sz w:val="20"/>
      <w:szCs w:val="20"/>
    </w:rPr>
  </w:style>
  <w:style w:type="paragraph" w:styleId="960">
    <w:name w:val="字元 字元"/>
    <w:basedOn w:val="853"/>
    <w:next w:val="960"/>
    <w:link w:val="853"/>
    <w:qFormat/>
    <w:rPr>
      <w:rFonts w:ascii="Tahoma" w:hAnsi="Tahoma"/>
      <w:sz w:val="24"/>
      <w:szCs w:val="20"/>
    </w:rPr>
  </w:style>
  <w:style w:type="paragraph" w:styleId="961">
    <w:name w:val="Char3 Char Char Char"/>
    <w:basedOn w:val="853"/>
    <w:next w:val="961"/>
    <w:link w:val="853"/>
    <w:qFormat/>
    <w:rPr>
      <w:rFonts w:ascii="Tahoma" w:hAnsi="Tahoma"/>
      <w:sz w:val="24"/>
      <w:szCs w:val="20"/>
    </w:rPr>
  </w:style>
  <w:style w:type="paragraph" w:styleId="962">
    <w:name w:val="font6"/>
    <w:basedOn w:val="853"/>
    <w:next w:val="962"/>
    <w:link w:val="853"/>
    <w:qFormat/>
    <w:pPr>
      <w:jc w:val="left"/>
      <w:spacing w:before="100" w:beforeAutospacing="1" w:after="100" w:afterAutospacing="1"/>
      <w:widowControl/>
    </w:pPr>
    <w:rPr>
      <w:rFonts w:ascii="宋体" w:hAnsi="宋体" w:cs="宋体"/>
      <w:sz w:val="20"/>
      <w:szCs w:val="20"/>
    </w:rPr>
  </w:style>
  <w:style w:type="paragraph" w:styleId="963">
    <w:name w:val="项目编号2"/>
    <w:basedOn w:val="964"/>
    <w:next w:val="963"/>
    <w:link w:val="853"/>
    <w:qFormat/>
    <w:pPr>
      <w:numPr>
        <w:numId w:val="3"/>
      </w:numPr>
    </w:pPr>
  </w:style>
  <w:style w:type="paragraph" w:styleId="964">
    <w:name w:val="项目编号1"/>
    <w:basedOn w:val="853"/>
    <w:next w:val="964"/>
    <w:link w:val="853"/>
    <w:qFormat/>
    <w:pPr>
      <w:numPr>
        <w:ilvl w:val="0"/>
        <w:numId w:val="2"/>
      </w:numPr>
      <w:spacing w:before="100" w:beforeAutospacing="1" w:after="100" w:afterAutospacing="1" w:line="360" w:lineRule="auto"/>
    </w:pPr>
    <w:rPr>
      <w:sz w:val="24"/>
    </w:rPr>
  </w:style>
  <w:style w:type="paragraph" w:styleId="965">
    <w:name w:val="图中文字"/>
    <w:basedOn w:val="853"/>
    <w:next w:val="965"/>
    <w:link w:val="853"/>
    <w:qFormat/>
    <w:pPr>
      <w:jc w:val="center"/>
      <w:spacing w:line="0" w:lineRule="atLeast"/>
    </w:pPr>
    <w:rPr>
      <w:sz w:val="24"/>
      <w:szCs w:val="20"/>
    </w:rPr>
  </w:style>
  <w:style w:type="paragraph" w:styleId="966">
    <w:name w:val="xl46"/>
    <w:basedOn w:val="853"/>
    <w:next w:val="966"/>
    <w:link w:val="85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7">
    <w:name w:val="xl25"/>
    <w:basedOn w:val="853"/>
    <w:next w:val="967"/>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8">
    <w:name w:val="Char2"/>
    <w:basedOn w:val="853"/>
    <w:next w:val="968"/>
    <w:link w:val="853"/>
    <w:qFormat/>
    <w:rPr>
      <w:rFonts w:ascii="Tahoma" w:hAnsi="Tahoma"/>
      <w:sz w:val="24"/>
      <w:szCs w:val="20"/>
    </w:rPr>
  </w:style>
  <w:style w:type="paragraph" w:styleId="969">
    <w:name w:val="xl35"/>
    <w:basedOn w:val="853"/>
    <w:next w:val="969"/>
    <w:link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0">
    <w:name w:val="xl40"/>
    <w:basedOn w:val="853"/>
    <w:next w:val="970"/>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xl52"/>
    <w:basedOn w:val="853"/>
    <w:next w:val="971"/>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2">
    <w:name w:val="xl43"/>
    <w:basedOn w:val="853"/>
    <w:next w:val="972"/>
    <w:link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3">
    <w:name w:val="background1"/>
    <w:basedOn w:val="853"/>
    <w:next w:val="973"/>
    <w:link w:val="853"/>
    <w:qFormat/>
    <w:pPr>
      <w:jc w:val="left"/>
      <w:spacing w:before="100" w:beforeAutospacing="1" w:after="100" w:afterAutospacing="1"/>
      <w:widowControl/>
    </w:pPr>
    <w:rPr>
      <w:rFonts w:ascii="宋体" w:hAnsi="宋体" w:cs="宋体"/>
      <w:sz w:val="24"/>
    </w:rPr>
  </w:style>
  <w:style w:type="paragraph" w:styleId="974">
    <w:name w:val="Char Char Char Char Char Char Char"/>
    <w:basedOn w:val="853"/>
    <w:next w:val="974"/>
    <w:link w:val="853"/>
    <w:qFormat/>
    <w:pPr>
      <w:ind w:firstLine="200"/>
      <w:spacing w:line="360" w:lineRule="auto"/>
    </w:pPr>
    <w:rPr>
      <w:rFonts w:eastAsia="仿宋_GB2312"/>
      <w:sz w:val="24"/>
    </w:rPr>
  </w:style>
  <w:style w:type="paragraph" w:styleId="975">
    <w:name w:val="xl38"/>
    <w:basedOn w:val="853"/>
    <w:next w:val="975"/>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6">
    <w:name w:val="xl36"/>
    <w:basedOn w:val="853"/>
    <w:next w:val="976"/>
    <w:link w:val="85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7">
    <w:name w:val="正文 + 宋体"/>
    <w:basedOn w:val="853"/>
    <w:next w:val="977"/>
    <w:link w:val="853"/>
    <w:qFormat/>
    <w:pPr>
      <w:ind w:left="360" w:hanging="360"/>
      <w:jc w:val="left"/>
      <w:widowControl/>
    </w:pPr>
    <w:rPr>
      <w:rFonts w:ascii="宋体" w:hAnsi="宋体" w:cs="宋体"/>
      <w:b/>
      <w:bCs/>
      <w:color w:val="000000"/>
      <w:sz w:val="18"/>
      <w:szCs w:val="18"/>
    </w:rPr>
  </w:style>
  <w:style w:type="paragraph" w:styleId="978">
    <w:name w:val="正文列项_数字"/>
    <w:basedOn w:val="853"/>
    <w:next w:val="978"/>
    <w:link w:val="853"/>
    <w:qFormat/>
    <w:pPr>
      <w:numPr>
        <w:ilvl w:val="7"/>
        <w:numId w:val="1"/>
      </w:numPr>
      <w:ind w:left="680" w:hanging="150"/>
      <w:spacing w:line="460" w:lineRule="exact"/>
      <w:tabs>
        <w:tab w:val="clear" w:pos="860" w:leader="none"/>
      </w:tabs>
      <w:outlineLvl w:val="7"/>
    </w:pPr>
    <w:rPr>
      <w:rFonts w:ascii="宋体"/>
      <w:sz w:val="28"/>
      <w:szCs w:val="20"/>
    </w:rPr>
  </w:style>
  <w:style w:type="paragraph" w:styleId="979">
    <w:name w:val="xl39"/>
    <w:basedOn w:val="853"/>
    <w:next w:val="979"/>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xl37"/>
    <w:basedOn w:val="853"/>
    <w:next w:val="980"/>
    <w:link w:val="8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1">
    <w:name w:val="xl32"/>
    <w:basedOn w:val="853"/>
    <w:next w:val="981"/>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font8"/>
    <w:basedOn w:val="853"/>
    <w:next w:val="982"/>
    <w:link w:val="853"/>
    <w:qFormat/>
    <w:pPr>
      <w:jc w:val="left"/>
      <w:spacing w:before="100" w:beforeAutospacing="1" w:after="100" w:afterAutospacing="1"/>
      <w:widowControl/>
    </w:pPr>
    <w:rPr>
      <w:sz w:val="36"/>
      <w:szCs w:val="36"/>
    </w:rPr>
  </w:style>
  <w:style w:type="paragraph" w:styleId="983">
    <w:name w:val="Char"/>
    <w:basedOn w:val="853"/>
    <w:next w:val="983"/>
    <w:link w:val="853"/>
    <w:qFormat/>
    <w:pPr>
      <w:tabs>
        <w:tab w:val="left" w:pos="360" w:leader="none"/>
      </w:tabs>
    </w:pPr>
    <w:rPr>
      <w:sz w:val="24"/>
    </w:rPr>
  </w:style>
  <w:style w:type="paragraph" w:styleId="984">
    <w:name w:val="Char Char Char Char Char Char Char Char Char Char Char Char Char Char Char Char"/>
    <w:basedOn w:val="853"/>
    <w:next w:val="984"/>
    <w:link w:val="853"/>
    <w:qFormat/>
    <w:pPr>
      <w:jc w:val="center"/>
      <w:spacing w:after="160" w:line="240" w:lineRule="exact"/>
      <w:widowControl/>
    </w:pPr>
    <w:rPr>
      <w:rFonts w:ascii="宋体" w:hAnsi="宋体"/>
      <w:b/>
      <w:sz w:val="30"/>
      <w:szCs w:val="30"/>
      <w:lang w:eastAsia="en-US"/>
    </w:rPr>
  </w:style>
  <w:style w:type="paragraph" w:styleId="985">
    <w:name w:val="xl45"/>
    <w:basedOn w:val="853"/>
    <w:next w:val="985"/>
    <w:link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6">
    <w:name w:val="Char Char1 Char Char Char Char Char Char"/>
    <w:basedOn w:val="853"/>
    <w:next w:val="986"/>
    <w:link w:val="853"/>
    <w:qFormat/>
    <w:pPr>
      <w:jc w:val="left"/>
      <w:spacing w:after="160" w:line="240" w:lineRule="exact"/>
      <w:widowControl/>
    </w:pPr>
    <w:rPr>
      <w:rFonts w:ascii="Verdana" w:hAnsi="Verdana" w:eastAsia="仿宋_GB2312"/>
      <w:sz w:val="24"/>
      <w:szCs w:val="20"/>
      <w:lang w:eastAsia="en-US"/>
    </w:rPr>
  </w:style>
  <w:style w:type="paragraph" w:styleId="987">
    <w:name w:val="Char Char1"/>
    <w:basedOn w:val="878"/>
    <w:next w:val="987"/>
    <w:link w:val="853"/>
    <w:qFormat/>
    <w:rPr>
      <w:rFonts w:ascii="Tahoma" w:hAnsi="Tahoma"/>
      <w:sz w:val="24"/>
    </w:rPr>
  </w:style>
  <w:style w:type="paragraph" w:styleId="988">
    <w:name w:val="xl26"/>
    <w:basedOn w:val="853"/>
    <w:next w:val="988"/>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9">
    <w:name w:val="xl30"/>
    <w:basedOn w:val="853"/>
    <w:next w:val="989"/>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0">
    <w:name w:val="xl41"/>
    <w:basedOn w:val="853"/>
    <w:next w:val="990"/>
    <w:link w:val="8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1">
    <w:name w:val="样式 宋体 五号 行距: 单倍行距"/>
    <w:basedOn w:val="853"/>
    <w:next w:val="991"/>
    <w:link w:val="853"/>
    <w:qFormat/>
    <w:pPr>
      <w:jc w:val="left"/>
    </w:pPr>
    <w:rPr>
      <w:rFonts w:ascii="宋体" w:hAnsi="宋体"/>
      <w:szCs w:val="20"/>
    </w:rPr>
  </w:style>
  <w:style w:type="paragraph" w:styleId="992">
    <w:name w:val="Char1 Char Char Char1"/>
    <w:basedOn w:val="853"/>
    <w:next w:val="992"/>
    <w:link w:val="853"/>
    <w:qFormat/>
    <w:rPr>
      <w:rFonts w:ascii="Tahoma" w:hAnsi="Tahoma" w:cs="仿宋_GB2312"/>
      <w:sz w:val="24"/>
      <w:szCs w:val="28"/>
    </w:rPr>
  </w:style>
  <w:style w:type="paragraph" w:styleId="993">
    <w:name w:val="四级条标题"/>
    <w:basedOn w:val="994"/>
    <w:next w:val="853"/>
    <w:link w:val="853"/>
    <w:qFormat/>
    <w:pPr>
      <w:numPr>
        <w:ilvl w:val="4"/>
      </w:numPr>
      <w:ind w:left="0" w:hanging="840"/>
      <w:tabs>
        <w:tab w:val="left" w:pos="360" w:leader="none"/>
        <w:tab w:val="left" w:pos="840" w:leader="none"/>
      </w:tabs>
      <w:outlineLvl w:val="4"/>
    </w:pPr>
  </w:style>
  <w:style w:type="paragraph" w:styleId="994">
    <w:name w:val="三级条标题"/>
    <w:basedOn w:val="956"/>
    <w:next w:val="853"/>
    <w:link w:val="853"/>
    <w:qFormat/>
    <w:pPr>
      <w:numPr>
        <w:ilvl w:val="3"/>
        <w:numId w:val="1"/>
      </w:numPr>
      <w:ind w:left="0" w:hanging="840"/>
      <w:tabs>
        <w:tab w:val="left" w:pos="360" w:leader="none"/>
        <w:tab w:val="left" w:pos="840" w:leader="none"/>
      </w:tabs>
      <w:outlineLvl w:val="3"/>
    </w:pPr>
  </w:style>
  <w:style w:type="paragraph" w:styleId="995">
    <w:name w:val="??"/>
    <w:next w:val="995"/>
    <w:link w:val="853"/>
    <w:qFormat/>
    <w:pPr>
      <w:jc w:val="both"/>
      <w:widowControl w:val="off"/>
    </w:pPr>
    <w:rPr>
      <w:sz w:val="21"/>
      <w:lang w:val="en-US" w:eastAsia="en-US" w:bidi="ar-SA"/>
    </w:rPr>
  </w:style>
  <w:style w:type="paragraph" w:styleId="996">
    <w:name w:val="样式 标题 2 + 宋体 五号 行距: 单倍行距"/>
    <w:basedOn w:val="855"/>
    <w:next w:val="996"/>
    <w:link w:val="853"/>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997">
    <w:name w:val="List Paragraph1"/>
    <w:basedOn w:val="853"/>
    <w:next w:val="997"/>
    <w:link w:val="853"/>
    <w:qFormat/>
    <w:pPr>
      <w:ind w:firstLine="420"/>
    </w:pPr>
    <w:rPr>
      <w:rFonts w:ascii="Calibri" w:hAnsi="Calibri"/>
      <w:szCs w:val="22"/>
    </w:rPr>
  </w:style>
  <w:style w:type="paragraph" w:styleId="998">
    <w:name w:val="项目符号1"/>
    <w:basedOn w:val="999"/>
    <w:next w:val="998"/>
    <w:link w:val="853"/>
    <w:qFormat/>
    <w:pPr>
      <w:ind w:left="-25" w:firstLine="0"/>
    </w:pPr>
  </w:style>
  <w:style w:type="paragraph" w:styleId="999">
    <w:name w:val="正文文本样式"/>
    <w:basedOn w:val="853"/>
    <w:next w:val="999"/>
    <w:link w:val="853"/>
    <w:qFormat/>
    <w:pPr>
      <w:ind w:firstLine="482"/>
      <w:spacing w:line="360" w:lineRule="auto"/>
    </w:pPr>
    <w:rPr>
      <w:rFonts w:cs="宋体"/>
      <w:sz w:val="24"/>
      <w:szCs w:val="20"/>
    </w:rPr>
  </w:style>
  <w:style w:type="paragraph" w:styleId="1000">
    <w:name w:val="xl27"/>
    <w:basedOn w:val="853"/>
    <w:next w:val="1000"/>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1">
    <w:name w:val="font5"/>
    <w:basedOn w:val="853"/>
    <w:next w:val="1001"/>
    <w:link w:val="853"/>
    <w:qFormat/>
    <w:pPr>
      <w:jc w:val="left"/>
      <w:spacing w:before="100" w:beforeAutospacing="1" w:after="100" w:afterAutospacing="1"/>
      <w:widowControl/>
    </w:pPr>
    <w:rPr>
      <w:rFonts w:ascii="宋体" w:hAnsi="宋体" w:cs="宋体"/>
      <w:sz w:val="18"/>
      <w:szCs w:val="18"/>
    </w:rPr>
  </w:style>
  <w:style w:type="paragraph" w:styleId="1002">
    <w:name w:val="五级条标题"/>
    <w:basedOn w:val="993"/>
    <w:next w:val="853"/>
    <w:link w:val="853"/>
    <w:qFormat/>
    <w:pPr>
      <w:numPr>
        <w:ilvl w:val="5"/>
      </w:numPr>
      <w:ind w:left="0" w:hanging="840"/>
      <w:tabs>
        <w:tab w:val="left" w:pos="360" w:leader="none"/>
        <w:tab w:val="left" w:pos="840" w:leader="none"/>
      </w:tabs>
      <w:outlineLvl w:val="5"/>
    </w:pPr>
  </w:style>
  <w:style w:type="paragraph" w:styleId="1003">
    <w:name w:val="xl49"/>
    <w:basedOn w:val="853"/>
    <w:next w:val="1003"/>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4">
    <w:name w:val="文档正文"/>
    <w:basedOn w:val="853"/>
    <w:next w:val="1004"/>
    <w:link w:val="853"/>
    <w:qFormat/>
    <w:pPr>
      <w:spacing w:before="120" w:after="120" w:line="180" w:lineRule="auto"/>
    </w:pPr>
    <w:rPr>
      <w:rFonts w:ascii="Arial" w:hAnsi="Arial"/>
      <w:szCs w:val="20"/>
    </w:rPr>
  </w:style>
  <w:style w:type="paragraph" w:styleId="1005">
    <w:name w:val="xl33"/>
    <w:basedOn w:val="853"/>
    <w:next w:val="1005"/>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6">
    <w:name w:val="xl42"/>
    <w:basedOn w:val="853"/>
    <w:next w:val="1006"/>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7">
    <w:name w:val="Char Char Char1 Char"/>
    <w:basedOn w:val="853"/>
    <w:next w:val="1007"/>
    <w:link w:val="853"/>
    <w:qFormat/>
    <w:rPr>
      <w:rFonts w:ascii="Tahoma" w:hAnsi="Tahoma"/>
      <w:sz w:val="24"/>
      <w:szCs w:val="20"/>
    </w:rPr>
  </w:style>
  <w:style w:type="paragraph" w:styleId="1008">
    <w:name w:val="xl44"/>
    <w:basedOn w:val="853"/>
    <w:next w:val="1008"/>
    <w:link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9">
    <w:name w:val="1名"/>
    <w:basedOn w:val="853"/>
    <w:next w:val="1009"/>
    <w:link w:val="853"/>
    <w:qFormat/>
    <w:pPr>
      <w:numPr>
        <w:ilvl w:val="0"/>
        <w:numId w:val="5"/>
      </w:numPr>
      <w:spacing w:before="120"/>
      <w:tabs>
        <w:tab w:val="left" w:pos="360" w:leader="none"/>
      </w:tabs>
    </w:pPr>
    <w:rPr>
      <w:rFonts w:ascii="宋体"/>
      <w:sz w:val="28"/>
      <w:szCs w:val="20"/>
    </w:rPr>
  </w:style>
  <w:style w:type="paragraph" w:styleId="1010">
    <w:name w:val="font9"/>
    <w:basedOn w:val="853"/>
    <w:next w:val="1010"/>
    <w:link w:val="853"/>
    <w:qFormat/>
    <w:pPr>
      <w:jc w:val="left"/>
      <w:spacing w:before="100" w:beforeAutospacing="1" w:after="100" w:afterAutospacing="1"/>
      <w:widowControl/>
    </w:pPr>
    <w:rPr>
      <w:rFonts w:hint="eastAsia" w:ascii="宋体" w:hAnsi="宋体" w:cs="Arial Unicode MS"/>
      <w:color w:val="000000"/>
      <w:sz w:val="20"/>
      <w:szCs w:val="20"/>
    </w:rPr>
  </w:style>
  <w:style w:type="paragraph" w:styleId="1011">
    <w:name w:val="Char Char Char1 Char1"/>
    <w:basedOn w:val="853"/>
    <w:next w:val="1011"/>
    <w:link w:val="853"/>
    <w:qFormat/>
    <w:rPr>
      <w:rFonts w:ascii="Tahoma" w:hAnsi="Tahoma"/>
      <w:sz w:val="24"/>
      <w:szCs w:val="20"/>
    </w:rPr>
  </w:style>
  <w:style w:type="paragraph" w:styleId="1012">
    <w:name w:val="Char Char Char Char Char Char Char Char Char Char"/>
    <w:basedOn w:val="853"/>
    <w:next w:val="1012"/>
    <w:link w:val="853"/>
    <w:qFormat/>
  </w:style>
  <w:style w:type="paragraph" w:styleId="1013">
    <w:name w:val="Char Char1 Char Char Char Char Char Char Char Char"/>
    <w:basedOn w:val="853"/>
    <w:next w:val="1013"/>
    <w:link w:val="853"/>
    <w:qFormat/>
    <w:pPr>
      <w:jc w:val="left"/>
      <w:spacing w:after="160" w:line="240" w:lineRule="exact"/>
      <w:widowControl/>
    </w:pPr>
    <w:rPr>
      <w:rFonts w:ascii="Verdana" w:hAnsi="Verdana"/>
      <w:sz w:val="20"/>
      <w:szCs w:val="20"/>
      <w:lang w:eastAsia="en-US"/>
    </w:rPr>
  </w:style>
  <w:style w:type="paragraph" w:styleId="1014">
    <w:name w:val="Char1"/>
    <w:basedOn w:val="853"/>
    <w:next w:val="1014"/>
    <w:link w:val="853"/>
    <w:qFormat/>
    <w:pPr>
      <w:tabs>
        <w:tab w:val="left" w:pos="360" w:leader="none"/>
      </w:tabs>
    </w:pPr>
    <w:rPr>
      <w:sz w:val="24"/>
    </w:rPr>
  </w:style>
  <w:style w:type="paragraph" w:styleId="1015">
    <w:name w:val="正文列项_字母"/>
    <w:basedOn w:val="853"/>
    <w:next w:val="1015"/>
    <w:link w:val="853"/>
    <w:qFormat/>
    <w:pPr>
      <w:numPr>
        <w:ilvl w:val="6"/>
        <w:numId w:val="1"/>
      </w:numPr>
      <w:ind w:left="480" w:hanging="180"/>
      <w:spacing w:line="460" w:lineRule="exact"/>
      <w:tabs>
        <w:tab w:val="clear" w:pos="635" w:leader="none"/>
      </w:tabs>
      <w:outlineLvl w:val="6"/>
    </w:pPr>
    <w:rPr>
      <w:rFonts w:ascii="宋体"/>
      <w:sz w:val="28"/>
      <w:szCs w:val="20"/>
    </w:rPr>
  </w:style>
  <w:style w:type="paragraph" w:styleId="1016">
    <w:name w:val="xl28"/>
    <w:basedOn w:val="853"/>
    <w:next w:val="1016"/>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name w:val="xl47"/>
    <w:basedOn w:val="853"/>
    <w:next w:val="1017"/>
    <w:link w:val="8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默认段落字体 Para Char Char Char Char"/>
    <w:basedOn w:val="853"/>
    <w:next w:val="1018"/>
    <w:link w:val="853"/>
    <w:qFormat/>
    <w:rPr>
      <w:rFonts w:ascii="Arial" w:hAnsi="Arial" w:cs="Arial"/>
      <w:szCs w:val="21"/>
    </w:rPr>
  </w:style>
  <w:style w:type="paragraph" w:styleId="1019">
    <w:name w:val="xl48"/>
    <w:basedOn w:val="853"/>
    <w:next w:val="1019"/>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0">
    <w:name w:val="xl31"/>
    <w:basedOn w:val="853"/>
    <w:next w:val="1020"/>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1">
    <w:name w:val="xl53"/>
    <w:basedOn w:val="853"/>
    <w:next w:val="1021"/>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2">
    <w:name w:val="Char Char Char"/>
    <w:basedOn w:val="853"/>
    <w:next w:val="1022"/>
    <w:link w:val="853"/>
    <w:qFormat/>
    <w:rPr>
      <w:rFonts w:ascii="Tahoma" w:hAnsi="Tahoma"/>
      <w:sz w:val="24"/>
      <w:szCs w:val="20"/>
    </w:rPr>
  </w:style>
  <w:style w:type="paragraph" w:styleId="1023">
    <w:name w:val="xl50"/>
    <w:basedOn w:val="853"/>
    <w:next w:val="1023"/>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4">
    <w:name w:val="缺省文本"/>
    <w:basedOn w:val="853"/>
    <w:next w:val="1024"/>
    <w:link w:val="853"/>
    <w:qFormat/>
    <w:pPr>
      <w:jc w:val="left"/>
    </w:pPr>
    <w:rPr>
      <w:sz w:val="24"/>
    </w:rPr>
  </w:style>
  <w:style w:type="paragraph" w:styleId="1025">
    <w:name w:val="Char Char Char1"/>
    <w:basedOn w:val="853"/>
    <w:next w:val="1025"/>
    <w:link w:val="853"/>
    <w:qFormat/>
    <w:rPr>
      <w:rFonts w:ascii="Tahoma" w:hAnsi="Tahoma"/>
      <w:sz w:val="24"/>
      <w:szCs w:val="20"/>
    </w:rPr>
  </w:style>
  <w:style w:type="paragraph" w:styleId="1026">
    <w:name w:val="Char Char Char Char Char Char Char1"/>
    <w:basedOn w:val="853"/>
    <w:next w:val="1026"/>
    <w:link w:val="853"/>
    <w:qFormat/>
    <w:pPr>
      <w:ind w:firstLine="200"/>
      <w:spacing w:line="360" w:lineRule="auto"/>
    </w:pPr>
    <w:rPr>
      <w:rFonts w:eastAsia="仿宋_GB2312"/>
      <w:sz w:val="24"/>
    </w:rPr>
  </w:style>
  <w:style w:type="paragraph" w:styleId="1027">
    <w:name w:val="xl51"/>
    <w:basedOn w:val="853"/>
    <w:next w:val="1027"/>
    <w:link w:val="8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样式2"/>
    <w:basedOn w:val="915"/>
    <w:next w:val="1028"/>
    <w:link w:val="853"/>
    <w:qFormat/>
    <w:pPr>
      <w:jc w:val="center"/>
      <w:spacing w:line="360" w:lineRule="auto"/>
    </w:pPr>
    <w:rPr>
      <w:sz w:val="24"/>
    </w:rPr>
  </w:style>
  <w:style w:type="paragraph" w:styleId="1029">
    <w:name w:val="xl24"/>
    <w:basedOn w:val="853"/>
    <w:next w:val="1029"/>
    <w:link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xl29"/>
    <w:basedOn w:val="853"/>
    <w:next w:val="1030"/>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1">
    <w:name w:val="正文 + 楷体_GB2312"/>
    <w:basedOn w:val="853"/>
    <w:next w:val="1031"/>
    <w:link w:val="853"/>
    <w:qFormat/>
    <w:pPr>
      <w:jc w:val="left"/>
      <w:widowControl/>
    </w:pPr>
    <w:rPr>
      <w:rFonts w:ascii="楷体_GB2312" w:eastAsia="楷体_GB2312" w:cs="Arial"/>
      <w:sz w:val="24"/>
    </w:rPr>
  </w:style>
  <w:style w:type="paragraph" w:styleId="1032">
    <w:name w:val="xl34"/>
    <w:basedOn w:val="853"/>
    <w:next w:val="1032"/>
    <w:link w:val="8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3">
    <w:name w:val="1 Char Char Char Char"/>
    <w:basedOn w:val="853"/>
    <w:next w:val="1033"/>
    <w:link w:val="853"/>
    <w:qFormat/>
    <w:rPr>
      <w:rFonts w:ascii="Tahoma" w:hAnsi="Tahoma"/>
      <w:sz w:val="24"/>
      <w:szCs w:val="20"/>
    </w:rPr>
  </w:style>
  <w:style w:type="paragraph" w:styleId="1034">
    <w:name w:val="列出段落1"/>
    <w:basedOn w:val="853"/>
    <w:next w:val="1034"/>
    <w:link w:val="853"/>
    <w:qFormat/>
    <w:pPr>
      <w:ind w:firstLine="420"/>
    </w:pPr>
    <w:rPr>
      <w:rFonts w:ascii="Calibri" w:hAnsi="Calibri"/>
      <w:szCs w:val="22"/>
    </w:rPr>
  </w:style>
  <w:style w:type="paragraph" w:styleId="1035">
    <w:name w:val="default"/>
    <w:basedOn w:val="853"/>
    <w:next w:val="1035"/>
    <w:link w:val="853"/>
    <w:qFormat/>
    <w:pPr>
      <w:jc w:val="left"/>
      <w:spacing w:before="100" w:beforeAutospacing="1" w:after="100" w:afterAutospacing="1"/>
      <w:widowControl/>
    </w:pPr>
    <w:rPr>
      <w:rFonts w:ascii="宋体" w:hAnsi="宋体" w:cs="宋体"/>
      <w:sz w:val="24"/>
    </w:rPr>
  </w:style>
  <w:style w:type="paragraph" w:styleId="1036">
    <w:name w:val="字元 字元1"/>
    <w:basedOn w:val="853"/>
    <w:next w:val="1036"/>
    <w:link w:val="853"/>
    <w:qFormat/>
    <w:rPr>
      <w:rFonts w:ascii="Tahoma" w:hAnsi="Tahoma"/>
      <w:sz w:val="24"/>
      <w:szCs w:val="20"/>
    </w:rPr>
  </w:style>
  <w:style w:type="paragraph" w:styleId="1037">
    <w:name w:val="_Style 160"/>
    <w:next w:val="1037"/>
    <w:link w:val="853"/>
    <w:qFormat/>
    <w:rPr>
      <w:sz w:val="21"/>
      <w:szCs w:val="24"/>
      <w:lang w:val="en-US" w:eastAsia="zh-CN" w:bidi="ar-SA"/>
    </w:rPr>
  </w:style>
  <w:style w:type="paragraph" w:styleId="1038">
    <w:name w:val="项目编号3"/>
    <w:basedOn w:val="999"/>
    <w:next w:val="1038"/>
    <w:link w:val="853"/>
    <w:qFormat/>
    <w:pPr>
      <w:numPr>
        <w:ilvl w:val="0"/>
        <w:numId w:val="6"/>
      </w:numPr>
    </w:pPr>
  </w:style>
  <w:style w:type="paragraph" w:styleId="1039">
    <w:name w:val="Char21"/>
    <w:basedOn w:val="853"/>
    <w:next w:val="1039"/>
    <w:link w:val="853"/>
    <w:qFormat/>
    <w:rPr>
      <w:rFonts w:ascii="Tahoma" w:hAnsi="Tahoma"/>
      <w:sz w:val="24"/>
      <w:szCs w:val="20"/>
    </w:rPr>
  </w:style>
  <w:style w:type="paragraph" w:styleId="1040">
    <w:name w:val="表格文字"/>
    <w:basedOn w:val="886"/>
    <w:next w:val="1040"/>
    <w:link w:val="853"/>
    <w:qFormat/>
    <w:pPr>
      <w:ind w:firstLine="0"/>
      <w:spacing w:before="20" w:after="20" w:line="240" w:lineRule="auto"/>
    </w:pPr>
    <w:rPr>
      <w:rFonts w:ascii="Century Gothic" w:hAnsi="Century Gothic"/>
      <w:sz w:val="20"/>
      <w:szCs w:val="20"/>
    </w:rPr>
  </w:style>
  <w:style w:type="paragraph" w:styleId="1041">
    <w:name w:val="Char Char Char Char Char Char Char Char Char Char1"/>
    <w:basedOn w:val="853"/>
    <w:next w:val="1041"/>
    <w:link w:val="853"/>
    <w:qFormat/>
    <w:rPr>
      <w:rFonts w:ascii="宋体" w:hAnsi="宋体" w:cs="Courier New"/>
      <w:sz w:val="32"/>
      <w:szCs w:val="32"/>
    </w:rPr>
  </w:style>
  <w:style w:type="paragraph" w:styleId="1042">
    <w:name w:val="正文文本样式 加粗"/>
    <w:basedOn w:val="999"/>
    <w:next w:val="1042"/>
    <w:link w:val="853"/>
    <w:qFormat/>
    <w:rPr>
      <w:b/>
    </w:rPr>
  </w:style>
  <w:style w:type="paragraph" w:styleId="1043">
    <w:name w:val="Char2 Char Char Char Char Char Char"/>
    <w:basedOn w:val="853"/>
    <w:next w:val="1043"/>
    <w:link w:val="853"/>
    <w:qFormat/>
    <w:pPr>
      <w:jc w:val="center"/>
      <w:spacing w:line="400" w:lineRule="exact"/>
      <w:widowControl/>
    </w:pPr>
  </w:style>
  <w:style w:type="paragraph" w:styleId="1044">
    <w:name w:val="Char Char4"/>
    <w:basedOn w:val="853"/>
    <w:next w:val="1044"/>
    <w:link w:val="853"/>
    <w:qFormat/>
    <w:pPr>
      <w:jc w:val="center"/>
      <w:spacing w:line="400" w:lineRule="exact"/>
      <w:widowControl/>
    </w:pPr>
  </w:style>
  <w:style w:type="paragraph" w:styleId="1045">
    <w:name w:val="Char3 Char Char Char1"/>
    <w:basedOn w:val="853"/>
    <w:next w:val="1045"/>
    <w:link w:val="853"/>
    <w:qFormat/>
    <w:rPr>
      <w:rFonts w:ascii="Tahoma" w:hAnsi="Tahoma"/>
      <w:sz w:val="24"/>
      <w:szCs w:val="20"/>
    </w:rPr>
  </w:style>
  <w:style w:type="paragraph" w:styleId="1046">
    <w:name w:val="无间隔"/>
    <w:next w:val="1046"/>
    <w:link w:val="853"/>
    <w:qFormat/>
    <w:pPr>
      <w:jc w:val="both"/>
      <w:widowControl w:val="off"/>
    </w:pPr>
    <w:rPr>
      <w:sz w:val="21"/>
      <w:szCs w:val="24"/>
      <w:lang w:val="en-US" w:eastAsia="zh-CN" w:bidi="ar-SA"/>
    </w:rPr>
  </w:style>
  <w:style w:type="paragraph" w:styleId="1047">
    <w:name w:val="22222222222222"/>
    <w:basedOn w:val="853"/>
    <w:next w:val="1047"/>
    <w:link w:val="853"/>
    <w:qFormat/>
    <w:pPr>
      <w:ind w:firstLine="480"/>
      <w:jc w:val="left"/>
      <w:spacing w:line="360" w:lineRule="auto"/>
      <w:widowControl/>
    </w:pPr>
    <w:rPr>
      <w:color w:val="ff0000"/>
      <w:sz w:val="24"/>
      <w:szCs w:val="20"/>
    </w:rPr>
  </w:style>
  <w:style w:type="character" w:styleId="1048">
    <w:name w:val="中等深浅网格 1 - 强调文字颜色 2 Char"/>
    <w:next w:val="1048"/>
    <w:link w:val="1049"/>
    <w:qFormat/>
    <w:rPr>
      <w:sz w:val="21"/>
      <w:szCs w:val="24"/>
      <w:lang w:val="zh-CN" w:eastAsia="zh-CN" w:bidi="ar-SA"/>
    </w:rPr>
  </w:style>
  <w:style w:type="paragraph" w:styleId="1049">
    <w:name w:val="1"/>
    <w:next w:val="1049"/>
    <w:link w:val="1048"/>
    <w:qFormat/>
    <w:rPr>
      <w:sz w:val="21"/>
      <w:szCs w:val="24"/>
      <w:lang w:val="zh-CN" w:eastAsia="zh-CN" w:bidi="ar-SA"/>
    </w:rPr>
  </w:style>
  <w:style w:type="paragraph" w:styleId="1050">
    <w:name w:val="图文"/>
    <w:basedOn w:val="853"/>
    <w:next w:val="1050"/>
    <w:link w:val="853"/>
    <w:qFormat/>
    <w:pPr>
      <w:spacing w:after="50" w:line="360" w:lineRule="auto"/>
    </w:pPr>
    <w:rPr>
      <w:sz w:val="24"/>
    </w:rPr>
  </w:style>
  <w:style w:type="paragraph" w:styleId="1051">
    <w:name w:val="xl23"/>
    <w:basedOn w:val="853"/>
    <w:next w:val="1051"/>
    <w:link w:val="853"/>
    <w:qFormat/>
    <w:pPr>
      <w:spacing w:before="100" w:beforeAutospacing="1" w:after="100" w:afterAutospacing="1" w:line="360" w:lineRule="auto"/>
      <w:widowControl/>
    </w:pPr>
    <w:rPr>
      <w:sz w:val="24"/>
      <w:szCs w:val="20"/>
    </w:rPr>
  </w:style>
  <w:style w:type="paragraph" w:styleId="1052">
    <w:name w:val="正文表格"/>
    <w:basedOn w:val="853"/>
    <w:next w:val="1052"/>
    <w:link w:val="1053"/>
    <w:qFormat/>
    <w:pPr>
      <w:jc w:val="left"/>
    </w:pPr>
    <w:rPr>
      <w:rFonts w:ascii="宋体" w:hAnsi="宋体"/>
      <w:color w:val="000000"/>
      <w:szCs w:val="21"/>
    </w:rPr>
  </w:style>
  <w:style w:type="character" w:styleId="1053">
    <w:name w:val="正文表格 Char"/>
    <w:next w:val="1053"/>
    <w:link w:val="1052"/>
    <w:qFormat/>
    <w:rPr>
      <w:rFonts w:ascii="宋体" w:hAnsi="宋体"/>
      <w:color w:val="000000"/>
      <w:sz w:val="21"/>
      <w:szCs w:val="21"/>
    </w:rPr>
  </w:style>
  <w:style w:type="paragraph" w:styleId="1054">
    <w:name w:val="正文重点"/>
    <w:basedOn w:val="853"/>
    <w:next w:val="1054"/>
    <w:link w:val="1055"/>
    <w:qFormat/>
    <w:pPr>
      <w:ind w:firstLine="482"/>
      <w:jc w:val="left"/>
      <w:spacing w:line="360" w:lineRule="auto"/>
    </w:pPr>
    <w:rPr>
      <w:b/>
      <w:sz w:val="24"/>
      <w:szCs w:val="20"/>
    </w:rPr>
  </w:style>
  <w:style w:type="character" w:styleId="1055">
    <w:name w:val="正文重点 Char"/>
    <w:next w:val="1055"/>
    <w:link w:val="1054"/>
    <w:qFormat/>
    <w:rPr>
      <w:b/>
      <w:sz w:val="24"/>
    </w:rPr>
  </w:style>
  <w:style w:type="paragraph" w:styleId="1056">
    <w:name w:val="标题1-附件"/>
    <w:basedOn w:val="854"/>
    <w:next w:val="1056"/>
    <w:link w:val="853"/>
    <w:qFormat/>
    <w:pPr>
      <w:jc w:val="left"/>
    </w:pPr>
    <w:rPr>
      <w:sz w:val="24"/>
      <w:szCs w:val="24"/>
    </w:rPr>
  </w:style>
  <w:style w:type="paragraph" w:styleId="1057">
    <w:name w:val="正文小标题"/>
    <w:basedOn w:val="853"/>
    <w:next w:val="867"/>
    <w:link w:val="1058"/>
    <w:qFormat/>
    <w:pPr>
      <w:ind w:firstLine="482"/>
      <w:jc w:val="left"/>
      <w:spacing w:before="312" w:after="312"/>
    </w:pPr>
    <w:rPr>
      <w:rFonts w:ascii="宋体" w:hAnsi="宋体"/>
      <w:b/>
      <w:i/>
      <w:color w:val="ff0000"/>
      <w:sz w:val="24"/>
      <w:szCs w:val="20"/>
    </w:rPr>
  </w:style>
  <w:style w:type="character" w:styleId="1058">
    <w:name w:val="正文小标题 Char"/>
    <w:next w:val="1058"/>
    <w:link w:val="1057"/>
    <w:qFormat/>
    <w:rPr>
      <w:rFonts w:ascii="宋体" w:hAnsi="宋体"/>
      <w:b/>
      <w:i/>
      <w:color w:val="ff0000"/>
      <w:sz w:val="24"/>
    </w:rPr>
  </w:style>
  <w:style w:type="paragraph" w:styleId="1059">
    <w:name w:val="正文大标题"/>
    <w:basedOn w:val="1057"/>
    <w:next w:val="867"/>
    <w:link w:val="1060"/>
    <w:qFormat/>
    <w:pPr>
      <w:jc w:val="center"/>
    </w:pPr>
    <w:rPr>
      <w:i w:val="0"/>
      <w:color w:val="000000"/>
      <w:sz w:val="28"/>
      <w:szCs w:val="21"/>
    </w:rPr>
  </w:style>
  <w:style w:type="character" w:styleId="1060">
    <w:name w:val="正文大标题 Char"/>
    <w:next w:val="1060"/>
    <w:link w:val="1059"/>
    <w:qFormat/>
    <w:rPr>
      <w:rFonts w:ascii="宋体" w:hAnsi="宋体"/>
      <w:b/>
      <w:color w:val="000000"/>
      <w:sz w:val="28"/>
      <w:szCs w:val="21"/>
    </w:rPr>
  </w:style>
  <w:style w:type="paragraph" w:styleId="1061">
    <w:name w:val="注释"/>
    <w:basedOn w:val="853"/>
    <w:next w:val="1061"/>
    <w:link w:val="1062"/>
    <w:qFormat/>
    <w:pPr>
      <w:ind w:left="420" w:hanging="420"/>
      <w:jc w:val="left"/>
    </w:pPr>
    <w:rPr>
      <w:rFonts w:ascii="宋体" w:hAnsi="宋体"/>
      <w:szCs w:val="21"/>
    </w:rPr>
  </w:style>
  <w:style w:type="character" w:styleId="1062">
    <w:name w:val="注释 Char"/>
    <w:next w:val="1062"/>
    <w:link w:val="1061"/>
    <w:qFormat/>
    <w:rPr>
      <w:rFonts w:ascii="宋体" w:hAnsi="宋体"/>
      <w:sz w:val="21"/>
      <w:szCs w:val="21"/>
    </w:rPr>
  </w:style>
  <w:style w:type="paragraph" w:styleId="1063">
    <w:name w:val="正文须知-1级"/>
    <w:basedOn w:val="853"/>
    <w:next w:val="853"/>
    <w:link w:val="853"/>
    <w:qFormat/>
    <w:pPr>
      <w:numPr>
        <w:ilvl w:val="0"/>
        <w:numId w:val="7"/>
      </w:numPr>
      <w:spacing w:line="300" w:lineRule="auto"/>
    </w:pPr>
    <w:rPr>
      <w:rFonts w:ascii="宋体" w:hAnsi="Calibri"/>
      <w:sz w:val="24"/>
      <w:szCs w:val="21"/>
    </w:rPr>
  </w:style>
  <w:style w:type="paragraph" w:styleId="1064">
    <w:name w:val="正文须知-2级"/>
    <w:basedOn w:val="853"/>
    <w:next w:val="1064"/>
    <w:link w:val="853"/>
    <w:qFormat/>
    <w:pPr>
      <w:numPr>
        <w:ilvl w:val="1"/>
        <w:numId w:val="7"/>
      </w:numPr>
      <w:spacing w:line="300" w:lineRule="auto"/>
    </w:pPr>
    <w:rPr>
      <w:rFonts w:ascii="宋体" w:hAnsi="Calibri"/>
      <w:sz w:val="24"/>
      <w:szCs w:val="21"/>
    </w:rPr>
  </w:style>
  <w:style w:type="paragraph" w:styleId="1065">
    <w:name w:val="正文须知-3级"/>
    <w:basedOn w:val="853"/>
    <w:next w:val="1065"/>
    <w:link w:val="853"/>
    <w:qFormat/>
    <w:pPr>
      <w:numPr>
        <w:ilvl w:val="2"/>
        <w:numId w:val="7"/>
      </w:numPr>
      <w:ind w:hanging="355"/>
      <w:spacing w:line="300" w:lineRule="auto"/>
    </w:pPr>
    <w:rPr>
      <w:rFonts w:ascii="宋体" w:hAnsi="Calibri"/>
      <w:sz w:val="24"/>
      <w:szCs w:val="21"/>
    </w:rPr>
  </w:style>
  <w:style w:type="character" w:styleId="1066">
    <w:name w:val="纯文本 字符"/>
    <w:next w:val="1066"/>
    <w:link w:val="853"/>
    <w:uiPriority w:val="99"/>
    <w:qFormat/>
    <w:rPr>
      <w:rFonts w:ascii="宋体" w:hAnsi="Courier New" w:eastAsia="宋体" w:cs="Times New Roman"/>
      <w:sz w:val="21"/>
      <w:szCs w:val="21"/>
      <w:lang w:val="en-US" w:eastAsia="zh-CN" w:bidi="ar-SA"/>
    </w:rPr>
  </w:style>
  <w:style w:type="paragraph" w:styleId="1067">
    <w:name w:val="表格1"/>
    <w:basedOn w:val="853"/>
    <w:next w:val="1067"/>
    <w:link w:val="853"/>
    <w:qFormat/>
    <w:pPr>
      <w:ind w:firstLine="480"/>
      <w:jc w:val="center"/>
    </w:pPr>
    <w:rPr>
      <w:sz w:val="24"/>
      <w:szCs w:val="20"/>
    </w:rPr>
  </w:style>
  <w:style w:type="character" w:styleId="1068">
    <w:name w:val="纯文本 字符1"/>
    <w:next w:val="1068"/>
    <w:link w:val="853"/>
    <w:qFormat/>
    <w:rPr>
      <w:rFonts w:ascii="宋体" w:hAnsi="Courier New"/>
    </w:rPr>
  </w:style>
  <w:style w:type="character" w:styleId="1069">
    <w:name w:val="bjh-p"/>
    <w:next w:val="1069"/>
    <w:link w:val="853"/>
    <w:qFormat/>
  </w:style>
  <w:style w:type="paragraph" w:styleId="1070">
    <w:name w:val="无标题条"/>
    <w:next w:val="853"/>
    <w:link w:val="853"/>
    <w:qFormat/>
    <w:pPr>
      <w:jc w:val="both"/>
    </w:pPr>
    <w:rPr>
      <w:sz w:val="21"/>
      <w:lang w:val="en-US" w:eastAsia="zh-CN" w:bidi="ar-SA"/>
    </w:rPr>
  </w:style>
  <w:style w:type="character" w:styleId="1071">
    <w:name w:val="正文格式 Char"/>
    <w:next w:val="1071"/>
    <w:link w:val="1072"/>
    <w:qFormat/>
    <w:rPr>
      <w:rFonts w:ascii="宋体" w:hAnsi="宋体"/>
      <w:sz w:val="24"/>
      <w:szCs w:val="24"/>
      <w:lang w:val="en-GB"/>
    </w:rPr>
  </w:style>
  <w:style w:type="paragraph" w:styleId="1072">
    <w:name w:val="正文格式"/>
    <w:basedOn w:val="853"/>
    <w:next w:val="1072"/>
    <w:link w:val="1071"/>
    <w:qFormat/>
    <w:pPr>
      <w:ind w:firstLine="480"/>
      <w:spacing w:line="360" w:lineRule="auto"/>
    </w:pPr>
    <w:rPr>
      <w:rFonts w:ascii="宋体" w:hAnsi="宋体"/>
      <w:sz w:val="24"/>
      <w:lang w:val="en-GB"/>
    </w:rPr>
  </w:style>
  <w:style w:type="character" w:styleId="1073">
    <w:name w:val="标题 3 Char"/>
    <w:next w:val="1073"/>
    <w:link w:val="853"/>
    <w:qFormat/>
    <w:rPr>
      <w:rFonts w:ascii="宋体" w:eastAsia="宋体"/>
      <w:b/>
      <w:sz w:val="24"/>
      <w:u w:val="single"/>
      <w:lang w:val="en-US" w:eastAsia="zh-CN" w:bidi="ar-SA"/>
    </w:rPr>
  </w:style>
  <w:style w:type="character" w:styleId="1074">
    <w:name w:val="正文缩进 Char"/>
    <w:next w:val="1074"/>
    <w:link w:val="853"/>
    <w:qFormat/>
    <w:rPr>
      <w:rFonts w:ascii="宋体" w:eastAsia="宋体"/>
      <w:sz w:val="24"/>
      <w:szCs w:val="24"/>
      <w:lang w:val="en-US" w:eastAsia="zh-CN" w:bidi="ar-SA"/>
    </w:rPr>
  </w:style>
  <w:style w:type="character" w:styleId="1075">
    <w:name w:val="Char Char111"/>
    <w:next w:val="1075"/>
    <w:link w:val="853"/>
    <w:qFormat/>
    <w:rPr>
      <w:rFonts w:ascii="宋体" w:eastAsia="宋体"/>
      <w:b/>
      <w:sz w:val="24"/>
      <w:u w:val="single"/>
      <w:lang w:val="en-US" w:eastAsia="zh-CN" w:bidi="ar-SA"/>
    </w:rPr>
  </w:style>
  <w:style w:type="character" w:styleId="1076">
    <w:name w:val="正文文本缩进 Char"/>
    <w:next w:val="1076"/>
    <w:link w:val="853"/>
    <w:qFormat/>
    <w:rPr>
      <w:rFonts w:eastAsia="宋体"/>
      <w:sz w:val="24"/>
      <w:szCs w:val="24"/>
      <w:lang w:val="en-US" w:eastAsia="zh-CN" w:bidi="ar-SA"/>
    </w:rPr>
  </w:style>
  <w:style w:type="character" w:styleId="1077">
    <w:name w:val="列出段落 Char"/>
    <w:next w:val="1077"/>
    <w:link w:val="853"/>
    <w:qFormat/>
    <w:rPr>
      <w:rFonts w:ascii="Calibri" w:hAnsi="Calibri" w:eastAsia="宋体"/>
      <w:sz w:val="21"/>
      <w:szCs w:val="22"/>
      <w:lang w:val="en-US" w:eastAsia="zh-CN" w:bidi="ar-SA"/>
    </w:rPr>
  </w:style>
  <w:style w:type="character" w:styleId="1078">
    <w:name w:val="页眉 Char"/>
    <w:next w:val="1078"/>
    <w:link w:val="853"/>
    <w:qFormat/>
    <w:rPr>
      <w:rFonts w:eastAsia="宋体"/>
      <w:sz w:val="18"/>
      <w:szCs w:val="18"/>
      <w:lang w:val="en-US" w:eastAsia="zh-CN" w:bidi="ar-SA"/>
    </w:rPr>
  </w:style>
  <w:style w:type="character" w:styleId="1079">
    <w:name w:val="标题 2 Char"/>
    <w:next w:val="1079"/>
    <w:link w:val="853"/>
    <w:qFormat/>
    <w:rPr>
      <w:rFonts w:ascii="Arial" w:hAnsi="Arial" w:eastAsia="黑体"/>
      <w:b/>
      <w:sz w:val="30"/>
      <w:lang w:val="en-US" w:eastAsia="zh-CN" w:bidi="ar-SA"/>
    </w:rPr>
  </w:style>
  <w:style w:type="paragraph" w:styleId="1080">
    <w:name w:val="字元 字元2"/>
    <w:basedOn w:val="853"/>
    <w:next w:val="1080"/>
    <w:link w:val="853"/>
    <w:qFormat/>
    <w:rPr>
      <w:rFonts w:ascii="Tahoma" w:hAnsi="Tahoma"/>
      <w:sz w:val="24"/>
      <w:szCs w:val="20"/>
    </w:rPr>
  </w:style>
  <w:style w:type="paragraph" w:styleId="1081">
    <w:name w:val="Char3 Char Char Char2"/>
    <w:basedOn w:val="853"/>
    <w:next w:val="1081"/>
    <w:link w:val="853"/>
    <w:qFormat/>
    <w:rPr>
      <w:rFonts w:ascii="Tahoma" w:hAnsi="Tahoma"/>
      <w:sz w:val="24"/>
      <w:szCs w:val="20"/>
    </w:rPr>
  </w:style>
  <w:style w:type="paragraph" w:styleId="1082">
    <w:name w:val="正文文本缩进2"/>
    <w:basedOn w:val="853"/>
    <w:next w:val="1082"/>
    <w:link w:val="853"/>
    <w:qFormat/>
    <w:pPr>
      <w:ind w:firstLine="480"/>
      <w:spacing w:line="480" w:lineRule="exact"/>
    </w:pPr>
    <w:rPr>
      <w:rFonts w:ascii="宋体" w:hAnsi="宋体"/>
      <w:sz w:val="24"/>
      <w:lang w:val="zh-CN" w:eastAsia="zh-CN"/>
    </w:rPr>
  </w:style>
  <w:style w:type="paragraph" w:styleId="1083">
    <w:name w:val="Char3"/>
    <w:basedOn w:val="853"/>
    <w:next w:val="1083"/>
    <w:link w:val="853"/>
    <w:qFormat/>
    <w:pPr>
      <w:tabs>
        <w:tab w:val="left" w:pos="360" w:leader="none"/>
      </w:tabs>
    </w:pPr>
    <w:rPr>
      <w:sz w:val="24"/>
    </w:rPr>
  </w:style>
  <w:style w:type="paragraph" w:styleId="1084">
    <w:name w:val="Char Char Char Char Char Char Char Char Char Char Char Char Char Char Char Char1"/>
    <w:basedOn w:val="853"/>
    <w:next w:val="1084"/>
    <w:link w:val="853"/>
    <w:qFormat/>
    <w:pPr>
      <w:jc w:val="center"/>
      <w:spacing w:after="160" w:line="240" w:lineRule="exact"/>
      <w:widowControl/>
    </w:pPr>
    <w:rPr>
      <w:rFonts w:ascii="宋体" w:hAnsi="宋体"/>
      <w:b/>
      <w:sz w:val="30"/>
      <w:szCs w:val="30"/>
      <w:lang w:eastAsia="en-US"/>
    </w:rPr>
  </w:style>
  <w:style w:type="paragraph" w:styleId="1085">
    <w:name w:val="Char Char1 Char Char Char Char Char Char1"/>
    <w:basedOn w:val="853"/>
    <w:next w:val="1085"/>
    <w:link w:val="853"/>
    <w:qFormat/>
    <w:pPr>
      <w:jc w:val="left"/>
      <w:spacing w:after="160" w:line="240" w:lineRule="exact"/>
      <w:widowControl/>
    </w:pPr>
    <w:rPr>
      <w:rFonts w:ascii="Verdana" w:hAnsi="Verdana" w:eastAsia="仿宋_GB2312"/>
      <w:sz w:val="24"/>
      <w:szCs w:val="20"/>
      <w:lang w:eastAsia="en-US"/>
    </w:rPr>
  </w:style>
  <w:style w:type="paragraph" w:styleId="1086">
    <w:name w:val="列出段落2"/>
    <w:basedOn w:val="853"/>
    <w:next w:val="1086"/>
    <w:link w:val="853"/>
    <w:qFormat/>
    <w:pPr>
      <w:ind w:firstLine="420"/>
    </w:pPr>
    <w:rPr>
      <w:rFonts w:ascii="Calibri" w:hAnsi="Calibri"/>
      <w:szCs w:val="22"/>
    </w:rPr>
  </w:style>
  <w:style w:type="paragraph" w:styleId="1087">
    <w:name w:val="Char Char Char1 Char2"/>
    <w:basedOn w:val="853"/>
    <w:next w:val="1087"/>
    <w:link w:val="853"/>
    <w:qFormat/>
    <w:rPr>
      <w:rFonts w:ascii="Tahoma" w:hAnsi="Tahoma"/>
      <w:sz w:val="24"/>
      <w:szCs w:val="20"/>
    </w:rPr>
  </w:style>
  <w:style w:type="paragraph" w:styleId="1088">
    <w:name w:val="Char Char Char2"/>
    <w:basedOn w:val="853"/>
    <w:next w:val="1088"/>
    <w:link w:val="853"/>
    <w:qFormat/>
    <w:rPr>
      <w:rFonts w:ascii="Tahoma" w:hAnsi="Tahoma"/>
      <w:sz w:val="24"/>
      <w:szCs w:val="20"/>
    </w:rPr>
  </w:style>
  <w:style w:type="paragraph" w:styleId="1089">
    <w:name w:val="Char Char Char Char Char Char Char2"/>
    <w:basedOn w:val="853"/>
    <w:next w:val="1089"/>
    <w:link w:val="853"/>
    <w:qFormat/>
    <w:pPr>
      <w:ind w:firstLine="200"/>
      <w:spacing w:line="360" w:lineRule="auto"/>
    </w:pPr>
    <w:rPr>
      <w:rFonts w:eastAsia="仿宋_GB2312"/>
      <w:sz w:val="24"/>
    </w:rPr>
  </w:style>
  <w:style w:type="paragraph" w:styleId="1090">
    <w:name w:val="正文缩进2"/>
    <w:basedOn w:val="853"/>
    <w:next w:val="1090"/>
    <w:link w:val="853"/>
    <w:qFormat/>
    <w:pPr>
      <w:ind w:firstLine="567"/>
      <w:spacing w:line="480" w:lineRule="exact"/>
      <w:widowControl/>
    </w:pPr>
    <w:rPr>
      <w:rFonts w:ascii="宋体"/>
      <w:color w:val="000000"/>
      <w:sz w:val="28"/>
      <w:szCs w:val="20"/>
      <w:lang w:val="zh-CN" w:eastAsia="zh-CN"/>
    </w:rPr>
  </w:style>
  <w:style w:type="paragraph" w:styleId="1091">
    <w:name w:val="Revision"/>
    <w:next w:val="1091"/>
    <w:link w:val="853"/>
    <w:qFormat/>
    <w:rPr>
      <w:sz w:val="21"/>
      <w:szCs w:val="24"/>
      <w:lang w:val="en-US" w:eastAsia="zh-CN" w:bidi="ar-SA"/>
    </w:rPr>
  </w:style>
  <w:style w:type="paragraph" w:styleId="1092">
    <w:name w:val="Char22"/>
    <w:basedOn w:val="853"/>
    <w:next w:val="1092"/>
    <w:link w:val="853"/>
    <w:qFormat/>
    <w:rPr>
      <w:rFonts w:ascii="Tahoma" w:hAnsi="Tahoma"/>
      <w:sz w:val="24"/>
      <w:szCs w:val="20"/>
    </w:rPr>
  </w:style>
  <w:style w:type="paragraph" w:styleId="1093">
    <w:name w:val="Char Char Char Char Char Char Char Char Char Char2"/>
    <w:basedOn w:val="853"/>
    <w:next w:val="1093"/>
    <w:link w:val="853"/>
    <w:qFormat/>
    <w:rPr>
      <w:rFonts w:ascii="宋体" w:hAnsi="宋体" w:cs="Courier New"/>
      <w:sz w:val="32"/>
      <w:szCs w:val="32"/>
    </w:rPr>
  </w:style>
  <w:style w:type="paragraph" w:styleId="1094">
    <w:name w:val="Char2 Char Char Char Char Char Char1"/>
    <w:basedOn w:val="853"/>
    <w:next w:val="1094"/>
    <w:link w:val="853"/>
    <w:qFormat/>
    <w:pPr>
      <w:jc w:val="center"/>
      <w:spacing w:line="400" w:lineRule="exact"/>
      <w:widowControl/>
    </w:pPr>
  </w:style>
  <w:style w:type="character" w:styleId="1095">
    <w:name w:val="页脚 Char"/>
    <w:next w:val="1095"/>
    <w:link w:val="853"/>
    <w:qFormat/>
    <w:rPr>
      <w:rFonts w:ascii="宋体" w:eastAsia="宋体"/>
      <w:sz w:val="18"/>
      <w:lang w:val="en-US" w:eastAsia="zh-CN" w:bidi="ar-SA"/>
    </w:rPr>
  </w:style>
  <w:style w:type="paragraph" w:styleId="1096">
    <w:name w:val="Char Char41"/>
    <w:basedOn w:val="853"/>
    <w:next w:val="1096"/>
    <w:link w:val="853"/>
    <w:qFormat/>
    <w:pPr>
      <w:jc w:val="center"/>
      <w:spacing w:line="400" w:lineRule="exact"/>
      <w:widowControl/>
    </w:pPr>
  </w:style>
  <w:style w:type="character" w:styleId="1097">
    <w:name w:val="批注文字 Char"/>
    <w:next w:val="1097"/>
    <w:link w:val="853"/>
    <w:uiPriority w:val="99"/>
    <w:qFormat/>
    <w:rPr>
      <w:sz w:val="21"/>
      <w:szCs w:val="24"/>
    </w:rPr>
  </w:style>
  <w:style w:type="character" w:styleId="1098">
    <w:name w:val="标题 Char"/>
    <w:next w:val="1098"/>
    <w:link w:val="853"/>
    <w:qFormat/>
    <w:rPr>
      <w:b/>
      <w:sz w:val="32"/>
    </w:rPr>
  </w:style>
  <w:style w:type="paragraph" w:styleId="1099">
    <w:name w:val="图例"/>
    <w:basedOn w:val="853"/>
    <w:next w:val="1099"/>
    <w:link w:val="853"/>
    <w:qFormat/>
    <w:pPr>
      <w:jc w:val="center"/>
      <w:spacing w:before="120" w:after="120" w:line="360" w:lineRule="auto"/>
    </w:pPr>
    <w:rPr>
      <w:rFonts w:eastAsia="仿宋_GB2312"/>
      <w:b/>
      <w:sz w:val="24"/>
      <w:szCs w:val="20"/>
    </w:rPr>
  </w:style>
  <w:style w:type="table" w:styleId="1100">
    <w:name w:val="Table Normal"/>
    <w:next w:val="1100"/>
    <w:link w:val="853"/>
    <w:uiPriority w:val="2"/>
    <w:unhideWhenUsed/>
    <w:qFormat/>
    <w:pPr>
      <w:widowControl w:val="off"/>
    </w:pPr>
    <w:rPr>
      <w:rFonts w:ascii="Calibri" w:hAnsi="Calibri"/>
      <w:sz w:val="22"/>
      <w:szCs w:val="22"/>
      <w:lang w:val="en-US" w:eastAsia="en-US" w:bidi="ar-SA"/>
    </w:rPr>
    <w:tblPr/>
  </w:style>
  <w:style w:type="paragraph" w:styleId="1101">
    <w:name w:val="Table Paragraph"/>
    <w:basedOn w:val="853"/>
    <w:next w:val="1101"/>
    <w:link w:val="853"/>
    <w:uiPriority w:val="1"/>
    <w:qFormat/>
    <w:pPr>
      <w:jc w:val="left"/>
    </w:pPr>
    <w:rPr>
      <w:rFonts w:ascii="宋体" w:hAnsi="宋体" w:cs="宋体"/>
      <w:sz w:val="22"/>
      <w:szCs w:val="22"/>
      <w:lang w:eastAsia="en-US"/>
    </w:rPr>
  </w:style>
  <w:style w:type="paragraph" w:styleId="1102">
    <w:name w:val="成文日期"/>
    <w:basedOn w:val="853"/>
    <w:next w:val="1102"/>
    <w:link w:val="1103"/>
    <w:qFormat/>
    <w:pPr>
      <w:ind w:right="400" w:firstLine="200"/>
      <w:jc w:val="right"/>
      <w:spacing w:line="570" w:lineRule="exact"/>
    </w:pPr>
    <w:rPr>
      <w:rFonts w:ascii="仿宋_GB2312" w:eastAsia="仿宋_GB2312"/>
      <w:sz w:val="32"/>
      <w:szCs w:val="20"/>
    </w:rPr>
  </w:style>
  <w:style w:type="character" w:styleId="1103">
    <w:name w:val="成文日期 Char"/>
    <w:next w:val="1103"/>
    <w:link w:val="1102"/>
    <w:qFormat/>
    <w:rPr>
      <w:rFonts w:ascii="仿宋_GB2312" w:eastAsia="仿宋_GB2312"/>
      <w:sz w:val="32"/>
    </w:rPr>
  </w:style>
  <w:style w:type="paragraph" w:styleId="1104">
    <w:name w:val="修订"/>
    <w:next w:val="1104"/>
    <w:link w:val="853"/>
    <w:uiPriority w:val="99"/>
    <w:unhideWhenUsed/>
    <w:rPr>
      <w:sz w:val="21"/>
      <w:szCs w:val="24"/>
      <w:lang w:val="en-US" w:eastAsia="zh-CN" w:bidi="ar-SA"/>
    </w:rPr>
  </w:style>
  <w:style w:type="paragraph" w:styleId="1105">
    <w:name w:val="正文1"/>
    <w:basedOn w:val="853"/>
    <w:next w:val="1105"/>
    <w:link w:val="853"/>
    <w:qFormat/>
    <w:pPr>
      <w:contextualSpacing/>
      <w:ind w:firstLine="200"/>
      <w:jc w:val="left"/>
      <w:spacing w:before="120" w:after="120"/>
      <w:widowControl/>
    </w:pPr>
    <w:rPr>
      <w:rFonts w:ascii="Calibri" w:hAnsi="Calibri" w:eastAsia="Adobe 仿宋 Std R"/>
      <w:sz w:val="20"/>
      <w:szCs w:val="21"/>
    </w:rPr>
  </w:style>
  <w:style w:type="character" w:styleId="1106">
    <w:name w:val="材料标题 Char"/>
    <w:next w:val="1106"/>
    <w:link w:val="1107"/>
    <w:qFormat/>
    <w:rPr>
      <w:rFonts w:ascii="方正小标宋简体" w:eastAsia="方正小标宋简体"/>
      <w:color w:val="000000"/>
      <w:sz w:val="44"/>
      <w:szCs w:val="44"/>
    </w:rPr>
  </w:style>
  <w:style w:type="paragraph" w:styleId="1107">
    <w:name w:val="材料标题"/>
    <w:basedOn w:val="853"/>
    <w:next w:val="1107"/>
    <w:link w:val="1106"/>
    <w:qFormat/>
    <w:pPr>
      <w:jc w:val="center"/>
      <w:spacing w:line="700" w:lineRule="exact"/>
    </w:pPr>
    <w:rPr>
      <w:rFonts w:ascii="方正小标宋简体" w:eastAsia="方正小标宋简体"/>
      <w:color w:val="000000"/>
      <w:sz w:val="44"/>
      <w:szCs w:val="44"/>
    </w:rPr>
  </w:style>
  <w:style w:type="character" w:styleId="1108">
    <w:name w:val="未处理的提及"/>
    <w:next w:val="1108"/>
    <w:link w:val="853"/>
    <w:uiPriority w:val="99"/>
    <w:unhideWhenUsed/>
    <w:rPr>
      <w:color w:val="605e5c"/>
      <w:shd w:val="clear" w:color="auto" w:fill="e1dfdd"/>
    </w:rPr>
  </w:style>
  <w:style w:type="character" w:styleId="1109">
    <w:name w:val="grame"/>
    <w:next w:val="1109"/>
    <w:link w:val="853"/>
  </w:style>
  <w:style w:type="character" w:styleId="1110">
    <w:name w:val="font91"/>
    <w:next w:val="1110"/>
    <w:link w:val="853"/>
    <w:rPr>
      <w:rFonts w:hint="eastAsia" w:ascii="宋体" w:hAnsi="宋体" w:eastAsia="宋体" w:cs="宋体"/>
      <w:b/>
      <w:bCs/>
      <w:i w:val="0"/>
      <w:iCs w:val="0"/>
      <w:color w:val="000000"/>
      <w:sz w:val="20"/>
      <w:szCs w:val="20"/>
      <w:u w:val="none"/>
    </w:rPr>
  </w:style>
  <w:style w:type="character" w:styleId="1111">
    <w:name w:val="font61"/>
    <w:next w:val="1111"/>
    <w:link w:val="853"/>
    <w:rPr>
      <w:rFonts w:hint="eastAsia" w:ascii="宋体" w:hAnsi="宋体" w:eastAsia="宋体" w:cs="宋体"/>
      <w:i w:val="0"/>
      <w:iCs w:val="0"/>
      <w:color w:val="000000"/>
      <w:sz w:val="20"/>
      <w:szCs w:val="20"/>
      <w:u w:val="none"/>
    </w:rPr>
  </w:style>
  <w:style w:type="character" w:styleId="1112">
    <w:name w:val="font21"/>
    <w:next w:val="1112"/>
    <w:link w:val="853"/>
    <w:rPr>
      <w:rFonts w:ascii="Times New Roman" w:hAnsi="Times New Roman" w:cs="Times New Roman"/>
      <w:i w:val="0"/>
      <w:iCs w:val="0"/>
      <w:color w:val="000000"/>
      <w:sz w:val="20"/>
      <w:szCs w:val="20"/>
      <w:u w:val="none"/>
    </w:rPr>
  </w:style>
  <w:style w:type="character" w:styleId="1113">
    <w:name w:val="font71"/>
    <w:next w:val="1113"/>
    <w:link w:val="853"/>
    <w:rPr>
      <w:rFonts w:hint="eastAsia" w:ascii="宋体" w:hAnsi="宋体" w:eastAsia="宋体" w:cs="宋体"/>
      <w:i w:val="0"/>
      <w:iCs w:val="0"/>
      <w:color w:val="000000"/>
      <w:sz w:val="20"/>
      <w:szCs w:val="20"/>
      <w:u w:val="none"/>
    </w:rPr>
  </w:style>
  <w:style w:type="character" w:styleId="1114">
    <w:name w:val="font51"/>
    <w:next w:val="1114"/>
    <w:link w:val="853"/>
    <w:rPr>
      <w:rFonts w:ascii="Times New Roman" w:hAnsi="Times New Roman" w:cs="Times New Roman"/>
      <w:i w:val="0"/>
      <w:iCs w:val="0"/>
      <w:color w:val="000000"/>
      <w:sz w:val="20"/>
      <w:szCs w:val="20"/>
      <w:u w:val="none"/>
    </w:rPr>
  </w:style>
  <w:style w:type="character" w:styleId="1115">
    <w:name w:val="font101"/>
    <w:next w:val="1115"/>
    <w:link w:val="853"/>
    <w:rPr>
      <w:rFonts w:hint="eastAsia" w:ascii="宋体" w:hAnsi="宋体" w:eastAsia="宋体" w:cs="宋体"/>
      <w:i w:val="0"/>
      <w:iCs w:val="0"/>
      <w:color w:val="000000"/>
      <w:sz w:val="20"/>
      <w:szCs w:val="20"/>
      <w:u w:val="none"/>
    </w:rPr>
  </w:style>
  <w:style w:type="character" w:styleId="1116">
    <w:name w:val="font112"/>
    <w:next w:val="1116"/>
    <w:link w:val="853"/>
    <w:rPr>
      <w:rFonts w:hint="eastAsia" w:ascii="宋体" w:hAnsi="宋体" w:eastAsia="宋体" w:cs="宋体"/>
      <w:i w:val="0"/>
      <w:iCs w:val="0"/>
      <w:color w:val="000000"/>
      <w:sz w:val="20"/>
      <w:szCs w:val="20"/>
      <w:u w:val="none"/>
    </w:rPr>
  </w:style>
  <w:style w:type="character" w:styleId="1117">
    <w:name w:val="标题 2 Char1"/>
    <w:next w:val="1117"/>
    <w:link w:val="853"/>
    <w:qFormat/>
    <w:rPr>
      <w:rFonts w:ascii="Arial" w:hAnsi="Arial" w:eastAsia="黑体"/>
      <w:b/>
      <w:sz w:val="30"/>
      <w:lang w:val="en-US" w:eastAsia="zh-CN" w:bidi="ar-SA"/>
    </w:rPr>
  </w:style>
  <w:style w:type="paragraph" w:styleId="1118">
    <w:name w:val="标题 21"/>
    <w:basedOn w:val="853"/>
    <w:next w:val="1119"/>
    <w:link w:val="853"/>
    <w:qFormat/>
    <w:pPr>
      <w:jc w:val="center"/>
      <w:keepLines/>
      <w:keepNext/>
      <w:spacing w:before="120" w:line="300" w:lineRule="auto"/>
      <w:outlineLvl w:val="1"/>
    </w:pPr>
    <w:rPr>
      <w:rFonts w:ascii="Arial" w:hAnsi="Arial" w:eastAsia="黑体"/>
      <w:b/>
      <w:sz w:val="30"/>
      <w:szCs w:val="20"/>
    </w:rPr>
  </w:style>
  <w:style w:type="paragraph" w:styleId="1119">
    <w:name w:val="正文缩进11"/>
    <w:basedOn w:val="853"/>
    <w:next w:val="1119"/>
    <w:link w:val="853"/>
    <w:uiPriority w:val="99"/>
    <w:qFormat/>
    <w:pPr>
      <w:ind w:firstLine="420"/>
      <w:jc w:val="left"/>
    </w:pPr>
    <w:rPr>
      <w:rFonts w:ascii="宋体"/>
      <w:sz w:val="24"/>
    </w:rPr>
  </w:style>
  <w:style w:type="paragraph" w:styleId="1120">
    <w:name w:val="列出段落11"/>
    <w:basedOn w:val="853"/>
    <w:next w:val="1120"/>
    <w:link w:val="853"/>
    <w:qFormat/>
    <w:pPr>
      <w:ind w:firstLine="420"/>
    </w:pPr>
    <w:rPr>
      <w:rFonts w:ascii="Calibri" w:hAnsi="Calibri"/>
      <w:szCs w:val="22"/>
    </w:rPr>
  </w:style>
  <w:style w:type="paragraph" w:styleId="1121">
    <w:name w:val="正文首行缩进1"/>
    <w:basedOn w:val="884"/>
    <w:next w:val="1121"/>
    <w:link w:val="853"/>
    <w:qFormat/>
    <w:pPr>
      <w:ind w:firstLine="420"/>
      <w:spacing w:before="0" w:after="120" w:line="240" w:lineRule="auto"/>
      <w:tabs>
        <w:tab w:val="left" w:pos="567" w:leader="none"/>
      </w:tabs>
    </w:pPr>
    <w:rPr>
      <w:rFonts w:ascii="Times New Roman" w:hAnsi="Times New Roman"/>
      <w:sz w:val="21"/>
    </w:rPr>
  </w:style>
  <w:style w:type="character" w:styleId="1122">
    <w:name w:val="font11"/>
    <w:next w:val="1122"/>
    <w:link w:val="853"/>
    <w:rPr>
      <w:rFonts w:hint="eastAsia" w:ascii="新宋体" w:hAnsi="新宋体" w:eastAsia="新宋体" w:cs="新宋体"/>
      <w:i w:val="0"/>
      <w:iCs w:val="0"/>
      <w:color w:val="000000"/>
      <w:sz w:val="18"/>
      <w:szCs w:val="18"/>
      <w:u w:val="none"/>
    </w:rPr>
  </w:style>
  <w:style w:type="character" w:styleId="1123">
    <w:name w:val="font41"/>
    <w:next w:val="1123"/>
    <w:link w:val="853"/>
    <w:rPr>
      <w:rFonts w:hint="eastAsia" w:ascii="宋体" w:hAnsi="宋体" w:eastAsia="宋体" w:cs="宋体"/>
      <w:b/>
      <w:bCs/>
      <w:i w:val="0"/>
      <w:iCs w:val="0"/>
      <w:color w:val="000000"/>
      <w:sz w:val="20"/>
      <w:szCs w:val="20"/>
      <w:u w:val="none"/>
    </w:rPr>
  </w:style>
  <w:style w:type="paragraph" w:styleId="1124">
    <w:name w:val="☆ 正文"/>
    <w:basedOn w:val="853"/>
    <w:next w:val="1124"/>
    <w:link w:val="853"/>
    <w:qFormat/>
    <w:rPr>
      <w:szCs w:val="22"/>
    </w:rPr>
  </w:style>
  <w:style w:type="character" w:styleId="1125">
    <w:name w:val="font01"/>
    <w:basedOn w:val="863"/>
    <w:next w:val="1125"/>
    <w:link w:val="853"/>
    <w:rPr>
      <w:rFonts w:ascii="等线" w:hAnsi="等线" w:eastAsia="等线" w:cs="等线"/>
      <w:i w:val="0"/>
      <w:iCs w:val="0"/>
      <w:color w:val="000000"/>
      <w:sz w:val="22"/>
      <w:szCs w:val="22"/>
      <w:u w:val="none"/>
    </w:rPr>
  </w:style>
  <w:style w:type="character" w:styleId="15668" w:default="1">
    <w:name w:val="Default Paragraph Font"/>
    <w:uiPriority w:val="1"/>
    <w:semiHidden/>
    <w:unhideWhenUsed/>
  </w:style>
  <w:style w:type="numbering" w:styleId="15669" w:default="1">
    <w:name w:val="No List"/>
    <w:uiPriority w:val="99"/>
    <w:semiHidden/>
    <w:unhideWhenUsed/>
  </w:style>
  <w:style w:type="table" w:styleId="156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周德娟</cp:lastModifiedBy>
  <cp:revision>2</cp:revision>
  <dcterms:created xsi:type="dcterms:W3CDTF">2022-05-30T08:08:00Z</dcterms:created>
  <dcterms:modified xsi:type="dcterms:W3CDTF">2026-03-23T03:28:39Z</dcterms:modified>
</cp:coreProperties>
</file>