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手术机器人（老年医院）</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JSZC-320115-JCEC-G2026-0047</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2026年0</w:t>
      </w:r>
      <w:r>
        <w:rPr>
          <w:rFonts w:hint="eastAsia" w:ascii="宋体" w:hAnsi="宋体" w:eastAsia="宋体" w:cs="宋体"/>
          <w:b/>
          <w:color w:val="auto"/>
          <w:sz w:val="36"/>
          <w:highlight w:val="none"/>
          <w:lang w:val="en-US" w:eastAsia="zh-CN"/>
        </w:rPr>
        <w:t xml:space="preserve">3</w:t>
      </w:r>
      <w:r>
        <w:rPr>
          <w:rFonts w:hint="eastAsia" w:ascii="宋体" w:hAnsi="宋体" w:eastAsia="宋体" w:cs="宋体"/>
          <w:b/>
          <w:color w:val="auto"/>
          <w:sz w:val="36"/>
          <w:highlight w:val="none"/>
          <w:lang w:eastAsia="zh-CN"/>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75"/>
          <w:rFonts w:ascii="宋体" w:hAnsi="宋体" w:eastAsia="宋体" w:cs="宋体"/>
          <w:color w:val="auto"/>
          <w:sz w:val="24"/>
          <w:highlight w:val="none"/>
        </w:rPr>
        <w:t xml:space="preserve">第一章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招标公告</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75"/>
          <w:rFonts w:ascii="宋体" w:hAnsi="宋体" w:eastAsia="宋体" w:cs="宋体"/>
          <w:color w:val="auto"/>
          <w:sz w:val="24"/>
          <w:highlight w:val="none"/>
        </w:rPr>
        <w:t xml:space="preserve">第二章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投标人须知</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75"/>
          <w:rFonts w:ascii="宋体" w:hAnsi="宋体" w:eastAsia="宋体" w:cs="宋体"/>
          <w:color w:val="auto"/>
          <w:sz w:val="24"/>
          <w:highlight w:val="none"/>
        </w:rPr>
        <w:t xml:space="preserve">第三章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评标标准</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75"/>
          <w:rFonts w:ascii="宋体" w:hAnsi="宋体" w:eastAsia="宋体" w:cs="宋体"/>
          <w:color w:val="auto"/>
          <w:sz w:val="24"/>
          <w:highlight w:val="none"/>
        </w:rPr>
        <w:t xml:space="preserve">第四章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采购需求</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75"/>
          <w:rFonts w:ascii="宋体" w:hAnsi="宋体" w:eastAsia="宋体" w:cs="宋体"/>
          <w:color w:val="auto"/>
          <w:sz w:val="24"/>
          <w:highlight w:val="none"/>
        </w:rPr>
        <w:t xml:space="preserve">第五章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合同主要条款及格式</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75"/>
          <w:rFonts w:ascii="宋体" w:hAnsi="宋体" w:eastAsia="宋体" w:cs="宋体"/>
          <w:color w:val="auto"/>
          <w:sz w:val="24"/>
          <w:highlight w:val="none"/>
        </w:rPr>
        <w:t xml:space="preserve">第六章</w:t>
      </w:r>
      <w:r>
        <w:rPr>
          <w:rStyle w:val="675"/>
          <w:rFonts w:ascii="宋体" w:hAnsi="宋体" w:eastAsia="宋体" w:cs="宋体"/>
          <w:color w:val="auto"/>
          <w:sz w:val="24"/>
          <w:highlight w:val="none"/>
          <w:u w:val="none"/>
        </w:rPr>
        <w:t xml:space="preserve"> </w:t>
      </w:r>
      <w:r>
        <w:rPr>
          <w:rStyle w:val="675"/>
          <w:rFonts w:ascii="宋体" w:hAnsi="宋体" w:eastAsia="宋体" w:cs="宋体"/>
          <w:color w:val="auto"/>
          <w:sz w:val="24"/>
          <w:highlight w:val="none"/>
        </w:rPr>
        <w:t xml:space="preserve">投标文件格式及附件</w:t>
      </w:r>
      <w:r>
        <w:rPr>
          <w:rStyle w:val="675"/>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37"/>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auto"/>
          <w:sz w:val="32"/>
          <w:highlight w:val="none"/>
        </w:rPr>
      </w:r>
      <w:r/>
    </w:p>
    <w:p>
      <w:pPr>
        <w:pStyle w:val="637"/>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项目概况</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u w:val="single"/>
          <w:lang w:eastAsia="zh-CN"/>
        </w:rPr>
        <w:t xml:space="preserve">手术机器人（老年医院）</w:t>
      </w:r>
      <w:r>
        <w:rPr>
          <w:rFonts w:ascii="宋体" w:hAnsi="宋体" w:eastAsia="宋体" w:cs="宋体"/>
          <w:color w:val="auto"/>
          <w:spacing w:val="8"/>
          <w:highlight w:val="none"/>
        </w:rPr>
        <w:t xml:space="preserve">的潜在投标人应在</w:t>
      </w:r>
      <w:r>
        <w:rPr>
          <w:rFonts w:ascii="宋体" w:hAnsi="宋体" w:eastAsia="宋体" w:cs="宋体"/>
          <w:color w:val="auto"/>
          <w:highlight w:val="none"/>
          <w:u w:val="single"/>
        </w:rPr>
        <w:t xml:space="preserve">江苏政府采购网</w:t>
      </w:r>
      <w:r>
        <w:rPr>
          <w:rFonts w:ascii="宋体" w:hAnsi="宋体" w:eastAsia="宋体" w:cs="宋体"/>
          <w:color w:val="auto"/>
          <w:spacing w:val="8"/>
          <w:highlight w:val="none"/>
        </w:rPr>
        <w:t xml:space="preserve">获取招标文件，并于</w:t>
      </w:r>
      <w:r>
        <w:rPr>
          <w:rFonts w:hint="eastAsia" w:ascii="宋体" w:hAnsi="宋体" w:eastAsia="宋体" w:cs="宋体"/>
          <w:color w:val="auto"/>
          <w:highlight w:val="none"/>
          <w:u w:val="single"/>
          <w:lang w:eastAsia="zh-CN"/>
        </w:rPr>
        <w:t xml:space="preserve">2026年03月30日</w:t>
      </w:r>
      <w:r>
        <w:rPr>
          <w:rFonts w:hint="eastAsia" w:ascii="宋体" w:hAnsi="宋体" w:eastAsia="宋体" w:cs="宋体"/>
          <w:color w:val="auto"/>
          <w:highlight w:val="none"/>
          <w:u w:val="single"/>
          <w:lang w:val="en-US" w:eastAsia="zh-CN"/>
        </w:rPr>
        <w:t xml:space="preserve">09点30分</w:t>
      </w:r>
      <w:r>
        <w:rPr>
          <w:rFonts w:ascii="宋体" w:hAnsi="宋体" w:eastAsia="宋体" w:cs="宋体"/>
          <w:color w:val="auto"/>
          <w:spacing w:val="8"/>
          <w:highlight w:val="none"/>
        </w:rPr>
        <w:t xml:space="preserve">（北京时间）前递交投标文件。</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JSZC-320115-JCEC-G2026-0047</w:t>
      </w:r>
      <w:r>
        <w:rPr>
          <w:rFonts w:ascii="宋体" w:hAnsi="宋体" w:eastAsia="宋体" w:cs="宋体"/>
          <w:color w:val="auto"/>
          <w:spacing w:val="8"/>
          <w:highlight w:val="none"/>
        </w:rPr>
        <w:t xml:space="preserve">  </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lang w:eastAsia="zh-CN"/>
        </w:rPr>
        <w:t xml:space="preserve">手术机器人（老年医院）</w:t>
      </w:r>
      <w:r/>
    </w:p>
    <w:p>
      <w:pPr>
        <w:ind w:firstLine="370"/>
        <w:jc w:val="both"/>
        <w:spacing w:line="460" w:lineRule="atLeast"/>
        <w:shd w:val="clear" w:color="ffffff" w:fill="ffffff"/>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highlight w:val="none"/>
          <w:lang w:val="en-US" w:eastAsia="zh-CN"/>
        </w:rPr>
        <w:t xml:space="preserve">1100</w:t>
      </w:r>
      <w:r>
        <w:rPr>
          <w:rFonts w:hint="eastAsia" w:ascii="宋体" w:hAnsi="宋体" w:eastAsia="宋体" w:cs="宋体"/>
          <w:color w:val="auto"/>
          <w:spacing w:val="8"/>
          <w:highlight w:val="none"/>
          <w:lang w:eastAsia="zh-CN"/>
        </w:rPr>
        <w:t xml:space="preserve">万元</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1.4最高限价：</w:t>
      </w:r>
      <w:r>
        <w:rPr>
          <w:rFonts w:hint="eastAsia" w:ascii="宋体" w:hAnsi="宋体" w:eastAsia="宋体" w:cs="宋体"/>
          <w:color w:val="auto"/>
          <w:spacing w:val="8"/>
          <w:highlight w:val="none"/>
          <w:lang w:val="en-US" w:eastAsia="zh-CN"/>
        </w:rPr>
        <w:t xml:space="preserve">1100</w:t>
      </w:r>
      <w:r>
        <w:rPr>
          <w:rFonts w:hint="eastAsia" w:ascii="宋体" w:hAnsi="宋体" w:eastAsia="宋体" w:cs="宋体"/>
          <w:color w:val="auto"/>
          <w:spacing w:val="8"/>
          <w:highlight w:val="none"/>
          <w:lang w:eastAsia="zh-CN"/>
        </w:rPr>
        <w:t xml:space="preserve">万元</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eastAsia="宋体" w:cs="宋体"/>
          <w:color w:val="auto"/>
          <w:spacing w:val="8"/>
          <w:highlight w:val="none"/>
          <w:lang w:eastAsia="zh-CN"/>
        </w:rPr>
        <w:t xml:space="preserve">手术机器人（老年医院）</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lang w:eastAsia="zh-CN"/>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lang w:eastAsia="zh-CN"/>
        </w:rPr>
        <w:t xml:space="preserve">第四章</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eastAsia="宋体" w:cs="宋体"/>
          <w:color w:val="auto"/>
          <w:spacing w:val="8"/>
          <w:highlight w:val="none"/>
          <w:lang w:eastAsia="zh-CN"/>
        </w:rPr>
        <w:t xml:space="preserve">合同签订之日起30日内</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1.9</w:t>
      </w:r>
      <w:r>
        <w:rPr>
          <w:rFonts w:hint="eastAsia" w:ascii="宋体" w:hAnsi="宋体" w:eastAsia="宋体" w:cs="宋体"/>
          <w:color w:val="auto"/>
          <w:spacing w:val="8"/>
          <w:highlight w:val="none"/>
        </w:rPr>
        <w:t xml:space="preserve">本项目不接受进口产品投标。</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1.10</w:t>
      </w:r>
      <w:r>
        <w:rPr>
          <w:rFonts w:hint="eastAsia" w:ascii="宋体" w:hAnsi="宋体" w:eastAsia="宋体" w:cs="宋体"/>
          <w:color w:val="auto"/>
          <w:spacing w:val="8"/>
          <w:highlight w:val="none"/>
        </w:rPr>
        <w:t xml:space="preserve">本项目不接受联合体投标。</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rPr>
          <w:rFonts w:hint="eastAsia"/>
          <w:color w:val="auto"/>
          <w:highlight w:val="none"/>
        </w:rPr>
        <w:t xml:space="preserve">符合《中华人民共和国政府采购法》第二十二条规定，提供《南京市政府采购供应商信用记录表暨信用承诺书》。不适用信用承诺的，应按政府采购信用承诺要求提供证明材料。</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color w:val="auto"/>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(1)本项目整体专门面向中小企业采购服务。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(2)本项目整体专门面向小微企业采购服务。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(3)本项目通过以下第()种方式预留部分采购份额采购中小企业服务: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1本项目要求供应商以联合体形式参加，中小企业合同金额应当达到的比例为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2本项目要求供应商进行合同分包，中小企业合同金额应当达到的比例为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(4)本项目为非预留份额的采购项目或采购包，执行价格扣除优惠政策，具体详见评标办法与标准。</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ascii="宋体" w:hAnsi="宋体" w:eastAsia="宋体" w:cs="宋体"/>
          <w:b/>
          <w:color w:val="auto"/>
          <w:highlight w:val="none"/>
        </w:rPr>
        <w:t xml:space="preserve">采购人根据采购项目的特殊要求规定的特定条件，并提供符合特殊要求的证明材料或者情况说明：</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投标产品如果属于医疗器械注册范畴的，根据注册的类别，投标人必须具有《医疗器械经营许可证》或者《医疗器械经营备案凭证》;投标产品具有《医疗器械注册证》或者《医疗器械备案凭证》(原件扫描加盖电子公章);</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(2)若投标供应商为代理商，须具有有效的《医疗器械经营许可证》或《医疗器械经营备案凭证》(原件扫描加盖电子公章);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(3)若投标供应商为生产商，须具有有效的《医疗器械生产许可证》或《生产备案凭证》(医疗器械生产许可证如有医疗器械生产产品登记表的须一并提供)(原件扫描加盖电子公章)。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2.4 提供《南京市政府采购供应商信用记录表暨信用承诺书》</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2.5拒绝下述供应商参加本次招标活动：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（1）单位负责人为同一人或者存在直接控股、管理关系的不同供应商，不得参加同一合同项下的政府采购活动。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（2）为采购项目提供整体设计、规范编制或者项目管理、监理、检测等服务的供应商，不得参加本项目的采购活动。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（3）供应商被“信用中国”网站（www.creditchina.gov.cn）、“中国政府采购网”(www.ccgp.gov.cn)列入失信被执行人、重大税收违法案件当事人名单、政府采购严重违法失信行为记录名单。</w:t>
      </w:r>
      <w:r/>
    </w:p>
    <w:p>
      <w:pPr>
        <w:ind w:firstLine="42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lang w:val="en-US" w:eastAsia="zh-CN"/>
        </w:rPr>
        <w:t xml:space="preserve">招标文件公告发布之日起5个工作日</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3.3方式：本项目采用网上注册登记方式免费获取</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4.1 </w:t>
      </w:r>
      <w:r>
        <w:rPr>
          <w:rFonts w:hint="eastAsia" w:ascii="宋体" w:hAnsi="宋体" w:eastAsia="宋体" w:cs="宋体"/>
          <w:color w:val="auto"/>
          <w:highlight w:val="none"/>
          <w:u w:val="single"/>
          <w:lang w:eastAsia="zh-CN"/>
        </w:rPr>
        <w:t xml:space="preserve">2026年03月30日</w:t>
      </w:r>
      <w:r>
        <w:rPr>
          <w:rFonts w:hint="eastAsia" w:ascii="宋体" w:hAnsi="宋体" w:eastAsia="宋体" w:cs="宋体"/>
          <w:color w:val="auto"/>
          <w:highlight w:val="none"/>
          <w:u w:val="single"/>
          <w:lang w:val="en-US" w:eastAsia="zh-CN"/>
        </w:rPr>
        <w:t xml:space="preserve">09点30分</w:t>
      </w:r>
      <w:r>
        <w:rPr>
          <w:rFonts w:ascii="宋体" w:hAnsi="宋体" w:eastAsia="宋体" w:cs="宋体"/>
          <w:color w:val="auto"/>
          <w:spacing w:val="8"/>
          <w:highlight w:val="none"/>
        </w:rPr>
        <w:t xml:space="preserve">（北京时间）</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675"/>
          <w:rFonts w:ascii="宋体" w:hAnsi="宋体" w:eastAsia="宋体" w:cs="宋体"/>
          <w:color w:val="auto"/>
          <w:spacing w:val="8"/>
          <w:highlight w:val="none"/>
        </w:rPr>
        <w:t xml:space="preserve">http://jszfcg.jsczt.cn/）</w:t>
      </w:r>
      <w:r>
        <w:rPr>
          <w:rStyle w:val="675"/>
          <w:rFonts w:ascii="宋体" w:hAnsi="宋体" w:eastAsia="宋体" w:cs="宋体"/>
          <w:color w:val="auto"/>
          <w:spacing w:val="8"/>
          <w:highlight w:val="none"/>
        </w:rPr>
        <w:fldChar w:fldCharType="end"/>
      </w:r>
      <w:r/>
    </w:p>
    <w:p>
      <w:pPr>
        <w:ind w:firstLine="37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4.3开标地点：“苏采云”开标大厅</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6.1本项目在 南京公共采购信息网、江苏政府采购网、中国政府采购网网站发布公告。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w:instrText>
      </w:r>
      <w:r>
        <w:rPr>
          <w:color w:val="auto"/>
          <w:highlight w:val="none"/>
        </w:rPr>
        <w:instrText xml:space="preserve">%8F%E7%9C%81%E6%94%BF%E5%BA%9C%E9%87%87%E8%B4%AD%E6%95%B0%E5%AD%97%E8%AF%81%E4%B9%A6%E5%8F%8A%E7%94%B5%E5%AD%90%E7%AD%BE%E7%AB%A0%E7%9A%84%EF%BC%8C%E8%AF%A6%E8%A7%81%E8%8B%8F%E9%87%87%E4%BA%91%E5%AE%98%E7%BD%91%E9%A6%96%E9%A1%B5%E2%80%9C%E6%96%B0CA%E5%8A%9</w:instrText>
      </w:r>
      <w:r>
        <w:rPr>
          <w:color w:val="auto"/>
          <w:highlight w:val="none"/>
        </w:rPr>
        <w:instrText xml:space="preserve">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675"/>
          <w:rFonts w:ascii="宋体" w:hAnsi="宋体" w:eastAsia="宋体" w:cs="宋体"/>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75"/>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675"/>
          <w:rFonts w:ascii="宋体" w:hAnsi="宋体" w:eastAsia="宋体" w:cs="宋体"/>
          <w:color w:val="auto"/>
          <w:highlight w:val="none"/>
        </w:rPr>
        <w:t xml:space="preserve">http://www.ccgp-jiangsu.gov.cn/jiangsu/zlxz/ee/ee3a4bc5a3454aa2b0d9312230633ce9.html</w:t>
      </w:r>
      <w:r>
        <w:rPr>
          <w:rStyle w:val="675"/>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6.3 勘察现场：无</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6.4供应商诚信档案管理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根据《关于在政府采购活动中推行信用承诺制的通知》宁财购通〔</w:t>
      </w:r>
      <w:r>
        <w:rPr>
          <w:rFonts w:ascii="Arial" w:hAnsi="Arial" w:eastAsia="Arial" w:cs="Arial"/>
          <w:color w:val="auto"/>
          <w:sz w:val="22"/>
          <w:highlight w:val="none"/>
        </w:rPr>
        <w:t xml:space="preserve">2021</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5</w:t>
      </w:r>
      <w:r>
        <w:rPr>
          <w:rFonts w:ascii="宋体" w:hAnsi="宋体" w:eastAsia="宋体" w:cs="宋体"/>
          <w:color w:val="auto"/>
          <w:sz w:val="22"/>
          <w:highlight w:val="none"/>
        </w:rPr>
        <w:t xml:space="preserve">号规定，</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https://njgc.jfh.com/</w:t>
      </w:r>
      <w:r>
        <w:rPr>
          <w:rFonts w:ascii="宋体" w:hAnsi="宋体" w:eastAsia="宋体" w:cs="宋体"/>
          <w:color w:val="auto"/>
          <w:sz w:val="22"/>
          <w:highlight w:val="none"/>
        </w:rPr>
        <w:t xml:space="preserve">）“南京市政府采购供应商诚信档案”系统链接打开系统页面（</w:t>
      </w:r>
      <w:r>
        <w:rPr>
          <w:rFonts w:ascii="Arial" w:hAnsi="Arial" w:eastAsia="Arial" w:cs="Arial"/>
          <w:color w:val="auto"/>
          <w:sz w:val="22"/>
          <w:highlight w:val="none"/>
        </w:rPr>
        <w:t xml:space="preserve">http://180.101.238.212:8280/hodeframe2018_cxda/index.action;jsessionid=769BA9C8E1729422E7173B991C8EC1E5</w:t>
      </w:r>
      <w:r>
        <w:rPr>
          <w:rFonts w:ascii="宋体" w:hAnsi="宋体" w:eastAsia="宋体" w:cs="宋体"/>
          <w:color w:val="auto"/>
          <w:sz w:val="22"/>
          <w:highlight w:val="non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 xml:space="preserve">未按要求提供《南京市政府采购供应商信用记录表暨信用承诺书》则该供应商投标文件按无效投标处理。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在政府采购资格审查环节，供应商只需提供书面《南京市政府采购供应商信用记录表暨信用承诺书》，即可替代以下证明材料：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符合国家相关规定的财务状况报告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依法缴纳税收的证明材料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依法缴纳社会保障资金的证明材料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具备履行政府采购合同所必需的设备和专业技术能力的证明材料；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参加政府采购活动前三年内在经营活动中没有重大违法记录的证明材料；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未被列入失信被执行人、重大税收违法失信主体、政府采购严重违法失信行为记录名单的证明材料。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根据宁财购通</w:t>
      </w:r>
      <w:r>
        <w:rPr>
          <w:rFonts w:ascii="Arial" w:hAnsi="Arial" w:eastAsia="Arial" w:cs="Arial"/>
          <w:color w:val="auto"/>
          <w:sz w:val="22"/>
          <w:highlight w:val="none"/>
        </w:rPr>
        <w:t xml:space="preserve">[2021]5</w:t>
      </w:r>
      <w:r>
        <w:rPr>
          <w:rFonts w:ascii="宋体" w:hAnsi="宋体" w:eastAsia="宋体" w:cs="宋体"/>
          <w:color w:val="auto"/>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供应商涉及一下情形的，不适用信用承诺：</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供应商被列入严重失信主体名单；</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被相关监管部门做出行政处罚且尚在出发有效期内；</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被其他法律、行政法规规定的不适用信用承诺的情形。</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七、对本次招标提出询问，请按以下方式联系</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7.1采购人信息</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lang w:eastAsia="zh-CN"/>
        </w:rPr>
        <w:t xml:space="preserve">南京市江宁医院</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南京市江宁区湖山路169号</w:t>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val="en-US" w:eastAsia="zh-CN"/>
        </w:rPr>
        <w:t xml:space="preserve">章枪13451884546</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江苏省设备成套股份有限公司</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址：南京市鼓楼区清江南路18号鼓楼创新广场D栋1004室</w:t>
      </w:r>
      <w:r/>
    </w:p>
    <w:p>
      <w:pPr>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电子邮箱：</w:t>
      </w:r>
      <w:r>
        <w:rPr>
          <w:rFonts w:hint="eastAsia" w:ascii="宋体" w:hAnsi="宋体" w:eastAsia="宋体" w:cs="宋体"/>
          <w:color w:val="auto"/>
          <w:spacing w:val="8"/>
          <w:highlight w:val="none"/>
          <w:lang w:val="en-US" w:eastAsia="zh-CN"/>
        </w:rPr>
        <w:t xml:space="preserve">2277893572</w:t>
      </w:r>
      <w:r>
        <w:rPr>
          <w:rFonts w:ascii="宋体" w:hAnsi="宋体" w:eastAsia="宋体" w:cs="宋体"/>
          <w:color w:val="auto"/>
          <w:spacing w:val="8"/>
          <w:highlight w:val="none"/>
        </w:rPr>
        <w:t xml:space="preserve">@qq.com</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lang w:eastAsia="zh-CN"/>
        </w:rPr>
        <w:t xml:space="preserve">汪惠子</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　话：</w:t>
      </w:r>
      <w:r>
        <w:rPr>
          <w:rFonts w:hint="eastAsia" w:ascii="宋体" w:hAnsi="宋体" w:eastAsia="宋体" w:cs="宋体"/>
          <w:color w:val="auto"/>
          <w:spacing w:val="8"/>
          <w:highlight w:val="none"/>
          <w:lang w:val="en-US" w:eastAsia="zh-CN"/>
        </w:rPr>
        <w:t xml:space="preserve">13655172889</w:t>
      </w:r>
      <w:r>
        <w:rPr>
          <w:rFonts w:ascii="宋体" w:hAnsi="宋体" w:eastAsia="宋体" w:cs="宋体"/>
          <w:color w:val="auto"/>
          <w:spacing w:val="8"/>
          <w:highlight w:val="none"/>
        </w:rPr>
        <w:t xml:space="preserve"> </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采购代理机构：江苏省设备成套股份有限公司</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eastAsia="zh-CN"/>
        </w:rPr>
        <w:t xml:space="preserve">2026年0</w:t>
      </w:r>
      <w:r>
        <w:rPr>
          <w:rFonts w:hint="eastAsia" w:ascii="宋体" w:hAnsi="宋体" w:eastAsia="宋体" w:cs="宋体"/>
          <w:color w:val="auto"/>
          <w:spacing w:val="8"/>
          <w:highlight w:val="none"/>
          <w:lang w:val="en-US" w:eastAsia="zh-CN"/>
        </w:rPr>
        <w:t xml:space="preserve">3</w:t>
      </w:r>
      <w:r>
        <w:rPr>
          <w:rFonts w:hint="eastAsia" w:ascii="宋体" w:hAnsi="宋体" w:eastAsia="宋体" w:cs="宋体"/>
          <w:color w:val="auto"/>
          <w:spacing w:val="8"/>
          <w:highlight w:val="none"/>
          <w:lang w:eastAsia="zh-CN"/>
        </w:rPr>
        <w:t xml:space="preserve">月</w:t>
      </w:r>
      <w:r>
        <w:rPr>
          <w:rFonts w:hint="eastAsia" w:ascii="宋体" w:hAnsi="宋体" w:eastAsia="宋体" w:cs="宋体"/>
          <w:color w:val="auto"/>
          <w:spacing w:val="8"/>
          <w:highlight w:val="none"/>
          <w:lang w:val="en-US" w:eastAsia="zh-CN"/>
        </w:rPr>
        <w:t xml:space="preserve">09</w:t>
      </w:r>
      <w:r>
        <w:rPr>
          <w:rFonts w:ascii="宋体" w:hAnsi="宋体" w:eastAsia="宋体" w:cs="宋体"/>
          <w:color w:val="auto"/>
          <w:spacing w:val="8"/>
          <w:highlight w:val="none"/>
        </w:rPr>
        <w:t xml:space="preserve">日</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0" w:name="_Toc20823275"/>
      <w:r/>
      <w:bookmarkStart w:id="1" w:name="_Toc16938519"/>
      <w:r/>
      <w:bookmarkStart w:id="2" w:name="_Toc513029203"/>
      <w:r/>
      <w:bookmarkStart w:id="3" w:name="_Toc120614214"/>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 w:name="_Toc513029205"/>
      <w:r/>
      <w:bookmarkStart w:id="10" w:name="_Toc20823277"/>
      <w:r/>
      <w:bookmarkStart w:id="11" w:name="_Toc16938521"/>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满足招标公告对供应商资格要求的规定。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满足招标文件规定的实质性要求和条件。</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 w:name="_Toc20823278"/>
      <w:r/>
      <w:bookmarkStart w:id="13" w:name="_Toc16938522"/>
      <w:r/>
      <w:bookmarkStart w:id="14" w:name="_Toc513029206"/>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5" w:name="_Toc16938523"/>
      <w:r/>
      <w:bookmarkStart w:id="16" w:name="_Toc20823279"/>
      <w:r/>
      <w:bookmarkStart w:id="17" w:name="_Toc513029207"/>
      <w:r/>
      <w:bookmarkStart w:id="18" w:name="_Toc462564067"/>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在任何情况下均无义务和责任承担这些费用。</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9" w:name="_Toc16938525"/>
      <w:r/>
      <w:bookmarkStart w:id="20" w:name="_Toc513029209"/>
      <w:r/>
      <w:bookmarkStart w:id="21" w:name="_Toc20823281"/>
      <w:r/>
      <w:bookmarkStart w:id="22" w:name="_Toc120614215"/>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3" w:name="_Toc20823282"/>
      <w:r/>
      <w:bookmarkStart w:id="24" w:name="_Toc513029210"/>
      <w:r/>
      <w:bookmarkStart w:id="25" w:name="_Toc16938526"/>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（1）投标邀请</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投标人应仔细检查招标文件是否齐全，如有缺漏请立即与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联系。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6" w:name="_Toc20823283"/>
      <w:r/>
      <w:bookmarkStart w:id="27" w:name="_Toc462564070"/>
      <w:r/>
      <w:bookmarkStart w:id="28" w:name="_Toc16938527"/>
      <w:r/>
      <w:bookmarkStart w:id="29" w:name="_Toc513029211"/>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0" w:name="_Toc513029212"/>
      <w:r/>
      <w:bookmarkStart w:id="31" w:name="_Toc462564071"/>
      <w:r/>
      <w:bookmarkStart w:id="32" w:name="_Toc20823284"/>
      <w:r/>
      <w:bookmarkStart w:id="33" w:name="_Toc16938528"/>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ind w:left="0" w:firstLine="0"/>
        <w:jc w:val="left"/>
        <w:pageBreakBefore w:val="0"/>
        <w:spacing w:line="360" w:lineRule="auto"/>
        <w:rPr>
          <w:rFonts w:hint="eastAsia" w:ascii="宋体" w:hAnsi="宋体" w:eastAsia="宋体" w:cs="宋体"/>
          <w:color w:val="auto"/>
          <w:sz w:val="21"/>
          <w:szCs w:val="21"/>
          <w:highlight w:val="none"/>
        </w:rPr>
      </w:pPr>
      <w:r/>
      <w:bookmarkStart w:id="34" w:name="_Toc120614216"/>
      <w:r/>
      <w:bookmarkStart w:id="35" w:name="_Toc16938529"/>
      <w:r/>
      <w:bookmarkStart w:id="36" w:name="_Toc513029213"/>
      <w:r/>
      <w:bookmarkStart w:id="37" w:name="_Toc462564072"/>
      <w:r/>
      <w:bookmarkStart w:id="38" w:name="_Toc20823285"/>
      <w:r>
        <w:rPr>
          <w:rFonts w:hint="eastAsia" w:ascii="宋体" w:hAnsi="宋体" w:eastAsia="宋体" w:cs="宋体"/>
          <w:color w:val="auto"/>
          <w:sz w:val="21"/>
          <w:szCs w:val="21"/>
          <w:highlight w:val="none"/>
        </w:rPr>
        <w:t xml:space="preserve">8.1 在投标截止时间前，</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可以对招标文件进行修改。招标文件的修改将在原公告媒体发布更正公告，更正内容将作为招标文件的组成部分，并对投标人具有约束力。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有权按照法定的要求推迟投标截止日期和开标日期，并在原公告媒体发布更正公告。</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9" w:name="_Toc462564073"/>
      <w:r/>
      <w:bookmarkStart w:id="40" w:name="_Toc20823286"/>
      <w:r/>
      <w:bookmarkStart w:id="41" w:name="_Toc513029214"/>
      <w:r/>
      <w:bookmarkStart w:id="42" w:name="_Toc16938530"/>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投标人提交的投标文件以及投标人与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就有关投标的所有来往通知、函件和文件均应使用简体中文。</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3" w:name="_Toc16938531"/>
      <w:r/>
      <w:bookmarkStart w:id="44" w:name="_Toc20823287"/>
      <w:r/>
      <w:bookmarkStart w:id="45" w:name="_Toc462564074"/>
      <w:r/>
      <w:bookmarkStart w:id="46" w:name="_Toc513029215"/>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7" w:name="_Hlt26668975"/>
      <w:r/>
      <w:bookmarkEnd w:id="47"/>
      <w:r/>
      <w:bookmarkStart w:id="48" w:name="_Hlt26670360"/>
      <w:r/>
      <w:bookmarkEnd w:id="48"/>
      <w:r/>
      <w:bookmarkStart w:id="49" w:name="_Hlt26954838"/>
      <w:r/>
      <w:bookmarkEnd w:id="49"/>
      <w:r/>
      <w:bookmarkStart w:id="50" w:name="_Toc513029219"/>
      <w:r/>
      <w:bookmarkStart w:id="51" w:name="_Toc49090509"/>
      <w:r/>
      <w:bookmarkStart w:id="52" w:name="_Toc14577357"/>
      <w:r/>
      <w:bookmarkStart w:id="53" w:name="_Toc513029216"/>
      <w:r/>
      <w:bookmarkStart w:id="54" w:name="_Toc14577354"/>
      <w:r/>
      <w:bookmarkStart w:id="55" w:name="_Toc49090507"/>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ind w:left="0" w:firstLine="0"/>
        <w:jc w:val="left"/>
        <w:pageBreakBefore w:val="0"/>
        <w:spacing w:line="360" w:lineRule="auto"/>
        <w:rPr>
          <w:rFonts w:hint="eastAsia" w:ascii="宋体" w:hAnsi="宋体" w:eastAsia="宋体" w:cs="宋体"/>
          <w:color w:val="auto"/>
          <w:sz w:val="21"/>
          <w:szCs w:val="21"/>
          <w:highlight w:val="none"/>
        </w:rPr>
      </w:pPr>
      <w:r/>
      <w:bookmarkStart w:id="56" w:name="_Toc14577355"/>
      <w:r/>
      <w:bookmarkStart w:id="57" w:name="_Toc49090508"/>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w:t>
      </w:r>
      <w:bookmarkStart w:id="59" w:name="_Hlt26954840"/>
      <w:r/>
      <w:bookmarkEnd w:id="59"/>
      <w:r>
        <w:rPr>
          <w:rFonts w:hint="eastAsia" w:ascii="宋体" w:hAnsi="宋体" w:eastAsia="宋体" w:cs="宋体"/>
          <w:color w:val="auto"/>
          <w:sz w:val="21"/>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61" w:name="_Hlt26954842"/>
      <w:r/>
      <w:bookmarkEnd w:id="61"/>
      <w:r/>
      <w:bookmarkStart w:id="62" w:name="_Hlt26954846"/>
      <w:r/>
      <w:bookmarkEnd w:id="62"/>
      <w:r/>
      <w:bookmarkStart w:id="63" w:name="_Hlt26670482"/>
      <w:r/>
      <w:bookmarkEnd w:id="63"/>
      <w:r/>
      <w:bookmarkStart w:id="64" w:name="_Hlt26668983"/>
      <w:r/>
      <w:bookmarkEnd w:id="64"/>
      <w:r/>
      <w:bookmarkStart w:id="65" w:name="_Hlt26670486"/>
      <w:r/>
      <w:bookmarkEnd w:id="65"/>
      <w:r/>
      <w:bookmarkStart w:id="66" w:name="_Hlt26954844"/>
      <w:r/>
      <w:bookmarkEnd w:id="66"/>
      <w:r/>
      <w:bookmarkStart w:id="67" w:name="_Hlt26954731"/>
      <w:r/>
      <w:bookmarkEnd w:id="67"/>
      <w:r/>
      <w:bookmarkStart w:id="68" w:name="_Hlt26670425"/>
      <w:r/>
      <w:bookmarkEnd w:id="68"/>
      <w:r/>
      <w:bookmarkStart w:id="69" w:name="_Hlt26954848"/>
      <w:r/>
      <w:bookmarkEnd w:id="69"/>
      <w:r/>
      <w:bookmarkStart w:id="70" w:name="_Hlt26670403"/>
      <w:r/>
      <w:bookmarkEnd w:id="70"/>
      <w:r>
        <w:rPr>
          <w:rFonts w:hint="eastAsia" w:ascii="宋体" w:hAnsi="宋体" w:eastAsia="宋体" w:cs="宋体"/>
          <w:color w:val="auto"/>
          <w:sz w:val="21"/>
          <w:szCs w:val="21"/>
          <w:highlight w:val="none"/>
          <w:lang w:eastAsia="zh-CN"/>
        </w:rPr>
        <w:t xml:space="preserve">13.响应及偏离表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13.1 投标人需对招标文件中的技术要求与商务要求逐项作出响应或偏离说明。</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投标人可以在投标文件中提供认为需要的其他技术文件或说明。</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1" w:name="_Toc14577359"/>
      <w:r/>
      <w:bookmarkStart w:id="72" w:name="_Toc49090510"/>
      <w:r>
        <w:rPr>
          <w:rFonts w:hint="eastAsia" w:ascii="宋体" w:hAnsi="宋体" w:eastAsia="宋体" w:cs="宋体"/>
          <w:color w:val="auto"/>
          <w:sz w:val="21"/>
          <w:szCs w:val="21"/>
          <w:highlight w:val="none"/>
          <w:lang w:eastAsia="zh-CN"/>
        </w:rPr>
        <w:t xml:space="preserve">14.投标函和开标一览表及核心产品品牌一览表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 投标人应按照招标文件规定格式完整、正确填报投标函、开标一览表及核心产品品牌一览表。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zh-CN"/>
        </w:rPr>
        <w:t xml:space="preserve">开标一览表中价格为准。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 核心产品品牌一览表中所投核心产品品牌缺项的将视为无效投标。</w:t>
      </w:r>
      <w:bookmarkEnd w:id="71"/>
      <w:bookmarkEnd w:id="72"/>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3" w:name="_Hlt26670489"/>
      <w:r/>
      <w:bookmarkEnd w:id="73"/>
      <w:r/>
      <w:bookmarkStart w:id="74" w:name="_Hlt26954850"/>
      <w:r/>
      <w:bookmarkEnd w:id="74"/>
      <w:r/>
      <w:bookmarkStart w:id="75" w:name="_Hlt26954734"/>
      <w:r/>
      <w:bookmarkEnd w:id="75"/>
      <w:r/>
      <w:bookmarkStart w:id="76" w:name="_Toc49090511"/>
      <w:r/>
      <w:bookmarkStart w:id="77" w:name="_Toc14577360"/>
      <w:r>
        <w:rPr>
          <w:rFonts w:hint="eastAsia" w:ascii="宋体" w:hAnsi="宋体" w:eastAsia="宋体" w:cs="宋体"/>
          <w:color w:val="auto"/>
          <w:sz w:val="21"/>
          <w:szCs w:val="21"/>
          <w:highlight w:val="none"/>
          <w:lang w:eastAsia="zh-CN"/>
        </w:rPr>
        <w:t xml:space="preserve">15.投标有效期</w:t>
      </w:r>
      <w:bookmarkEnd w:id="76"/>
      <w:r/>
      <w:bookmarkEnd w:id="77"/>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 投标有效期为</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规定的开标之日</w:t>
      </w:r>
      <w:r>
        <w:rPr>
          <w:rFonts w:hint="eastAsia" w:ascii="宋体" w:hAnsi="宋体" w:eastAsia="宋体" w:cs="宋体"/>
          <w:color w:val="auto"/>
          <w:sz w:val="21"/>
          <w:szCs w:val="21"/>
          <w:highlight w:val="none"/>
        </w:rPr>
        <w:t xml:space="preserve">起</w:t>
      </w:r>
      <w:r>
        <w:rPr>
          <w:rFonts w:hint="eastAsia" w:ascii="宋体" w:hAnsi="宋体" w:eastAsia="宋体" w:cs="宋体"/>
          <w:color w:val="auto"/>
          <w:sz w:val="21"/>
          <w:szCs w:val="21"/>
          <w:highlight w:val="none"/>
          <w:lang w:val="zh-CN"/>
        </w:rPr>
        <w:t xml:space="preserve">六十天。投标有效期比规定短的将被视为未实质性响应招标文件而</w:t>
      </w:r>
      <w:r>
        <w:rPr>
          <w:rFonts w:hint="eastAsia" w:ascii="宋体" w:hAnsi="宋体" w:eastAsia="宋体" w:cs="宋体"/>
          <w:color w:val="auto"/>
          <w:sz w:val="21"/>
          <w:szCs w:val="21"/>
          <w:highlight w:val="none"/>
        </w:rPr>
        <w:t xml:space="preserve">被</w:t>
      </w:r>
      <w:r>
        <w:rPr>
          <w:rFonts w:hint="eastAsia" w:ascii="宋体" w:hAnsi="宋体" w:eastAsia="宋体" w:cs="宋体"/>
          <w:color w:val="auto"/>
          <w:sz w:val="21"/>
          <w:szCs w:val="21"/>
          <w:highlight w:val="none"/>
          <w:lang w:val="zh-CN"/>
        </w:rPr>
        <w:t xml:space="preserve">拒绝。</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78" w:name="_Hlt26954852"/>
      <w:r/>
      <w:bookmarkEnd w:id="78"/>
      <w:r/>
      <w:bookmarkStart w:id="79" w:name="_Hlt26954739"/>
      <w:r/>
      <w:bookmarkEnd w:id="79"/>
      <w:r/>
      <w:bookmarkStart w:id="80" w:name="_Toc20823296"/>
      <w:r/>
      <w:bookmarkStart w:id="81" w:name="_Toc120614217"/>
      <w:r/>
      <w:bookmarkStart w:id="82" w:name="_Toc16938540"/>
      <w:r/>
      <w:bookmarkStart w:id="83" w:name="_Toc513029224"/>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84" w:name="_Toc462564084"/>
      <w:r/>
      <w:bookmarkStart w:id="85" w:name="_Toc16938541"/>
      <w:r/>
      <w:bookmarkStart w:id="86" w:name="_Toc20823297"/>
      <w:r/>
      <w:bookmarkStart w:id="87" w:name="_Toc513029225"/>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投标人应当按照《操作手册》规定，在招标公告规定的投标截止时间前制作并上传电子投标文件。</w:t>
      </w:r>
      <w:bookmarkStart w:id="88" w:name="_Toc16938542"/>
      <w:r/>
      <w:bookmarkEnd w:id="88"/>
      <w:r/>
      <w:bookmarkStart w:id="89" w:name="_Toc513029226"/>
      <w:r/>
      <w:bookmarkEnd w:id="89"/>
      <w:r/>
      <w:bookmarkStart w:id="90" w:name="_Toc20823298"/>
      <w:r/>
      <w:bookmarkEnd w:id="90"/>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 xml:space="preserve">可能对投标产生的影响</w:t>
      </w:r>
      <w:r>
        <w:rPr>
          <w:rFonts w:hint="eastAsia" w:ascii="宋体" w:hAnsi="宋体" w:eastAsia="宋体" w:cs="宋体"/>
          <w:color w:val="auto"/>
          <w:sz w:val="21"/>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.1条规定做无效投标处理。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1" w:name="_Toc513029227"/>
      <w:r/>
      <w:bookmarkStart w:id="92" w:name="_Toc16938543"/>
      <w:r/>
      <w:bookmarkStart w:id="93" w:name="_Toc20823299"/>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投标截止时间后上传的任何投标文件将被拒绝。</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4" w:name="_Toc16938544"/>
      <w:r/>
      <w:bookmarkStart w:id="95" w:name="_Toc513029228"/>
      <w:r/>
      <w:bookmarkStart w:id="96" w:name="_Toc20823300"/>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 投标文件的撤回</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投标人撤回电子投标文件，则认为其不再参与本项目投标活动。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 投标文件的修改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投标人可在投标截止时间前对其电子投标文件进行修改，具体操作方法见《操作手册》。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投标截止时间之后，投标人不得对其电子投标文件作任何修改。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.3 在投标截止时间至招标文件中规定的投标有效期满之间的这段时间内，投标人不得撤回其投标。</w:t>
      </w:r>
      <w:bookmarkStart w:id="97" w:name="_Toc120614218"/>
      <w:r/>
      <w:bookmarkStart w:id="98" w:name="_Toc20823301"/>
      <w:r/>
      <w:bookmarkStart w:id="99" w:name="_Toc513029229"/>
      <w:r/>
      <w:bookmarkStart w:id="100" w:name="_Toc16938545"/>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1" w:name="_Toc20823302"/>
      <w:r/>
      <w:bookmarkStart w:id="102" w:name="_Toc16938546"/>
      <w:r/>
      <w:bookmarkStart w:id="103" w:name="_Toc513029230"/>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 xml:space="preserve">投标人在开标过程中涉及到的投标文件解密、开标结果确认等工作，应按照《操作手册》规定执行。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投标人如果对开标过程和开标</w:t>
      </w:r>
      <w:r>
        <w:rPr>
          <w:rFonts w:hint="eastAsia" w:ascii="宋体" w:hAnsi="宋体" w:eastAsia="宋体" w:cs="宋体"/>
          <w:color w:val="auto"/>
          <w:sz w:val="21"/>
          <w:szCs w:val="21"/>
          <w:highlight w:val="none"/>
        </w:rPr>
        <w:t xml:space="preserve">结果</w:t>
      </w:r>
      <w:r>
        <w:rPr>
          <w:rFonts w:hint="eastAsia" w:ascii="宋体" w:hAnsi="宋体" w:eastAsia="宋体" w:cs="宋体"/>
          <w:color w:val="auto"/>
          <w:sz w:val="21"/>
          <w:szCs w:val="21"/>
          <w:highlight w:val="none"/>
          <w:lang w:val="zh-CN"/>
        </w:rPr>
        <w:t xml:space="preserve">有疑义，应当根据《操作手册》规定提出，苏采云系统中《开标记录表》公布后5分钟内未提出的，视同认可开标结果。</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4" w:name="_Toc513029231"/>
      <w:r/>
      <w:bookmarkStart w:id="105" w:name="_Toc16938547"/>
      <w:r/>
      <w:bookmarkStart w:id="106" w:name="_Toc20823303"/>
      <w:r>
        <w:rPr>
          <w:rFonts w:hint="eastAsia" w:ascii="宋体" w:hAnsi="宋体" w:eastAsia="宋体" w:cs="宋体"/>
          <w:color w:val="auto"/>
          <w:sz w:val="21"/>
          <w:szCs w:val="21"/>
          <w:highlight w:val="none"/>
          <w:lang w:eastAsia="zh-CN"/>
        </w:rPr>
        <w:t xml:space="preserve">21.评标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 xml:space="preserve">评标由依法组建的</w:t>
      </w:r>
      <w:r>
        <w:rPr>
          <w:rFonts w:hint="eastAsia" w:ascii="宋体" w:hAnsi="宋体" w:eastAsia="宋体" w:cs="宋体"/>
          <w:color w:val="auto"/>
          <w:sz w:val="21"/>
          <w:szCs w:val="21"/>
          <w:highlight w:val="none"/>
          <w:lang w:val="zh-CN"/>
        </w:rPr>
        <w:t xml:space="preserve">评标委员会（以下简称“评委会”）进行。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 评委会由采购人代表和有关方面专家组成，人员构成符合政府采购有关规定。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评委会独立工作，负责评审所有投标文件并</w:t>
      </w:r>
      <w:r>
        <w:rPr>
          <w:rFonts w:hint="eastAsia" w:ascii="宋体" w:hAnsi="宋体" w:eastAsia="宋体" w:cs="宋体"/>
          <w:color w:val="auto"/>
          <w:sz w:val="21"/>
          <w:szCs w:val="21"/>
          <w:highlight w:val="none"/>
        </w:rPr>
        <w:t xml:space="preserve">推荐</w:t>
      </w:r>
      <w:r>
        <w:rPr>
          <w:rFonts w:hint="eastAsia" w:ascii="宋体" w:hAnsi="宋体" w:eastAsia="宋体" w:cs="宋体"/>
          <w:color w:val="auto"/>
          <w:sz w:val="21"/>
          <w:szCs w:val="21"/>
          <w:highlight w:val="none"/>
          <w:lang w:val="zh-CN"/>
        </w:rPr>
        <w:t xml:space="preserve">中标候选人，</w:t>
      </w:r>
      <w:r>
        <w:rPr>
          <w:rFonts w:hint="eastAsia" w:ascii="宋体" w:hAnsi="宋体" w:eastAsia="宋体" w:cs="宋体"/>
          <w:color w:val="auto"/>
          <w:sz w:val="21"/>
          <w:szCs w:val="21"/>
          <w:highlight w:val="none"/>
        </w:rPr>
        <w:t xml:space="preserve">或根据采购人授权直接确定中标人</w:t>
      </w:r>
      <w:r>
        <w:rPr>
          <w:rFonts w:hint="eastAsia" w:ascii="宋体" w:hAnsi="宋体" w:eastAsia="宋体" w:cs="宋体"/>
          <w:color w:val="auto"/>
          <w:sz w:val="21"/>
          <w:szCs w:val="21"/>
          <w:highlight w:val="none"/>
          <w:lang w:val="zh-CN"/>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凡是与审查、澄清、评价和比较投标的有关资料以及授标建议等，采购人、评委、招标代理均不得向投标人或与评标无关的其他人员透露。</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投标人不得以任何</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zh-CN"/>
        </w:rPr>
        <w:t xml:space="preserve">影响评标，否则其投标文件将被作为无效投标文件。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 招标代理和评委会不向未中标的投标人解释未中标原因，也不公布评标过程中的相关细节。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lang w:val="zh-CN"/>
        </w:rPr>
        <w:t xml:space="preserve">的评审得分及排</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zh-CN"/>
        </w:rPr>
        <w:t xml:space="preserve">情况。</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7" w:name="_Toc20823304"/>
      <w:r/>
      <w:bookmarkStart w:id="108" w:name="_Toc513029232"/>
      <w:r/>
      <w:bookmarkStart w:id="109" w:name="_Toc16938548"/>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评委会并非对每个投标人都做澄清要求。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需要供应商进行澄清、说明和补正的，评委会将通过苏采云系统向</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发出《澄清要求函》，接到《澄清要求函》的</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应当按照要求在苏采云系统中提交《澄清响应函》并加盖电子公章。澄清、说明和补正的内容作为投标文件的补充部分，具体操作方式见《操作手册》。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 接到评委会澄清、说明和补正要求的，投标人如未按规定</w:t>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lang w:val="zh-CN"/>
        </w:rPr>
        <w:t xml:space="preserve">出澄清、说明和补正，其风险由投标人自行承担。</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10" w:name="_Toc20823305"/>
      <w:r/>
      <w:bookmarkStart w:id="111" w:name="_Toc513029233"/>
      <w:r/>
      <w:bookmarkStart w:id="112" w:name="_Toc16938549"/>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投标文件审查分为资格审查和符合性审查。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资格审查。依据法律法规和招标文件规定，由采购人对投标文件中的资格证明文件进行审查，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向评委会反馈</w:t>
      </w:r>
      <w:r>
        <w:rPr>
          <w:rFonts w:hint="eastAsia" w:ascii="宋体" w:hAnsi="宋体" w:eastAsia="宋体" w:cs="宋体"/>
          <w:color w:val="auto"/>
          <w:sz w:val="21"/>
          <w:szCs w:val="21"/>
          <w:highlight w:val="none"/>
        </w:rPr>
        <w:t xml:space="preserve">审查结论</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采购人进行资格审查时，将在“信用中国”网站（www.creditchina.gov.cn）查询投标人的信用记录，以确定投标人是否具备投标资格，查询结果留存并归档。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接受联合体的项目，联合体成员存在不良信用记录的，视同联合体存在不良</w:t>
      </w: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zh-CN"/>
        </w:rPr>
        <w:t xml:space="preserve">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符合性审查。依据招标文件的规定，由评委会从有效性、完整性和对招标文件的响应程度</w:t>
      </w:r>
      <w:r>
        <w:rPr>
          <w:rFonts w:hint="eastAsia" w:ascii="宋体" w:hAnsi="宋体" w:eastAsia="宋体" w:cs="宋体"/>
          <w:color w:val="auto"/>
          <w:sz w:val="21"/>
          <w:szCs w:val="21"/>
          <w:highlight w:val="none"/>
        </w:rPr>
        <w:t xml:space="preserve">等方面对投标文件</w:t>
      </w:r>
      <w:r>
        <w:rPr>
          <w:rFonts w:hint="eastAsia" w:ascii="宋体" w:hAnsi="宋体" w:eastAsia="宋体" w:cs="宋体"/>
          <w:color w:val="auto"/>
          <w:sz w:val="21"/>
          <w:szCs w:val="21"/>
          <w:highlight w:val="none"/>
          <w:lang w:val="zh-CN"/>
        </w:rPr>
        <w:t xml:space="preserve">进行审查，以确定是否对招标文件的实质性要求作出响应。</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未通过资格审查或符合性审查的投标人，招标代理将</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苏采云系统告知</w:t>
      </w:r>
      <w:r>
        <w:rPr>
          <w:rFonts w:hint="eastAsia" w:ascii="宋体" w:hAnsi="宋体" w:eastAsia="宋体" w:cs="宋体"/>
          <w:color w:val="auto"/>
          <w:sz w:val="21"/>
          <w:szCs w:val="21"/>
          <w:highlight w:val="none"/>
        </w:rPr>
        <w:t xml:space="preserve">其具体</w:t>
      </w:r>
      <w:r>
        <w:rPr>
          <w:rFonts w:hint="eastAsia" w:ascii="宋体" w:hAnsi="宋体" w:eastAsia="宋体" w:cs="宋体"/>
          <w:color w:val="auto"/>
          <w:sz w:val="21"/>
          <w:szCs w:val="21"/>
          <w:highlight w:val="none"/>
          <w:lang w:val="zh-CN"/>
        </w:rPr>
        <w:t xml:space="preserve">原因，评标结束后</w:t>
      </w:r>
      <w:r>
        <w:rPr>
          <w:rFonts w:hint="eastAsia" w:ascii="宋体" w:hAnsi="宋体" w:eastAsia="宋体" w:cs="宋体"/>
          <w:color w:val="auto"/>
          <w:sz w:val="21"/>
          <w:szCs w:val="21"/>
          <w:highlight w:val="none"/>
        </w:rPr>
        <w:t xml:space="preserve">不再接受有关询问</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仅对</w:t>
      </w:r>
      <w:r>
        <w:rPr>
          <w:rFonts w:hint="eastAsia" w:ascii="宋体" w:hAnsi="宋体" w:eastAsia="宋体" w:cs="宋体"/>
          <w:color w:val="auto"/>
          <w:sz w:val="21"/>
          <w:szCs w:val="21"/>
          <w:highlight w:val="none"/>
          <w:lang w:val="zh-CN"/>
        </w:rPr>
        <w:t xml:space="preserve">实质性响应招标文件要求</w:t>
      </w:r>
      <w:r>
        <w:rPr>
          <w:rFonts w:hint="eastAsia" w:ascii="宋体" w:hAnsi="宋体" w:eastAsia="宋体" w:cs="宋体"/>
          <w:color w:val="auto"/>
          <w:sz w:val="21"/>
          <w:szCs w:val="21"/>
          <w:highlight w:val="none"/>
        </w:rPr>
        <w:t xml:space="preserve">的投标文件进行详细评审</w:t>
      </w:r>
      <w:r>
        <w:rPr>
          <w:rFonts w:hint="eastAsia" w:ascii="宋体" w:hAnsi="宋体" w:eastAsia="宋体" w:cs="宋体"/>
          <w:color w:val="auto"/>
          <w:sz w:val="21"/>
          <w:szCs w:val="21"/>
          <w:highlight w:val="none"/>
          <w:lang w:val="zh-CN"/>
        </w:rPr>
        <w:t xml:space="preserve">。实质性响应的投标文件应该是与招标文件要求的全部条款、条件和规格相符，没有重大偏离或保留的文件。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少数服从多数的原则作出结论。评委</w:t>
      </w:r>
      <w:r>
        <w:rPr>
          <w:rFonts w:hint="eastAsia" w:ascii="宋体" w:hAnsi="宋体" w:eastAsia="宋体" w:cs="宋体"/>
          <w:color w:val="auto"/>
          <w:sz w:val="21"/>
          <w:szCs w:val="21"/>
          <w:highlight w:val="none"/>
        </w:rPr>
        <w:t xml:space="preserve">会认</w:t>
      </w:r>
      <w:r>
        <w:rPr>
          <w:rFonts w:hint="eastAsia" w:ascii="宋体" w:hAnsi="宋体" w:eastAsia="宋体" w:cs="宋体"/>
          <w:color w:val="auto"/>
          <w:sz w:val="21"/>
          <w:szCs w:val="21"/>
          <w:highlight w:val="none"/>
          <w:lang w:val="zh-CN"/>
        </w:rPr>
        <w:t xml:space="preserve">定投标文件的响应性只根据投标文件本身的内容，而不寻求外部的证据。</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评委会将对确定为实质性响应的投标进行进一步审核，确定其是否有计算上或累加上的算术错误。修正错误的原则如下：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3" w:name="_Toc513029234"/>
      <w:r/>
      <w:bookmarkStart w:id="114" w:name="_Toc16938550"/>
      <w:r/>
      <w:bookmarkStart w:id="115" w:name="_Toc20823306"/>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投标人在开、评标全过程中应保持通讯畅通，及时登录苏采云系统查阅、答复相关信息，并安排专人与招标代理及评委会联系。</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6" w:name="_Toc513029235"/>
      <w:r/>
      <w:bookmarkStart w:id="117" w:name="_Toc16938551"/>
      <w:r/>
      <w:bookmarkStart w:id="118" w:name="_Toc20823307"/>
      <w:r/>
      <w:bookmarkStart w:id="119" w:name="_Toc120614219"/>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无效投标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投标人在苏采云系统规定的时间内未成功解密电子投标文件。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投标人未按照招标文件要求上传电子投标文件。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同一投标人提交两个（含两个）以上不同的投标报价。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投标人不具备招标文件中规定资格要求。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投标人的报价超过了采购预算或最高限价</w:t>
      </w:r>
      <w:r>
        <w:rPr>
          <w:rFonts w:hint="eastAsia" w:ascii="宋体" w:hAnsi="宋体" w:eastAsia="宋体" w:cs="宋体"/>
          <w:color w:val="auto"/>
          <w:sz w:val="21"/>
          <w:szCs w:val="21"/>
          <w:highlight w:val="none"/>
        </w:rPr>
        <w:t xml:space="preserve">或单价上限</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不符合招标文件中实质性要求和条件（</w:t>
      </w:r>
      <w:r>
        <w:rPr>
          <w:rFonts w:hint="eastAsia" w:ascii="宋体" w:hAnsi="宋体" w:eastAsia="宋体" w:cs="宋体"/>
          <w:b/>
          <w:bCs/>
          <w:color w:val="auto"/>
          <w:sz w:val="21"/>
          <w:szCs w:val="21"/>
          <w:highlight w:val="none"/>
          <w:lang w:val="zh-CN"/>
        </w:rPr>
        <w:t xml:space="preserve">本文件中斜体且有下划线部分，或者打“</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”内容为实质性要求和条件</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投标文件含有采购人不能接受的附加条件。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25.1.11 采购产品被财政部、国家发改委、生态环境部等列入“节能产品品目清单”强制采购范围，而投标人提供的产品不在强制采购范围内。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25.1.12 投标文件未按照招标文件要求加盖电子公章。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法律法规及本招标文件规定的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无效投标情形。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废标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符合资格条件的供应商或者对招标文件作实质响应的供应商不足三家。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出现影响采购公正的违法、违规行为。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因重大变故采购任务取消。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评委会认定招标文件存在歧义、重大缺陷导致评审工作无法进行。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25.2.5 因苏采云系统故障造成开标不成功。</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 如出现投标截止时间后参加投标的供应商或者对招标文件作出实质性响应的供应商不足三家的情况，按政府采购相关规定执行。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25.4 如出现25.2.1或25.3情形，招标活动失败，评审委员会</w:t>
      </w:r>
      <w:r>
        <w:rPr>
          <w:rFonts w:hint="eastAsia" w:ascii="宋体" w:hAnsi="宋体" w:eastAsia="宋体" w:cs="宋体"/>
          <w:color w:val="auto"/>
          <w:sz w:val="21"/>
          <w:szCs w:val="21"/>
          <w:highlight w:val="none"/>
        </w:rPr>
        <w:t xml:space="preserve">应对</w:t>
      </w:r>
      <w:r>
        <w:rPr>
          <w:rFonts w:hint="eastAsia" w:ascii="宋体" w:hAnsi="宋体" w:eastAsia="宋体" w:cs="宋体"/>
          <w:color w:val="auto"/>
          <w:sz w:val="21"/>
          <w:szCs w:val="21"/>
          <w:highlight w:val="none"/>
          <w:lang w:val="zh-CN"/>
        </w:rPr>
        <w:t xml:space="preserve">招标文件是否存在不合理条款</w:t>
      </w:r>
      <w:r>
        <w:rPr>
          <w:rFonts w:hint="eastAsia" w:ascii="宋体" w:hAnsi="宋体" w:eastAsia="宋体" w:cs="宋体"/>
          <w:color w:val="auto"/>
          <w:sz w:val="21"/>
          <w:szCs w:val="21"/>
          <w:highlight w:val="none"/>
        </w:rPr>
        <w:t xml:space="preserve">进行论证，并在评审报告中写明</w:t>
      </w:r>
      <w:r>
        <w:rPr>
          <w:rFonts w:hint="eastAsia" w:ascii="宋体" w:hAnsi="宋体" w:eastAsia="宋体" w:cs="宋体"/>
          <w:color w:val="auto"/>
          <w:sz w:val="21"/>
          <w:szCs w:val="21"/>
          <w:highlight w:val="none"/>
          <w:lang w:val="zh-CN"/>
        </w:rPr>
        <w:t xml:space="preserve">论证意见。</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6"/>
      <w:r/>
      <w:bookmarkEnd w:id="117"/>
      <w:r/>
      <w:bookmarkEnd w:id="118"/>
      <w:r>
        <w:rPr>
          <w:rFonts w:hint="eastAsia" w:ascii="宋体" w:hAnsi="宋体" w:eastAsia="宋体" w:cs="宋体"/>
          <w:b w:val="0"/>
          <w:bCs w:val="0"/>
          <w:color w:val="auto"/>
          <w:sz w:val="21"/>
          <w:szCs w:val="21"/>
          <w:highlight w:val="none"/>
          <w:lang w:eastAsia="zh-CN"/>
        </w:rPr>
        <w:t xml:space="preserve">定标</w:t>
      </w:r>
      <w:bookmarkEnd w:id="119"/>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0" w:name="_Toc513029238"/>
      <w:r/>
      <w:bookmarkStart w:id="121" w:name="_Toc16938554"/>
      <w:r/>
      <w:bookmarkStart w:id="122" w:name="_Toc20823310"/>
      <w:r>
        <w:rPr>
          <w:rFonts w:hint="eastAsia" w:ascii="宋体" w:hAnsi="宋体" w:eastAsia="宋体" w:cs="宋体"/>
          <w:color w:val="auto"/>
          <w:sz w:val="21"/>
          <w:szCs w:val="21"/>
          <w:highlight w:val="none"/>
          <w:lang w:eastAsia="zh-CN"/>
        </w:rPr>
        <w:t xml:space="preserve">2</w:t>
      </w:r>
      <w:bookmarkEnd w:id="120"/>
      <w:r>
        <w:rPr>
          <w:rFonts w:hint="eastAsia" w:ascii="宋体" w:hAnsi="宋体" w:eastAsia="宋体" w:cs="宋体"/>
          <w:color w:val="auto"/>
          <w:sz w:val="21"/>
          <w:szCs w:val="21"/>
          <w:highlight w:val="none"/>
          <w:lang w:eastAsia="zh-CN"/>
        </w:rPr>
        <w:t xml:space="preserve">6.确定</w:t>
      </w:r>
      <w:bookmarkEnd w:id="121"/>
      <w:r/>
      <w:bookmarkEnd w:id="122"/>
      <w:r>
        <w:rPr>
          <w:rFonts w:hint="eastAsia" w:ascii="宋体" w:hAnsi="宋体" w:eastAsia="宋体" w:cs="宋体"/>
          <w:color w:val="auto"/>
          <w:sz w:val="21"/>
          <w:szCs w:val="21"/>
          <w:highlight w:val="none"/>
          <w:lang w:eastAsia="zh-CN"/>
        </w:rPr>
        <w:t xml:space="preserve">中标单位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中标候选人的</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zh-CN"/>
        </w:rPr>
        <w:t xml:space="preserve">原则和数量见招标文件第五章。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按以下第（</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）种方式确定中标人：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.3 招标代理将在“江苏政府采购网”发布中标公告，公告期限为1个工作日。</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提供虚假材料谋取中标。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向评审专家、采购人或招标代理工作人员行贿或者提供其他不正当利益。</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与其他供应商、评审专家、采购人或招标代理工作人员恶意串通。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属于本文件规定的无效</w:t>
      </w:r>
      <w:r>
        <w:rPr>
          <w:rFonts w:hint="eastAsia" w:ascii="宋体" w:hAnsi="宋体" w:eastAsia="宋体" w:cs="宋体"/>
          <w:color w:val="auto"/>
          <w:sz w:val="21"/>
          <w:szCs w:val="21"/>
          <w:highlight w:val="none"/>
        </w:rPr>
        <w:t xml:space="preserve">投标情形</w:t>
      </w:r>
      <w:r>
        <w:rPr>
          <w:rFonts w:hint="eastAsia" w:ascii="宋体" w:hAnsi="宋体" w:eastAsia="宋体" w:cs="宋体"/>
          <w:color w:val="auto"/>
          <w:sz w:val="21"/>
          <w:szCs w:val="21"/>
          <w:highlight w:val="none"/>
          <w:lang w:val="zh-CN"/>
        </w:rPr>
        <w:t xml:space="preserve">，但在评标过程中未被评委会发现。</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采取不正当手段诋毁、排挤其他供应商。</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bookmarkStart w:id="123" w:name="_Toc20045196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不同投标人的投标文件由同一单位或者个人编制。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不同投标人委托同一单位或者个人办理投标事宜。</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不同投标人的投标文件载明的项目管理成员或者联系人员为同一人。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不同投标人的投标文件异常一致或者投标报价呈规律性差异。</w:t>
      </w:r>
      <w:bookmarkEnd w:id="123"/>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.l 中标结果确定后，招标代理将向中标人发出《中标通知书》。中标人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24" w:name="_Toc120614220"/>
      <w:r/>
      <w:bookmarkStart w:id="125" w:name="_Toc20823308"/>
      <w:r/>
      <w:bookmarkStart w:id="126" w:name="_Toc513029236"/>
      <w:r/>
      <w:bookmarkStart w:id="127" w:name="_Toc16938552"/>
      <w:r>
        <w:rPr>
          <w:rFonts w:hint="eastAsia" w:ascii="宋体" w:hAnsi="宋体" w:eastAsia="宋体" w:cs="宋体"/>
          <w:b w:val="0"/>
          <w:bCs w:val="0"/>
          <w:color w:val="auto"/>
          <w:sz w:val="21"/>
          <w:szCs w:val="21"/>
          <w:highlight w:val="none"/>
          <w:lang w:eastAsia="zh-CN"/>
        </w:rPr>
        <w:t xml:space="preserve">七、授予合同</w:t>
      </w:r>
      <w:bookmarkEnd w:id="124"/>
      <w:r/>
      <w:bookmarkEnd w:id="125"/>
      <w:bookmarkEnd w:id="126"/>
      <w:bookmarkEnd w:id="127"/>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8" w:name="_Toc20823309"/>
      <w:r/>
      <w:bookmarkStart w:id="129" w:name="_Toc16938553"/>
      <w:r/>
      <w:bookmarkStart w:id="130" w:name="_Toc513029237"/>
      <w:r>
        <w:rPr>
          <w:rFonts w:hint="eastAsia" w:ascii="宋体" w:hAnsi="宋体" w:eastAsia="宋体" w:cs="宋体"/>
          <w:color w:val="auto"/>
          <w:sz w:val="21"/>
          <w:szCs w:val="21"/>
          <w:highlight w:val="none"/>
          <w:lang w:eastAsia="zh-CN"/>
        </w:rPr>
        <w:t xml:space="preserve">28.签订合同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.4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10%。</w:t>
      </w:r>
      <w:bookmarkEnd w:id="128"/>
      <w:r/>
      <w:bookmarkEnd w:id="129"/>
      <w:r/>
      <w:bookmarkEnd w:id="130"/>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南京市公共资源交易</w:t>
      </w:r>
      <w:r>
        <w:rPr>
          <w:rFonts w:hint="eastAsia" w:ascii="宋体" w:hAnsi="宋体" w:eastAsia="宋体" w:cs="宋体"/>
          <w:color w:val="auto"/>
          <w:sz w:val="21"/>
          <w:szCs w:val="21"/>
          <w:highlight w:val="none"/>
        </w:rPr>
        <w:t xml:space="preserve">平台</w:t>
      </w:r>
      <w:r>
        <w:rPr>
          <w:rFonts w:hint="eastAsia" w:ascii="宋体" w:hAnsi="宋体" w:eastAsia="宋体" w:cs="宋体"/>
          <w:color w:val="auto"/>
          <w:sz w:val="21"/>
          <w:szCs w:val="21"/>
          <w:highlight w:val="none"/>
          <w:lang w:val="zh-CN"/>
        </w:rPr>
        <w:t xml:space="preserve">网站“小企业融资平台”，</w:t>
      </w:r>
      <w:r>
        <w:rPr>
          <w:rFonts w:hint="eastAsia" w:ascii="宋体" w:hAnsi="宋体" w:eastAsia="宋体" w:cs="宋体"/>
          <w:color w:val="auto"/>
          <w:sz w:val="21"/>
          <w:szCs w:val="21"/>
          <w:highlight w:val="none"/>
        </w:rPr>
        <w:t xml:space="preserve">选择相应的金融机构</w:t>
      </w:r>
      <w:r>
        <w:rPr>
          <w:rFonts w:hint="eastAsia" w:ascii="宋体" w:hAnsi="宋体" w:eastAsia="宋体" w:cs="宋体"/>
          <w:color w:val="auto"/>
          <w:sz w:val="21"/>
          <w:szCs w:val="21"/>
          <w:highlight w:val="none"/>
          <w:lang w:val="zh-CN"/>
        </w:rPr>
        <w:t xml:space="preserve">办理融资贷款。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 xml:space="preserve">。</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提出质疑的供应商应当是参与所质疑项目采购活动的供应商，潜在供应商依法获取其可质疑的采购文件的，可以对采购文件提出质疑。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 xml:space="preserve">按照第3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第35</w:t>
      </w:r>
      <w:r>
        <w:rPr>
          <w:rFonts w:hint="eastAsia" w:ascii="宋体" w:hAnsi="宋体" w:eastAsia="宋体" w:cs="宋体"/>
          <w:color w:val="auto"/>
          <w:sz w:val="21"/>
          <w:szCs w:val="21"/>
          <w:highlight w:val="none"/>
          <w:lang w:val="zh-CN"/>
        </w:rPr>
        <w:t xml:space="preserve">条</w:t>
      </w:r>
      <w:r>
        <w:rPr>
          <w:rFonts w:hint="eastAsia" w:ascii="宋体" w:hAnsi="宋体" w:eastAsia="宋体" w:cs="宋体"/>
          <w:color w:val="auto"/>
          <w:sz w:val="21"/>
          <w:szCs w:val="21"/>
          <w:highlight w:val="none"/>
        </w:rPr>
        <w:t xml:space="preserve">之</w:t>
      </w:r>
      <w:r>
        <w:rPr>
          <w:rFonts w:hint="eastAsia" w:ascii="宋体" w:hAnsi="宋体" w:eastAsia="宋体" w:cs="宋体"/>
          <w:color w:val="auto"/>
          <w:sz w:val="21"/>
          <w:szCs w:val="21"/>
          <w:highlight w:val="none"/>
          <w:lang w:val="zh-CN"/>
        </w:rPr>
        <w:t xml:space="preserve">规定以书面形式向采购人或招标代理提出质疑。</w:t>
      </w:r>
      <w:r>
        <w:rPr>
          <w:rFonts w:hint="eastAsia" w:ascii="宋体" w:hAnsi="宋体" w:eastAsia="宋体" w:cs="宋体"/>
          <w:b/>
          <w:bCs/>
          <w:color w:val="auto"/>
          <w:sz w:val="21"/>
          <w:szCs w:val="21"/>
          <w:highlight w:val="none"/>
          <w:lang w:val="zh-CN"/>
        </w:rPr>
        <w:t xml:space="preserve">上述应知其权益受到损害之日是指</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2.1 对采购文件提出质疑的，为收到采购文件之日或者采购文件公告期限届满之日。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2.2 对采购过程提出质疑的，为各采购程序环节结束之日。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2.3 对中标或者成交结果提出质疑的，为中标或者成交结果公告期限届满之日。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31" w:name="_Hlk218852672"/>
      <w:r>
        <w:rPr>
          <w:rFonts w:hint="eastAsia" w:ascii="宋体" w:hAnsi="宋体" w:eastAsia="宋体" w:cs="宋体"/>
          <w:color w:val="auto"/>
          <w:sz w:val="21"/>
          <w:szCs w:val="21"/>
          <w:highlight w:val="none"/>
        </w:rPr>
        <w:t xml:space="preserve">34.</w:t>
      </w:r>
      <w:r>
        <w:rPr>
          <w:rFonts w:hint="eastAsia" w:ascii="宋体" w:hAnsi="宋体" w:eastAsia="宋体" w:cs="宋体"/>
          <w:color w:val="auto"/>
          <w:sz w:val="21"/>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格式和内容填写。</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供应商如组成联合体参加采购活动，《质疑函范本》中要求加盖公章之处，联合体各方均须按要求加盖公章。</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35.</w:t>
      </w:r>
      <w:r>
        <w:rPr>
          <w:rFonts w:hint="eastAsia" w:ascii="宋体" w:hAnsi="宋体" w:eastAsia="宋体" w:cs="宋体"/>
          <w:b/>
          <w:bCs/>
          <w:color w:val="auto"/>
          <w:sz w:val="21"/>
          <w:szCs w:val="21"/>
          <w:highlight w:val="none"/>
        </w:rPr>
        <w:t xml:space="preserve">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 xml:space="preserve">招标代理</w:t>
      </w:r>
      <w:r>
        <w:rPr>
          <w:rFonts w:hint="eastAsia" w:ascii="宋体" w:hAnsi="宋体" w:eastAsia="宋体" w:cs="宋体"/>
          <w:b/>
          <w:bCs/>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以下情形的质疑不予受理：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6.1 超出政府采购法定期限的质疑；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6.2 在法定期限内对同一采购程序环节提出</w:t>
      </w:r>
      <w:r>
        <w:rPr>
          <w:rFonts w:hint="eastAsia" w:ascii="宋体" w:hAnsi="宋体" w:eastAsia="宋体" w:cs="宋体"/>
          <w:color w:val="auto"/>
          <w:sz w:val="21"/>
          <w:szCs w:val="21"/>
          <w:highlight w:val="none"/>
        </w:rPr>
        <w:t xml:space="preserve">第一次质疑之外的多次</w:t>
      </w:r>
      <w:r>
        <w:rPr>
          <w:rFonts w:hint="eastAsia" w:ascii="宋体" w:hAnsi="宋体" w:eastAsia="宋体" w:cs="宋体"/>
          <w:color w:val="auto"/>
          <w:sz w:val="21"/>
          <w:szCs w:val="21"/>
          <w:highlight w:val="none"/>
          <w:lang w:val="zh-CN"/>
        </w:rPr>
        <w:t xml:space="preserve">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6.3 法律法规规定的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不予受理情形。</w:t>
      </w:r>
      <w:bookmarkEnd w:id="131"/>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w:t>
      </w:r>
      <w:r>
        <w:rPr>
          <w:rFonts w:hint="eastAsia" w:ascii="宋体" w:hAnsi="宋体" w:eastAsia="宋体" w:cs="宋体"/>
          <w:color w:val="auto"/>
          <w:sz w:val="21"/>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28"/>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38.1 本项目中的</w:t>
      </w:r>
      <w:r>
        <w:rPr>
          <w:rFonts w:hint="eastAsia" w:ascii="宋体" w:hAnsi="宋体" w:eastAsia="宋体" w:cs="宋体"/>
          <w:color w:val="auto"/>
          <w:sz w:val="21"/>
          <w:szCs w:val="21"/>
          <w:highlight w:val="none"/>
          <w:lang w:val="zh-CN"/>
        </w:rPr>
        <w:t xml:space="preserve">货物</w:t>
      </w:r>
      <w:r>
        <w:rPr>
          <w:rFonts w:hint="eastAsia" w:ascii="宋体" w:hAnsi="宋体" w:eastAsia="宋体" w:cs="宋体"/>
          <w:color w:val="auto"/>
          <w:sz w:val="21"/>
          <w:szCs w:val="21"/>
          <w:highlight w:val="none"/>
        </w:rPr>
        <w:t xml:space="preserve">全部</w:t>
      </w:r>
      <w:r>
        <w:rPr>
          <w:rFonts w:hint="eastAsia" w:ascii="宋体" w:hAnsi="宋体" w:eastAsia="宋体" w:cs="宋体"/>
          <w:color w:val="auto"/>
          <w:sz w:val="21"/>
          <w:szCs w:val="21"/>
          <w:highlight w:val="none"/>
          <w:lang w:val="zh-CN"/>
        </w:rPr>
        <w:t xml:space="preserve">由中小企业制造的，</w:t>
      </w:r>
      <w:r>
        <w:rPr>
          <w:rFonts w:hint="eastAsia" w:ascii="宋体" w:hAnsi="宋体" w:eastAsia="宋体" w:cs="宋体"/>
          <w:color w:val="auto"/>
          <w:sz w:val="21"/>
          <w:szCs w:val="21"/>
          <w:highlight w:val="none"/>
        </w:rPr>
        <w:t xml:space="preserve">投标供应商</w:t>
      </w:r>
      <w:r>
        <w:rPr>
          <w:rFonts w:hint="eastAsia" w:ascii="宋体" w:hAnsi="宋体" w:eastAsia="宋体" w:cs="宋体"/>
          <w:color w:val="auto"/>
          <w:sz w:val="21"/>
          <w:szCs w:val="21"/>
          <w:highlight w:val="none"/>
          <w:lang w:val="zh-CN"/>
        </w:rPr>
        <w:t xml:space="preserve">享受中小企业扶持政策。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zh-CN"/>
        </w:rPr>
        <w:t xml:space="preserve">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监狱和戒毒企业（简称监狱企业）视同小型、微型企业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《关于政府采购支持监狱企业发展有关问题的通知》（财库〔2014〕68号）</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val="zh-CN"/>
        </w:rPr>
        <w:t xml:space="preserve">监狱企业需提供由省级以上监狱管理局、戒毒管理局(含新疆生产建设兵团)出具的属于监狱企业的证明文件。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 xml:space="preserve">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按照《关于促进残疾人就业政府采购政策的通知》（财库〔2017〕141号）规定，残疾人福利单位需</w:t>
      </w:r>
      <w:r>
        <w:rPr>
          <w:rFonts w:hint="eastAsia" w:ascii="宋体" w:hAnsi="宋体" w:eastAsia="宋体" w:cs="宋体"/>
          <w:color w:val="auto"/>
          <w:sz w:val="21"/>
          <w:szCs w:val="21"/>
          <w:highlight w:val="none"/>
          <w:lang w:val="zh-CN"/>
        </w:rPr>
        <w:t xml:space="preserve">提供《残疾人福利性单位声明函》。</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39.3 采购产品</w:t>
      </w:r>
      <w:r>
        <w:rPr>
          <w:rFonts w:hint="eastAsia" w:ascii="宋体" w:hAnsi="宋体" w:eastAsia="宋体" w:cs="宋体"/>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 xml:space="preserve">第五章评标方法与评标标准</w:t>
      </w:r>
      <w:r>
        <w:rPr>
          <w:rFonts w:hint="eastAsia" w:ascii="宋体" w:hAnsi="宋体" w:eastAsia="宋体" w:cs="宋体"/>
          <w:color w:val="auto"/>
          <w:sz w:val="21"/>
          <w:szCs w:val="21"/>
          <w:highlight w:val="none"/>
          <w:lang w:val="zh-CN"/>
        </w:rPr>
        <w:t xml:space="preserve">）。</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 采购产品</w:t>
      </w:r>
      <w:r>
        <w:rPr>
          <w:rFonts w:hint="eastAsia" w:ascii="宋体" w:hAnsi="宋体" w:eastAsia="宋体" w:cs="宋体"/>
          <w:bCs/>
          <w:color w:val="auto"/>
          <w:sz w:val="21"/>
          <w:szCs w:val="21"/>
          <w:highlight w:val="none"/>
        </w:rPr>
        <w:t xml:space="preserve">中涉及商品包装、快递包装要求的，应按照</w:t>
      </w:r>
      <w:r>
        <w:rPr>
          <w:rFonts w:hint="eastAsia" w:ascii="宋体" w:hAnsi="宋体" w:eastAsia="宋体" w:cs="宋体"/>
          <w:color w:val="auto"/>
          <w:sz w:val="21"/>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ind w:left="0" w:firstLine="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29"/>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43.2本国产品应当符合以下条件：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（2）在中国境内生产的组件成本占比达到规定比例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（3）特定产品的关键组件、关键工序符合相关要求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43.3本国产品标准的适用范围</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43.4对本国产品的支持政策</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本项目如</w:t>
      </w:r>
      <w:r>
        <w:rPr>
          <w:rFonts w:hint="eastAsia" w:ascii="宋体" w:hAnsi="宋体" w:eastAsia="宋体" w:cs="宋体"/>
          <w:b/>
          <w:bCs/>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 w:val="21"/>
          <w:szCs w:val="21"/>
          <w:highlight w:val="none"/>
        </w:rPr>
        <w:t xml:space="preserve">具体详见第五章。</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43.5政策执行要求</w:t>
      </w:r>
      <w:r/>
    </w:p>
    <w:p>
      <w:pPr>
        <w:ind w:left="0" w:firstLine="0"/>
        <w:jc w:val="left"/>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shd w:val="clear" w:color="auto" w:fill="ffffff"/>
        </w:rPr>
        <w:t xml:space="preserve">《国务院办公厅关于在政府采购中实施本国产品标准及相关政策的通知》（国办发〔2025〕34号）规定。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（2）有关证明文件。</w:t>
      </w:r>
      <w:r>
        <w:rPr>
          <w:rFonts w:hint="eastAsia" w:ascii="宋体" w:hAnsi="宋体" w:eastAsia="宋体" w:cs="宋体"/>
          <w:b/>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30"/>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1"/>
        </w:numPr>
        <w:ind w:left="0" w:firstLine="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费用</w:t>
      </w:r>
      <w:r/>
    </w:p>
    <w:p>
      <w:pPr>
        <w:pStyle w:val="830"/>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 xml:space="preserve">苏政采协【2024】20号文</w:t>
      </w:r>
      <w:r>
        <w:rPr>
          <w:rFonts w:hint="eastAsia" w:ascii="宋体" w:hAnsi="宋体" w:eastAsia="宋体" w:cs="宋体"/>
          <w:color w:val="auto"/>
          <w:sz w:val="21"/>
          <w:szCs w:val="21"/>
          <w:highlight w:val="none"/>
          <w:lang w:val="zh-CN"/>
        </w:rPr>
        <w:t xml:space="preserve">招标收费基准费率的 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 向招标代理机构支付招标服务费。本项费用无需单列。</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47"/>
        <w:tblpPr w:horzAnchor="page" w:tblpX="1697" w:vertAnchor="text" w:tblpY="263" w:leftFromText="180" w:topFromText="0" w:rightFromText="180" w:bottomFromText="0"/>
        <w:tblW w:w="4996" w:type="pct"/>
        <w:tblInd w:w="0" w:type="dxa"/>
        <w:tblLayout w:type="autofit"/>
        <w:tblCellMar>
          <w:left w:w="15" w:type="dxa"/>
          <w:top w:w="15" w:type="dxa"/>
          <w:right w:w="15" w:type="dxa"/>
          <w:bottom w:w="15" w:type="dxa"/>
        </w:tblCellMar>
        <w:tblLook w:val="04A0" w:firstRow="1" w:lastRow="0" w:firstColumn="1" w:lastColumn="0" w:noHBand="0" w:noVBand="1"/>
      </w:tblPr>
      <w:tblGrid>
        <w:gridCol w:w="639"/>
        <w:gridCol w:w="1349"/>
        <w:gridCol w:w="6674"/>
        <w:gridCol w:w="715"/>
      </w:tblGrid>
      <w:tr>
        <w:trPr>
          <w:trHeight w:val="23"/>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r>
      <w:tr>
        <w:trPr>
          <w:trHeight w:val="23"/>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采用低价优先法计算，即满足招标文件要求且投标价格最低的投标报价为评标基准价，其他供应商的价格分按照下列公式计算：</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p>
        </w:tc>
      </w:tr>
      <w:tr>
        <w:trPr>
          <w:trHeight w:val="23"/>
        </w:trPr>
        <w:tc>
          <w:tcPr>
            <w:tcBorders>
              <w:top w:val="single" w:color="000000" w:sz="4" w:space="0"/>
              <w:left w:val="single" w:color="000000" w:sz="4" w:space="0"/>
              <w:right w:val="single" w:color="000000" w:sz="4" w:space="0"/>
            </w:tcBorders>
            <w:tcW w:w="34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采购需求响应</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rPr>
              <w:t xml:space="preserve">第四章采购需求内容</w:t>
            </w:r>
            <w:r>
              <w:rPr>
                <w:rFonts w:hint="eastAsia" w:ascii="宋体" w:hAnsi="宋体" w:eastAsia="宋体" w:cs="宋体"/>
                <w:bCs/>
                <w:sz w:val="21"/>
                <w:szCs w:val="21"/>
                <w:highlight w:val="none"/>
              </w:rPr>
              <w:t xml:space="preserve">全部满足招标要求的得满分</w:t>
            </w:r>
            <w:r>
              <w:rPr>
                <w:rFonts w:hint="eastAsia" w:ascii="宋体" w:hAnsi="宋体" w:eastAsia="宋体" w:cs="宋体"/>
                <w:sz w:val="21"/>
                <w:szCs w:val="21"/>
                <w:highlight w:val="none"/>
                <w:lang w:val="en-US" w:eastAsia="zh-CN"/>
              </w:rPr>
              <w:t xml:space="preserve">40</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其中</w:t>
            </w:r>
            <w:r>
              <w:rPr>
                <w:rFonts w:hint="eastAsia" w:ascii="宋体" w:hAnsi="宋体" w:eastAsia="宋体" w:cs="宋体"/>
                <w:sz w:val="21"/>
                <w:szCs w:val="21"/>
                <w:highlight w:val="none"/>
              </w:rPr>
              <w:t xml:space="preserve">标注“★”的内容为实质性要求，有一项不符合的，作无效投标处理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标注“▲”</w:t>
            </w:r>
            <w:r>
              <w:rPr>
                <w:rFonts w:hint="eastAsia" w:ascii="宋体" w:hAnsi="宋体" w:eastAsia="宋体" w:cs="宋体"/>
                <w:bCs/>
                <w:sz w:val="21"/>
                <w:szCs w:val="21"/>
                <w:highlight w:val="none"/>
              </w:rPr>
              <w:t xml:space="preserve">的</w:t>
            </w:r>
            <w:r>
              <w:rPr>
                <w:rFonts w:hint="eastAsia" w:ascii="宋体" w:hAnsi="宋体" w:eastAsia="宋体" w:cs="宋体"/>
                <w:sz w:val="21"/>
                <w:szCs w:val="21"/>
                <w:highlight w:val="none"/>
              </w:rPr>
              <w:t xml:space="preserve">为重要</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sz w:val="21"/>
                <w:szCs w:val="21"/>
                <w:highlight w:val="none"/>
              </w:rPr>
              <w:t xml:space="preserve">，每负偏离一项扣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其他</w:t>
            </w:r>
            <w:r>
              <w:rPr>
                <w:rFonts w:hint="eastAsia" w:ascii="宋体" w:hAnsi="宋体" w:eastAsia="宋体" w:cs="宋体"/>
                <w:sz w:val="21"/>
                <w:szCs w:val="21"/>
                <w:highlight w:val="none"/>
                <w:lang w:val="en-US" w:eastAsia="zh-CN"/>
              </w:rPr>
              <w:t xml:space="preserve">为一般要求，每负偏离一项</w:t>
            </w:r>
            <w:r>
              <w:rPr>
                <w:rFonts w:hint="eastAsia" w:ascii="宋体" w:hAnsi="宋体" w:eastAsia="宋体" w:cs="宋体"/>
                <w:sz w:val="21"/>
                <w:szCs w:val="21"/>
                <w:highlight w:val="none"/>
              </w:rPr>
              <w:t xml:space="preserve">扣</w:t>
            </w:r>
            <w:r>
              <w:rPr>
                <w:rFonts w:hint="eastAsia" w:ascii="宋体" w:hAnsi="宋体" w:eastAsia="宋体" w:cs="宋体"/>
                <w:sz w:val="21"/>
                <w:szCs w:val="21"/>
                <w:highlight w:val="none"/>
                <w:lang w:val="en-US" w:eastAsia="zh-CN"/>
              </w:rPr>
              <w:t xml:space="preserve">0.4</w:t>
            </w:r>
            <w:r>
              <w:rPr>
                <w:rFonts w:hint="eastAsia" w:ascii="宋体" w:hAnsi="宋体" w:eastAsia="宋体" w:cs="宋体"/>
                <w:sz w:val="21"/>
                <w:szCs w:val="21"/>
                <w:highlight w:val="none"/>
              </w:rPr>
              <w:t xml:space="preserve">分，扣完为止。</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b w:val="0"/>
                <w:bCs w:val="0"/>
                <w:color w:val="000000"/>
                <w:sz w:val="21"/>
                <w:szCs w:val="21"/>
                <w:highlight w:val="none"/>
              </w:rPr>
              <w:t xml:space="preserve">注：</w:t>
            </w:r>
            <w:r>
              <w:rPr>
                <w:rFonts w:hint="eastAsia" w:ascii="宋体" w:hAnsi="宋体" w:eastAsia="宋体" w:cs="宋体"/>
                <w:b w:val="0"/>
                <w:bCs w:val="0"/>
                <w:color w:val="000000"/>
                <w:sz w:val="21"/>
                <w:szCs w:val="21"/>
                <w:highlight w:val="none"/>
                <w:lang w:val="en-US" w:eastAsia="zh-CN"/>
              </w:rPr>
              <w:t xml:space="preserve">标注“</w:t>
            </w:r>
            <w:r>
              <w:rPr>
                <w:rFonts w:hint="eastAsia" w:ascii="宋体" w:hAnsi="宋体" w:eastAsia="宋体" w:cs="宋体"/>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”及“</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”的技术</w:t>
            </w:r>
            <w:r>
              <w:rPr>
                <w:rFonts w:hint="eastAsia" w:ascii="宋体" w:hAnsi="宋体" w:eastAsia="宋体" w:cs="宋体"/>
                <w:b w:val="0"/>
                <w:bCs w:val="0"/>
                <w:color w:val="000000"/>
                <w:sz w:val="21"/>
                <w:szCs w:val="21"/>
                <w:highlight w:val="none"/>
              </w:rPr>
              <w:t xml:space="preserve">参数</w:t>
            </w:r>
            <w:r>
              <w:rPr>
                <w:rFonts w:hint="eastAsia" w:ascii="宋体" w:hAnsi="宋体" w:eastAsia="宋体" w:cs="宋体"/>
                <w:b w:val="0"/>
                <w:bCs w:val="0"/>
                <w:color w:val="000000"/>
                <w:sz w:val="21"/>
                <w:szCs w:val="21"/>
                <w:highlight w:val="none"/>
                <w:lang w:val="en-US" w:eastAsia="zh-CN"/>
              </w:rPr>
              <w:t xml:space="preserve">须</w:t>
            </w:r>
            <w:r>
              <w:rPr>
                <w:rFonts w:hint="eastAsia" w:ascii="宋体" w:hAnsi="宋体" w:eastAsia="宋体" w:cs="宋体"/>
                <w:b w:val="0"/>
                <w:bCs w:val="0"/>
                <w:color w:val="000000"/>
                <w:sz w:val="21"/>
                <w:szCs w:val="21"/>
                <w:highlight w:val="none"/>
              </w:rPr>
              <w:t xml:space="preserve">在投标文件中提供证明文件，（包括制造商</w:t>
            </w:r>
            <w:r>
              <w:rPr>
                <w:rFonts w:hint="eastAsia" w:ascii="宋体" w:hAnsi="宋体" w:eastAsia="宋体" w:cs="宋体"/>
                <w:b w:val="0"/>
                <w:bCs w:val="0"/>
                <w:color w:val="auto"/>
                <w:sz w:val="21"/>
                <w:szCs w:val="21"/>
                <w:highlight w:val="none"/>
              </w:rPr>
              <w:t xml:space="preserve">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厂家公开发行的宣传彩页等）并在投标文件技术参数偏离表备注栏中标注相应证明文件页码</w:t>
            </w:r>
            <w:r>
              <w:rPr>
                <w:rFonts w:hint="eastAsia" w:ascii="宋体" w:hAnsi="宋体" w:eastAsia="宋体" w:cs="宋体"/>
                <w:b w:val="0"/>
                <w:bCs w:val="0"/>
                <w:color w:val="auto"/>
                <w:sz w:val="21"/>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rPr>
              <w:t xml:space="preserve">分</w:t>
            </w:r>
            <w:r/>
          </w:p>
        </w:tc>
      </w:tr>
      <w:tr>
        <w:trPr>
          <w:trHeight w:val="23"/>
        </w:trPr>
        <w:tc>
          <w:tcPr>
            <w:tcBorders>
              <w:top w:val="single" w:color="000000" w:sz="4" w:space="0"/>
              <w:left w:val="single" w:color="000000" w:sz="4" w:space="0"/>
              <w:right w:val="single" w:color="000000" w:sz="4" w:space="0"/>
            </w:tcBorders>
            <w:tcW w:w="341" w:type="pct"/>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right w:val="single" w:color="000000" w:sz="4" w:space="0"/>
            </w:tcBorders>
            <w:tcW w:w="719" w:type="pct"/>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售后服务</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keepLines w:val="0"/>
              <w:keepNext w:val="0"/>
              <w:pageBreakBefore w:val="0"/>
              <w:spacing w:line="0" w:lineRule="atLeas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售后服务方案：</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人质保期内售后服务方案（包括响应时间，回访巡检方案、故障解决措施、技术人员保障、备品配件价格等方面）、驻地服务方案（包括服务网点、维修网点设置情况以及技术人员安排情况等方面）等内容综合评审：</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售后方案内容详实、科学、合理，考虑周全，对产品质量管控措施要求全面到位，相关服务承诺内容详实，人员配备齐全，分工明确、岗位设置科学合理，人员配备齐全、零配件配备齐全，技术培训保障完善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2）售后方案内容较详细、较科学合理，对产品质量管控措施要求较到位，相关服务承诺内容具体，人员配备较齐全、零配件配备较齐全、技术培训保障较完善的得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3）售后方案内容简单，产品质量管控措施要求较低，相关服务承诺内容简单，人员配备、零配件保障不完善的得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4）未提供服务方案的不得分。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3分</w:t>
            </w:r>
            <w:r/>
          </w:p>
        </w:tc>
      </w:tr>
      <w:tr>
        <w:trPr>
          <w:trHeight w:val="23"/>
        </w:trPr>
        <w:tc>
          <w:tcPr>
            <w:tcBorders>
              <w:left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right w:val="single" w:color="000000" w:sz="4" w:space="0"/>
            </w:tcBorders>
            <w:tcW w:w="719" w:type="pct"/>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keepLines w:val="0"/>
              <w:keepNext w:val="0"/>
              <w:pageBreakBefore w:val="0"/>
              <w:spacing w:line="0" w:lineRule="atLeas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设备原厂质保时长(在满足招标文件3年质保期的基础上)每增加一年质保时长，得1分。</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3年质保，得1分</w:t>
            </w:r>
            <w:r>
              <w:rPr>
                <w:rFonts w:hint="eastAsia" w:ascii="宋体" w:hAnsi="宋体" w:eastAsia="宋体" w:cs="宋体"/>
                <w:sz w:val="21"/>
                <w:szCs w:val="21"/>
                <w:highlight w:val="none"/>
              </w:rPr>
              <w:t xml:space="preserve">；</w:t>
            </w:r>
            <w:r/>
          </w:p>
          <w:p>
            <w:pPr>
              <w:keepLines w:val="0"/>
              <w:keepNext w:val="0"/>
              <w:pageBreakBefore w:val="0"/>
              <w:spacing w:line="0" w:lineRule="atLeas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4年质保，得2分；</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最高10年质保，得8分。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8分</w:t>
            </w:r>
            <w:r/>
          </w:p>
        </w:tc>
      </w:tr>
      <w:tr>
        <w:trPr>
          <w:trHeight w:val="23"/>
        </w:trPr>
        <w:tc>
          <w:tcPr>
            <w:tcBorders>
              <w:left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right w:val="single" w:color="000000" w:sz="4" w:space="0"/>
            </w:tcBorders>
            <w:tcW w:w="719" w:type="pct"/>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通用手术器械和配件（在满足招标文件不少于 200 例手术的基础上</w:t>
            </w:r>
            <w:r>
              <w:rPr>
                <w:rFonts w:hint="eastAsia" w:ascii="宋体" w:hAnsi="宋体" w:eastAsia="宋体" w:cs="宋体"/>
                <w:b w:val="0"/>
                <w:bCs w:val="0"/>
                <w:sz w:val="21"/>
                <w:szCs w:val="21"/>
                <w:highlight w:val="none"/>
                <w:lang w:val="en-US" w:eastAsia="zh-CN"/>
              </w:rPr>
              <w:t xml:space="preserve">）每增加一百例，得3分。</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1）标配200例通用手术器械和配件，得0分；</w:t>
            </w:r>
            <w:r/>
          </w:p>
          <w:p>
            <w:pP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2）300例通用手术器械和配件，得3分；</w:t>
            </w:r>
            <w:r/>
          </w:p>
          <w:p>
            <w:pPr>
              <w:keepLines w:val="0"/>
              <w:keepNext w:val="0"/>
              <w:pageBreakBefore w:val="0"/>
              <w:spacing w:line="0" w:lineRule="atLeast"/>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400例通用手术器械和配件，得6</w:t>
            </w:r>
            <w:r>
              <w:rPr>
                <w:rFonts w:hint="eastAsia" w:ascii="宋体" w:hAnsi="宋体" w:eastAsia="宋体" w:cs="宋体"/>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tc>
      </w:tr>
      <w:tr>
        <w:trPr>
          <w:trHeight w:val="23"/>
        </w:trPr>
        <w:tc>
          <w:tcPr>
            <w:tcBorders>
              <w:left w:val="single" w:color="000000" w:sz="4" w:space="0"/>
              <w:bottom w:val="single" w:color="000000" w:sz="4" w:space="0"/>
              <w:right w:val="single" w:color="000000" w:sz="4" w:space="0"/>
            </w:tcBorders>
            <w:tcW w:w="341" w:type="pct"/>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000000" w:sz="4" w:space="0"/>
              <w:bottom w:val="single" w:color="000000" w:sz="4" w:space="0"/>
              <w:right w:val="single" w:color="000000" w:sz="4" w:space="0"/>
            </w:tcBorders>
            <w:tcW w:w="719" w:type="pct"/>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keepLines w:val="0"/>
              <w:keepNext w:val="0"/>
              <w:pageBreakBefore w:val="0"/>
              <w:spacing w:line="0" w:lineRule="atLeas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耗材供货价：</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综合考虑医院各科室腔镜机器人手术中，每完成一百例手术所需的耗材供货总额的平均值</w:t>
            </w:r>
            <w:r/>
          </w:p>
          <w:p>
            <w:pPr>
              <w:jc w:val="left"/>
              <w:keepLines w:val="0"/>
              <w:keepNext w:val="0"/>
              <w:pageBreakBefore w:val="0"/>
              <w:spacing w:line="0" w:lineRule="atLeast"/>
              <w:widowControl/>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sz w:val="21"/>
                <w:szCs w:val="21"/>
                <w:highlight w:val="none"/>
                <w:lang w:val="en-US" w:eastAsia="zh-CN"/>
              </w:rPr>
              <w:t xml:space="preserve">（提供报价清单和设备生命周期内耗材价格不因市场因素而涨价的承诺）。</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1、一百例手术器械和相关配件，平均供货价</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120万，得3分</w:t>
            </w:r>
            <w:r>
              <w:rPr>
                <w:rFonts w:hint="eastAsia" w:ascii="宋体" w:hAnsi="宋体" w:eastAsia="宋体" w:cs="宋体"/>
                <w:sz w:val="21"/>
                <w:szCs w:val="21"/>
                <w:highlight w:val="none"/>
                <w:lang w:val="en-US" w:eastAsia="zh-CN"/>
              </w:rPr>
              <w:t xml:space="preserve">；</w:t>
            </w:r>
            <w:r>
              <w:rPr>
                <w:rFonts w:hint="eastAsia" w:ascii="宋体" w:hAnsi="宋体" w:eastAsia="宋体" w:cs="宋体"/>
                <w:b w:val="0"/>
                <w:bCs w:val="0"/>
                <w:color w:val="000000"/>
                <w:sz w:val="21"/>
                <w:szCs w:val="21"/>
                <w:lang w:val="en-US" w:eastAsia="zh-CN"/>
              </w:rPr>
              <w:br/>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sz w:val="21"/>
                <w:szCs w:val="21"/>
                <w:highlight w:val="none"/>
                <w:lang w:val="en-US" w:eastAsia="zh-CN"/>
              </w:rPr>
              <w:t xml:space="preserve">一百例手术器械和相关配件，120万＜平均供货价</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150万，得2分</w:t>
            </w:r>
            <w:r>
              <w:rPr>
                <w:rFonts w:hint="eastAsia" w:ascii="宋体" w:hAnsi="宋体" w:eastAsia="宋体" w:cs="宋体"/>
                <w:sz w:val="21"/>
                <w:szCs w:val="21"/>
                <w:highlight w:val="none"/>
                <w:lang w:val="en-US" w:eastAsia="zh-CN"/>
              </w:rPr>
              <w:t xml:space="preserve">；</w:t>
            </w:r>
            <w:r/>
          </w:p>
          <w:p>
            <w:pPr>
              <w:jc w:val="left"/>
              <w:keepLines w:val="0"/>
              <w:keepNext w:val="0"/>
              <w:pageBreakBefore w:val="0"/>
              <w:spacing w:line="0" w:lineRule="atLeast"/>
              <w:widowControl/>
              <w:rPr>
                <w:rFonts w:hint="eastAsia" w:ascii="宋体" w:hAnsi="宋体" w:eastAsia="宋体" w:cs="宋体"/>
                <w:b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sz w:val="21"/>
                <w:szCs w:val="21"/>
                <w:highlight w:val="none"/>
                <w:lang w:val="en-US" w:eastAsia="zh-CN"/>
              </w:rPr>
              <w:t xml:space="preserve">一百例手术器械和相关配件，150万＜平均供货价</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180万，得1分</w:t>
            </w:r>
            <w:r>
              <w:rPr>
                <w:rFonts w:hint="eastAsia" w:ascii="宋体" w:hAnsi="宋体" w:eastAsia="宋体" w:cs="宋体"/>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3分</w:t>
            </w:r>
            <w:r/>
          </w:p>
        </w:tc>
      </w:tr>
      <w:tr>
        <w:trPr>
          <w:trHeight w:val="23"/>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bookmarkStart w:id="132" w:name="OLE_LINK12"/>
            <w:r>
              <w:rPr>
                <w:rFonts w:hint="eastAsia" w:ascii="宋体" w:hAnsi="宋体" w:eastAsia="宋体" w:cs="宋体"/>
                <w:b w:val="0"/>
                <w:bCs w:val="0"/>
                <w:sz w:val="21"/>
                <w:szCs w:val="21"/>
                <w:highlight w:val="none"/>
                <w:lang w:val="en-US" w:eastAsia="zh-CN"/>
              </w:rPr>
              <w:t xml:space="preserve">应急维护方案</w:t>
            </w:r>
            <w:bookmarkEnd w:id="132"/>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投标人根据</w:t>
            </w:r>
            <w:bookmarkStart w:id="133" w:name="OLE_LINK8"/>
            <w:r>
              <w:rPr>
                <w:rFonts w:hint="eastAsia" w:ascii="宋体" w:hAnsi="宋体" w:eastAsia="宋体" w:cs="宋体"/>
                <w:b w:val="0"/>
                <w:bCs w:val="0"/>
                <w:sz w:val="21"/>
                <w:szCs w:val="21"/>
                <w:highlight w:val="none"/>
                <w:lang w:val="en-US" w:eastAsia="zh-CN"/>
              </w:rPr>
              <w:t xml:space="preserve">项目</w:t>
            </w:r>
            <w:bookmarkEnd w:id="133"/>
            <w:r>
              <w:rPr>
                <w:rFonts w:hint="eastAsia" w:ascii="宋体" w:hAnsi="宋体" w:eastAsia="宋体" w:cs="宋体"/>
                <w:b w:val="0"/>
                <w:bCs w:val="0"/>
                <w:sz w:val="21"/>
                <w:szCs w:val="21"/>
                <w:highlight w:val="none"/>
                <w:lang w:val="en-US" w:eastAsia="zh-CN"/>
              </w:rPr>
              <w:t xml:space="preserve">具体情况提供应急维护方案，方案包括但不限于：重大故障处理、应急抢修、应急响应及重点活动保障等方面。评委会根据提供方案的完整性、可行性等情况评分。</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1）方案详细完整，针对性强、可操作性强；提供备用整机或损坏部件总成替换方案，即刻响应、当天到达现场的得3分</w:t>
            </w:r>
            <w:r>
              <w:rPr>
                <w:rFonts w:hint="eastAsia" w:ascii="宋体" w:hAnsi="宋体" w:eastAsia="宋体" w:cs="宋体"/>
                <w:sz w:val="21"/>
                <w:szCs w:val="21"/>
                <w:highlight w:val="none"/>
                <w:lang w:val="en-US" w:eastAsia="zh-CN"/>
              </w:rPr>
              <w:t xml:space="preserve">；</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2）方案较详细，针对性、可操作性较强；提供损坏部件总成替换方案，2小时内响应，48小时内到现场的得2分</w:t>
            </w:r>
            <w:r>
              <w:rPr>
                <w:rFonts w:hint="eastAsia" w:ascii="宋体" w:hAnsi="宋体" w:eastAsia="宋体" w:cs="宋体"/>
                <w:sz w:val="21"/>
                <w:szCs w:val="21"/>
                <w:highlight w:val="none"/>
                <w:lang w:val="en-US" w:eastAsia="zh-CN"/>
              </w:rPr>
              <w:t xml:space="preserve">；</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3）方案简单，针对性、可操作性一般，思路可行性不高得1分</w:t>
            </w:r>
            <w:r>
              <w:rPr>
                <w:rFonts w:hint="eastAsia" w:ascii="宋体" w:hAnsi="宋体" w:eastAsia="宋体" w:cs="宋体"/>
                <w:sz w:val="21"/>
                <w:szCs w:val="21"/>
                <w:highlight w:val="none"/>
                <w:lang w:val="en-US" w:eastAsia="zh-CN"/>
              </w:rPr>
              <w:t xml:space="preserve">；</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4）未提供方案或方案无可行性不得分。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3分</w:t>
            </w:r>
            <w:r/>
          </w:p>
        </w:tc>
      </w:tr>
      <w:tr>
        <w:trPr>
          <w:trHeight w:val="23"/>
        </w:trPr>
        <w:tc>
          <w:tcPr>
            <w:tcBorders>
              <w:top w:val="single" w:color="000000" w:sz="4" w:space="0"/>
              <w:left w:val="single" w:color="000000" w:sz="4" w:space="0"/>
              <w:bottom w:val="none" w:color="000000" w:sz="4" w:space="0"/>
              <w:right w:val="single" w:color="000000" w:sz="4" w:space="0"/>
            </w:tcBorders>
            <w:tcW w:w="34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000000" w:sz="4" w:space="0"/>
              <w:left w:val="single" w:color="000000" w:sz="4" w:space="0"/>
              <w:bottom w:val="none" w:color="000000" w:sz="4" w:space="0"/>
              <w:right w:val="single" w:color="000000" w:sz="4" w:space="0"/>
            </w:tcBorders>
            <w:tcW w:w="719"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组织实施</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项目实施方案：投标人根据项目具体情况制定整体实施方案（包括进度安排、质量自检、供货方案、安装方案和验收方案等方面），评委会根据提供的项目实施方案综合评审：</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方案完整全面，进度安排合理、可执行性高得3分；</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方案较全面，进度安排较合理、可执行较性高得2分； </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方案简单，可执行性一般得1分； </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其他或未提供的不得分。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3分</w:t>
            </w:r>
            <w:r/>
          </w:p>
        </w:tc>
      </w:tr>
      <w:tr>
        <w:trPr>
          <w:trHeight w:val="23"/>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培训方案</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投标人提供对用户的操作培训、业务功能培训等相关计划方案，</w:t>
            </w:r>
            <w:bookmarkStart w:id="134" w:name="OLE_LINK11"/>
            <w:r>
              <w:rPr>
                <w:rFonts w:hint="eastAsia" w:ascii="宋体" w:hAnsi="宋体" w:eastAsia="宋体" w:cs="宋体"/>
                <w:b w:val="0"/>
                <w:bCs w:val="0"/>
                <w:sz w:val="21"/>
                <w:szCs w:val="21"/>
                <w:highlight w:val="none"/>
                <w:lang w:val="en-US" w:eastAsia="zh-CN"/>
              </w:rPr>
              <w:t xml:space="preserve">评委会根据提供的</w:t>
            </w:r>
            <w:bookmarkEnd w:id="134"/>
            <w:r>
              <w:rPr>
                <w:rFonts w:hint="eastAsia" w:ascii="宋体" w:hAnsi="宋体" w:eastAsia="宋体" w:cs="宋体"/>
                <w:b w:val="0"/>
                <w:bCs w:val="0"/>
                <w:sz w:val="21"/>
                <w:szCs w:val="21"/>
                <w:highlight w:val="none"/>
                <w:lang w:val="en-US" w:eastAsia="zh-CN"/>
              </w:rPr>
              <w:t xml:space="preserve">项目培训方案综合评审：</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1）技术培训保障方案内容详实、科学合理，培训计划针对性强、培训人员配备齐全，培训率承诺高：提供规范的国家人工智能辅助治疗技术培训并授证，医护人员免费培训上岗证不限批次得3分</w:t>
            </w:r>
            <w:r>
              <w:rPr>
                <w:rFonts w:hint="eastAsia" w:ascii="宋体" w:hAnsi="宋体" w:eastAsia="宋体" w:cs="宋体"/>
                <w:sz w:val="21"/>
                <w:szCs w:val="21"/>
                <w:highlight w:val="none"/>
                <w:lang w:val="en-US" w:eastAsia="zh-CN"/>
              </w:rPr>
              <w:t xml:space="preserve">；</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2）技术培训保障方案内容详实、科学合理，培训计划针对性强、培训人员配备齐全，培训率承诺高：提供规范的国家人工智能辅助治疗技术培训并授证，医护人员免费培训上岗证10批次以上得2分</w:t>
            </w:r>
            <w:r>
              <w:rPr>
                <w:rFonts w:hint="eastAsia" w:ascii="宋体" w:hAnsi="宋体" w:eastAsia="宋体" w:cs="宋体"/>
                <w:sz w:val="21"/>
                <w:szCs w:val="21"/>
                <w:highlight w:val="none"/>
                <w:lang w:val="en-US" w:eastAsia="zh-CN"/>
              </w:rPr>
              <w:t xml:space="preserve">；</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3）技术培训保障方案内容详实、科学合理，培训计划针对性强、培训人员配备齐全，培训率承诺高：提供规范的国家人工智能辅助治疗技术培训并授证，医护人员免费培训上岗证少于10批次得1分</w:t>
            </w:r>
            <w:r>
              <w:rPr>
                <w:rFonts w:hint="eastAsia" w:ascii="宋体" w:hAnsi="宋体" w:eastAsia="宋体" w:cs="宋体"/>
                <w:sz w:val="21"/>
                <w:szCs w:val="21"/>
                <w:highlight w:val="none"/>
                <w:lang w:val="en-US" w:eastAsia="zh-CN"/>
              </w:rPr>
              <w:t xml:space="preserve">；</w:t>
            </w:r>
            <w:r/>
          </w:p>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4）未提供免费培训上岗证方案</w:t>
            </w:r>
            <w:bookmarkStart w:id="135" w:name="OLE_LINK15"/>
            <w:r>
              <w:rPr>
                <w:rFonts w:hint="eastAsia" w:ascii="宋体" w:hAnsi="宋体" w:eastAsia="宋体" w:cs="宋体"/>
                <w:b w:val="0"/>
                <w:bCs w:val="0"/>
                <w:sz w:val="21"/>
                <w:szCs w:val="21"/>
                <w:highlight w:val="none"/>
                <w:lang w:val="en-US" w:eastAsia="zh-CN"/>
              </w:rPr>
              <w:t xml:space="preserve">不得分。</w:t>
            </w:r>
            <w:bookmarkEnd w:id="135"/>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3分</w:t>
            </w:r>
            <w:r/>
          </w:p>
        </w:tc>
      </w:tr>
      <w:tr>
        <w:trPr>
          <w:trHeight w:val="23"/>
        </w:trPr>
        <w:tc>
          <w:tcPr>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3558" w:type="pct"/>
            <w:vAlign w:val="center"/>
            <w:textDirection w:val="lrTb"/>
            <w:noWrap w:val="false"/>
          </w:tcPr>
          <w:p>
            <w:pPr>
              <w:jc w:val="left"/>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2022年1月1日以来（以合同签订时间为准）同类产品的销售业绩比较，提供同类产品的销售合同扫描件，以合同签订日期为准，同类业绩有一份得0.5分，最高1分。投标文件中提供合同完整扫描件，提供不全的不得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1分</w:t>
            </w:r>
            <w:r/>
          </w:p>
        </w:tc>
      </w:tr>
    </w:tbl>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1.所有认证、证明和业绩均以有效清晰的证明文件的复印件为依据，原件备查。</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2.小微企业价格扣除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 本项目对监狱和戒毒企业，给予10%的价格扣除，用扣除后的价格参与评审。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3.3 监狱企业标准请参照《关于政府采购支持监狱企业发展有关问题的通知》（财库〔2014〕68号）。</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4.残疾人福利性单位的价格扣除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 本项目对残疾人福利性单位，给予10%的价格扣除，用扣除后的价格参与评审。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4.2 残疾人福利性单位需提供《残疾人福利性单位声明函》。</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6.6.本国产品的价格扣除</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numPr>
          <w:ilvl w:val="0"/>
          <w:numId w:val="2"/>
        </w:numPr>
        <w:keepLines w:val="0"/>
        <w:keepNext w:val="0"/>
        <w:pageBreakBefore w:val="0"/>
        <w:spacing w:line="360" w:lineRule="auto"/>
        <w:widowControl w:val="off"/>
        <w:rPr>
          <w:rFonts w:hint="eastAsia" w:ascii="宋体" w:hAnsi="宋体" w:eastAsia="宋体" w:cs="宋体"/>
          <w:b/>
          <w:sz w:val="21"/>
          <w:szCs w:val="24"/>
          <w:highlight w:val="none"/>
          <w:u w:val="none"/>
          <w:lang w:val="en-US" w:eastAsia="zh-CN"/>
        </w:rPr>
      </w:pPr>
      <w:r>
        <w:rPr>
          <w:rFonts w:hint="eastAsia" w:ascii="宋体" w:hAnsi="宋体" w:eastAsia="宋体" w:cs="宋体"/>
          <w:b/>
          <w:sz w:val="21"/>
          <w:szCs w:val="24"/>
          <w:highlight w:val="none"/>
          <w:u w:val="none"/>
          <w:lang w:val="en-US" w:eastAsia="zh-CN"/>
        </w:rPr>
        <w:t xml:space="preserve">技术要求</w:t>
      </w:r>
      <w:r/>
    </w:p>
    <w:p>
      <w:pPr>
        <w:keepLines w:val="0"/>
        <w:keepNext w:val="0"/>
        <w:pageBreakBefore w:val="0"/>
        <w:spacing w:line="360" w:lineRule="auto"/>
        <w:widowControl w:val="off"/>
        <w:rPr>
          <w:rFonts w:hint="eastAsia" w:eastAsia="宋体"/>
          <w:b/>
          <w:sz w:val="21"/>
          <w:szCs w:val="24"/>
          <w:u w:val="none"/>
        </w:rPr>
      </w:pPr>
      <w:r>
        <w:rPr>
          <w:rFonts w:hint="eastAsia" w:eastAsia="宋体"/>
          <w:b/>
          <w:sz w:val="21"/>
          <w:szCs w:val="24"/>
          <w:u w:val="none"/>
        </w:rPr>
        <w:t xml:space="preserve">一、项目用途：</w:t>
      </w:r>
      <w:r/>
    </w:p>
    <w:p>
      <w:pPr>
        <w:ind w:firstLine="420"/>
        <w:keepLines w:val="0"/>
        <w:keepNext w:val="0"/>
        <w:pageBreakBefore w:val="0"/>
        <w:spacing w:line="360" w:lineRule="auto"/>
        <w:widowControl w:val="off"/>
        <w:rPr>
          <w:rFonts w:hint="eastAsia" w:ascii="宋体" w:hAnsi="宋体" w:eastAsia="宋体"/>
          <w:sz w:val="21"/>
          <w:szCs w:val="24"/>
        </w:rPr>
      </w:pPr>
      <w:r>
        <w:rPr>
          <w:rFonts w:hint="eastAsia" w:eastAsia="宋体"/>
          <w:bCs/>
          <w:sz w:val="21"/>
          <w:szCs w:val="24"/>
        </w:rPr>
        <w:t xml:space="preserve">配置腹腔内窥镜手术系统，加强外科手术器械的灵活性和操控</w:t>
      </w:r>
      <w:r>
        <w:rPr>
          <w:rFonts w:hint="eastAsia" w:ascii="宋体" w:hAnsi="宋体" w:eastAsia="宋体"/>
          <w:bCs/>
          <w:sz w:val="21"/>
          <w:szCs w:val="24"/>
        </w:rPr>
        <w:t xml:space="preserve">性，更精确的进行手术，可进行更复杂困难的手术。开展一些传统胸、腹腔镜无法开展微创手术治疗的复杂病例以及绝大</w:t>
      </w:r>
      <w:r>
        <w:rPr>
          <w:rFonts w:hint="eastAsia" w:ascii="宋体" w:hAnsi="宋体" w:eastAsia="宋体"/>
          <w:bCs/>
          <w:sz w:val="21"/>
          <w:szCs w:val="24"/>
          <w:lang w:val="en-US" w:eastAsia="zh-CN"/>
        </w:rPr>
        <w:t xml:space="preserve">部分肿瘤病例。</w:t>
      </w:r>
      <w:r/>
    </w:p>
    <w:p>
      <w:pPr>
        <w:jc w:val="left"/>
        <w:rPr>
          <w:rFonts w:hint="eastAsia" w:eastAsia="宋体"/>
          <w:b/>
          <w:sz w:val="21"/>
          <w:szCs w:val="24"/>
          <w:u w:val="none"/>
        </w:rPr>
      </w:pPr>
      <w:r>
        <w:rPr>
          <w:rFonts w:hAnsi="宋体" w:eastAsia="宋体"/>
          <w:b w:val="0"/>
          <w:color w:val="000000"/>
          <w:sz w:val="21"/>
          <w:szCs w:val="24"/>
        </w:rPr>
        <w:t xml:space="preserve">★</w:t>
      </w:r>
      <w:r>
        <w:rPr>
          <w:rFonts w:hint="eastAsia" w:eastAsia="宋体"/>
          <w:b/>
          <w:sz w:val="21"/>
          <w:szCs w:val="24"/>
          <w:u w:val="none"/>
        </w:rPr>
        <w:t xml:space="preserve">二、基本配置与特别要求：</w:t>
      </w:r>
      <w:r>
        <w:rPr>
          <w:rFonts w:hint="eastAsia" w:eastAsia="宋体"/>
          <w:b/>
          <w:sz w:val="21"/>
          <w:szCs w:val="24"/>
          <w:u w:val="none"/>
          <w:lang w:val="en-US" w:eastAsia="zh-CN"/>
        </w:rPr>
        <w:t xml:space="preserve">（配置要求必须完全满足，否则视为无效投标）</w:t>
      </w:r>
      <w:r/>
    </w:p>
    <w:p>
      <w:pPr>
        <w:ind w:firstLine="392"/>
        <w:keepLines w:val="0"/>
        <w:keepNext w:val="0"/>
        <w:pageBreakBefore w:val="0"/>
        <w:spacing w:line="360" w:lineRule="auto"/>
        <w:widowControl w:val="off"/>
        <w:rPr>
          <w:rFonts w:hint="eastAsia" w:ascii="宋体" w:hAnsi="宋体" w:eastAsia="宋体"/>
          <w:sz w:val="21"/>
          <w:szCs w:val="24"/>
        </w:rPr>
      </w:pPr>
      <w:r>
        <w:rPr>
          <w:rFonts w:hint="eastAsia" w:ascii="宋体" w:hAnsi="宋体" w:eastAsia="宋体"/>
          <w:sz w:val="21"/>
          <w:szCs w:val="24"/>
        </w:rPr>
        <w:t xml:space="preserve">1、</w:t>
      </w:r>
      <w:r>
        <w:rPr>
          <w:rFonts w:hint="eastAsia" w:ascii="宋体" w:hAnsi="宋体" w:eastAsia="宋体"/>
          <w:sz w:val="21"/>
          <w:szCs w:val="24"/>
          <w:lang w:val="en-US" w:eastAsia="zh-CN"/>
        </w:rPr>
        <w:t xml:space="preserve">医生控制平台 </w:t>
      </w:r>
      <w:r>
        <w:rPr>
          <w:rFonts w:hint="eastAsia" w:ascii="宋体" w:hAnsi="宋体"/>
          <w:sz w:val="21"/>
          <w:szCs w:val="24"/>
          <w:lang w:val="en-US" w:eastAsia="zh-CN"/>
        </w:rPr>
        <w:t xml:space="preserve">                       </w:t>
      </w:r>
      <w:r>
        <w:rPr>
          <w:rFonts w:hint="eastAsia" w:ascii="宋体" w:hAnsi="宋体" w:eastAsia="宋体"/>
          <w:sz w:val="21"/>
          <w:szCs w:val="24"/>
          <w:lang w:val="en-US" w:eastAsia="zh-CN"/>
        </w:rPr>
        <w:t xml:space="preserve">1台</w:t>
      </w:r>
      <w:r/>
    </w:p>
    <w:p>
      <w:pPr>
        <w:ind w:firstLine="392"/>
        <w:keepLines w:val="0"/>
        <w:keepNext w:val="0"/>
        <w:pageBreakBefore w:val="0"/>
        <w:spacing w:line="360" w:lineRule="auto"/>
        <w:widowControl w:val="off"/>
        <w:rPr>
          <w:rFonts w:hint="eastAsia" w:ascii="宋体" w:hAnsi="宋体" w:eastAsia="宋体"/>
          <w:sz w:val="21"/>
          <w:szCs w:val="24"/>
        </w:rPr>
      </w:pPr>
      <w:r>
        <w:rPr>
          <w:rFonts w:hint="eastAsia" w:ascii="宋体" w:hAnsi="宋体" w:eastAsia="宋体"/>
          <w:sz w:val="21"/>
          <w:szCs w:val="24"/>
        </w:rPr>
        <w:t xml:space="preserve">2、</w:t>
      </w:r>
      <w:r>
        <w:rPr>
          <w:rFonts w:hint="eastAsia" w:ascii="宋体" w:hAnsi="宋体" w:eastAsia="宋体"/>
          <w:sz w:val="21"/>
          <w:szCs w:val="24"/>
          <w:lang w:val="en-US" w:eastAsia="zh-CN"/>
        </w:rPr>
        <w:t xml:space="preserve">患者手术平台</w:t>
      </w:r>
      <w:r>
        <w:rPr>
          <w:rFonts w:hint="eastAsia" w:ascii="宋体" w:hAnsi="宋体"/>
          <w:sz w:val="21"/>
          <w:szCs w:val="24"/>
          <w:lang w:val="en-US" w:eastAsia="zh-CN"/>
        </w:rPr>
        <w:t xml:space="preserve">                       </w:t>
      </w:r>
      <w:r>
        <w:rPr>
          <w:rFonts w:hint="eastAsia" w:ascii="宋体" w:hAnsi="宋体" w:eastAsia="宋体"/>
          <w:sz w:val="21"/>
          <w:szCs w:val="24"/>
          <w:lang w:val="en-US" w:eastAsia="zh-CN"/>
        </w:rPr>
        <w:t xml:space="preserve"> 1台</w:t>
      </w:r>
      <w:r/>
    </w:p>
    <w:p>
      <w:pPr>
        <w:ind w:firstLine="420"/>
        <w:keepLines w:val="0"/>
        <w:keepNext w:val="0"/>
        <w:pageBreakBefore w:val="0"/>
        <w:spacing w:line="360" w:lineRule="auto"/>
        <w:widowControl w:val="off"/>
        <w:rPr>
          <w:rFonts w:hint="eastAsia" w:ascii="宋体" w:hAnsi="宋体" w:eastAsia="宋体"/>
          <w:sz w:val="21"/>
          <w:szCs w:val="24"/>
        </w:rPr>
      </w:pPr>
      <w:r>
        <w:rPr>
          <w:rFonts w:hint="eastAsia" w:ascii="宋体" w:hAnsi="宋体" w:eastAsia="宋体"/>
          <w:sz w:val="21"/>
          <w:szCs w:val="24"/>
        </w:rPr>
        <w:t xml:space="preserve">3、影像处理平台</w:t>
      </w:r>
      <w:r>
        <w:rPr>
          <w:rFonts w:hint="eastAsia" w:ascii="宋体" w:hAnsi="宋体"/>
          <w:sz w:val="21"/>
          <w:szCs w:val="24"/>
          <w:lang w:val="en-US" w:eastAsia="zh-CN"/>
        </w:rPr>
        <w:t xml:space="preserve">                       </w:t>
      </w:r>
      <w:r>
        <w:rPr>
          <w:rFonts w:hint="eastAsia" w:ascii="宋体" w:hAnsi="宋体" w:eastAsia="宋体"/>
          <w:sz w:val="21"/>
          <w:szCs w:val="24"/>
          <w:lang w:val="en-US" w:eastAsia="zh-CN"/>
        </w:rPr>
        <w:t xml:space="preserve"> 1台</w:t>
      </w:r>
      <w:r/>
    </w:p>
    <w:p>
      <w:pPr>
        <w:numPr>
          <w:ilvl w:val="0"/>
          <w:numId w:val="0"/>
        </w:numPr>
        <w:ind w:left="420" w:firstLine="0"/>
        <w:keepLines w:val="0"/>
        <w:keepNext w:val="0"/>
        <w:pageBreakBefore w:val="0"/>
        <w:spacing w:line="360" w:lineRule="auto"/>
        <w:widowControl w:val="off"/>
        <w:rPr>
          <w:rFonts w:hint="eastAsia" w:ascii="宋体" w:hAnsi="宋体"/>
          <w:sz w:val="21"/>
          <w:szCs w:val="24"/>
          <w:lang w:val="en-US" w:eastAsia="zh-CN"/>
        </w:rPr>
      </w:pPr>
      <w:r>
        <w:rPr>
          <w:rFonts w:hint="eastAsia" w:ascii="宋体" w:hAnsi="宋体"/>
          <w:sz w:val="21"/>
          <w:szCs w:val="24"/>
          <w:lang w:val="en-US" w:eastAsia="zh-CN"/>
        </w:rPr>
        <w:t xml:space="preserve">4、</w:t>
      </w:r>
      <w:r>
        <w:rPr>
          <w:rFonts w:hint="eastAsia" w:ascii="宋体" w:hAnsi="宋体" w:eastAsia="宋体"/>
          <w:sz w:val="21"/>
          <w:szCs w:val="24"/>
          <w:lang w:val="en-US" w:eastAsia="zh-CN"/>
        </w:rPr>
        <w:t xml:space="preserve">能量平台    </w:t>
      </w:r>
      <w:r>
        <w:rPr>
          <w:rFonts w:hint="eastAsia" w:ascii="宋体" w:hAnsi="宋体"/>
          <w:sz w:val="21"/>
          <w:szCs w:val="24"/>
          <w:lang w:val="en-US" w:eastAsia="zh-CN"/>
        </w:rPr>
        <w:t xml:space="preserve">                       </w:t>
      </w:r>
      <w:r>
        <w:rPr>
          <w:rFonts w:hint="eastAsia" w:ascii="宋体" w:hAnsi="宋体" w:eastAsia="宋体"/>
          <w:sz w:val="21"/>
          <w:szCs w:val="24"/>
          <w:lang w:val="en-US" w:eastAsia="zh-CN"/>
        </w:rPr>
        <w:t xml:space="preserve"> 1台</w:t>
      </w:r>
      <w:r>
        <w:rPr>
          <w:rFonts w:hint="eastAsia" w:ascii="宋体" w:hAnsi="宋体" w:eastAsia="宋体"/>
          <w:sz w:val="21"/>
          <w:szCs w:val="24"/>
          <w:lang w:val="en-US" w:eastAsia="zh-CN"/>
        </w:rPr>
        <w:br/>
      </w:r>
      <w:r>
        <w:rPr>
          <w:rFonts w:hint="eastAsia" w:ascii="宋体" w:hAnsi="宋体"/>
          <w:sz w:val="21"/>
          <w:szCs w:val="24"/>
          <w:lang w:val="en-US" w:eastAsia="zh-CN"/>
        </w:rPr>
        <w:t xml:space="preserve">5、医用内窥镜冷光源                    1台</w:t>
      </w:r>
      <w:r/>
    </w:p>
    <w:p>
      <w:pPr>
        <w:numPr>
          <w:ilvl w:val="0"/>
          <w:numId w:val="0"/>
        </w:numPr>
        <w:ind w:left="420" w:firstLine="0"/>
        <w:keepLines w:val="0"/>
        <w:keepNext w:val="0"/>
        <w:pageBreakBefore w:val="0"/>
        <w:spacing w:line="360" w:lineRule="auto"/>
        <w:widowControl w:val="off"/>
        <w:rPr>
          <w:rFonts w:hint="default" w:ascii="宋体" w:hAnsi="宋体"/>
          <w:sz w:val="21"/>
          <w:szCs w:val="24"/>
          <w:lang w:val="en-US" w:eastAsia="zh-CN"/>
        </w:rPr>
      </w:pPr>
      <w:r>
        <w:rPr>
          <w:rFonts w:hint="eastAsia" w:ascii="宋体" w:hAnsi="宋体"/>
          <w:sz w:val="21"/>
          <w:szCs w:val="24"/>
          <w:lang w:val="en-US" w:eastAsia="zh-CN"/>
        </w:rPr>
        <w:t xml:space="preserve">6、超声软组织手术设备主机              1台</w:t>
      </w:r>
      <w:r/>
    </w:p>
    <w:p>
      <w:pPr>
        <w:numPr>
          <w:ilvl w:val="0"/>
          <w:numId w:val="0"/>
        </w:numPr>
        <w:ind w:firstLine="420"/>
        <w:keepLines w:val="0"/>
        <w:keepNext w:val="0"/>
        <w:pageBreakBefore w:val="0"/>
        <w:spacing w:line="360" w:lineRule="auto"/>
        <w:widowControl w:val="off"/>
        <w:rPr>
          <w:rFonts w:hint="default" w:ascii="宋体" w:hAnsi="宋体"/>
          <w:sz w:val="21"/>
          <w:szCs w:val="24"/>
          <w:lang w:val="en-US" w:eastAsia="zh-CN"/>
        </w:rPr>
      </w:pPr>
      <w:r>
        <w:rPr>
          <w:rFonts w:hint="eastAsia" w:ascii="宋体" w:hAnsi="宋体"/>
          <w:sz w:val="21"/>
          <w:szCs w:val="24"/>
          <w:lang w:val="en-US" w:eastAsia="zh-CN"/>
        </w:rPr>
        <w:t xml:space="preserve">7、三维电子内窥镜                      3把</w:t>
      </w:r>
      <w:r/>
    </w:p>
    <w:p>
      <w:pPr>
        <w:numPr>
          <w:ilvl w:val="0"/>
          <w:numId w:val="0"/>
        </w:numPr>
        <w:ind w:left="630" w:hanging="210"/>
        <w:keepLines w:val="0"/>
        <w:keepNext w:val="0"/>
        <w:pageBreakBefore w:val="0"/>
        <w:spacing w:line="360" w:lineRule="auto"/>
        <w:widowControl w:val="off"/>
        <w:rPr>
          <w:rFonts w:hint="eastAsia" w:ascii="宋体" w:hAnsi="宋体"/>
          <w:sz w:val="21"/>
          <w:szCs w:val="24"/>
          <w:lang w:val="en-US" w:eastAsia="zh-CN"/>
        </w:rPr>
      </w:pPr>
      <w:r>
        <w:rPr>
          <w:rFonts w:hint="eastAsia" w:ascii="宋体" w:hAnsi="宋体"/>
          <w:sz w:val="21"/>
          <w:szCs w:val="24"/>
          <w:lang w:val="en-US" w:eastAsia="zh-CN"/>
        </w:rPr>
        <w:t xml:space="preserve">8、通用手术器械和配件                  满足不少于 200 例手术</w:t>
      </w:r>
      <w:r/>
    </w:p>
    <w:p>
      <w:pPr>
        <w:jc w:val="left"/>
        <w:spacing w:line="360" w:lineRule="auto"/>
        <w:rPr>
          <w:rFonts w:hint="eastAsia" w:ascii="宋体" w:hAnsi="宋体" w:eastAsia="宋体" w:cs="宋体"/>
          <w:b/>
          <w:sz w:val="21"/>
          <w:szCs w:val="21"/>
          <w:lang w:val="en-US" w:eastAsia="zh-CN"/>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三、</w:t>
      </w:r>
      <w:r>
        <w:rPr>
          <w:rFonts w:hint="eastAsia" w:ascii="宋体" w:hAnsi="宋体" w:eastAsia="宋体" w:cs="宋体"/>
          <w:b/>
          <w:sz w:val="21"/>
          <w:szCs w:val="21"/>
          <w:lang w:val="en-US" w:eastAsia="zh-CN"/>
        </w:rPr>
        <w:t xml:space="preserve">设备质保（必须完全满足，否则视为无效投标）</w:t>
      </w:r>
      <w:r/>
    </w:p>
    <w:p>
      <w:pPr>
        <w:jc w:val="left"/>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设备免费质保期</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年</w:t>
      </w:r>
      <w:r/>
    </w:p>
    <w:p>
      <w:pPr>
        <w:keepLines w:val="0"/>
        <w:keepNext w:val="0"/>
        <w:pageBreakBefore w:val="0"/>
        <w:spacing w:line="360" w:lineRule="auto"/>
        <w:widowControl w:val="off"/>
        <w:rPr>
          <w:rFonts w:hint="eastAsia" w:ascii="宋体" w:hAnsi="宋体" w:eastAsia="宋体"/>
          <w:b/>
          <w:sz w:val="21"/>
          <w:szCs w:val="24"/>
          <w:u w:val="single"/>
        </w:rPr>
      </w:pPr>
      <w:r>
        <w:rPr>
          <w:rFonts w:hint="eastAsia"/>
          <w:b/>
          <w:sz w:val="21"/>
          <w:szCs w:val="24"/>
          <w:u w:val="none"/>
          <w:lang w:val="en-US" w:eastAsia="zh-CN"/>
        </w:rPr>
        <w:t xml:space="preserve">四</w:t>
      </w:r>
      <w:r>
        <w:rPr>
          <w:rFonts w:hint="eastAsia" w:eastAsia="宋体"/>
          <w:b/>
          <w:sz w:val="21"/>
          <w:szCs w:val="24"/>
          <w:u w:val="none"/>
        </w:rPr>
        <w:t xml:space="preserve">、主要技术参数与性能指标：</w:t>
      </w:r>
      <w:r/>
    </w:p>
    <w:tbl>
      <w:tblPr>
        <w:tblStyle w:val="6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4359"/>
        <w:gridCol w:w="4362"/>
      </w:tblGrid>
      <w:tr>
        <w:trPr>
          <w:trHeight w:val="285"/>
        </w:trPr>
        <w:tc>
          <w:tcPr>
            <w:shd w:val="clear" w:color="auto" w:fill="auto"/>
            <w:tcW w:w="398"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技术和性能参数名称</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技术要求</w:t>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主机及基本附件</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医生控制台</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操控手柄</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2301"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Style w:val="836"/>
                <w:lang w:val="en-US" w:eastAsia="zh-CN" w:bidi="ar"/>
              </w:rPr>
              <w:t xml:space="preserve">个</w:t>
            </w:r>
            <w:r>
              <w:rPr>
                <w:rStyle w:val="837"/>
                <w:rFonts w:eastAsia="宋体"/>
                <w:lang w:val="en-US" w:eastAsia="zh-CN" w:bidi="ar"/>
              </w:rPr>
              <w:t xml:space="preserve">/</w:t>
            </w:r>
            <w:r>
              <w:rPr>
                <w:rStyle w:val="836"/>
                <w:lang w:val="en-US" w:eastAsia="zh-CN" w:bidi="ar"/>
              </w:rPr>
              <w:t xml:space="preserve">台，左右各一个</w:t>
            </w:r>
            <w:r/>
          </w:p>
        </w:tc>
      </w:tr>
      <w:tr>
        <w:trPr>
          <w:trHeight w:val="540"/>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手动控制器（指压开关）</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操控手柄应配备指压开关，具有指压离合器，可实现镜头快速切换、调整单个操控手柄的舒适位置等功能</w:t>
            </w:r>
            <w:r/>
          </w:p>
        </w:tc>
      </w:tr>
      <w:tr>
        <w:trPr>
          <w:trHeight w:val="540"/>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1.1.3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手部传递到器械动作幅度缩放比例，要求能实现快速等比例缩放运动比例</w:t>
            </w:r>
            <w:r/>
          </w:p>
        </w:tc>
        <w:tc>
          <w:tcPr>
            <w:shd w:val="clear" w:color="auto" w:fill="auto"/>
            <w:tcW w:w="2301"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 </w:t>
            </w:r>
            <w:r>
              <w:rPr>
                <w:rStyle w:val="836"/>
                <w:lang w:val="en-US" w:eastAsia="zh-CN" w:bidi="ar"/>
              </w:rPr>
              <w:t xml:space="preserve">个档位供用户设置，分别为</w:t>
            </w:r>
            <w:r>
              <w:rPr>
                <w:rStyle w:val="837"/>
                <w:rFonts w:eastAsia="宋体"/>
                <w:lang w:val="en-US" w:eastAsia="zh-CN" w:bidi="ar"/>
              </w:rPr>
              <w:t xml:space="preserve">1:1</w:t>
            </w:r>
            <w:r>
              <w:rPr>
                <w:rStyle w:val="836"/>
                <w:lang w:val="en-US" w:eastAsia="zh-CN" w:bidi="ar"/>
              </w:rPr>
              <w:t xml:space="preserve">，</w:t>
            </w:r>
            <w:r>
              <w:rPr>
                <w:rStyle w:val="837"/>
                <w:rFonts w:eastAsia="宋体"/>
                <w:lang w:val="en-US" w:eastAsia="zh-CN" w:bidi="ar"/>
              </w:rPr>
              <w:t xml:space="preserve">1.5:1</w:t>
            </w:r>
            <w:r>
              <w:rPr>
                <w:rStyle w:val="836"/>
                <w:lang w:val="en-US" w:eastAsia="zh-CN" w:bidi="ar"/>
              </w:rPr>
              <w:t xml:space="preserve">，</w:t>
            </w:r>
            <w:r>
              <w:rPr>
                <w:rStyle w:val="837"/>
                <w:rFonts w:eastAsia="宋体"/>
                <w:lang w:val="en-US" w:eastAsia="zh-CN" w:bidi="ar"/>
              </w:rPr>
              <w:t xml:space="preserve">2:1</w:t>
            </w:r>
            <w:r>
              <w:rPr>
                <w:rStyle w:val="836"/>
                <w:lang w:val="en-US" w:eastAsia="zh-CN" w:bidi="ar"/>
              </w:rPr>
              <w:t xml:space="preserve">，</w:t>
            </w:r>
            <w:r>
              <w:rPr>
                <w:rStyle w:val="837"/>
                <w:rFonts w:eastAsia="宋体"/>
                <w:lang w:val="en-US" w:eastAsia="zh-CN" w:bidi="ar"/>
              </w:rPr>
              <w:t xml:space="preserve">3:1.</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rPr>
                <w:rStyle w:val="837"/>
                <w:rFonts w:eastAsia="宋体"/>
                <w:lang w:val="en-US" w:eastAsia="zh-CN" w:bidi="ar"/>
              </w:rPr>
              <w:t xml:space="preserve">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电缆连接方式</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无外露连接方式</w:t>
            </w:r>
            <w:r/>
          </w:p>
        </w:tc>
      </w:tr>
      <w:tr>
        <w:trPr>
          <w:trHeight w:val="548"/>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rPr>
                <w:rStyle w:val="837"/>
                <w:rFonts w:eastAsia="宋体"/>
                <w:lang w:val="en-US" w:eastAsia="zh-CN" w:bidi="ar"/>
              </w:rPr>
              <w:t xml:space="preserve">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指压离合器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左右两个手动控制器均具备上下两个指压离合器，共计</w:t>
            </w:r>
            <w:r>
              <w:rPr>
                <w:rStyle w:val="837"/>
                <w:rFonts w:eastAsia="宋体"/>
                <w:lang w:val="en-US" w:eastAsia="zh-CN" w:bidi="ar"/>
              </w:rPr>
              <w:t xml:space="preserve">4</w:t>
            </w:r>
            <w:r>
              <w:rPr>
                <w:rStyle w:val="836"/>
                <w:lang w:val="en-US" w:eastAsia="zh-CN" w:bidi="ar"/>
              </w:rPr>
              <w:t xml:space="preserve">个</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2300"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3D</w:t>
            </w:r>
            <w:r>
              <w:rPr>
                <w:rStyle w:val="836"/>
                <w:lang w:val="en-US" w:eastAsia="zh-CN" w:bidi="ar"/>
              </w:rPr>
              <w:t xml:space="preserve">立体目镜</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裸眼直视三维高清视野</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可实现裸眼直视三维的高清视野</w:t>
            </w:r>
            <w:r/>
          </w:p>
        </w:tc>
      </w:tr>
      <w:tr>
        <w:trPr>
          <w:trHeight w:val="548"/>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837"/>
                <w:rFonts w:eastAsia="宋体"/>
                <w:lang w:val="en-US" w:eastAsia="zh-CN" w:bidi="ar"/>
              </w:rPr>
              <w:t xml:space="preserve">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画中画模式</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画中画模式可以支持≥</w:t>
            </w:r>
            <w:r>
              <w:rPr>
                <w:rStyle w:val="837"/>
                <w:rFonts w:eastAsia="宋体"/>
                <w:lang w:val="en-US" w:eastAsia="zh-CN" w:bidi="ar"/>
              </w:rPr>
              <w:t xml:space="preserve">2</w:t>
            </w:r>
            <w:r>
              <w:rPr>
                <w:rStyle w:val="836"/>
                <w:lang w:val="en-US" w:eastAsia="zh-CN" w:bidi="ar"/>
              </w:rPr>
              <w:t xml:space="preserve">路外接信号，支持如超声等辅助影像信息输入，且与手术画面同屏显示</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分辨率</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1920*1080</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器械移出术野画面指示功能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触摸控制面板</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837"/>
                <w:rFonts w:eastAsia="宋体"/>
                <w:lang w:val="en-US" w:eastAsia="zh-CN" w:bidi="ar"/>
              </w:rPr>
              <w:t xml:space="preserve">3.1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手动分配器械臂指定的操控手柄</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需要具备手动分配器械臂指定的操控手柄</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837"/>
                <w:rFonts w:eastAsia="宋体"/>
                <w:lang w:val="en-US" w:eastAsia="zh-CN" w:bidi="ar"/>
              </w:rPr>
              <w:t xml:space="preserve">3.2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设定视频、音频、系统功能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548"/>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837"/>
                <w:rFonts w:eastAsia="宋体"/>
                <w:lang w:val="en-US" w:eastAsia="zh-CN" w:bidi="ar"/>
              </w:rPr>
              <w:t xml:space="preserve">3.3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图像数字化放大比例调节</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3</w:t>
            </w:r>
            <w:r>
              <w:rPr>
                <w:rStyle w:val="836"/>
                <w:lang w:val="en-US" w:eastAsia="zh-CN" w:bidi="ar"/>
              </w:rPr>
              <w:t xml:space="preserve">种，最大可</w:t>
            </w:r>
            <w:r>
              <w:rPr>
                <w:rStyle w:val="837"/>
                <w:rFonts w:eastAsia="宋体"/>
                <w:lang w:val="en-US" w:eastAsia="zh-CN" w:bidi="ar"/>
              </w:rPr>
              <w:t xml:space="preserve">4</w:t>
            </w:r>
            <w:r>
              <w:rPr>
                <w:rStyle w:val="836"/>
                <w:lang w:val="en-US" w:eastAsia="zh-CN" w:bidi="ar"/>
              </w:rPr>
              <w:t xml:space="preserve">倍放大，医生可在操控台触控面板设置调节比例</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左右侧控制单元</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1.4.1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人体工学控制器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4</w:t>
            </w:r>
            <w:r>
              <w:rPr>
                <w:rStyle w:val="836"/>
                <w:lang w:val="en-US" w:eastAsia="zh-CN" w:bidi="ar"/>
              </w:rPr>
              <w:t xml:space="preserve">组</w:t>
            </w:r>
            <w:r>
              <w:rPr>
                <w:rStyle w:val="837"/>
                <w:rFonts w:eastAsia="宋体"/>
                <w:lang w:val="en-US" w:eastAsia="zh-CN" w:bidi="ar"/>
              </w:rPr>
              <w:t xml:space="preserve">8</w:t>
            </w:r>
            <w:r>
              <w:rPr>
                <w:rStyle w:val="836"/>
                <w:lang w:val="en-US" w:eastAsia="zh-CN" w:bidi="ar"/>
              </w:rPr>
              <w:t xml:space="preserve">方向</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837"/>
                <w:rFonts w:eastAsia="宋体"/>
                <w:lang w:val="en-US" w:eastAsia="zh-CN" w:bidi="ar"/>
              </w:rPr>
              <w:t xml:space="preserve">4.2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监视器倾斜度及高度调节</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837"/>
                <w:rFonts w:eastAsia="宋体"/>
                <w:lang w:val="en-US" w:eastAsia="zh-CN" w:bidi="ar"/>
              </w:rPr>
              <w:t xml:space="preserve">4.3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臂托和手柄高度调节</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837"/>
                <w:rFonts w:eastAsia="宋体"/>
                <w:lang w:val="en-US" w:eastAsia="zh-CN" w:bidi="ar"/>
              </w:rPr>
              <w:t xml:space="preserve">4.4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脚踏深浅调节</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视频音频连接</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837"/>
                <w:rFonts w:eastAsia="宋体"/>
                <w:lang w:val="en-US" w:eastAsia="zh-CN" w:bidi="ar"/>
              </w:rPr>
              <w:t xml:space="preserve">5.1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视频输入</w:t>
            </w:r>
            <w:r>
              <w:rPr>
                <w:rStyle w:val="837"/>
                <w:rFonts w:eastAsia="宋体"/>
                <w:lang w:val="en-US" w:eastAsia="zh-CN" w:bidi="ar"/>
              </w:rPr>
              <w:t xml:space="preserve">/</w:t>
            </w:r>
            <w:r>
              <w:rPr>
                <w:rStyle w:val="836"/>
                <w:lang w:val="en-US" w:eastAsia="zh-CN" w:bidi="ar"/>
              </w:rPr>
              <w:t xml:space="preserve">输出端口</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837"/>
                <w:rFonts w:eastAsia="宋体"/>
                <w:lang w:val="en-US" w:eastAsia="zh-CN" w:bidi="ar"/>
              </w:rPr>
              <w:t xml:space="preserve">5.2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音频输入</w:t>
            </w:r>
            <w:r>
              <w:rPr>
                <w:rStyle w:val="837"/>
                <w:rFonts w:eastAsia="宋体"/>
                <w:lang w:val="en-US" w:eastAsia="zh-CN" w:bidi="ar"/>
              </w:rPr>
              <w:t xml:space="preserve">/</w:t>
            </w:r>
            <w:r>
              <w:rPr>
                <w:rStyle w:val="836"/>
                <w:lang w:val="en-US" w:eastAsia="zh-CN" w:bidi="ar"/>
              </w:rPr>
              <w:t xml:space="preserve">输出端口</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患者手术平台</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机械臂</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2.1.1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机械臂数量</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4</w:t>
            </w:r>
            <w:r>
              <w:rPr>
                <w:rStyle w:val="836"/>
                <w:lang w:val="en-US" w:eastAsia="zh-CN" w:bidi="ar"/>
              </w:rPr>
              <w:t xml:space="preserve">条</w:t>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2.1.2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通用机械臂</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每条机械臂都可安装并识别内窥镜及手术器械</w:t>
            </w:r>
            <w:r/>
          </w:p>
        </w:tc>
      </w:tr>
      <w:tr>
        <w:trPr>
          <w:trHeight w:val="540"/>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术中实现内窥镜通道切换</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内窥镜无需增加额外内窥镜转接头，可以安装在任意一个机械臂上</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机械臂</w:t>
            </w:r>
            <w:r>
              <w:rPr>
                <w:rStyle w:val="837"/>
                <w:rFonts w:eastAsia="宋体"/>
                <w:lang w:val="en-US" w:eastAsia="zh-CN" w:bidi="ar"/>
              </w:rPr>
              <w:t xml:space="preserve">LED</w:t>
            </w:r>
            <w:r>
              <w:rPr>
                <w:rStyle w:val="836"/>
                <w:lang w:val="en-US" w:eastAsia="zh-CN" w:bidi="ar"/>
              </w:rPr>
              <w:t xml:space="preserve">指示灯</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提供，每条器械臂≥</w:t>
            </w:r>
            <w:r>
              <w:rPr>
                <w:rStyle w:val="837"/>
                <w:rFonts w:eastAsia="宋体"/>
                <w:lang w:val="en-US" w:eastAsia="zh-CN" w:bidi="ar"/>
              </w:rPr>
              <w:t xml:space="preserve">4</w:t>
            </w:r>
            <w:r>
              <w:rPr>
                <w:rStyle w:val="836"/>
                <w:lang w:val="en-US" w:eastAsia="zh-CN" w:bidi="ar"/>
              </w:rPr>
              <w:t xml:space="preserve">个</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机械臂</w:t>
            </w:r>
            <w:r>
              <w:rPr>
                <w:rStyle w:val="837"/>
                <w:rFonts w:eastAsia="宋体"/>
                <w:lang w:val="en-US" w:eastAsia="zh-CN" w:bidi="ar"/>
              </w:rPr>
              <w:t xml:space="preserve">LED</w:t>
            </w:r>
            <w:r>
              <w:rPr>
                <w:rStyle w:val="836"/>
                <w:lang w:val="en-US" w:eastAsia="zh-CN" w:bidi="ar"/>
              </w:rPr>
              <w:t xml:space="preserve">指示灯状态</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7</w:t>
            </w:r>
            <w:r>
              <w:rPr>
                <w:rStyle w:val="836"/>
                <w:lang w:val="en-US" w:eastAsia="zh-CN" w:bidi="ar"/>
              </w:rPr>
              <w:t xml:space="preserve">种</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对接提示</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具备提示音、提示灯</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吊盘旋转</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285</w:t>
            </w:r>
            <w:r>
              <w:rPr>
                <w:rStyle w:val="836"/>
                <w:lang w:val="en-US" w:eastAsia="zh-CN" w:bidi="ar"/>
              </w:rPr>
              <w:t xml:space="preserve">°</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控制舵</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控制舵触摸板</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触控面板可设置向导解剖位置</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5</w:t>
            </w:r>
            <w:r>
              <w:rPr>
                <w:rStyle w:val="836"/>
                <w:lang w:val="en-US" w:eastAsia="zh-CN" w:bidi="ar"/>
              </w:rPr>
              <w:t xml:space="preserve">种</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rPr>
                <w:rStyle w:val="837"/>
                <w:rFonts w:eastAsia="宋体"/>
                <w:lang w:val="en-US" w:eastAsia="zh-CN" w:bidi="ar"/>
              </w:rPr>
              <w:t xml:space="preserve">1</w:t>
            </w:r>
            <w:r/>
          </w:p>
        </w:tc>
        <w:tc>
          <w:tcPr>
            <w:shd w:val="clear" w:color="auto" w:fill="auto"/>
            <w:tcW w:w="23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胸腔解剖学引导功能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rPr>
                <w:rStyle w:val="837"/>
                <w:rFonts w:eastAsia="宋体"/>
                <w:lang w:val="en-US" w:eastAsia="zh-CN" w:bidi="ar"/>
              </w:rPr>
              <w:t xml:space="preserve">2</w:t>
            </w:r>
            <w:r/>
          </w:p>
        </w:tc>
        <w:tc>
          <w:tcPr>
            <w:shd w:val="clear" w:color="auto" w:fill="auto"/>
            <w:tcW w:w="23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上腹部解剖学引导功能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rPr>
                <w:rStyle w:val="837"/>
                <w:rFonts w:eastAsia="宋体"/>
                <w:lang w:val="en-US" w:eastAsia="zh-CN" w:bidi="ar"/>
              </w:rPr>
              <w:t xml:space="preserve">3</w:t>
            </w:r>
            <w:r/>
          </w:p>
        </w:tc>
        <w:tc>
          <w:tcPr>
            <w:shd w:val="clear" w:color="auto" w:fill="auto"/>
            <w:tcW w:w="23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下腹部解剖学引导功能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rPr>
                <w:rStyle w:val="837"/>
                <w:rFonts w:eastAsia="宋体"/>
                <w:lang w:val="en-US" w:eastAsia="zh-CN" w:bidi="ar"/>
              </w:rPr>
              <w:t xml:space="preserve">4</w:t>
            </w:r>
            <w:r/>
          </w:p>
        </w:tc>
        <w:tc>
          <w:tcPr>
            <w:shd w:val="clear" w:color="auto" w:fill="auto"/>
            <w:tcW w:w="23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肾脏结构学引导功能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rPr>
                <w:rStyle w:val="837"/>
                <w:rFonts w:eastAsia="宋体"/>
                <w:lang w:val="en-US" w:eastAsia="zh-CN" w:bidi="ar"/>
              </w:rPr>
              <w:t xml:space="preserve">5</w:t>
            </w:r>
            <w:r/>
          </w:p>
        </w:tc>
        <w:tc>
          <w:tcPr>
            <w:shd w:val="clear" w:color="auto" w:fill="auto"/>
            <w:tcW w:w="23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盆腔解剖学引导功能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rPr>
                <w:rStyle w:val="837"/>
                <w:rFonts w:eastAsia="宋体"/>
                <w:lang w:val="en-US" w:eastAsia="zh-CN" w:bidi="ar"/>
              </w:rPr>
              <w:t xml:space="preserve">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触控面板可设置向导路径选择</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3</w:t>
            </w:r>
            <w:r>
              <w:rPr>
                <w:rStyle w:val="836"/>
                <w:lang w:val="en-US" w:eastAsia="zh-CN" w:bidi="ar"/>
              </w:rPr>
              <w:t xml:space="preserve">种患者手术平台基本位置，</w:t>
            </w:r>
            <w:r>
              <w:rPr>
                <w:rStyle w:val="837"/>
                <w:rFonts w:eastAsia="宋体"/>
                <w:lang w:val="en-US" w:eastAsia="zh-CN" w:bidi="ar"/>
              </w:rPr>
              <w:t xml:space="preserve">13</w:t>
            </w:r>
            <w:r>
              <w:rPr>
                <w:rStyle w:val="836"/>
                <w:lang w:val="en-US" w:eastAsia="zh-CN" w:bidi="ar"/>
              </w:rPr>
              <w:t xml:space="preserve">种手术路径</w:t>
            </w:r>
            <w:r/>
          </w:p>
        </w:tc>
      </w:tr>
      <w:tr>
        <w:trPr>
          <w:trHeight w:val="285"/>
        </w:trPr>
        <w:tc>
          <w:tcPr>
            <w:shd w:val="clear" w:color="auto" w:fill="auto"/>
            <w:tcW w:w="398"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3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两腿间引导路径选择</w:t>
            </w:r>
            <w:r/>
          </w:p>
        </w:tc>
        <w:tc>
          <w:tcPr>
            <w:shd w:val="clear" w:color="auto" w:fill="auto"/>
            <w:tcW w:w="230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3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左侧引导路径选择</w:t>
            </w:r>
            <w:r/>
          </w:p>
        </w:tc>
        <w:tc>
          <w:tcPr>
            <w:shd w:val="clear" w:color="auto" w:fill="auto"/>
            <w:tcW w:w="230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3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右侧引导路径选择</w:t>
            </w:r>
            <w:r/>
          </w:p>
        </w:tc>
        <w:tc>
          <w:tcPr>
            <w:shd w:val="clear" w:color="auto" w:fill="auto"/>
            <w:tcW w:w="230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rPr>
                <w:rStyle w:val="837"/>
                <w:rFonts w:eastAsia="宋体"/>
                <w:lang w:val="en-US" w:eastAsia="zh-CN" w:bidi="ar"/>
              </w:rPr>
              <w:t xml:space="preserve">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吊杆位置控制器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可调节吊杆伸缩、旋转、左右位置</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rPr>
                <w:rStyle w:val="837"/>
                <w:rFonts w:eastAsia="宋体"/>
                <w:lang w:val="en-US" w:eastAsia="zh-CN" w:bidi="ar"/>
              </w:rPr>
              <w:t xml:space="preserve">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吊杆高度控制器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rPr>
                <w:rStyle w:val="837"/>
                <w:rFonts w:eastAsia="宋体"/>
                <w:lang w:val="en-US" w:eastAsia="zh-CN" w:bidi="ar"/>
              </w:rPr>
              <w:t xml:space="preserve">6</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w:t>
            </w:r>
            <w:r>
              <w:rPr>
                <w:rStyle w:val="837"/>
                <w:rFonts w:eastAsia="宋体"/>
                <w:lang w:val="en-US" w:eastAsia="zh-CN" w:bidi="ar"/>
              </w:rPr>
              <w:t xml:space="preserve">LED</w:t>
            </w:r>
            <w:r>
              <w:rPr>
                <w:rStyle w:val="836"/>
                <w:lang w:val="en-US" w:eastAsia="zh-CN" w:bidi="ar"/>
              </w:rPr>
              <w:t xml:space="preserve">指示灯</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触控面板可设置智能一键无菌存放模式</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触控面板可设置智能一键收纳模式</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激光安全性</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8"/>
                <w:rFonts w:eastAsia="宋体"/>
                <w:lang w:val="en-US" w:eastAsia="zh-CN" w:bidi="ar"/>
              </w:rPr>
              <w:t xml:space="preserve">2.3.1</w:t>
            </w:r>
            <w:r/>
          </w:p>
        </w:tc>
        <w:tc>
          <w:tcPr>
            <w:shd w:val="clear" w:color="auto" w:fill="auto"/>
            <w:tcW w:w="2300" w:type="pct"/>
            <w:vAlign w:val="top"/>
            <w:textDirection w:val="lrTb"/>
            <w:noWrap w:val="false"/>
          </w:tcPr>
          <w:p>
            <w:pPr>
              <w:jc w:val="left"/>
              <w:keepLines w:val="0"/>
              <w:keepNext w:val="0"/>
              <w:widowControl/>
              <w:rPr>
                <w:rFonts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水平激光器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免碰撞功能</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shd w:val="clear" w:color="auto" w:fill="auto"/>
            <w:tcW w:w="2300" w:type="pct"/>
            <w:vAlign w:val="top"/>
            <w:textDirection w:val="lrTb"/>
            <w:noWrap w:val="false"/>
          </w:tcPr>
          <w:p>
            <w:pPr>
              <w:jc w:val="left"/>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十字激光器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激光引导指示</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影像处理平台</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主体设备</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图像处理器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提供多元化的影像处理平台，包含触摸式控制显示屏，具备系统参数调节、远程指导标记等功能。</w:t>
            </w:r>
            <w:r/>
          </w:p>
        </w:tc>
      </w:tr>
      <w:tr>
        <w:trPr>
          <w:trHeight w:val="540"/>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术前部署吊杆、解剖位置和方法、安放铺单及无菌存放或对接患者手术平台提供视觉提示</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3.1.3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w:t>
            </w:r>
            <w:r>
              <w:rPr>
                <w:rStyle w:val="837"/>
                <w:rFonts w:eastAsia="宋体"/>
                <w:lang w:val="en-US" w:eastAsia="zh-CN" w:bidi="ar"/>
              </w:rPr>
              <w:t xml:space="preserve">USB</w:t>
            </w:r>
            <w:r>
              <w:rPr>
                <w:rStyle w:val="836"/>
                <w:lang w:val="en-US" w:eastAsia="zh-CN" w:bidi="ar"/>
              </w:rPr>
              <w:t xml:space="preserve">接口用于静态图像捕获存储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捕捉方式≥</w:t>
            </w:r>
            <w:r>
              <w:rPr>
                <w:rStyle w:val="837"/>
                <w:rFonts w:eastAsia="宋体"/>
                <w:lang w:val="en-US" w:eastAsia="zh-CN" w:bidi="ar"/>
              </w:rPr>
              <w:t xml:space="preserve">3</w:t>
            </w:r>
            <w:r>
              <w:rPr>
                <w:rStyle w:val="836"/>
                <w:lang w:val="en-US" w:eastAsia="zh-CN" w:bidi="ar"/>
              </w:rPr>
              <w:t xml:space="preserve">种，医生控制台，影像处理平台，内窥镜</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内窥镜角度一键翻转功能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提供，可在触控屏中设置</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触摸显示器</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3.2.1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触摸功能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540"/>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3.2.2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远程注释功能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可在图像处理平台触摸屏手绘有色线条，医生可同步在医生控制台内影像同步显示</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rPr>
                <w:rStyle w:val="837"/>
                <w:rFonts w:eastAsia="宋体"/>
                <w:lang w:val="en-US" w:eastAsia="zh-CN" w:bidi="ar"/>
              </w:rPr>
              <w:t xml:space="preserve">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远程注释开关方式</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rPr>
                <w:rStyle w:val="837"/>
                <w:rFonts w:eastAsia="宋体"/>
                <w:lang w:val="en-US" w:eastAsia="zh-CN" w:bidi="ar"/>
              </w:rPr>
              <w:t xml:space="preserve">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内窥镜状态显示</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4</w:t>
            </w:r>
            <w:r>
              <w:rPr>
                <w:rStyle w:val="836"/>
                <w:lang w:val="en-US" w:eastAsia="zh-CN" w:bidi="ar"/>
              </w:rPr>
              <w:t xml:space="preserve">种</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rPr>
                <w:rStyle w:val="837"/>
                <w:rFonts w:eastAsia="宋体"/>
                <w:lang w:val="en-US" w:eastAsia="zh-CN" w:bidi="ar"/>
              </w:rPr>
              <w:t xml:space="preserve">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显示器内容</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内窥镜图像、提示信息、器械信息等。</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3.2.6</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图像电子变焦</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可在医生控制台及影像平台显示器内显示变焦倍数</w:t>
            </w:r>
            <w:r/>
          </w:p>
        </w:tc>
      </w:tr>
      <w:tr>
        <w:trPr>
          <w:trHeight w:val="270"/>
        </w:trPr>
        <w:tc>
          <w:tcPr>
            <w:shd w:val="clear" w:color="auto" w:fill="auto"/>
            <w:tcW w:w="398" w:type="pct"/>
            <w:vAlign w:val="top"/>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rPr>
                <w:rStyle w:val="837"/>
                <w:rFonts w:eastAsia="宋体"/>
                <w:lang w:val="en-US" w:eastAsia="zh-CN" w:bidi="ar"/>
              </w:rPr>
              <w:t xml:space="preserve">7</w:t>
            </w:r>
            <w:r/>
          </w:p>
        </w:tc>
        <w:tc>
          <w:tcPr>
            <w:shd w:val="clear" w:color="auto" w:fill="auto"/>
            <w:tcW w:w="2300" w:type="pct"/>
            <w:vAlign w:val="top"/>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设置向导说明</w:t>
            </w:r>
            <w:r/>
          </w:p>
        </w:tc>
        <w:tc>
          <w:tcPr>
            <w:shd w:val="clear" w:color="auto" w:fill="auto"/>
            <w:tcW w:w="2301" w:type="pct"/>
            <w:vAlign w:val="top"/>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同步提供设置向导的消息、步骤和状态</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内窥镜系统</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光学装置</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独立成像系统</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4.1.2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白平衡校准</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提供内窥镜手柄快捷校准和影像台车触摸校准</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免调焦内窥镜设计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内窥镜镜头、摄像头、线缆一体化设计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内窥镜视野范围</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70</w:t>
            </w:r>
            <w:r>
              <w:rPr>
                <w:rStyle w:val="836"/>
                <w:lang w:val="en-US" w:eastAsia="zh-CN" w:bidi="ar"/>
              </w:rPr>
              <w:t xml:space="preserve">°</w:t>
            </w:r>
            <w:r/>
          </w:p>
        </w:tc>
      </w:tr>
      <w:tr>
        <w:trPr>
          <w:trHeight w:val="540"/>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rPr>
                <w:rStyle w:val="837"/>
                <w:rFonts w:eastAsia="宋体"/>
                <w:lang w:val="en-US" w:eastAsia="zh-CN" w:bidi="ar"/>
              </w:rPr>
              <w:t xml:space="preserve">6</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一键目标定位</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长按内窥镜手柄上的目标定位按键，使内窥镜对准目标解剖位置</w:t>
            </w:r>
            <w:r/>
          </w:p>
        </w:tc>
      </w:tr>
      <w:tr>
        <w:trPr>
          <w:trHeight w:val="270"/>
        </w:trPr>
        <w:tc>
          <w:tcPr>
            <w:shd w:val="clear" w:color="auto" w:fill="auto"/>
            <w:tcW w:w="398" w:type="pct"/>
            <w:vAlign w:val="top"/>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rPr>
                <w:rStyle w:val="837"/>
                <w:rFonts w:eastAsia="宋体"/>
                <w:lang w:val="en-US" w:eastAsia="zh-CN" w:bidi="ar"/>
              </w:rPr>
              <w:t xml:space="preserve">7</w:t>
            </w:r>
            <w:r/>
          </w:p>
        </w:tc>
        <w:tc>
          <w:tcPr>
            <w:shd w:val="clear" w:color="auto" w:fill="auto"/>
            <w:tcW w:w="2300" w:type="pct"/>
            <w:vAlign w:val="top"/>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一键自动</w:t>
            </w:r>
            <w:r>
              <w:rPr>
                <w:rStyle w:val="837"/>
                <w:rFonts w:eastAsia="宋体"/>
                <w:lang w:val="en-US" w:eastAsia="zh-CN" w:bidi="ar"/>
              </w:rPr>
              <w:t xml:space="preserve">180</w:t>
            </w:r>
            <w:r>
              <w:rPr>
                <w:rStyle w:val="836"/>
                <w:lang w:val="en-US" w:eastAsia="zh-CN" w:bidi="ar"/>
              </w:rPr>
              <w:t xml:space="preserve">°翻转内窥镜</w:t>
            </w:r>
            <w:r/>
          </w:p>
        </w:tc>
        <w:tc>
          <w:tcPr>
            <w:shd w:val="clear" w:color="auto" w:fill="auto"/>
            <w:tcW w:w="2301" w:type="pct"/>
            <w:vAlign w:val="top"/>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2</w:t>
            </w:r>
            <w:r>
              <w:rPr>
                <w:rStyle w:val="836"/>
                <w:lang w:val="en-US" w:eastAsia="zh-CN" w:bidi="ar"/>
              </w:rPr>
              <w:t xml:space="preserve">种，不移除患者体内的情况下，可在医生控制台和影像平台进行操作</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光源装置</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1</w:t>
            </w:r>
            <w:r>
              <w:rPr>
                <w:rStyle w:val="836"/>
                <w:lang w:val="en-US" w:eastAsia="zh-CN" w:bidi="ar"/>
              </w:rPr>
              <w:t xml:space="preserve">个</w:t>
            </w:r>
            <w:r>
              <w:rPr>
                <w:rStyle w:val="837"/>
                <w:rFonts w:eastAsia="宋体"/>
                <w:lang w:val="en-US" w:eastAsia="zh-CN" w:bidi="ar"/>
              </w:rPr>
              <w:t xml:space="preserve">LED</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自动开启照明模式功能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安全联锁装置</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医生控制台探测传感器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操作人员头部离开时自动锁定</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患者手术平台探测传感器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首个机械臂和套管对接时，自动锁定患者手术平台</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机械臂探测传感器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报警锁定功能</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紧急制动开关</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手术器械寿命控制系统</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w:t>
            </w:r>
            <w:r/>
          </w:p>
        </w:tc>
      </w:tr>
      <w:tr>
        <w:trPr>
          <w:trHeight w:val="548"/>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系统启动</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按任何单个组件电源按钮即可一键启动</w:t>
            </w:r>
            <w:r>
              <w:rPr>
                <w:rStyle w:val="837"/>
                <w:rFonts w:eastAsia="宋体"/>
                <w:lang w:val="en-US" w:eastAsia="zh-CN" w:bidi="ar"/>
              </w:rPr>
              <w:t xml:space="preserve">/</w:t>
            </w:r>
            <w:r>
              <w:rPr>
                <w:rStyle w:val="836"/>
                <w:lang w:val="en-US" w:eastAsia="zh-CN" w:bidi="ar"/>
              </w:rPr>
              <w:t xml:space="preserve">关闭医生控制台，患者手术平台即影像处理平台</w:t>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手术基本配件及器械</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2300"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NMPA</w:t>
            </w:r>
            <w:r>
              <w:rPr>
                <w:rStyle w:val="836"/>
                <w:lang w:val="en-US" w:eastAsia="zh-CN" w:bidi="ar"/>
              </w:rPr>
              <w:t xml:space="preserve">批准的专用器械种类</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15</w:t>
            </w:r>
            <w:r>
              <w:rPr>
                <w:rStyle w:val="836"/>
                <w:lang w:val="en-US" w:eastAsia="zh-CN" w:bidi="ar"/>
              </w:rPr>
              <w:t xml:space="preserve">种</w:t>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原厂器械直径</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8.4mm</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具备机器人专用套管密封件</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具备机器人专用穿刺针</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具备机器人专用器械臂用无菌罩</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具备机器人专用中心立柱用无菌套</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具备机器人专用大号持针钳，每把使用次数≥</w:t>
            </w:r>
            <w:r>
              <w:rPr>
                <w:rStyle w:val="837"/>
                <w:rFonts w:eastAsia="宋体"/>
                <w:lang w:val="en-US" w:eastAsia="zh-CN" w:bidi="ar"/>
              </w:rPr>
              <w:t xml:space="preserve">10</w:t>
            </w:r>
            <w:r>
              <w:rPr>
                <w:rStyle w:val="836"/>
                <w:lang w:val="en-US" w:eastAsia="zh-CN" w:bidi="ar"/>
              </w:rPr>
              <w:t xml:space="preserve">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具备机器人专用窗式钳，每把使用次数≥</w:t>
            </w:r>
            <w:r>
              <w:rPr>
                <w:rStyle w:val="837"/>
                <w:rFonts w:eastAsia="宋体"/>
                <w:lang w:val="en-US" w:eastAsia="zh-CN" w:bidi="ar"/>
              </w:rPr>
              <w:t xml:space="preserve">10</w:t>
            </w:r>
            <w:r>
              <w:rPr>
                <w:rStyle w:val="836"/>
                <w:lang w:val="en-US" w:eastAsia="zh-CN" w:bidi="ar"/>
              </w:rPr>
              <w:t xml:space="preserve">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具备机器人专用双极马里兰钳，每把使用次数≥</w:t>
            </w:r>
            <w:r>
              <w:rPr>
                <w:rStyle w:val="837"/>
                <w:rFonts w:eastAsia="宋体"/>
                <w:lang w:val="en-US" w:eastAsia="zh-CN" w:bidi="ar"/>
              </w:rPr>
              <w:t xml:space="preserve">10</w:t>
            </w:r>
            <w:r>
              <w:rPr>
                <w:rStyle w:val="836"/>
                <w:lang w:val="en-US" w:eastAsia="zh-CN" w:bidi="ar"/>
              </w:rPr>
              <w:t xml:space="preserve">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具备机器人专用单极弯剪，每把使用次数≥</w:t>
            </w:r>
            <w:r>
              <w:rPr>
                <w:rStyle w:val="837"/>
                <w:rFonts w:eastAsia="宋体"/>
                <w:lang w:val="en-US" w:eastAsia="zh-CN" w:bidi="ar"/>
              </w:rPr>
              <w:t xml:space="preserve">10</w:t>
            </w:r>
            <w:r>
              <w:rPr>
                <w:rStyle w:val="836"/>
                <w:lang w:val="en-US" w:eastAsia="zh-CN" w:bidi="ar"/>
              </w:rPr>
              <w:t xml:space="preserve">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548"/>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具备机器人专用永久电钩，带腕关节，每把使用次数≥</w:t>
            </w:r>
            <w:r>
              <w:rPr>
                <w:rStyle w:val="837"/>
                <w:rFonts w:eastAsia="宋体"/>
                <w:lang w:val="en-US" w:eastAsia="zh-CN" w:bidi="ar"/>
              </w:rPr>
              <w:t xml:space="preserve">10</w:t>
            </w:r>
            <w:r>
              <w:rPr>
                <w:rStyle w:val="836"/>
                <w:lang w:val="en-US" w:eastAsia="zh-CN" w:bidi="ar"/>
              </w:rPr>
              <w:t xml:space="preserve">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具备机器人专用剪刀持针钳，每把使用次数≥</w:t>
            </w:r>
            <w:r>
              <w:rPr>
                <w:rStyle w:val="837"/>
                <w:rFonts w:eastAsia="宋体"/>
                <w:lang w:val="en-US" w:eastAsia="zh-CN" w:bidi="ar"/>
              </w:rPr>
              <w:t xml:space="preserve">10</w:t>
            </w:r>
            <w:r>
              <w:rPr>
                <w:rStyle w:val="836"/>
                <w:lang w:val="en-US" w:eastAsia="zh-CN" w:bidi="ar"/>
              </w:rPr>
              <w:t xml:space="preserve">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具备机器人专用双极马里兰钳，每把使用次数≥</w:t>
            </w:r>
            <w:r>
              <w:rPr>
                <w:rStyle w:val="837"/>
                <w:rFonts w:eastAsia="宋体"/>
                <w:lang w:val="en-US" w:eastAsia="zh-CN" w:bidi="ar"/>
              </w:rPr>
              <w:t xml:space="preserve">10</w:t>
            </w:r>
            <w:r>
              <w:rPr>
                <w:rStyle w:val="836"/>
                <w:lang w:val="en-US" w:eastAsia="zh-CN" w:bidi="ar"/>
              </w:rPr>
              <w:t xml:space="preserve">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具备机器人专用超声刀</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15</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超声刀器械长度</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Style w:val="837"/>
                <w:rFonts w:eastAsia="宋体"/>
                <w:lang w:val="en-US" w:eastAsia="zh-CN" w:bidi="ar"/>
              </w:rPr>
              <w:t xml:space="preserve">540mm</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具备机器人专用套管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具备机器人专用加长套管</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支持使用超声刀手术器械</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285"/>
        </w:trPr>
        <w:tc>
          <w:tcPr>
            <w:shd w:val="clear" w:color="auto" w:fill="auto"/>
            <w:tcW w:w="398"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适用范围</w:t>
            </w:r>
            <w:r/>
          </w:p>
        </w:tc>
        <w:tc>
          <w:tcPr>
            <w:shd w:val="clear" w:color="auto" w:fill="auto"/>
            <w:tcW w:w="2301" w:type="pct"/>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妇产科手术</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获得有效的中华人民共和国医疗器械注册证</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普通外科手术</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获得有效的中华人民共和国医疗器械注册证</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泌尿外科手术</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获得有效的中华人民共和国医疗器械注册证</w:t>
            </w:r>
            <w:r/>
          </w:p>
        </w:tc>
      </w:tr>
      <w:tr>
        <w:trPr>
          <w:trHeight w:val="285"/>
        </w:trPr>
        <w:tc>
          <w:tcPr>
            <w:shd w:val="clear" w:color="auto" w:fill="auto"/>
            <w:tcW w:w="398" w:type="pct"/>
            <w:vAlign w:val="top"/>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2300"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心、胸外科手术</w:t>
            </w:r>
            <w:r/>
          </w:p>
        </w:tc>
        <w:tc>
          <w:tcPr>
            <w:shd w:val="clear" w:color="auto" w:fill="auto"/>
            <w:tcW w:w="2301"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获得有效的中华人民共和国医疗器械注册证</w:t>
            </w:r>
            <w:r/>
          </w:p>
        </w:tc>
      </w:tr>
    </w:tbl>
    <w:p>
      <w:pPr>
        <w:numPr>
          <w:ilvl w:val="0"/>
          <w:numId w:val="0"/>
        </w:numPr>
        <w:jc w:val="left"/>
        <w:keepLines w:val="0"/>
        <w:keepNext w:val="0"/>
        <w:pageBreakBefore w:val="0"/>
        <w:spacing w:line="360" w:lineRule="auto"/>
        <w:widowControl w:val="off"/>
        <w:rPr>
          <w:rFonts w:hint="eastAsia" w:ascii="宋体" w:hAnsi="宋体" w:eastAsia="宋体" w:cs="宋体"/>
          <w:b/>
          <w:sz w:val="21"/>
          <w:szCs w:val="24"/>
          <w:highlight w:val="none"/>
          <w:u w:val="none"/>
          <w:lang w:val="en-US" w:eastAsia="zh-CN"/>
        </w:rPr>
      </w:pPr>
      <w:r>
        <w:rPr>
          <w:rFonts w:hint="eastAsia" w:ascii="宋体" w:hAnsi="宋体" w:eastAsia="宋体" w:cs="宋体"/>
          <w:b/>
          <w:sz w:val="21"/>
          <w:szCs w:val="24"/>
          <w:highlight w:val="none"/>
          <w:u w:val="none"/>
          <w:lang w:val="en-US" w:eastAsia="zh-CN"/>
        </w:rPr>
      </w:r>
      <w:r/>
    </w:p>
    <w:p>
      <w:pPr>
        <w:numPr>
          <w:ilvl w:val="0"/>
          <w:numId w:val="0"/>
        </w:numPr>
        <w:keepLines w:val="0"/>
        <w:keepNext w:val="0"/>
        <w:pageBreakBefore w:val="0"/>
        <w:spacing w:line="360" w:lineRule="auto"/>
        <w:widowControl w:val="off"/>
        <w:rPr>
          <w:rFonts w:ascii="宋体" w:hAnsi="宋体" w:eastAsia="宋体" w:cs="宋体"/>
          <w:b/>
          <w:sz w:val="21"/>
          <w:szCs w:val="24"/>
          <w:highlight w:val="none"/>
          <w:u w:val="none"/>
          <w:lang w:val="en-US" w:eastAsia="zh-CN"/>
        </w:rPr>
      </w:pPr>
      <w:r>
        <w:rPr>
          <w:rFonts w:hint="eastAsia" w:ascii="宋体" w:hAnsi="宋体" w:eastAsia="宋体" w:cs="宋体"/>
          <w:b/>
          <w:sz w:val="21"/>
          <w:szCs w:val="24"/>
          <w:highlight w:val="none"/>
          <w:u w:val="none"/>
          <w:lang w:val="en-US" w:eastAsia="zh-CN"/>
        </w:rPr>
        <w:t xml:space="preserve">二）商务要求 </w:t>
      </w:r>
      <w:r/>
    </w:p>
    <w:p>
      <w:pPr>
        <w:ind w:left="192" w:hanging="192"/>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1、运输、安装、调试：由中标人负责承担，最终通过用户及有关部门验收交付使用，费用由中标人负责。</w:t>
      </w:r>
      <w:r/>
    </w:p>
    <w:p>
      <w:pPr>
        <w:ind w:left="192" w:hanging="192"/>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2、培训：在安装过程中或安装结束后，中标供应商工程师或有关人员有义务对采购人工程师和操作人员进行现场维修、保养、操作培训，解答采购人人员提出的问题。 </w:t>
      </w:r>
      <w:r/>
    </w:p>
    <w:p>
      <w:pPr>
        <w:ind w:left="192" w:hanging="192"/>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3、交货时间：合同签订之日起</w:t>
      </w:r>
      <w:r>
        <w:rPr>
          <w:rFonts w:hint="eastAsia" w:ascii="宋体" w:hAnsi="宋体" w:cs="Times New Roman"/>
          <w:sz w:val="21"/>
          <w:szCs w:val="21"/>
          <w:highlight w:val="none"/>
          <w:lang w:val="en-US" w:eastAsia="zh-CN" w:bidi="ar-SA"/>
        </w:rPr>
        <w:t xml:space="preserve">3</w:t>
      </w:r>
      <w:r>
        <w:rPr>
          <w:rFonts w:hint="eastAsia" w:ascii="宋体" w:hAnsi="宋体" w:eastAsia="宋体" w:cs="Times New Roman"/>
          <w:sz w:val="21"/>
          <w:szCs w:val="21"/>
          <w:highlight w:val="none"/>
          <w:lang w:val="en-US" w:eastAsia="zh-CN" w:bidi="ar-SA"/>
        </w:rPr>
        <w:t xml:space="preserve">0日内。</w:t>
      </w:r>
      <w:r/>
    </w:p>
    <w:p>
      <w:pPr>
        <w:keepLines w:val="0"/>
        <w:keepNext w:val="0"/>
        <w:pageBreakBefore w:val="0"/>
        <w:spacing w:line="360" w:lineRule="auto"/>
        <w:widowControl w:val="off"/>
        <w:tabs>
          <w:tab w:val="left" w:pos="0" w:leader="none"/>
          <w:tab w:val="left" w:pos="567"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4、付款方式：</w:t>
      </w:r>
      <w:r/>
    </w:p>
    <w:p>
      <w:pPr>
        <w:ind w:left="0"/>
        <w:keepLines w:val="0"/>
        <w:keepNext w:val="0"/>
        <w:pageBreakBefore w:val="0"/>
        <w:spacing w:line="360" w:lineRule="auto"/>
        <w:widowControl w:val="off"/>
        <w:tabs>
          <w:tab w:val="left" w:pos="0" w:leader="none"/>
          <w:tab w:val="left" w:pos="567"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）本合同项下所有款项均以人民币支付。</w:t>
      </w:r>
      <w:r/>
    </w:p>
    <w:p>
      <w:pPr>
        <w:ind w:left="192" w:hanging="192"/>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en-US"/>
        </w:rPr>
        <w:t xml:space="preserve">（2）</w:t>
      </w:r>
      <w:r>
        <w:rPr>
          <w:rFonts w:hint="eastAsia" w:ascii="宋体" w:hAnsi="宋体" w:eastAsia="宋体" w:cs="Times New Roman"/>
          <w:b w:val="0"/>
          <w:bCs w:val="0"/>
          <w:sz w:val="21"/>
          <w:szCs w:val="21"/>
          <w:highlight w:val="none"/>
          <w:lang w:val="en-US" w:eastAsia="zh-CN" w:bidi="ar-SA"/>
        </w:rPr>
        <w:t xml:space="preserve">签定合同后安装调试完毕，验收合格后一个月后付总价的</w:t>
      </w:r>
      <w:r>
        <w:rPr>
          <w:rFonts w:hint="eastAsia" w:ascii="宋体" w:hAnsi="宋体" w:cs="Times New Roman"/>
          <w:b w:val="0"/>
          <w:bCs w:val="0"/>
          <w:sz w:val="21"/>
          <w:szCs w:val="21"/>
          <w:highlight w:val="none"/>
          <w:lang w:val="en-US" w:eastAsia="zh-CN" w:bidi="ar-SA"/>
        </w:rPr>
        <w:t xml:space="preserve">9</w:t>
      </w:r>
      <w:r>
        <w:rPr>
          <w:rFonts w:hint="eastAsia" w:ascii="宋体" w:hAnsi="宋体" w:eastAsia="宋体" w:cs="Times New Roman"/>
          <w:b w:val="0"/>
          <w:bCs w:val="0"/>
          <w:sz w:val="21"/>
          <w:szCs w:val="21"/>
          <w:highlight w:val="none"/>
          <w:lang w:val="en-US" w:eastAsia="zh-CN" w:bidi="ar-SA"/>
        </w:rPr>
        <w:t xml:space="preserve">0%，设备</w:t>
      </w:r>
      <w:r>
        <w:rPr>
          <w:rFonts w:hint="eastAsia" w:ascii="宋体" w:hAnsi="宋体" w:eastAsia="宋体" w:cs="Times New Roman"/>
          <w:sz w:val="21"/>
          <w:szCs w:val="21"/>
          <w:highlight w:val="none"/>
          <w:lang w:val="en-US" w:eastAsia="zh-CN" w:bidi="ar-SA"/>
        </w:rPr>
        <w:t xml:space="preserve">正常运行一年后的一周内付全部价款的10%。</w:t>
      </w:r>
      <w:r/>
    </w:p>
    <w:p>
      <w:pPr>
        <w:ind w:left="192" w:hanging="192"/>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5、交货地点：供应商负责将货物运到南京市</w:t>
      </w:r>
      <w:r>
        <w:rPr>
          <w:rFonts w:hint="eastAsia" w:ascii="宋体" w:hAnsi="宋体" w:cs="Times New Roman"/>
          <w:sz w:val="21"/>
          <w:szCs w:val="21"/>
          <w:highlight w:val="none"/>
          <w:lang w:val="en-US" w:eastAsia="zh-CN" w:bidi="ar-SA"/>
        </w:rPr>
        <w:t xml:space="preserve">江宁</w:t>
      </w:r>
      <w:r>
        <w:rPr>
          <w:rFonts w:hint="eastAsia" w:ascii="宋体" w:hAnsi="宋体" w:eastAsia="宋体" w:cs="Times New Roman"/>
          <w:sz w:val="21"/>
          <w:szCs w:val="21"/>
          <w:highlight w:val="none"/>
          <w:lang w:val="en-US" w:eastAsia="zh-CN" w:bidi="ar-SA"/>
        </w:rPr>
        <w:t xml:space="preserve">医院，由供应商负责办理运输和装卸等，费用由供应商负责，</w:t>
      </w:r>
      <w:r>
        <w:rPr>
          <w:rFonts w:hint="eastAsia" w:ascii="宋体" w:hAnsi="宋体" w:cs="Times New Roman"/>
          <w:sz w:val="21"/>
          <w:szCs w:val="21"/>
          <w:highlight w:val="none"/>
          <w:lang w:val="en-US" w:eastAsia="zh-CN" w:bidi="ar-SA"/>
        </w:rPr>
        <w:t xml:space="preserve">由</w:t>
      </w:r>
      <w:r>
        <w:rPr>
          <w:rFonts w:hint="eastAsia" w:ascii="宋体" w:hAnsi="宋体" w:eastAsia="宋体" w:cs="Times New Roman"/>
          <w:sz w:val="21"/>
          <w:szCs w:val="21"/>
          <w:highlight w:val="none"/>
          <w:lang w:val="en-US" w:eastAsia="zh-CN" w:bidi="ar-SA"/>
        </w:rPr>
        <w:t xml:space="preserve">采购人组织验收，验收不合格或不符合质量要求，供应商除无条件退货、返工外，还应承担采购人的一切损失。</w:t>
      </w:r>
      <w:r/>
    </w:p>
    <w:p>
      <w:pPr>
        <w:ind w:left="192" w:hanging="192"/>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6、售后服务：</w:t>
      </w:r>
      <w:r/>
    </w:p>
    <w:p>
      <w:pPr>
        <w:ind w:left="191" w:hanging="191"/>
        <w:spacing w:line="400" w:lineRule="exact"/>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6.1、供应商接到报修请求，维修应在2小时内响应，24小时内维修人员到达现场。质保期后，供应商提供终身服务，保证零配件的供给。</w:t>
      </w:r>
      <w:r/>
    </w:p>
    <w:p>
      <w:pPr>
        <w:ind w:left="191" w:hanging="191"/>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6.2、</w:t>
      </w:r>
      <w:r>
        <w:rPr>
          <w:rFonts w:hAnsi="宋体" w:eastAsia="宋体"/>
          <w:b w:val="0"/>
          <w:color w:val="000000"/>
          <w:sz w:val="21"/>
          <w:szCs w:val="24"/>
        </w:rPr>
        <w:t xml:space="preserve">★</w:t>
      </w:r>
      <w:r>
        <w:rPr>
          <w:rFonts w:hint="eastAsia" w:ascii="宋体" w:hAnsi="宋体" w:eastAsia="宋体" w:cs="Times New Roman"/>
          <w:sz w:val="21"/>
          <w:szCs w:val="21"/>
          <w:highlight w:val="none"/>
          <w:lang w:val="en-US" w:eastAsia="zh-CN" w:bidi="ar-SA"/>
        </w:rPr>
        <w:t xml:space="preserve">保修期：提供原厂</w:t>
      </w:r>
      <w:r>
        <w:rPr>
          <w:rFonts w:hint="eastAsia" w:ascii="宋体" w:hAnsi="宋体" w:cs="Times New Roman"/>
          <w:sz w:val="21"/>
          <w:szCs w:val="21"/>
          <w:highlight w:val="none"/>
          <w:lang w:val="en-US" w:eastAsia="zh-CN" w:bidi="ar-SA"/>
        </w:rPr>
        <w:t xml:space="preserve">质保3</w:t>
      </w:r>
      <w:r>
        <w:rPr>
          <w:rFonts w:hint="eastAsia" w:ascii="宋体" w:hAnsi="宋体" w:eastAsia="宋体" w:cs="Times New Roman"/>
          <w:sz w:val="21"/>
          <w:szCs w:val="21"/>
          <w:highlight w:val="none"/>
          <w:lang w:val="en-US" w:eastAsia="zh-CN" w:bidi="ar-SA"/>
        </w:rPr>
        <w:t xml:space="preserve">年，自验收报告确认签字之日起，开始进入质保期。</w:t>
      </w:r>
      <w:r/>
    </w:p>
    <w:p>
      <w:pPr>
        <w:ind w:left="191" w:hanging="191"/>
        <w:spacing w:line="400" w:lineRule="exact"/>
        <w:rPr>
          <w:rFonts w:hint="eastAsia" w:ascii="宋体" w:hAnsi="宋体" w:eastAsia="宋体" w:cs="宋体"/>
          <w:sz w:val="21"/>
          <w:szCs w:val="21"/>
          <w:highlight w:val="none"/>
        </w:rPr>
      </w:pPr>
      <w:r>
        <w:rPr>
          <w:rFonts w:hint="eastAsia" w:ascii="宋体" w:hAnsi="宋体" w:eastAsia="宋体" w:cs="Times New Roman"/>
          <w:sz w:val="21"/>
          <w:szCs w:val="21"/>
          <w:highlight w:val="none"/>
          <w:lang w:val="en-US" w:eastAsia="zh-CN" w:bidi="ar-SA"/>
        </w:rPr>
        <w:t xml:space="preserve">6.3、提供针对本项目的售后服务承诺。</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7、产品质量证明文件：</w:t>
      </w:r>
      <w:r>
        <w:rPr>
          <w:rFonts w:hint="eastAsia" w:ascii="宋体" w:hAnsi="宋体" w:eastAsia="宋体" w:cs="宋体"/>
          <w:b w:val="0"/>
          <w:bCs w:val="0"/>
          <w:color w:val="auto"/>
          <w:sz w:val="21"/>
          <w:szCs w:val="21"/>
          <w:highlight w:val="none"/>
          <w:lang w:val="en-US" w:eastAsia="zh-CN"/>
        </w:rPr>
        <w:t xml:space="preserve">提供</w:t>
      </w:r>
      <w:r>
        <w:rPr>
          <w:rFonts w:hint="eastAsia" w:ascii="宋体" w:hAnsi="宋体" w:eastAsia="宋体" w:cs="宋体"/>
          <w:b w:val="0"/>
          <w:bCs w:val="0"/>
          <w:color w:val="auto"/>
          <w:sz w:val="21"/>
          <w:szCs w:val="21"/>
          <w:highlight w:val="none"/>
        </w:rPr>
        <w:t xml:space="preserve">国</w:t>
      </w:r>
      <w:r>
        <w:rPr>
          <w:rFonts w:hint="eastAsia" w:ascii="宋体" w:hAnsi="宋体" w:eastAsia="宋体" w:cs="宋体"/>
          <w:color w:val="auto"/>
          <w:sz w:val="21"/>
          <w:szCs w:val="21"/>
          <w:highlight w:val="none"/>
        </w:rPr>
        <w:t xml:space="preserve">家质检中心检验报告</w:t>
      </w:r>
      <w:r>
        <w:rPr>
          <w:rFonts w:hint="eastAsia" w:ascii="宋体" w:hAnsi="宋体" w:eastAsia="宋体" w:cs="宋体"/>
          <w:color w:val="auto"/>
          <w:sz w:val="21"/>
          <w:szCs w:val="21"/>
          <w:highlight w:val="none"/>
          <w:lang w:val="en-US" w:eastAsia="zh-CN"/>
        </w:rPr>
        <w:t xml:space="preserve">扫描件。</w:t>
      </w:r>
      <w:r/>
    </w:p>
    <w:p>
      <w:r/>
      <w:r/>
    </w:p>
    <w:p>
      <w:pPr>
        <w:pStyle w:val="825"/>
        <w:ind w:firstLine="480"/>
        <w:spacing w:line="440" w:lineRule="exact"/>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37"/>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合同主要条款及格式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firstLine="420"/>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政府采购合同（货物）</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组织的____________________项目公开招标结果，签署本合同。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履行地点：采购人指定地点。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包装方式：按招标文件及投标文件执行。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二、合同金额</w:t>
      </w:r>
      <w:r/>
    </w:p>
    <w:p>
      <w:pPr>
        <w:pStyle w:val="656"/>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本合同金额为（大写）：____________________圆（_________________元）人民币。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乙方应按招标文件规定的时间向甲方提供货物(包含与货物相关的服务)的有关技术资料。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四、知识产权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五、产权担保</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六、履约保证金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签订合同时，乙方按照合同金额</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6.1.1 退还时间及条件：</w:t>
      </w:r>
      <w:r>
        <w:rPr>
          <w:rFonts w:hint="eastAsia" w:ascii="宋体" w:hAnsi="宋体" w:eastAsia="宋体" w:cs="Courier New"/>
          <w:b w:val="0"/>
          <w:bCs w:val="0"/>
          <w:color w:val="auto"/>
          <w:sz w:val="24"/>
          <w:szCs w:val="24"/>
          <w:highlight w:val="none"/>
          <w:lang w:val="en-US" w:eastAsia="zh-CN"/>
        </w:rPr>
        <w:t xml:space="preserve">验收合格且设备正常使用一年后5个工作日内。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退还方式：扣除违约费用后一次性无息退还。</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七、合同转包或分包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乙方不得将合同标的转包给他人履行。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乙方如有转包或未经甲方同意的分包行为，甲方有权终止合同。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八、合同款项支付</w:t>
      </w:r>
      <w:r/>
    </w:p>
    <w:p>
      <w:pPr>
        <w:pStyle w:val="656"/>
        <w:spacing w:line="264" w:lineRule="auto"/>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8.1 合同款项的支付方式及时间</w:t>
      </w:r>
      <w:r/>
    </w:p>
    <w:p>
      <w:pPr>
        <w:pStyle w:val="656"/>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 合同签订后，货到验收合格设备正常运行，由最终用户单位签章的验收报告回执作为付款的依据，甲方收到供应商开具的合法有效发票后一次性付清余款。</w:t>
      </w:r>
      <w:r/>
    </w:p>
    <w:p>
      <w:pPr>
        <w:pStyle w:val="656"/>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 满足合同约定支付条件的，甲方收到乙方发票后10个工作日内，将资金支付到合同约定的乙方账户。 </w:t>
      </w:r>
      <w:r/>
    </w:p>
    <w:p>
      <w:pPr>
        <w:pStyle w:val="656"/>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 根据《保障中小企业款项支付条例》规定，甲方未按合同约定支付款项的，乙方可以向有关部门投诉。</w:t>
      </w:r>
      <w:r/>
    </w:p>
    <w:p>
      <w:pPr>
        <w:pStyle w:val="656"/>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九、税费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本合同执行中的相关税费均由乙方负担。</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十、质量保修范围和保修期及售后服务</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更换：由乙方承担所发生的全部费用。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贬值处理：由甲乙双方合议定价。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十一、项目验收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十二、货物的包装、发运及运输</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十三、违约责任</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十四、不可抗力事件处理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十五、解决争议的方法</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十六、合同生效及其它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本合同经双方加盖单位公章后生效。</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本合同正本一式两份，具有同等法律效力，甲方、乙方各执一份。</w:t>
      </w:r>
      <w:r/>
    </w:p>
    <w:p>
      <w:pPr>
        <w:pStyle w:val="656"/>
        <w:spacing w:before="120" w:after="120" w:line="264" w:lineRule="auto"/>
        <w:rPr>
          <w:rFonts w:hint="eastAsia" w:ascii="宋体" w:hAnsi="宋体" w:eastAsia="宋体" w:cs="宋体"/>
          <w:color w:val="auto"/>
          <w:sz w:val="24"/>
          <w:szCs w:val="24"/>
          <w:highlight w:val="none"/>
          <w:lang w:eastAsia="zh-CN"/>
        </w:rPr>
      </w:pPr>
      <w:r/>
      <w:bookmarkStart w:id="136" w:name="_Hlt16619369"/>
      <w:r/>
      <w:bookmarkEnd w:id="136"/>
      <w:r>
        <w:rPr>
          <w:rFonts w:hint="eastAsia" w:ascii="宋体" w:hAnsi="宋体" w:eastAsia="宋体" w:cs="宋体"/>
          <w:color w:val="auto"/>
          <w:sz w:val="24"/>
          <w:szCs w:val="24"/>
          <w:highlight w:val="none"/>
          <w:lang w:eastAsia="zh-CN"/>
        </w:rPr>
        <w:t xml:space="preserve">  </w:t>
      </w:r>
      <w:r/>
    </w:p>
    <w:p>
      <w:pPr>
        <w:pStyle w:val="656"/>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r/>
    </w:p>
    <w:p>
      <w:pPr>
        <w:pStyle w:val="656"/>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r/>
    </w:p>
    <w:p>
      <w:pPr>
        <w:pStyle w:val="656"/>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                 法定代表人或授权代表：</w:t>
      </w:r>
      <w:r/>
    </w:p>
    <w:p>
      <w:pPr>
        <w:pStyle w:val="656"/>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r/>
    </w:p>
    <w:p>
      <w:pPr>
        <w:pStyle w:val="656"/>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pStyle w:val="656"/>
        <w:ind w:firstLine="480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r/>
    </w:p>
    <w:p>
      <w:pPr>
        <w:jc w:val="center"/>
        <w:spacing w:before="145" w:after="145" w:line="264" w:lineRule="auto"/>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r/>
    </w:p>
    <w:p>
      <w:pP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before="145" w:after="145" w:line="264" w:lineRule="auto"/>
        <w:rPr>
          <w:rFonts w:hint="eastAsia" w:ascii="宋体" w:hAnsi="宋体" w:eastAsia="宋体" w:cs="宋体"/>
          <w:bCs/>
          <w:color w:val="auto"/>
          <w:sz w:val="32"/>
          <w:szCs w:val="32"/>
          <w:highlight w:val="none"/>
        </w:rPr>
        <w:outlineLvl w:val="1"/>
      </w:pPr>
      <w:r>
        <w:rPr>
          <w:rFonts w:hint="eastAsia" w:ascii="宋体" w:hAnsi="宋体" w:eastAsia="宋体" w:cs="宋体"/>
          <w:bCs/>
          <w:color w:val="auto"/>
          <w:sz w:val="32"/>
          <w:szCs w:val="32"/>
          <w:highlight w:val="none"/>
        </w:rPr>
        <w:t xml:space="preserve">《*******合同》补充协议（合同附件）</w:t>
      </w:r>
      <w:r/>
    </w:p>
    <w:p>
      <w:pPr>
        <w:pStyle w:val="656"/>
        <w:ind w:firstLine="480"/>
        <w:jc w:val="left"/>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招标文件及合同未约定事项，双方可友好协商签订补充协议。</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37"/>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137"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《南京市政府采购供应商信用记录表暨信用承诺书》</w:t>
      </w:r>
      <w:r/>
    </w:p>
    <w:p>
      <w:pPr>
        <w:pStyle w:val="671"/>
        <w:rPr>
          <w:rFonts w:hint="eastAsia"/>
          <w:color w:val="auto"/>
          <w:highlight w:val="none"/>
        </w:rPr>
      </w:pPr>
      <w:r>
        <w:rPr>
          <w:rFonts w:hint="eastAsia"/>
          <w:color w:val="auto"/>
          <w:highlight w:val="none"/>
        </w:rPr>
      </w:r>
      <w:r/>
    </w:p>
    <w:p>
      <w:pPr>
        <w:pStyle w:val="671"/>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3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34"/>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33"/>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33"/>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33"/>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33"/>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8" w:name="_Hlt26955070"/>
      <w:r/>
      <w:bookmarkEnd w:id="138"/>
      <w:r/>
      <w:bookmarkStart w:id="139" w:name="_Hlt26671380"/>
      <w:r/>
      <w:bookmarkEnd w:id="139"/>
      <w:r/>
      <w:bookmarkStart w:id="140" w:name="_格式3__银行出具的资信证明"/>
      <w:r/>
      <w:bookmarkEnd w:id="140"/>
      <w:r/>
      <w:r/>
    </w:p>
    <w:p>
      <w:pPr>
        <w:pStyle w:val="649"/>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49"/>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35"/>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35"/>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47"/>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450" w:type="dxa"/>
            <w:vAlign w:val="center"/>
            <w:textDirection w:val="lrTb"/>
            <w:noWrap w:val="false"/>
          </w:tcPr>
          <w:p>
            <w:pPr>
              <w:pStyle w:val="835"/>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47"/>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t xml:space="preserve">手术机器人</w:t>
            </w:r>
            <w:bookmarkStart w:id="141" w:name="_GoBack"/>
            <w:r/>
            <w:bookmarkEnd w:id="141"/>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47"/>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gridSpan w:val="8"/>
            <w:tcW w:w="9290"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47"/>
        <w:tblW w:w="9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338"/>
        <w:gridCol w:w="2326"/>
        <w:gridCol w:w="2202"/>
        <w:gridCol w:w="2202"/>
      </w:tblGrid>
      <w:tr>
        <w:trPr>
          <w:cantSplit/>
          <w:jc w:val="center"/>
          <w:trHeight w:val="1115"/>
        </w:trPr>
        <w:tc>
          <w:tcPr>
            <w:tcW w:w="66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33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326"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220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20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证明文件页码</w:t>
            </w:r>
            <w:r/>
          </w:p>
        </w:tc>
      </w:tr>
      <w:tr>
        <w:trPr>
          <w:cantSplit/>
          <w:jc w:val="center"/>
          <w:trHeight w:val="747"/>
        </w:trPr>
        <w:tc>
          <w:tcPr>
            <w:tcW w:w="66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3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2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747"/>
        </w:trPr>
        <w:tc>
          <w:tcPr>
            <w:tcW w:w="66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3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2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747"/>
        </w:trPr>
        <w:tc>
          <w:tcPr>
            <w:tcW w:w="66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3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2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747"/>
        </w:trPr>
        <w:tc>
          <w:tcPr>
            <w:tcW w:w="66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3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2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747"/>
        </w:trPr>
        <w:tc>
          <w:tcPr>
            <w:tcW w:w="66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3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2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747"/>
        </w:trPr>
        <w:tc>
          <w:tcPr>
            <w:tcW w:w="66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3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2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747"/>
        </w:trPr>
        <w:tc>
          <w:tcPr>
            <w:tcW w:w="66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3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2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759"/>
        </w:trPr>
        <w:tc>
          <w:tcPr>
            <w:tcW w:w="66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3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2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20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69"/>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47"/>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69"/>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0"/>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71"/>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69"/>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69"/>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74"/>
          <w:rFonts w:hint="eastAsia" w:ascii="宋体" w:hAnsi="宋体" w:eastAsia="宋体" w:cs="宋体"/>
          <w:i w:val="0"/>
          <w:color w:val="auto"/>
          <w:highlight w:val="none"/>
          <w:u w:val="single"/>
          <w:shd w:val="clear" w:color="auto" w:fill="ffffff"/>
        </w:rPr>
        <w:t xml:space="preserve">（产品名称1）</w:t>
      </w:r>
      <w:r>
        <w:rPr>
          <w:rStyle w:val="674"/>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74"/>
          <w:rFonts w:hint="eastAsia" w:ascii="宋体" w:hAnsi="宋体" w:eastAsia="宋体" w:cs="宋体"/>
          <w:i w:val="0"/>
          <w:color w:val="auto"/>
          <w:highlight w:val="none"/>
          <w:u w:val="single"/>
          <w:shd w:val="clear" w:color="auto" w:fill="ffffff"/>
        </w:rPr>
        <w:t xml:space="preserve">（厂名）</w:t>
      </w:r>
      <w:r>
        <w:rPr>
          <w:rStyle w:val="674"/>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74"/>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74"/>
          <w:rFonts w:hint="eastAsia" w:ascii="宋体" w:hAnsi="宋体" w:eastAsia="宋体" w:cs="宋体"/>
          <w:i w:val="0"/>
          <w:strike w:val="0"/>
          <w:color w:val="auto"/>
          <w:highlight w:val="none"/>
          <w:u w:val="single"/>
          <w:shd w:val="clear" w:color="auto" w:fill="ffffff"/>
        </w:rPr>
        <w:t xml:space="preserve">（规定比例）</w:t>
      </w:r>
      <w:r>
        <w:rPr>
          <w:rStyle w:val="674"/>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（关键组件）</w:t>
      </w:r>
      <w:r>
        <w:rPr>
          <w:rStyle w:val="674"/>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74"/>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（关键工序）</w:t>
      </w:r>
      <w:r>
        <w:rPr>
          <w:rStyle w:val="674"/>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69"/>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74"/>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74"/>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74"/>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74"/>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4"/>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69"/>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69"/>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74"/>
          <w:rFonts w:hint="eastAsia" w:ascii="宋体" w:hAnsi="宋体" w:eastAsia="宋体" w:cs="宋体"/>
          <w:color w:val="auto"/>
          <w:highlight w:val="none"/>
          <w:vertAlign w:val="superscript"/>
        </w:rPr>
        <w:t xml:space="preserve">6</w:t>
      </w:r>
      <w:r/>
    </w:p>
    <w:p>
      <w:pPr>
        <w:pStyle w:val="669"/>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69"/>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69"/>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69"/>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69"/>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69"/>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69"/>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69"/>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69"/>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69"/>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7"/>
      <w:r/>
      <w:r/>
    </w:p>
    <w:p>
      <w:pPr>
        <w:pStyle w:val="671"/>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59"/>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5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828"/>
    <w:uiPriority w:val="9"/>
    <w:rPr>
      <w:rFonts w:ascii="Arial" w:hAnsi="Arial" w:eastAsia="Arial" w:cs="Arial"/>
      <w:sz w:val="30"/>
      <w:szCs w:val="30"/>
    </w:rPr>
  </w:style>
  <w:style w:type="character" w:styleId="19">
    <w:name w:val="Heading 4 Char"/>
    <w:basedOn w:val="646"/>
    <w:link w:val="829"/>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0"/>
    <w:uiPriority w:val="10"/>
    <w:rPr>
      <w:sz w:val="48"/>
      <w:szCs w:val="48"/>
    </w:rPr>
  </w:style>
  <w:style w:type="character" w:styleId="36">
    <w:name w:val="Subtitle Char"/>
    <w:basedOn w:val="646"/>
    <w:link w:val="663"/>
    <w:uiPriority w:val="11"/>
    <w:rPr>
      <w:sz w:val="24"/>
      <w:szCs w:val="24"/>
    </w:rPr>
  </w:style>
  <w:style w:type="character" w:styleId="38">
    <w:name w:val="Quote Char"/>
    <w:link w:val="690"/>
    <w:uiPriority w:val="29"/>
    <w:rPr>
      <w:i/>
    </w:rPr>
  </w:style>
  <w:style w:type="character" w:styleId="40">
    <w:name w:val="Intense Quote Char"/>
    <w:link w:val="692"/>
    <w:uiPriority w:val="30"/>
    <w:rPr>
      <w:i/>
    </w:rPr>
  </w:style>
  <w:style w:type="character" w:styleId="42">
    <w:name w:val="Header Char"/>
    <w:basedOn w:val="646"/>
    <w:link w:val="660"/>
    <w:uiPriority w:val="99"/>
  </w:style>
  <w:style w:type="character" w:styleId="46">
    <w:name w:val="Caption Char"/>
    <w:basedOn w:val="650"/>
    <w:link w:val="659"/>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4"/>
    <w:uiPriority w:val="99"/>
    <w:rPr>
      <w:sz w:val="18"/>
    </w:rPr>
  </w:style>
  <w:style w:type="character" w:styleId="178">
    <w:name w:val="Endnote Text Char"/>
    <w:link w:val="658"/>
    <w:uiPriority w:val="99"/>
    <w:rPr>
      <w:sz w:val="20"/>
    </w:rPr>
  </w:style>
  <w:style w:type="paragraph" w:styleId="189">
    <w:name w:val="TOC Heading"/>
    <w:uiPriority w:val="39"/>
    <w:unhideWhenUsed/>
  </w:style>
  <w:style w:type="paragraph" w:styleId="636" w:default="1">
    <w:name w:val="Normal"/>
    <w:uiPriority w:val="0"/>
    <w:qFormat/>
    <w:rPr>
      <w:rFonts w:asciiTheme="minorHAnsi" w:hAnsiTheme="minorHAnsi" w:eastAsiaTheme="minorEastAsia" w:cstheme="minorBidi"/>
      <w:sz w:val="21"/>
      <w:szCs w:val="22"/>
      <w:lang w:val="en-US" w:eastAsia="zh-CN" w:bidi="ar-SA"/>
    </w:rPr>
  </w:style>
  <w:style w:type="paragraph" w:styleId="637">
    <w:name w:val="Heading 1"/>
    <w:next w:val="636"/>
    <w:link w:val="677"/>
    <w:uiPriority w:val="9"/>
    <w:qFormat/>
    <w:pPr>
      <w:keepLines/>
      <w:keepNext/>
      <w:spacing w:before="480" w:after="200"/>
      <w:outlineLvl w:val="0"/>
    </w:pPr>
    <w:rPr>
      <w:rFonts w:ascii="Arial" w:hAnsi="Arial" w:eastAsia="Arial" w:cs="Arial"/>
      <w:sz w:val="40"/>
      <w:szCs w:val="40"/>
      <w:lang w:val="en-US" w:eastAsia="zh-CN" w:bidi="ar-SA"/>
    </w:rPr>
  </w:style>
  <w:style w:type="paragraph" w:styleId="638">
    <w:name w:val="Heading 2"/>
    <w:next w:val="636"/>
    <w:link w:val="678"/>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39">
    <w:name w:val="Heading 3"/>
    <w:next w:val="636"/>
    <w:link w:val="679"/>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0">
    <w:name w:val="Heading 4"/>
    <w:next w:val="636"/>
    <w:link w:val="68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1">
    <w:name w:val="Heading 5"/>
    <w:next w:val="636"/>
    <w:link w:val="68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2">
    <w:name w:val="Heading 6"/>
    <w:next w:val="636"/>
    <w:link w:val="68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3">
    <w:name w:val="Heading 7"/>
    <w:next w:val="636"/>
    <w:link w:val="68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44">
    <w:name w:val="Heading 8"/>
    <w:next w:val="636"/>
    <w:link w:val="68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45">
    <w:name w:val="Heading 9"/>
    <w:next w:val="636"/>
    <w:link w:val="68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46" w:default="1">
    <w:name w:val="Default Paragraph Font"/>
    <w:uiPriority w:val="1"/>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next w:val="636"/>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49">
    <w:name w:val="Normal Indent"/>
    <w:basedOn w:val="636"/>
    <w:uiPriority w:val="0"/>
    <w:qFormat/>
    <w:pPr>
      <w:ind w:firstLine="420"/>
    </w:pPr>
    <w:rPr>
      <w:sz w:val="20"/>
      <w:szCs w:val="21"/>
      <w:lang w:eastAsia="en-US"/>
    </w:rPr>
  </w:style>
  <w:style w:type="paragraph" w:styleId="650">
    <w:name w:val="Caption"/>
    <w:next w:val="636"/>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51">
    <w:name w:val="annotation text"/>
    <w:basedOn w:val="636"/>
    <w:uiPriority w:val="99"/>
    <w:semiHidden/>
    <w:unhideWhenUsed/>
    <w:qFormat/>
    <w:pPr>
      <w:jc w:val="left"/>
    </w:pPr>
  </w:style>
  <w:style w:type="paragraph" w:styleId="652">
    <w:name w:val="Body Text Indent"/>
    <w:basedOn w:val="636"/>
    <w:next w:val="653"/>
    <w:uiPriority w:val="99"/>
    <w:unhideWhenUsed/>
    <w:qFormat/>
    <w:pPr>
      <w:ind w:left="420"/>
      <w:spacing w:after="120"/>
    </w:pPr>
  </w:style>
  <w:style w:type="paragraph" w:styleId="653">
    <w:name w:val="envelope return"/>
    <w:basedOn w:val="636"/>
    <w:uiPriority w:val="0"/>
    <w:qFormat/>
    <w:rPr>
      <w:rFonts w:ascii="Arial" w:hAnsi="Arial" w:cs="宋体"/>
    </w:rPr>
  </w:style>
  <w:style w:type="paragraph" w:styleId="654">
    <w:name w:val="toc 5"/>
    <w:next w:val="636"/>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55">
    <w:name w:val="toc 3"/>
    <w:next w:val="636"/>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56">
    <w:name w:val="Plain Text"/>
    <w:basedOn w:val="636"/>
    <w:uiPriority w:val="0"/>
    <w:qFormat/>
    <w:rPr>
      <w:rFonts w:ascii="宋体" w:hAnsi="Courier New"/>
      <w:sz w:val="20"/>
      <w:szCs w:val="21"/>
      <w:lang w:eastAsia="en-US"/>
    </w:rPr>
  </w:style>
  <w:style w:type="paragraph" w:styleId="657">
    <w:name w:val="toc 8"/>
    <w:next w:val="636"/>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58">
    <w:name w:val="endnote text"/>
    <w:link w:val="823"/>
    <w:uiPriority w:val="99"/>
    <w:semiHidden/>
    <w:unhideWhenUsed/>
    <w:qFormat/>
    <w:rPr>
      <w:rFonts w:asciiTheme="minorHAnsi" w:hAnsiTheme="minorHAnsi" w:eastAsiaTheme="minorEastAsia" w:cstheme="minorBidi"/>
      <w:szCs w:val="22"/>
      <w:lang w:val="en-US" w:eastAsia="zh-CN" w:bidi="ar-SA"/>
    </w:rPr>
  </w:style>
  <w:style w:type="paragraph" w:styleId="659">
    <w:name w:val="Footer"/>
    <w:link w:val="69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0">
    <w:name w:val="Header"/>
    <w:link w:val="694"/>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1">
    <w:name w:val="toc 1"/>
    <w:next w:val="636"/>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62">
    <w:name w:val="toc 4"/>
    <w:next w:val="636"/>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63">
    <w:name w:val="Subtitle"/>
    <w:link w:val="689"/>
    <w:uiPriority w:val="11"/>
    <w:qFormat/>
    <w:pPr>
      <w:spacing w:before="200" w:after="200"/>
    </w:pPr>
    <w:rPr>
      <w:rFonts w:asciiTheme="minorHAnsi" w:hAnsiTheme="minorHAnsi" w:eastAsiaTheme="minorEastAsia" w:cstheme="minorBidi"/>
      <w:sz w:val="24"/>
      <w:szCs w:val="24"/>
      <w:lang w:val="en-US" w:eastAsia="zh-CN" w:bidi="ar-SA"/>
    </w:rPr>
  </w:style>
  <w:style w:type="paragraph" w:styleId="664">
    <w:name w:val="footnote text"/>
    <w:link w:val="822"/>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65">
    <w:name w:val="toc 6"/>
    <w:next w:val="63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66">
    <w:name w:val="table of figures"/>
    <w:next w:val="636"/>
    <w:uiPriority w:val="99"/>
    <w:unhideWhenUsed/>
    <w:qFormat/>
    <w:rPr>
      <w:rFonts w:asciiTheme="minorHAnsi" w:hAnsiTheme="minorHAnsi" w:eastAsiaTheme="minorEastAsia" w:cstheme="minorBidi"/>
      <w:sz w:val="21"/>
      <w:szCs w:val="22"/>
      <w:lang w:val="en-US" w:eastAsia="zh-CN" w:bidi="ar-SA"/>
    </w:rPr>
  </w:style>
  <w:style w:type="paragraph" w:styleId="667">
    <w:name w:val="toc 2"/>
    <w:next w:val="636"/>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68">
    <w:name w:val="toc 9"/>
    <w:next w:val="636"/>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69">
    <w:name w:val="Normal (Web)"/>
    <w:basedOn w:val="636"/>
    <w:uiPriority w:val="99"/>
    <w:semiHidden/>
    <w:unhideWhenUsed/>
    <w:qFormat/>
    <w:pPr>
      <w:jc w:val="left"/>
      <w:spacing w:beforeAutospacing="1" w:afterAutospacing="1"/>
    </w:pPr>
  </w:style>
  <w:style w:type="paragraph" w:styleId="670">
    <w:name w:val="Title"/>
    <w:link w:val="688"/>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671">
    <w:name w:val="Body Text First Indent 2"/>
    <w:basedOn w:val="652"/>
    <w:next w:val="636"/>
    <w:uiPriority w:val="0"/>
    <w:qFormat/>
    <w:pPr>
      <w:ind w:left="0" w:firstLine="420"/>
      <w:spacing w:after="0" w:line="360" w:lineRule="auto"/>
    </w:pPr>
    <w:rPr>
      <w:rFonts w:ascii="宋体" w:hAnsi="宋体"/>
      <w:sz w:val="20"/>
      <w:szCs w:val="20"/>
      <w:lang w:eastAsia="en-US"/>
    </w:rPr>
  </w:style>
  <w:style w:type="table" w:styleId="6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Emphasis"/>
    <w:uiPriority w:val="0"/>
    <w:qFormat/>
    <w:rPr>
      <w:i/>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标题 1 字符"/>
    <w:link w:val="637"/>
    <w:uiPriority w:val="9"/>
    <w:qFormat/>
    <w:rPr>
      <w:rFonts w:ascii="Arial" w:hAnsi="Arial" w:eastAsia="Arial" w:cs="Arial"/>
      <w:sz w:val="40"/>
      <w:szCs w:val="40"/>
    </w:rPr>
  </w:style>
  <w:style w:type="character" w:styleId="678" w:customStyle="1">
    <w:name w:val="标题 2 字符"/>
    <w:link w:val="638"/>
    <w:uiPriority w:val="9"/>
    <w:qFormat/>
    <w:rPr>
      <w:rFonts w:ascii="Arial" w:hAnsi="Arial" w:eastAsia="Arial" w:cs="Arial"/>
      <w:sz w:val="34"/>
    </w:rPr>
  </w:style>
  <w:style w:type="character" w:styleId="679" w:customStyle="1">
    <w:name w:val="标题 3 字符"/>
    <w:link w:val="639"/>
    <w:uiPriority w:val="9"/>
    <w:qFormat/>
    <w:rPr>
      <w:rFonts w:ascii="Arial" w:hAnsi="Arial" w:eastAsia="Arial" w:cs="Arial"/>
      <w:sz w:val="30"/>
      <w:szCs w:val="30"/>
    </w:rPr>
  </w:style>
  <w:style w:type="character" w:styleId="680" w:customStyle="1">
    <w:name w:val="标题 4 字符"/>
    <w:link w:val="640"/>
    <w:uiPriority w:val="9"/>
    <w:qFormat/>
    <w:rPr>
      <w:rFonts w:ascii="Arial" w:hAnsi="Arial" w:eastAsia="Arial" w:cs="Arial"/>
      <w:b/>
      <w:bCs/>
      <w:sz w:val="26"/>
      <w:szCs w:val="26"/>
    </w:rPr>
  </w:style>
  <w:style w:type="character" w:styleId="681" w:customStyle="1">
    <w:name w:val="标题 5 字符"/>
    <w:link w:val="641"/>
    <w:uiPriority w:val="9"/>
    <w:qFormat/>
    <w:rPr>
      <w:rFonts w:ascii="Arial" w:hAnsi="Arial" w:eastAsia="Arial" w:cs="Arial"/>
      <w:b/>
      <w:bCs/>
      <w:sz w:val="24"/>
      <w:szCs w:val="24"/>
    </w:rPr>
  </w:style>
  <w:style w:type="character" w:styleId="682" w:customStyle="1">
    <w:name w:val="标题 6 字符"/>
    <w:link w:val="642"/>
    <w:uiPriority w:val="9"/>
    <w:qFormat/>
    <w:rPr>
      <w:rFonts w:ascii="Arial" w:hAnsi="Arial" w:eastAsia="Arial" w:cs="Arial"/>
      <w:b/>
      <w:bCs/>
      <w:sz w:val="22"/>
      <w:szCs w:val="22"/>
    </w:rPr>
  </w:style>
  <w:style w:type="character" w:styleId="683" w:customStyle="1">
    <w:name w:val="标题 7 字符"/>
    <w:link w:val="643"/>
    <w:uiPriority w:val="9"/>
    <w:qFormat/>
    <w:rPr>
      <w:rFonts w:ascii="Arial" w:hAnsi="Arial" w:eastAsia="Arial" w:cs="Arial"/>
      <w:b/>
      <w:bCs/>
      <w:i/>
      <w:iCs/>
      <w:sz w:val="22"/>
      <w:szCs w:val="22"/>
    </w:rPr>
  </w:style>
  <w:style w:type="character" w:styleId="684" w:customStyle="1">
    <w:name w:val="标题 8 字符"/>
    <w:link w:val="644"/>
    <w:uiPriority w:val="9"/>
    <w:qFormat/>
    <w:rPr>
      <w:rFonts w:ascii="Arial" w:hAnsi="Arial" w:eastAsia="Arial" w:cs="Arial"/>
      <w:i/>
      <w:iCs/>
      <w:sz w:val="22"/>
      <w:szCs w:val="22"/>
    </w:rPr>
  </w:style>
  <w:style w:type="character" w:styleId="685" w:customStyle="1">
    <w:name w:val="标题 9 字符"/>
    <w:link w:val="645"/>
    <w:uiPriority w:val="9"/>
    <w:qFormat/>
    <w:rPr>
      <w:rFonts w:ascii="Arial" w:hAnsi="Arial" w:eastAsia="Arial" w:cs="Arial"/>
      <w:i/>
      <w:iCs/>
      <w:sz w:val="21"/>
      <w:szCs w:val="21"/>
    </w:rPr>
  </w:style>
  <w:style w:type="paragraph" w:styleId="686">
    <w:name w:val="List Paragraph"/>
    <w:basedOn w:val="636"/>
    <w:uiPriority w:val="34"/>
    <w:qFormat/>
    <w:pPr>
      <w:contextualSpacing/>
      <w:ind w:left="720"/>
    </w:pPr>
  </w:style>
  <w:style w:type="paragraph" w:styleId="687">
    <w:name w:val="No Spacing"/>
    <w:uiPriority w:val="1"/>
    <w:qFormat/>
    <w:rPr>
      <w:rFonts w:asciiTheme="minorHAnsi" w:hAnsiTheme="minorHAnsi" w:eastAsiaTheme="minorEastAsia" w:cstheme="minorBidi"/>
      <w:sz w:val="21"/>
      <w:szCs w:val="22"/>
      <w:lang w:val="en-US" w:eastAsia="zh-CN" w:bidi="ar-SA"/>
    </w:rPr>
  </w:style>
  <w:style w:type="character" w:styleId="688" w:customStyle="1">
    <w:name w:val="标题 字符"/>
    <w:link w:val="670"/>
    <w:uiPriority w:val="10"/>
    <w:qFormat/>
    <w:rPr>
      <w:sz w:val="48"/>
      <w:szCs w:val="48"/>
    </w:rPr>
  </w:style>
  <w:style w:type="character" w:styleId="689" w:customStyle="1">
    <w:name w:val="副标题 字符"/>
    <w:link w:val="663"/>
    <w:uiPriority w:val="11"/>
    <w:qFormat/>
    <w:rPr>
      <w:sz w:val="24"/>
      <w:szCs w:val="24"/>
    </w:rPr>
  </w:style>
  <w:style w:type="paragraph" w:styleId="690">
    <w:name w:val="Quote"/>
    <w:link w:val="691"/>
    <w:uiPriority w:val="29"/>
    <w:qFormat/>
    <w:pPr>
      <w:ind w:left="720" w:right="720"/>
    </w:pPr>
    <w:rPr>
      <w:rFonts w:asciiTheme="minorHAnsi" w:hAnsiTheme="minorHAnsi" w:eastAsiaTheme="minorEastAsia" w:cstheme="minorBidi"/>
      <w:i/>
      <w:sz w:val="21"/>
      <w:szCs w:val="22"/>
      <w:lang w:val="en-US" w:eastAsia="zh-CN" w:bidi="ar-SA"/>
    </w:rPr>
  </w:style>
  <w:style w:type="character" w:styleId="691" w:customStyle="1">
    <w:name w:val="引用 字符"/>
    <w:link w:val="690"/>
    <w:uiPriority w:val="29"/>
    <w:qFormat/>
    <w:rPr>
      <w:i/>
    </w:rPr>
  </w:style>
  <w:style w:type="paragraph" w:styleId="692">
    <w:name w:val="Intense Quote"/>
    <w:link w:val="6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693" w:customStyle="1">
    <w:name w:val="明显引用 字符"/>
    <w:link w:val="692"/>
    <w:uiPriority w:val="30"/>
    <w:qFormat/>
    <w:rPr>
      <w:i/>
    </w:rPr>
  </w:style>
  <w:style w:type="character" w:styleId="694" w:customStyle="1">
    <w:name w:val="页眉 字符"/>
    <w:link w:val="660"/>
    <w:uiPriority w:val="99"/>
    <w:qFormat/>
  </w:style>
  <w:style w:type="character" w:styleId="695" w:customStyle="1">
    <w:name w:val="Footer Char"/>
    <w:uiPriority w:val="99"/>
    <w:qFormat/>
  </w:style>
  <w:style w:type="character" w:styleId="696" w:customStyle="1">
    <w:name w:val="页脚 字符"/>
    <w:link w:val="659"/>
    <w:uiPriority w:val="99"/>
    <w:qFormat/>
  </w:style>
  <w:style w:type="table" w:styleId="6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脚注文本 字符"/>
    <w:link w:val="664"/>
    <w:uiPriority w:val="99"/>
    <w:qFormat/>
    <w:rPr>
      <w:sz w:val="18"/>
    </w:rPr>
  </w:style>
  <w:style w:type="character" w:styleId="823" w:customStyle="1">
    <w:name w:val="尾注文本 字符"/>
    <w:link w:val="658"/>
    <w:uiPriority w:val="99"/>
    <w:qFormat/>
    <w:rPr>
      <w:sz w:val="20"/>
    </w:rPr>
  </w:style>
  <w:style w:type="paragraph" w:styleId="824"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25" w:customStyle="1">
    <w:name w:val="列出段落1"/>
    <w:basedOn w:val="636"/>
    <w:uiPriority w:val="0"/>
    <w:qFormat/>
    <w:pPr>
      <w:ind w:firstLine="420"/>
    </w:pPr>
    <w:rPr>
      <w:rFonts w:eastAsia="宋体"/>
    </w:rPr>
  </w:style>
  <w:style w:type="paragraph" w:styleId="826" w:customStyle="1">
    <w:name w:val="正文文本11"/>
    <w:basedOn w:val="636"/>
    <w:uiPriority w:val="0"/>
    <w:qFormat/>
    <w:pPr>
      <w:spacing w:line="60" w:lineRule="auto"/>
    </w:pPr>
    <w:rPr>
      <w:rFonts w:ascii="仿宋_GB2312" w:eastAsia="仿宋_GB2312"/>
      <w:sz w:val="32"/>
    </w:rPr>
  </w:style>
  <w:style w:type="paragraph" w:styleId="827" w:customStyle="1">
    <w:name w:val="Table Paragraph"/>
    <w:basedOn w:val="636"/>
    <w:uiPriority w:val="1"/>
    <w:qFormat/>
    <w:pPr>
      <w:jc w:val="left"/>
    </w:pPr>
    <w:rPr>
      <w:rFonts w:ascii="宋体" w:hAnsi="宋体" w:cs="宋体"/>
      <w:sz w:val="22"/>
      <w:lang w:val="zh-CN" w:bidi="zh-CN"/>
    </w:rPr>
  </w:style>
  <w:style w:type="paragraph" w:styleId="828" w:customStyle="1">
    <w:name w:val="Heading 3"/>
    <w:basedOn w:val="636"/>
    <w:next w:val="649"/>
    <w:uiPriority w:val="0"/>
    <w:qFormat/>
    <w:pPr>
      <w:keepLines/>
      <w:keepNext/>
      <w:spacing w:before="260" w:after="260" w:line="416" w:lineRule="auto"/>
      <w:outlineLvl w:val="2"/>
    </w:pPr>
    <w:rPr>
      <w:b/>
      <w:bCs/>
      <w:sz w:val="32"/>
      <w:szCs w:val="32"/>
      <w:lang w:eastAsia="en-US"/>
    </w:rPr>
  </w:style>
  <w:style w:type="paragraph" w:styleId="829" w:customStyle="1">
    <w:name w:val="Heading 4"/>
    <w:basedOn w:val="636"/>
    <w:next w:val="649"/>
    <w:uiPriority w:val="0"/>
    <w:qFormat/>
    <w:pPr>
      <w:keepLines/>
      <w:keepNext/>
      <w:spacing w:before="280" w:after="290" w:line="376" w:lineRule="auto"/>
      <w:outlineLvl w:val="3"/>
    </w:pPr>
    <w:rPr>
      <w:rFonts w:ascii="Arial" w:hAnsi="Arial" w:eastAsia="黑体"/>
      <w:b/>
      <w:bCs/>
      <w:sz w:val="28"/>
      <w:szCs w:val="28"/>
      <w:lang w:eastAsia="en-US"/>
    </w:rPr>
  </w:style>
  <w:style w:type="paragraph" w:styleId="830" w:customStyle="1">
    <w:name w:val="索引 41"/>
    <w:basedOn w:val="636"/>
    <w:next w:val="636"/>
    <w:uiPriority w:val="0"/>
    <w:semiHidden/>
    <w:qFormat/>
    <w:pPr>
      <w:ind w:left="1260"/>
    </w:pPr>
    <w:rPr>
      <w:rFonts w:ascii="Calibri" w:hAnsi="Calibri" w:eastAsia="Calibri" w:cs="宋体"/>
      <w:sz w:val="20"/>
      <w:lang w:val="zh-CN"/>
    </w:rPr>
  </w:style>
  <w:style w:type="paragraph" w:styleId="831" w:customStyle="1">
    <w:name w:val="正文文本12"/>
    <w:basedOn w:val="636"/>
    <w:uiPriority w:val="1"/>
    <w:qFormat/>
    <w:pPr>
      <w:ind w:left="120"/>
    </w:pPr>
    <w:rPr>
      <w:rFonts w:ascii="宋体" w:hAnsi="宋体" w:cs="宋体"/>
      <w:szCs w:val="21"/>
      <w:lang w:val="zh-CN" w:bidi="zh-CN"/>
    </w:rPr>
  </w:style>
  <w:style w:type="paragraph" w:styleId="832" w:customStyle="1">
    <w:name w:val="正文文本 211"/>
    <w:basedOn w:val="636"/>
    <w:uiPriority w:val="99"/>
    <w:qFormat/>
    <w:pPr>
      <w:jc w:val="center"/>
    </w:pPr>
    <w:rPr>
      <w:b/>
      <w:bCs/>
      <w:sz w:val="20"/>
      <w:szCs w:val="20"/>
    </w:rPr>
  </w:style>
  <w:style w:type="paragraph" w:styleId="833" w:customStyle="1">
    <w:name w:val="Char"/>
    <w:basedOn w:val="636"/>
    <w:uiPriority w:val="0"/>
    <w:qFormat/>
    <w:pPr>
      <w:ind w:firstLine="200"/>
      <w:tabs>
        <w:tab w:val="left" w:pos="360" w:leader="none"/>
      </w:tabs>
    </w:pPr>
    <w:rPr>
      <w:sz w:val="28"/>
      <w:szCs w:val="30"/>
    </w:rPr>
  </w:style>
  <w:style w:type="paragraph" w:styleId="834" w:customStyle="1">
    <w:name w:val="正文文本1"/>
    <w:basedOn w:val="636"/>
    <w:next w:val="636"/>
    <w:uiPriority w:val="0"/>
    <w:semiHidden/>
    <w:qFormat/>
    <w:rPr>
      <w:rFonts w:ascii="Arial" w:hAnsi="Arial" w:eastAsia="Arial" w:cs="Arial"/>
      <w:szCs w:val="21"/>
      <w:lang w:eastAsia="en-US"/>
    </w:rPr>
  </w:style>
  <w:style w:type="paragraph" w:styleId="835" w:customStyle="1">
    <w:name w:val="普通正文"/>
    <w:basedOn w:val="636"/>
    <w:uiPriority w:val="0"/>
    <w:qFormat/>
    <w:pPr>
      <w:ind w:firstLine="480"/>
      <w:jc w:val="left"/>
      <w:spacing w:before="120" w:after="120" w:line="360" w:lineRule="auto"/>
    </w:pPr>
    <w:rPr>
      <w:rFonts w:ascii="Arial" w:hAnsi="Arial"/>
      <w:sz w:val="24"/>
      <w:szCs w:val="24"/>
    </w:rPr>
  </w:style>
  <w:style w:type="character" w:styleId="836" w:customStyle="1">
    <w:name w:val="font11"/>
    <w:basedOn w:val="646"/>
    <w:uiPriority w:val="0"/>
    <w:qFormat/>
    <w:rPr>
      <w:rFonts w:hint="eastAsia" w:ascii="宋体" w:hAnsi="宋体" w:eastAsia="宋体" w:cs="宋体"/>
      <w:color w:val="000000"/>
      <w:sz w:val="21"/>
      <w:szCs w:val="21"/>
      <w:u w:val="none"/>
    </w:rPr>
  </w:style>
  <w:style w:type="character" w:styleId="837" w:customStyle="1">
    <w:name w:val="font21"/>
    <w:basedOn w:val="646"/>
    <w:uiPriority w:val="0"/>
    <w:qFormat/>
    <w:rPr>
      <w:rFonts w:hint="default" w:ascii="Times New Roman" w:hAnsi="Times New Roman" w:cs="Times New Roman"/>
      <w:color w:val="000000"/>
      <w:sz w:val="21"/>
      <w:szCs w:val="21"/>
      <w:u w:val="none"/>
    </w:rPr>
  </w:style>
  <w:style w:type="character" w:styleId="838" w:customStyle="1">
    <w:name w:val="font41"/>
    <w:basedOn w:val="646"/>
    <w:uiPriority w:val="0"/>
    <w:qFormat/>
    <w:rPr>
      <w:rFonts w:hint="default" w:ascii="Times New Roman" w:hAnsi="Times New Roman" w:cs="Times New Roman"/>
      <w:color w:val="000000"/>
      <w:sz w:val="21"/>
      <w:szCs w:val="21"/>
      <w:u w:val="none"/>
    </w:rPr>
  </w:style>
  <w:style w:type="numbering" w:styleId="1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8</cp:revision>
  <dcterms:created xsi:type="dcterms:W3CDTF">2024-11-08T09:47:00Z</dcterms:created>
  <dcterms:modified xsi:type="dcterms:W3CDTF">2026-03-11T04:35:46Z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E52C6CE1FB5249A59453E16BC28EFBCB_13</vt:lpwstr>
  </property>
  <property fmtid="{D5CDD505-2E9C-101B-9397-08002B2CF9AE}" pid="4" name="KSOTemplateDocerSaveRecord">
    <vt:lpwstr>eyJoZGlkIjoiMWVjMzU3Yjc3NDAxOThhMGJkMTk1MTkyODk4ZDRmN2MiLCJ1c2VySWQiOiIzMTg2NTgxNTYifQ==</vt:lpwstr>
  </property>
</Properties>
</file>